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8363" w:type="dxa"/>
        <w:tblInd w:w="9" w:type="dxa"/>
        <w:tblLook w:val="0000" w:firstRow="0" w:lastRow="0" w:firstColumn="0" w:lastColumn="0" w:noHBand="0" w:noVBand="0"/>
      </w:tblPr>
      <w:tblGrid>
        <w:gridCol w:w="8363"/>
      </w:tblGrid>
      <w:tr w:rsidR="00036227" w:rsidTr="00A32E88">
        <w:tc>
          <w:tcPr>
            <w:tcW w:w="8363" w:type="dxa"/>
          </w:tcPr>
          <w:p w:rsidR="00916FF8" w:rsidRPr="00624A42" w:rsidRDefault="00100AA5" w:rsidP="004C7868">
            <w:pPr>
              <w:pStyle w:val="FileNumber0"/>
              <w:rPr>
                <w:sz w:val="28"/>
                <w:u w:val="single"/>
                <w:rtl/>
              </w:rPr>
            </w:pPr>
            <w:bookmarkStart w:id="0" w:name="_GoBack"/>
            <w:bookmarkEnd w:id="0"/>
            <w:r>
              <w:rPr>
                <w:u w:val="single"/>
                <w:rtl/>
              </w:rPr>
              <w:t>בבית המשפט העליון בשבתו כבית משפט גבוה לצדק</w:t>
            </w:r>
          </w:p>
        </w:tc>
      </w:tr>
    </w:tbl>
    <w:p w:rsidR="00916FF8" w:rsidRDefault="00916FF8">
      <w:pPr>
        <w:jc w:val="right"/>
        <w:rPr>
          <w:rFonts w:cs="Miriam"/>
          <w:b/>
          <w:bCs/>
          <w:u w:val="single"/>
        </w:rPr>
      </w:pPr>
    </w:p>
    <w:tbl>
      <w:tblPr>
        <w:bidiVisual/>
        <w:tblW w:w="8363" w:type="dxa"/>
        <w:tblLook w:val="0000" w:firstRow="0" w:lastRow="0" w:firstColumn="0" w:lastColumn="0" w:noHBand="0" w:noVBand="0"/>
      </w:tblPr>
      <w:tblGrid>
        <w:gridCol w:w="8363"/>
      </w:tblGrid>
      <w:tr w:rsidR="00036227" w:rsidTr="0039709B">
        <w:trPr>
          <w:trHeight w:val="342"/>
        </w:trPr>
        <w:tc>
          <w:tcPr>
            <w:tcW w:w="9828" w:type="dxa"/>
          </w:tcPr>
          <w:p w:rsidR="00916FF8" w:rsidRPr="00810894" w:rsidRDefault="00100AA5">
            <w:pPr>
              <w:pStyle w:val="FileNumber"/>
              <w:rPr>
                <w:sz w:val="28"/>
                <w:szCs w:val="28"/>
              </w:rPr>
            </w:pPr>
            <w:bookmarkStart w:id="1" w:name="casename_body"/>
            <w:r>
              <w:rPr>
                <w:sz w:val="28"/>
                <w:szCs w:val="28"/>
                <w:rtl/>
              </w:rPr>
              <w:t>בג"ץ  781/15</w:t>
            </w:r>
          </w:p>
        </w:tc>
      </w:tr>
      <w:bookmarkEnd w:id="1"/>
    </w:tbl>
    <w:p w:rsidR="00916FF8" w:rsidRDefault="00916FF8">
      <w:pPr>
        <w:jc w:val="right"/>
        <w:rPr>
          <w:rFonts w:cs="Miriam"/>
          <w:b/>
          <w:bCs/>
          <w:u w:val="single"/>
          <w:rtl/>
        </w:rPr>
      </w:pPr>
    </w:p>
    <w:tbl>
      <w:tblPr>
        <w:bidiVisual/>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5147"/>
      </w:tblGrid>
      <w:tr w:rsidR="003E0D5E" w:rsidTr="009C1D93">
        <w:tc>
          <w:tcPr>
            <w:tcW w:w="3216" w:type="dxa"/>
            <w:tcBorders>
              <w:top w:val="nil"/>
              <w:left w:val="nil"/>
              <w:bottom w:val="nil"/>
              <w:right w:val="nil"/>
            </w:tcBorders>
          </w:tcPr>
          <w:p w:rsidR="003E0D5E" w:rsidRDefault="003E0D5E" w:rsidP="009C1D93">
            <w:pPr>
              <w:pStyle w:val="BodyRuller"/>
            </w:pPr>
            <w:r>
              <w:rPr>
                <w:rFonts w:hint="cs"/>
                <w:rtl/>
              </w:rPr>
              <w:t>לפני</w:t>
            </w:r>
            <w:r>
              <w:rPr>
                <w:rtl/>
              </w:rPr>
              <w:t>:</w:t>
            </w:r>
          </w:p>
        </w:tc>
        <w:tc>
          <w:tcPr>
            <w:tcW w:w="5147" w:type="dxa"/>
            <w:tcBorders>
              <w:top w:val="nil"/>
              <w:left w:val="nil"/>
              <w:bottom w:val="nil"/>
              <w:right w:val="nil"/>
            </w:tcBorders>
          </w:tcPr>
          <w:p w:rsidR="003E0D5E" w:rsidRDefault="003E0D5E" w:rsidP="009C1D93">
            <w:pPr>
              <w:pStyle w:val="BodyRuller"/>
              <w:rPr>
                <w:rtl/>
              </w:rPr>
            </w:pPr>
            <w:r>
              <w:rPr>
                <w:rFonts w:hint="cs"/>
                <w:rtl/>
              </w:rPr>
              <w:t>כבוד הנשיאה א' חיות</w:t>
            </w:r>
            <w:r>
              <w:rPr>
                <w:rtl/>
              </w:rPr>
              <w:br/>
              <w:t>כבוד המשנה לנשיאה (</w:t>
            </w:r>
            <w:proofErr w:type="spellStart"/>
            <w:r>
              <w:rPr>
                <w:rtl/>
              </w:rPr>
              <w:t>בדימ</w:t>
            </w:r>
            <w:proofErr w:type="spellEnd"/>
            <w:r>
              <w:rPr>
                <w:rtl/>
              </w:rPr>
              <w:t>') ח' מלצר</w:t>
            </w:r>
            <w:r>
              <w:rPr>
                <w:rtl/>
              </w:rPr>
              <w:br/>
              <w:t>כבוד השופט נ' הנדל</w:t>
            </w:r>
            <w:r>
              <w:rPr>
                <w:rtl/>
              </w:rPr>
              <w:br/>
              <w:t>כבוד השופט ע' פוגלמן</w:t>
            </w:r>
            <w:r>
              <w:rPr>
                <w:rtl/>
              </w:rPr>
              <w:br/>
              <w:t>כבוד השופט י' עמית</w:t>
            </w:r>
          </w:p>
        </w:tc>
      </w:tr>
    </w:tbl>
    <w:p w:rsidR="003E0D5E" w:rsidRDefault="003E0D5E">
      <w:pPr>
        <w:jc w:val="right"/>
        <w:rPr>
          <w:rFonts w:cs="Miriam"/>
          <w:b/>
          <w:bCs/>
          <w:u w:val="single"/>
          <w:rtl/>
        </w:rPr>
      </w:pPr>
    </w:p>
    <w:p w:rsidR="003E0D5E" w:rsidRDefault="003E0D5E">
      <w:pPr>
        <w:jc w:val="right"/>
        <w:rPr>
          <w:rFonts w:cs="Miriam"/>
          <w:b/>
          <w:bCs/>
          <w:u w:val="single"/>
        </w:rPr>
      </w:pPr>
    </w:p>
    <w:tbl>
      <w:tblPr>
        <w:bidiVisual/>
        <w:tblW w:w="8363" w:type="dxa"/>
        <w:tblLook w:val="0000" w:firstRow="0" w:lastRow="0" w:firstColumn="0" w:lastColumn="0" w:noHBand="0" w:noVBand="0"/>
      </w:tblPr>
      <w:tblGrid>
        <w:gridCol w:w="3229"/>
        <w:gridCol w:w="5134"/>
      </w:tblGrid>
      <w:tr w:rsidR="00FD615E" w:rsidTr="00D52E84">
        <w:tc>
          <w:tcPr>
            <w:tcW w:w="3284" w:type="dxa"/>
          </w:tcPr>
          <w:p w:rsidR="00FD615E" w:rsidRDefault="00FD615E" w:rsidP="00D52E84">
            <w:pPr>
              <w:pStyle w:val="BodyRuller"/>
            </w:pPr>
            <w:r>
              <w:rPr>
                <w:rtl/>
              </w:rPr>
              <w:t>העותרים:</w:t>
            </w:r>
          </w:p>
        </w:tc>
        <w:tc>
          <w:tcPr>
            <w:tcW w:w="5238" w:type="dxa"/>
          </w:tcPr>
          <w:p w:rsidR="00FD615E" w:rsidRDefault="00FD615E" w:rsidP="00D52E84">
            <w:pPr>
              <w:pStyle w:val="BodyRuller"/>
            </w:pPr>
            <w:r>
              <w:rPr>
                <w:rtl/>
              </w:rPr>
              <w:t>1. איתי ארד</w:t>
            </w:r>
            <w:r>
              <w:rPr>
                <w:rFonts w:hint="cs"/>
                <w:rtl/>
              </w:rPr>
              <w:t>-</w:t>
            </w:r>
            <w:r>
              <w:rPr>
                <w:rtl/>
              </w:rPr>
              <w:t>פנקס</w:t>
            </w:r>
          </w:p>
        </w:tc>
      </w:tr>
      <w:tr w:rsidR="00FD615E" w:rsidTr="00D52E84">
        <w:tc>
          <w:tcPr>
            <w:tcW w:w="3284" w:type="dxa"/>
          </w:tcPr>
          <w:p w:rsidR="00FD615E" w:rsidRDefault="00FD615E" w:rsidP="00D52E84">
            <w:pPr>
              <w:pStyle w:val="BodyRuller"/>
              <w:rPr>
                <w:rtl/>
              </w:rPr>
            </w:pPr>
          </w:p>
        </w:tc>
        <w:tc>
          <w:tcPr>
            <w:tcW w:w="5238" w:type="dxa"/>
          </w:tcPr>
          <w:p w:rsidR="00FD615E" w:rsidRDefault="00FD615E" w:rsidP="00D52E84">
            <w:pPr>
              <w:pStyle w:val="BodyRuller"/>
              <w:rPr>
                <w:rtl/>
              </w:rPr>
            </w:pPr>
            <w:r>
              <w:rPr>
                <w:rtl/>
              </w:rPr>
              <w:t>2. יואב ארד</w:t>
            </w:r>
            <w:r>
              <w:rPr>
                <w:rFonts w:hint="cs"/>
                <w:rtl/>
              </w:rPr>
              <w:t>-</w:t>
            </w:r>
            <w:r>
              <w:rPr>
                <w:rtl/>
              </w:rPr>
              <w:t>פנקס</w:t>
            </w:r>
          </w:p>
        </w:tc>
      </w:tr>
      <w:tr w:rsidR="00FD615E" w:rsidTr="00D52E84">
        <w:tc>
          <w:tcPr>
            <w:tcW w:w="3284" w:type="dxa"/>
          </w:tcPr>
          <w:p w:rsidR="00FD615E" w:rsidRDefault="00FD615E" w:rsidP="00D52E84">
            <w:pPr>
              <w:pStyle w:val="BodyRuller"/>
              <w:rPr>
                <w:rtl/>
              </w:rPr>
            </w:pPr>
          </w:p>
        </w:tc>
        <w:tc>
          <w:tcPr>
            <w:tcW w:w="5238" w:type="dxa"/>
          </w:tcPr>
          <w:p w:rsidR="00FD615E" w:rsidRDefault="00FD615E" w:rsidP="00D52E84">
            <w:pPr>
              <w:pStyle w:val="BodyRuller"/>
              <w:rPr>
                <w:rtl/>
              </w:rPr>
            </w:pPr>
            <w:r>
              <w:rPr>
                <w:rtl/>
              </w:rPr>
              <w:t>3. פלוני</w:t>
            </w:r>
          </w:p>
        </w:tc>
      </w:tr>
      <w:tr w:rsidR="00FD615E" w:rsidTr="00D52E84">
        <w:tc>
          <w:tcPr>
            <w:tcW w:w="3284" w:type="dxa"/>
          </w:tcPr>
          <w:p w:rsidR="00FD615E" w:rsidRDefault="00FD615E" w:rsidP="00D52E84">
            <w:pPr>
              <w:pStyle w:val="BodyRuller"/>
              <w:rPr>
                <w:rtl/>
              </w:rPr>
            </w:pPr>
          </w:p>
        </w:tc>
        <w:tc>
          <w:tcPr>
            <w:tcW w:w="5238" w:type="dxa"/>
          </w:tcPr>
          <w:p w:rsidR="00FD615E" w:rsidRDefault="00FD615E" w:rsidP="00D52E84">
            <w:pPr>
              <w:pStyle w:val="BodyRuller"/>
              <w:rPr>
                <w:rtl/>
              </w:rPr>
            </w:pPr>
            <w:r>
              <w:rPr>
                <w:rtl/>
              </w:rPr>
              <w:t>4. פלוני</w:t>
            </w:r>
          </w:p>
        </w:tc>
      </w:tr>
      <w:tr w:rsidR="00FD615E" w:rsidTr="00D52E84">
        <w:tc>
          <w:tcPr>
            <w:tcW w:w="3284" w:type="dxa"/>
          </w:tcPr>
          <w:p w:rsidR="00FD615E" w:rsidRDefault="00FD615E" w:rsidP="00D52E84">
            <w:pPr>
              <w:pStyle w:val="BodyRuller"/>
              <w:rPr>
                <w:rtl/>
              </w:rPr>
            </w:pPr>
          </w:p>
        </w:tc>
        <w:tc>
          <w:tcPr>
            <w:tcW w:w="5238" w:type="dxa"/>
          </w:tcPr>
          <w:p w:rsidR="00FD615E" w:rsidRDefault="00FD615E" w:rsidP="00D52E84">
            <w:pPr>
              <w:pStyle w:val="BodyRuller"/>
              <w:rPr>
                <w:rtl/>
              </w:rPr>
            </w:pPr>
            <w:r>
              <w:rPr>
                <w:rtl/>
              </w:rPr>
              <w:t>5. פלוני</w:t>
            </w:r>
            <w:r>
              <w:rPr>
                <w:rFonts w:hint="cs"/>
                <w:rtl/>
              </w:rPr>
              <w:t>ת</w:t>
            </w:r>
          </w:p>
        </w:tc>
      </w:tr>
      <w:tr w:rsidR="00FD615E" w:rsidTr="00D52E84">
        <w:tc>
          <w:tcPr>
            <w:tcW w:w="3284" w:type="dxa"/>
          </w:tcPr>
          <w:p w:rsidR="00FD615E" w:rsidRDefault="00FD615E" w:rsidP="00D52E84">
            <w:pPr>
              <w:pStyle w:val="BodyRuller"/>
              <w:rPr>
                <w:rtl/>
              </w:rPr>
            </w:pPr>
          </w:p>
        </w:tc>
        <w:tc>
          <w:tcPr>
            <w:tcW w:w="5238" w:type="dxa"/>
          </w:tcPr>
          <w:p w:rsidR="00FD615E" w:rsidRDefault="00FD615E" w:rsidP="00D52E84">
            <w:pPr>
              <w:pStyle w:val="BodyRuller"/>
              <w:rPr>
                <w:rtl/>
              </w:rPr>
            </w:pPr>
            <w:r>
              <w:rPr>
                <w:rtl/>
              </w:rPr>
              <w:t>6. פלוני</w:t>
            </w:r>
            <w:r>
              <w:rPr>
                <w:rFonts w:hint="cs"/>
                <w:rtl/>
              </w:rPr>
              <w:t>ת</w:t>
            </w:r>
          </w:p>
        </w:tc>
      </w:tr>
      <w:tr w:rsidR="00FD615E" w:rsidTr="00D52E84">
        <w:tc>
          <w:tcPr>
            <w:tcW w:w="3284" w:type="dxa"/>
          </w:tcPr>
          <w:p w:rsidR="00FD615E" w:rsidRDefault="00FD615E" w:rsidP="00D52E84">
            <w:pPr>
              <w:pStyle w:val="BodyRuller"/>
              <w:rPr>
                <w:rtl/>
              </w:rPr>
            </w:pPr>
          </w:p>
        </w:tc>
        <w:tc>
          <w:tcPr>
            <w:tcW w:w="5238" w:type="dxa"/>
          </w:tcPr>
          <w:p w:rsidR="00FD615E" w:rsidRDefault="00FD615E" w:rsidP="00D52E84">
            <w:pPr>
              <w:pStyle w:val="BodyRuller"/>
              <w:rPr>
                <w:rtl/>
              </w:rPr>
            </w:pPr>
            <w:r>
              <w:rPr>
                <w:rtl/>
              </w:rPr>
              <w:t>7. עמותת "אבות גאים"</w:t>
            </w:r>
          </w:p>
        </w:tc>
      </w:tr>
      <w:tr w:rsidR="00FD615E" w:rsidTr="00D52E84">
        <w:tc>
          <w:tcPr>
            <w:tcW w:w="3284" w:type="dxa"/>
          </w:tcPr>
          <w:p w:rsidR="00FD615E" w:rsidRDefault="00FD615E" w:rsidP="00D52E84">
            <w:pPr>
              <w:pStyle w:val="BodyRuller"/>
              <w:rPr>
                <w:rtl/>
              </w:rPr>
            </w:pPr>
          </w:p>
        </w:tc>
        <w:tc>
          <w:tcPr>
            <w:tcW w:w="5238" w:type="dxa"/>
          </w:tcPr>
          <w:p w:rsidR="00FD615E" w:rsidRDefault="00FD615E" w:rsidP="00D52E84">
            <w:pPr>
              <w:pStyle w:val="BodyRuller"/>
              <w:rPr>
                <w:rtl/>
              </w:rPr>
            </w:pPr>
            <w:r>
              <w:rPr>
                <w:rtl/>
              </w:rPr>
              <w:t xml:space="preserve">8. סוכנות </w:t>
            </w:r>
            <w:r>
              <w:rPr>
                <w:rFonts w:hint="cs"/>
                <w:rtl/>
              </w:rPr>
              <w:t>"</w:t>
            </w:r>
            <w:r>
              <w:rPr>
                <w:rtl/>
              </w:rPr>
              <w:t>פונדקאות בינ"ל תמוז בע"מ</w:t>
            </w:r>
            <w:r>
              <w:rPr>
                <w:rFonts w:hint="cs"/>
                <w:rtl/>
              </w:rPr>
              <w:t>"</w:t>
            </w:r>
          </w:p>
        </w:tc>
      </w:tr>
    </w:tbl>
    <w:p w:rsidR="00FD615E" w:rsidRDefault="00FD615E" w:rsidP="00FD615E">
      <w:pPr>
        <w:pStyle w:val="Ruller3"/>
      </w:pPr>
      <w:r>
        <w:tab/>
      </w:r>
    </w:p>
    <w:tbl>
      <w:tblPr>
        <w:bidiVisual/>
        <w:tblW w:w="8363" w:type="dxa"/>
        <w:tblLook w:val="0000" w:firstRow="0" w:lastRow="0" w:firstColumn="0" w:lastColumn="0" w:noHBand="0" w:noVBand="0"/>
      </w:tblPr>
      <w:tblGrid>
        <w:gridCol w:w="3222"/>
        <w:gridCol w:w="5141"/>
      </w:tblGrid>
      <w:tr w:rsidR="00FD615E" w:rsidTr="00D52E84">
        <w:tc>
          <w:tcPr>
            <w:tcW w:w="3284" w:type="dxa"/>
          </w:tcPr>
          <w:p w:rsidR="00FD615E" w:rsidRDefault="00FD615E" w:rsidP="00D52E84">
            <w:pPr>
              <w:pStyle w:val="BodyRuller"/>
            </w:pPr>
          </w:p>
        </w:tc>
        <w:tc>
          <w:tcPr>
            <w:tcW w:w="5238" w:type="dxa"/>
          </w:tcPr>
          <w:p w:rsidR="00FD615E" w:rsidRDefault="00FD615E" w:rsidP="00D52E84">
            <w:pPr>
              <w:pStyle w:val="BodyRuller"/>
            </w:pPr>
            <w:r>
              <w:rPr>
                <w:rFonts w:hint="cs"/>
                <w:rtl/>
              </w:rPr>
              <w:t>נ</w:t>
            </w:r>
            <w:r>
              <w:t xml:space="preserve">  </w:t>
            </w:r>
            <w:r>
              <w:rPr>
                <w:rFonts w:hint="cs"/>
                <w:rtl/>
              </w:rPr>
              <w:t>ג</w:t>
            </w:r>
            <w:r>
              <w:t xml:space="preserve">  </w:t>
            </w:r>
            <w:r>
              <w:rPr>
                <w:rFonts w:hint="cs"/>
                <w:rtl/>
              </w:rPr>
              <w:t>ד</w:t>
            </w:r>
          </w:p>
        </w:tc>
      </w:tr>
    </w:tbl>
    <w:p w:rsidR="00FD615E" w:rsidRDefault="00FD615E" w:rsidP="00FD615E">
      <w:pPr>
        <w:pStyle w:val="Ruller3"/>
        <w:rPr>
          <w:rtl/>
        </w:rPr>
      </w:pPr>
      <w:r>
        <w:tab/>
      </w:r>
      <w:r>
        <w:tab/>
      </w:r>
      <w:r>
        <w:tab/>
        <w:t xml:space="preserve">     </w:t>
      </w:r>
    </w:p>
    <w:tbl>
      <w:tblPr>
        <w:bidiVisual/>
        <w:tblW w:w="8363" w:type="dxa"/>
        <w:tblLook w:val="0000" w:firstRow="0" w:lastRow="0" w:firstColumn="0" w:lastColumn="0" w:noHBand="0" w:noVBand="0"/>
      </w:tblPr>
      <w:tblGrid>
        <w:gridCol w:w="3232"/>
        <w:gridCol w:w="5131"/>
      </w:tblGrid>
      <w:tr w:rsidR="00FD615E" w:rsidTr="00D52E84">
        <w:tc>
          <w:tcPr>
            <w:tcW w:w="3284" w:type="dxa"/>
          </w:tcPr>
          <w:p w:rsidR="00FD615E" w:rsidRDefault="00FD615E" w:rsidP="00D52E84">
            <w:pPr>
              <w:pStyle w:val="BodyRuller"/>
            </w:pPr>
            <w:r>
              <w:rPr>
                <w:rtl/>
              </w:rPr>
              <w:t>המשיב</w:t>
            </w:r>
            <w:r>
              <w:rPr>
                <w:rFonts w:hint="cs"/>
                <w:rtl/>
              </w:rPr>
              <w:t>ות</w:t>
            </w:r>
            <w:r>
              <w:rPr>
                <w:rtl/>
              </w:rPr>
              <w:t>:</w:t>
            </w:r>
          </w:p>
        </w:tc>
        <w:tc>
          <w:tcPr>
            <w:tcW w:w="5238" w:type="dxa"/>
          </w:tcPr>
          <w:p w:rsidR="00FD615E" w:rsidRDefault="00FD615E" w:rsidP="00D52E84">
            <w:pPr>
              <w:pStyle w:val="BodyRuller"/>
              <w:rPr>
                <w:rtl/>
              </w:rPr>
            </w:pPr>
            <w:r>
              <w:rPr>
                <w:rtl/>
              </w:rPr>
              <w:t>1. ה</w:t>
            </w:r>
            <w:r>
              <w:rPr>
                <w:rFonts w:hint="cs"/>
                <w:rtl/>
              </w:rPr>
              <w:t>ו</w:t>
            </w:r>
            <w:r>
              <w:rPr>
                <w:rtl/>
              </w:rPr>
              <w:t xml:space="preserve">ועדה לאישור הסכמים לנשיאת עוברים על </w:t>
            </w:r>
          </w:p>
          <w:p w:rsidR="00FD615E" w:rsidRDefault="00FD615E" w:rsidP="00D52E84">
            <w:pPr>
              <w:pStyle w:val="BodyRuller"/>
              <w:rPr>
                <w:rtl/>
              </w:rPr>
            </w:pPr>
            <w:r>
              <w:rPr>
                <w:rFonts w:hint="cs"/>
                <w:rtl/>
              </w:rPr>
              <w:t xml:space="preserve">    </w:t>
            </w:r>
            <w:r>
              <w:rPr>
                <w:rtl/>
              </w:rPr>
              <w:t>פי חוק הסכמים</w:t>
            </w:r>
            <w:r>
              <w:rPr>
                <w:rFonts w:hint="cs"/>
                <w:rtl/>
              </w:rPr>
              <w:t xml:space="preserve"> לנשיאת עוברים (אישור </w:t>
            </w:r>
          </w:p>
          <w:p w:rsidR="00FD615E" w:rsidRDefault="00FD615E" w:rsidP="00D52E84">
            <w:pPr>
              <w:pStyle w:val="BodyRuller"/>
            </w:pPr>
            <w:r>
              <w:rPr>
                <w:rFonts w:hint="cs"/>
                <w:rtl/>
              </w:rPr>
              <w:t xml:space="preserve">    הסכם ומעמד הילוד), התשנ"ו-1996</w:t>
            </w:r>
          </w:p>
        </w:tc>
      </w:tr>
      <w:tr w:rsidR="00FD615E" w:rsidTr="00D52E84">
        <w:tc>
          <w:tcPr>
            <w:tcW w:w="3284" w:type="dxa"/>
          </w:tcPr>
          <w:p w:rsidR="00FD615E" w:rsidRDefault="00FD615E" w:rsidP="00D52E84">
            <w:pPr>
              <w:pStyle w:val="BodyRuller"/>
              <w:rPr>
                <w:rtl/>
              </w:rPr>
            </w:pPr>
          </w:p>
        </w:tc>
        <w:tc>
          <w:tcPr>
            <w:tcW w:w="5238" w:type="dxa"/>
          </w:tcPr>
          <w:p w:rsidR="00FD615E" w:rsidRDefault="00FD615E" w:rsidP="00D52E84">
            <w:pPr>
              <w:pStyle w:val="BodyRuller"/>
              <w:rPr>
                <w:rtl/>
              </w:rPr>
            </w:pPr>
            <w:r>
              <w:rPr>
                <w:rtl/>
              </w:rPr>
              <w:t>2. הכנסת</w:t>
            </w:r>
          </w:p>
        </w:tc>
      </w:tr>
    </w:tbl>
    <w:p w:rsidR="00FD615E" w:rsidRDefault="00FD615E" w:rsidP="00FD615E">
      <w:pPr>
        <w:pStyle w:val="Ruller3"/>
      </w:pPr>
      <w:r>
        <w:rPr>
          <w:rFonts w:hint="cs"/>
          <w:rtl/>
        </w:rPr>
        <w:tab/>
      </w:r>
    </w:p>
    <w:tbl>
      <w:tblPr>
        <w:bidiVisual/>
        <w:tblW w:w="0" w:type="auto"/>
        <w:tblInd w:w="3209" w:type="dxa"/>
        <w:tblLook w:val="0000" w:firstRow="0" w:lastRow="0" w:firstColumn="0" w:lastColumn="0" w:noHBand="0" w:noVBand="0"/>
      </w:tblPr>
      <w:tblGrid>
        <w:gridCol w:w="5103"/>
      </w:tblGrid>
      <w:tr w:rsidR="00FD615E" w:rsidTr="00D52E84">
        <w:tc>
          <w:tcPr>
            <w:tcW w:w="5103" w:type="dxa"/>
          </w:tcPr>
          <w:p w:rsidR="00FD615E" w:rsidRDefault="00353F2F" w:rsidP="00D52E84">
            <w:pPr>
              <w:pStyle w:val="BodyRuller"/>
              <w:rPr>
                <w:rFonts w:cs="Miriam"/>
                <w:sz w:val="24"/>
                <w:szCs w:val="24"/>
                <w:rtl/>
              </w:rPr>
            </w:pPr>
            <w:r>
              <w:rPr>
                <w:rFonts w:cs="Miriam" w:hint="cs"/>
                <w:sz w:val="24"/>
                <w:szCs w:val="24"/>
                <w:rtl/>
              </w:rPr>
              <w:t>הודעה מעדכנת מטעם המשיבה 1 מיום 6.7.2021;</w:t>
            </w:r>
          </w:p>
          <w:p w:rsidR="00353F2F" w:rsidRPr="00206926" w:rsidRDefault="00353F2F" w:rsidP="00D52E84">
            <w:pPr>
              <w:pStyle w:val="BodyRuller"/>
              <w:rPr>
                <w:rFonts w:cs="Miriam"/>
                <w:sz w:val="24"/>
                <w:szCs w:val="24"/>
              </w:rPr>
            </w:pPr>
            <w:r>
              <w:rPr>
                <w:rFonts w:cs="Miriam" w:hint="cs"/>
                <w:sz w:val="24"/>
                <w:szCs w:val="24"/>
                <w:rtl/>
              </w:rPr>
              <w:t>תגובת העותרים מיום 8.7.2021</w:t>
            </w:r>
          </w:p>
        </w:tc>
      </w:tr>
    </w:tbl>
    <w:p w:rsidR="00916FF8" w:rsidRDefault="00E36FE9" w:rsidP="00F23776">
      <w:pPr>
        <w:pStyle w:val="Ruller3"/>
      </w:pPr>
      <w:r>
        <w:rPr>
          <w:rFonts w:hint="cs"/>
          <w:rtl/>
        </w:rPr>
        <w:tab/>
      </w:r>
    </w:p>
    <w:tbl>
      <w:tblPr>
        <w:bidiVisual/>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5147"/>
      </w:tblGrid>
      <w:tr w:rsidR="00F23776" w:rsidTr="00D52E84">
        <w:tc>
          <w:tcPr>
            <w:tcW w:w="3216" w:type="dxa"/>
            <w:tcBorders>
              <w:top w:val="nil"/>
              <w:left w:val="nil"/>
              <w:bottom w:val="nil"/>
              <w:right w:val="nil"/>
            </w:tcBorders>
          </w:tcPr>
          <w:p w:rsidR="00F23776" w:rsidRDefault="00F23776" w:rsidP="00D52E84">
            <w:pPr>
              <w:pStyle w:val="BodyRuller"/>
            </w:pPr>
            <w:r>
              <w:rPr>
                <w:rtl/>
              </w:rPr>
              <w:t>בשם העותרים:</w:t>
            </w:r>
          </w:p>
        </w:tc>
        <w:tc>
          <w:tcPr>
            <w:tcW w:w="5147" w:type="dxa"/>
            <w:tcBorders>
              <w:top w:val="nil"/>
              <w:left w:val="nil"/>
              <w:bottom w:val="nil"/>
              <w:right w:val="nil"/>
            </w:tcBorders>
          </w:tcPr>
          <w:p w:rsidR="00F23776" w:rsidRDefault="00F23776" w:rsidP="00353F2F">
            <w:pPr>
              <w:pStyle w:val="BodyRuller"/>
              <w:rPr>
                <w:rtl/>
              </w:rPr>
            </w:pPr>
            <w:r>
              <w:rPr>
                <w:rtl/>
              </w:rPr>
              <w:t xml:space="preserve">עו"ד </w:t>
            </w:r>
            <w:r w:rsidR="00353F2F">
              <w:rPr>
                <w:rFonts w:hint="cs"/>
                <w:rtl/>
              </w:rPr>
              <w:t>חגי קלעי</w:t>
            </w:r>
          </w:p>
        </w:tc>
      </w:tr>
    </w:tbl>
    <w:p w:rsidR="00F23776" w:rsidRDefault="00F23776" w:rsidP="00F23776">
      <w:pPr>
        <w:pStyle w:val="Ruller3"/>
      </w:pPr>
    </w:p>
    <w:tbl>
      <w:tblPr>
        <w:bidiVisual/>
        <w:tblW w:w="8363"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8"/>
        <w:gridCol w:w="5155"/>
      </w:tblGrid>
      <w:tr w:rsidR="00F23776" w:rsidTr="00D52E84">
        <w:tc>
          <w:tcPr>
            <w:tcW w:w="3208" w:type="dxa"/>
            <w:tcBorders>
              <w:top w:val="nil"/>
              <w:left w:val="nil"/>
              <w:bottom w:val="nil"/>
              <w:right w:val="nil"/>
            </w:tcBorders>
          </w:tcPr>
          <w:p w:rsidR="00F23776" w:rsidRDefault="00F23776" w:rsidP="00D52E84">
            <w:pPr>
              <w:pStyle w:val="BodyRuller"/>
            </w:pPr>
            <w:r>
              <w:rPr>
                <w:rtl/>
              </w:rPr>
              <w:t>בשם המשיב</w:t>
            </w:r>
            <w:r>
              <w:rPr>
                <w:rFonts w:hint="cs"/>
                <w:rtl/>
              </w:rPr>
              <w:t>ה 1</w:t>
            </w:r>
            <w:r>
              <w:rPr>
                <w:rtl/>
              </w:rPr>
              <w:t>:</w:t>
            </w:r>
          </w:p>
        </w:tc>
        <w:tc>
          <w:tcPr>
            <w:tcW w:w="5155" w:type="dxa"/>
            <w:tcBorders>
              <w:top w:val="nil"/>
              <w:left w:val="nil"/>
              <w:bottom w:val="nil"/>
              <w:right w:val="nil"/>
            </w:tcBorders>
          </w:tcPr>
          <w:p w:rsidR="00353F2F" w:rsidRDefault="00353F2F" w:rsidP="00353F2F">
            <w:pPr>
              <w:pStyle w:val="BodyRuller"/>
              <w:rPr>
                <w:rtl/>
              </w:rPr>
            </w:pPr>
            <w:r>
              <w:rPr>
                <w:rtl/>
              </w:rPr>
              <w:t xml:space="preserve">עו"ד </w:t>
            </w:r>
            <w:r>
              <w:rPr>
                <w:rFonts w:hint="cs"/>
                <w:rtl/>
              </w:rPr>
              <w:t>רן רוזנברג; עו"ד מוריה פרימן</w:t>
            </w:r>
            <w:r>
              <w:rPr>
                <w:rtl/>
              </w:rPr>
              <w:t xml:space="preserve"> </w:t>
            </w:r>
          </w:p>
          <w:p w:rsidR="00F23776" w:rsidRDefault="00F23776" w:rsidP="00D52E84">
            <w:pPr>
              <w:pStyle w:val="BodyRuller"/>
            </w:pPr>
          </w:p>
        </w:tc>
      </w:tr>
      <w:tr w:rsidR="00F23776" w:rsidTr="00D52E84">
        <w:tc>
          <w:tcPr>
            <w:tcW w:w="3208" w:type="dxa"/>
            <w:tcBorders>
              <w:top w:val="nil"/>
              <w:left w:val="nil"/>
              <w:bottom w:val="nil"/>
              <w:right w:val="nil"/>
            </w:tcBorders>
          </w:tcPr>
          <w:p w:rsidR="00F23776" w:rsidRDefault="00F23776" w:rsidP="00D52E84">
            <w:pPr>
              <w:pStyle w:val="BodyRuller"/>
            </w:pPr>
            <w:r>
              <w:rPr>
                <w:rFonts w:hint="cs"/>
                <w:rtl/>
              </w:rPr>
              <w:t>בשם המשיבה 2:</w:t>
            </w:r>
          </w:p>
        </w:tc>
        <w:tc>
          <w:tcPr>
            <w:tcW w:w="5155" w:type="dxa"/>
            <w:tcBorders>
              <w:top w:val="nil"/>
              <w:left w:val="nil"/>
              <w:bottom w:val="nil"/>
              <w:right w:val="nil"/>
            </w:tcBorders>
          </w:tcPr>
          <w:p w:rsidR="00F23776" w:rsidRDefault="00F23776" w:rsidP="00D52E84">
            <w:pPr>
              <w:pStyle w:val="BodyRuller"/>
              <w:rPr>
                <w:rtl/>
              </w:rPr>
            </w:pPr>
            <w:r>
              <w:rPr>
                <w:rtl/>
              </w:rPr>
              <w:t xml:space="preserve">עו"ד אביטל </w:t>
            </w:r>
            <w:proofErr w:type="spellStart"/>
            <w:r>
              <w:rPr>
                <w:rtl/>
              </w:rPr>
              <w:t>סומפולינסקי</w:t>
            </w:r>
            <w:proofErr w:type="spellEnd"/>
            <w:r>
              <w:rPr>
                <w:rtl/>
              </w:rPr>
              <w:t xml:space="preserve"> </w:t>
            </w:r>
          </w:p>
          <w:p w:rsidR="00F23776" w:rsidRDefault="00F23776" w:rsidP="00D52E84">
            <w:pPr>
              <w:pStyle w:val="BodyRuller"/>
              <w:rPr>
                <w:rtl/>
              </w:rPr>
            </w:pPr>
          </w:p>
        </w:tc>
      </w:tr>
    </w:tbl>
    <w:p w:rsidR="00320E8E" w:rsidRDefault="00320E8E">
      <w:pPr>
        <w:tabs>
          <w:tab w:val="left" w:pos="2552"/>
        </w:tabs>
        <w:rPr>
          <w:rtl/>
        </w:rPr>
      </w:pPr>
    </w:p>
    <w:p w:rsidR="00320E8E" w:rsidRDefault="00320E8E">
      <w:pPr>
        <w:tabs>
          <w:tab w:val="left" w:pos="2552"/>
        </w:tabs>
        <w:rPr>
          <w:rtl/>
        </w:rPr>
      </w:pPr>
    </w:p>
    <w:p w:rsidR="003C3F1D" w:rsidRDefault="003C3F1D">
      <w:pPr>
        <w:tabs>
          <w:tab w:val="left" w:pos="2552"/>
        </w:tabs>
        <w:rPr>
          <w:rtl/>
        </w:rPr>
      </w:pPr>
    </w:p>
    <w:p w:rsidR="003C3F1D" w:rsidRDefault="003C3F1D">
      <w:pPr>
        <w:tabs>
          <w:tab w:val="left" w:pos="2552"/>
        </w:tabs>
        <w:rPr>
          <w:rtl/>
        </w:rPr>
      </w:pPr>
    </w:p>
    <w:p w:rsidR="003C3F1D" w:rsidRDefault="003C3F1D">
      <w:pPr>
        <w:tabs>
          <w:tab w:val="left" w:pos="2552"/>
        </w:tabs>
        <w:rPr>
          <w:rtl/>
        </w:rPr>
      </w:pPr>
    </w:p>
    <w:p w:rsidR="003C3F1D" w:rsidRDefault="003C3F1D">
      <w:pPr>
        <w:tabs>
          <w:tab w:val="left" w:pos="2552"/>
        </w:tabs>
        <w:rPr>
          <w:rtl/>
        </w:rPr>
      </w:pPr>
    </w:p>
    <w:p w:rsidR="003C3F1D" w:rsidRDefault="003C3F1D">
      <w:pPr>
        <w:tabs>
          <w:tab w:val="left" w:pos="2552"/>
        </w:tabs>
        <w:rPr>
          <w:rtl/>
        </w:rPr>
      </w:pPr>
    </w:p>
    <w:p w:rsidR="003C3F1D" w:rsidRDefault="003C3F1D">
      <w:pPr>
        <w:tabs>
          <w:tab w:val="left" w:pos="2552"/>
        </w:tabs>
        <w:rPr>
          <w:rtl/>
        </w:rPr>
      </w:pPr>
    </w:p>
    <w:p w:rsidR="003C3F1D" w:rsidRDefault="003C3F1D">
      <w:pPr>
        <w:tabs>
          <w:tab w:val="left" w:pos="2552"/>
        </w:tabs>
        <w:rPr>
          <w:rtl/>
        </w:rPr>
      </w:pPr>
    </w:p>
    <w:p w:rsidR="003C3F1D" w:rsidRDefault="003C3F1D">
      <w:pPr>
        <w:tabs>
          <w:tab w:val="left" w:pos="2552"/>
        </w:tabs>
      </w:pPr>
    </w:p>
    <w:tbl>
      <w:tblPr>
        <w:bidiVisual/>
        <w:tblW w:w="8363" w:type="dxa"/>
        <w:tblLook w:val="0000" w:firstRow="0" w:lastRow="0" w:firstColumn="0" w:lastColumn="0" w:noHBand="0" w:noVBand="0"/>
      </w:tblPr>
      <w:tblGrid>
        <w:gridCol w:w="8363"/>
      </w:tblGrid>
      <w:tr w:rsidR="00036227" w:rsidTr="00D00B1D">
        <w:tc>
          <w:tcPr>
            <w:tcW w:w="9837" w:type="dxa"/>
          </w:tcPr>
          <w:p w:rsidR="00916FF8" w:rsidRDefault="00100AA5">
            <w:pPr>
              <w:pStyle w:val="DocumentHead"/>
            </w:pPr>
            <w:bookmarkStart w:id="2" w:name="secretary"/>
            <w:bookmarkStart w:id="3" w:name="BeginProtocol"/>
            <w:bookmarkEnd w:id="2"/>
            <w:bookmarkEnd w:id="3"/>
            <w:r>
              <w:rPr>
                <w:rtl/>
              </w:rPr>
              <w:t>פסק-דין</w:t>
            </w:r>
            <w:r w:rsidR="00FD615E">
              <w:rPr>
                <w:rFonts w:hint="cs"/>
                <w:rtl/>
              </w:rPr>
              <w:t xml:space="preserve"> משלים</w:t>
            </w:r>
          </w:p>
        </w:tc>
      </w:tr>
    </w:tbl>
    <w:p w:rsidR="008C02A2" w:rsidRDefault="008C02A2">
      <w:pPr>
        <w:pStyle w:val="BODYVERDICT"/>
        <w:rPr>
          <w:rFonts w:cs="Miriam"/>
          <w:sz w:val="24"/>
          <w:szCs w:val="24"/>
          <w:u w:val="single"/>
          <w:rtl/>
        </w:rPr>
      </w:pPr>
      <w:bookmarkStart w:id="4" w:name="Writer_Name"/>
      <w:bookmarkEnd w:id="4"/>
    </w:p>
    <w:p w:rsidR="008C02A2" w:rsidRDefault="008C02A2">
      <w:pPr>
        <w:pStyle w:val="BODYVERDICT"/>
        <w:rPr>
          <w:rFonts w:cs="Miriam"/>
          <w:sz w:val="24"/>
          <w:szCs w:val="24"/>
          <w:u w:val="single"/>
          <w:rtl/>
        </w:rPr>
      </w:pPr>
    </w:p>
    <w:p w:rsidR="00916FF8" w:rsidRDefault="00100AA5">
      <w:pPr>
        <w:pStyle w:val="BODYVERDICT"/>
        <w:rPr>
          <w:rFonts w:cs="Miriam"/>
          <w:sz w:val="24"/>
          <w:szCs w:val="24"/>
          <w:u w:val="single"/>
          <w:rtl/>
        </w:rPr>
      </w:pPr>
      <w:r>
        <w:rPr>
          <w:rFonts w:cs="Miriam"/>
          <w:sz w:val="24"/>
          <w:szCs w:val="24"/>
          <w:u w:val="single"/>
          <w:rtl/>
        </w:rPr>
        <w:t>הנשיאה א' חיות:</w:t>
      </w:r>
    </w:p>
    <w:p w:rsidR="0048386C" w:rsidRPr="00503A3E" w:rsidRDefault="0048386C">
      <w:pPr>
        <w:pStyle w:val="BODYVERDICT"/>
        <w:rPr>
          <w:rFonts w:cs="Miriam"/>
          <w:sz w:val="24"/>
          <w:szCs w:val="24"/>
          <w:u w:val="single"/>
          <w:rtl/>
        </w:rPr>
      </w:pPr>
    </w:p>
    <w:p w:rsidR="00FD615E" w:rsidRDefault="00FD615E" w:rsidP="00FD615E">
      <w:pPr>
        <w:rPr>
          <w:rtl/>
        </w:rPr>
      </w:pPr>
      <w:bookmarkStart w:id="5" w:name="Start_Write"/>
      <w:bookmarkEnd w:id="5"/>
    </w:p>
    <w:p w:rsidR="00FD615E" w:rsidRDefault="00FD615E" w:rsidP="00FD615E">
      <w:pPr>
        <w:pStyle w:val="Ruller4"/>
      </w:pPr>
      <w:r>
        <w:rPr>
          <w:rFonts w:hint="cs"/>
          <w:rtl/>
        </w:rPr>
        <w:t xml:space="preserve">ביום 27.2.2020 ניתן פסק דין חלקי בעתירה דנן (להלן: </w:t>
      </w:r>
      <w:r w:rsidRPr="00021050">
        <w:rPr>
          <w:rFonts w:ascii="Century" w:hAnsi="Century" w:cs="Miriam" w:hint="cs"/>
          <w:b/>
          <w:spacing w:val="0"/>
          <w:sz w:val="22"/>
          <w:szCs w:val="24"/>
          <w:rtl/>
        </w:rPr>
        <w:t>פסק הדין החלקי</w:t>
      </w:r>
      <w:r>
        <w:rPr>
          <w:rFonts w:hint="cs"/>
          <w:rtl/>
        </w:rPr>
        <w:t>) ונקבע כי הסדר הפונדקאות המעוגן ב</w:t>
      </w:r>
      <w:r w:rsidRPr="00524C5A">
        <w:rPr>
          <w:rFonts w:hint="eastAsia"/>
          <w:rtl/>
        </w:rPr>
        <w:t>חוק</w:t>
      </w:r>
      <w:r w:rsidRPr="00524C5A">
        <w:rPr>
          <w:rtl/>
        </w:rPr>
        <w:t xml:space="preserve"> </w:t>
      </w:r>
      <w:r w:rsidRPr="00524C5A">
        <w:rPr>
          <w:rFonts w:hint="eastAsia"/>
          <w:rtl/>
        </w:rPr>
        <w:t>הסכמים</w:t>
      </w:r>
      <w:r w:rsidRPr="00524C5A">
        <w:rPr>
          <w:rtl/>
        </w:rPr>
        <w:t xml:space="preserve"> </w:t>
      </w:r>
      <w:r w:rsidRPr="00524C5A">
        <w:rPr>
          <w:rFonts w:hint="eastAsia"/>
          <w:rtl/>
        </w:rPr>
        <w:t>לנשיאת</w:t>
      </w:r>
      <w:r w:rsidRPr="00524C5A">
        <w:rPr>
          <w:rtl/>
        </w:rPr>
        <w:t xml:space="preserve"> </w:t>
      </w:r>
      <w:r w:rsidRPr="00524C5A">
        <w:rPr>
          <w:rFonts w:hint="eastAsia"/>
          <w:rtl/>
        </w:rPr>
        <w:t>עוברים</w:t>
      </w:r>
      <w:r w:rsidRPr="00524C5A">
        <w:rPr>
          <w:rtl/>
        </w:rPr>
        <w:t xml:space="preserve"> (</w:t>
      </w:r>
      <w:r w:rsidRPr="00524C5A">
        <w:rPr>
          <w:rFonts w:hint="eastAsia"/>
          <w:rtl/>
        </w:rPr>
        <w:t>אישור</w:t>
      </w:r>
      <w:r w:rsidRPr="00524C5A">
        <w:rPr>
          <w:rtl/>
        </w:rPr>
        <w:t xml:space="preserve"> </w:t>
      </w:r>
      <w:r w:rsidRPr="00524C5A">
        <w:rPr>
          <w:rFonts w:hint="eastAsia"/>
          <w:rtl/>
        </w:rPr>
        <w:t>הסכם</w:t>
      </w:r>
      <w:r w:rsidRPr="00524C5A">
        <w:rPr>
          <w:rtl/>
        </w:rPr>
        <w:t xml:space="preserve"> </w:t>
      </w:r>
      <w:r w:rsidRPr="00524C5A">
        <w:rPr>
          <w:rFonts w:hint="eastAsia"/>
          <w:rtl/>
        </w:rPr>
        <w:t>ומעמד</w:t>
      </w:r>
      <w:r w:rsidRPr="00524C5A">
        <w:rPr>
          <w:rtl/>
        </w:rPr>
        <w:t xml:space="preserve"> </w:t>
      </w:r>
      <w:r w:rsidRPr="00524C5A">
        <w:rPr>
          <w:rFonts w:hint="eastAsia"/>
          <w:rtl/>
        </w:rPr>
        <w:t>היילוד</w:t>
      </w:r>
      <w:r w:rsidRPr="00524C5A">
        <w:rPr>
          <w:rtl/>
        </w:rPr>
        <w:t xml:space="preserve">), </w:t>
      </w:r>
      <w:r w:rsidRPr="00524C5A">
        <w:rPr>
          <w:rFonts w:hint="eastAsia"/>
          <w:rtl/>
        </w:rPr>
        <w:t>התשנ</w:t>
      </w:r>
      <w:r w:rsidRPr="00524C5A">
        <w:rPr>
          <w:rtl/>
        </w:rPr>
        <w:t>"</w:t>
      </w:r>
      <w:r w:rsidRPr="00524C5A">
        <w:rPr>
          <w:rFonts w:hint="eastAsia"/>
          <w:rtl/>
        </w:rPr>
        <w:t>ו</w:t>
      </w:r>
      <w:r w:rsidRPr="00524C5A">
        <w:rPr>
          <w:rtl/>
        </w:rPr>
        <w:t>-1996 (</w:t>
      </w:r>
      <w:r w:rsidRPr="00524C5A">
        <w:rPr>
          <w:rFonts w:hint="eastAsia"/>
          <w:rtl/>
        </w:rPr>
        <w:t>להלן</w:t>
      </w:r>
      <w:r w:rsidRPr="00524C5A">
        <w:rPr>
          <w:rtl/>
        </w:rPr>
        <w:t xml:space="preserve">: </w:t>
      </w:r>
      <w:r w:rsidRPr="00524C5A">
        <w:rPr>
          <w:rFonts w:ascii="Century" w:hAnsi="Century" w:cs="Miriam" w:hint="eastAsia"/>
          <w:b/>
          <w:spacing w:val="0"/>
          <w:sz w:val="22"/>
          <w:szCs w:val="24"/>
          <w:rtl/>
        </w:rPr>
        <w:t>חוק</w:t>
      </w:r>
      <w:r w:rsidRPr="00524C5A">
        <w:rPr>
          <w:rFonts w:ascii="Century" w:hAnsi="Century" w:cs="Miriam"/>
          <w:b/>
          <w:spacing w:val="0"/>
          <w:sz w:val="22"/>
          <w:szCs w:val="24"/>
          <w:rtl/>
        </w:rPr>
        <w:t xml:space="preserve"> </w:t>
      </w:r>
      <w:r w:rsidRPr="00524C5A">
        <w:rPr>
          <w:rFonts w:ascii="Century" w:hAnsi="Century" w:cs="Miriam" w:hint="eastAsia"/>
          <w:b/>
          <w:spacing w:val="0"/>
          <w:sz w:val="22"/>
          <w:szCs w:val="24"/>
          <w:rtl/>
        </w:rPr>
        <w:t>ההסכמים</w:t>
      </w:r>
      <w:r w:rsidRPr="00524C5A">
        <w:rPr>
          <w:rtl/>
        </w:rPr>
        <w:t>)</w:t>
      </w:r>
      <w:r>
        <w:rPr>
          <w:rFonts w:hint="cs"/>
          <w:rtl/>
        </w:rPr>
        <w:t xml:space="preserve"> ובהוראות הקשורות אליו ב</w:t>
      </w:r>
      <w:r w:rsidRPr="00524C5A">
        <w:rPr>
          <w:rFonts w:hint="eastAsia"/>
          <w:rtl/>
        </w:rPr>
        <w:t>חוק</w:t>
      </w:r>
      <w:r w:rsidRPr="00524C5A">
        <w:rPr>
          <w:rtl/>
        </w:rPr>
        <w:t xml:space="preserve"> </w:t>
      </w:r>
      <w:r w:rsidRPr="00524C5A">
        <w:rPr>
          <w:rFonts w:hint="eastAsia"/>
          <w:rtl/>
        </w:rPr>
        <w:t>תרומת</w:t>
      </w:r>
      <w:r w:rsidRPr="00524C5A">
        <w:rPr>
          <w:rtl/>
        </w:rPr>
        <w:t xml:space="preserve"> </w:t>
      </w:r>
      <w:r w:rsidRPr="00524C5A">
        <w:rPr>
          <w:rFonts w:hint="eastAsia"/>
          <w:rtl/>
        </w:rPr>
        <w:t>ביציות</w:t>
      </w:r>
      <w:r w:rsidRPr="00524C5A">
        <w:rPr>
          <w:rtl/>
        </w:rPr>
        <w:t xml:space="preserve">, </w:t>
      </w:r>
      <w:r w:rsidRPr="00524C5A">
        <w:rPr>
          <w:rFonts w:hint="eastAsia"/>
          <w:rtl/>
        </w:rPr>
        <w:t>התש</w:t>
      </w:r>
      <w:r w:rsidRPr="00524C5A">
        <w:rPr>
          <w:rtl/>
        </w:rPr>
        <w:t>"</w:t>
      </w:r>
      <w:r w:rsidRPr="00524C5A">
        <w:rPr>
          <w:rFonts w:hint="eastAsia"/>
          <w:rtl/>
        </w:rPr>
        <w:t>ע</w:t>
      </w:r>
      <w:r w:rsidRPr="00524C5A">
        <w:rPr>
          <w:rtl/>
        </w:rPr>
        <w:t>-2010 (</w:t>
      </w:r>
      <w:r w:rsidRPr="00524C5A">
        <w:rPr>
          <w:rFonts w:hint="eastAsia"/>
          <w:rtl/>
        </w:rPr>
        <w:t>להלן</w:t>
      </w:r>
      <w:r w:rsidRPr="00524C5A">
        <w:rPr>
          <w:rtl/>
        </w:rPr>
        <w:t xml:space="preserve">: </w:t>
      </w:r>
      <w:r w:rsidRPr="00524C5A">
        <w:rPr>
          <w:rFonts w:ascii="Century" w:hAnsi="Century" w:cs="Miriam" w:hint="eastAsia"/>
          <w:b/>
          <w:spacing w:val="0"/>
          <w:sz w:val="22"/>
          <w:szCs w:val="24"/>
          <w:rtl/>
        </w:rPr>
        <w:t>חוק</w:t>
      </w:r>
      <w:r w:rsidRPr="00524C5A">
        <w:rPr>
          <w:rFonts w:ascii="Century" w:hAnsi="Century" w:cs="Miriam"/>
          <w:b/>
          <w:spacing w:val="0"/>
          <w:sz w:val="22"/>
          <w:szCs w:val="24"/>
          <w:rtl/>
        </w:rPr>
        <w:t xml:space="preserve"> </w:t>
      </w:r>
      <w:r w:rsidRPr="00524C5A">
        <w:rPr>
          <w:rFonts w:ascii="Century" w:hAnsi="Century" w:cs="Miriam" w:hint="eastAsia"/>
          <w:b/>
          <w:spacing w:val="0"/>
          <w:sz w:val="22"/>
          <w:szCs w:val="24"/>
          <w:rtl/>
        </w:rPr>
        <w:t>תרומת</w:t>
      </w:r>
      <w:r w:rsidRPr="00524C5A">
        <w:rPr>
          <w:rFonts w:ascii="Century" w:hAnsi="Century" w:cs="Miriam"/>
          <w:b/>
          <w:spacing w:val="0"/>
          <w:sz w:val="22"/>
          <w:szCs w:val="24"/>
          <w:rtl/>
        </w:rPr>
        <w:t xml:space="preserve"> </w:t>
      </w:r>
      <w:r w:rsidRPr="00524C5A">
        <w:rPr>
          <w:rFonts w:ascii="Century" w:hAnsi="Century" w:cs="Miriam" w:hint="eastAsia"/>
          <w:b/>
          <w:spacing w:val="0"/>
          <w:sz w:val="22"/>
          <w:szCs w:val="24"/>
          <w:rtl/>
        </w:rPr>
        <w:t>ביציות</w:t>
      </w:r>
      <w:r w:rsidRPr="00524C5A">
        <w:rPr>
          <w:rtl/>
        </w:rPr>
        <w:t>)</w:t>
      </w:r>
      <w:r>
        <w:rPr>
          <w:rFonts w:hint="cs"/>
          <w:rtl/>
        </w:rPr>
        <w:t>, אינו חוקתי. זאת, משום שההסדר מחריג מתחולתו גברים יחידים ובני זוג מאותו מין, תוך פגיעה בלתי מידתית בזכותם להורות ובזכותם לשוויון (פסקה 32 לחוות דעתי).</w:t>
      </w:r>
    </w:p>
    <w:p w:rsidR="00FD615E" w:rsidRDefault="00FD615E" w:rsidP="00FD615E">
      <w:pPr>
        <w:pStyle w:val="Ruller4"/>
        <w:numPr>
          <w:ilvl w:val="0"/>
          <w:numId w:val="0"/>
        </w:numPr>
        <w:rPr>
          <w:rtl/>
        </w:rPr>
      </w:pPr>
    </w:p>
    <w:p w:rsidR="00FD615E" w:rsidRDefault="00FD615E" w:rsidP="00FD615E">
      <w:pPr>
        <w:pStyle w:val="Ruller4"/>
        <w:numPr>
          <w:ilvl w:val="0"/>
          <w:numId w:val="0"/>
        </w:numPr>
        <w:rPr>
          <w:rtl/>
        </w:rPr>
      </w:pPr>
      <w:r>
        <w:rPr>
          <w:rtl/>
        </w:rPr>
        <w:tab/>
      </w:r>
      <w:r>
        <w:rPr>
          <w:rFonts w:hint="cs"/>
          <w:rtl/>
        </w:rPr>
        <w:t xml:space="preserve">בכל הנוגע לסעד, הוחלט, בדעת רוב, כי נוכח מורכבות הסדר הפונדקאות המצריך "הסדרה מפורטת, מדוקדקת והוליסטית המתכתבת עם מכלול החוקים העוסקים ברבייה ופריון" יינתן למחוקק פרק זמן של 12 חודשים לצורך קידום תיקון חקיקה ש"יבטא מחויבות לזכותם לשוויון ולהורות של גברים יחידים ובני זוג מאותו מין". כן נקבע, כי ככל שלא יבוצע במהלך תקופה זו תיקון חקיקה כאמור, יינתן על ידינו פסק דין משלים אשר במסגרתו נורה על מתן סעד אופרטיבי (פסקה 37 לחוות דעתי). השופט </w:t>
      </w:r>
      <w:r w:rsidRPr="00FC4766">
        <w:rPr>
          <w:rFonts w:ascii="Century" w:hAnsi="Century" w:cs="Miriam" w:hint="cs"/>
          <w:b/>
          <w:spacing w:val="0"/>
          <w:sz w:val="22"/>
          <w:szCs w:val="24"/>
          <w:rtl/>
        </w:rPr>
        <w:t>ע' פוגלמן</w:t>
      </w:r>
      <w:r>
        <w:rPr>
          <w:rFonts w:hint="cs"/>
          <w:rtl/>
        </w:rPr>
        <w:t xml:space="preserve">, לעומת זאת, סבר כי יש להורות על בטלות חלקיו המפלים של הסדר הפונדקאות כבר במסגרת פסק הדין החלקי, תוך השעיית הצהרת הבטלות לפרק זמן של 12 חודשים. </w:t>
      </w:r>
    </w:p>
    <w:p w:rsidR="00FD615E" w:rsidRDefault="00FD615E" w:rsidP="00FD615E">
      <w:pPr>
        <w:pStyle w:val="Ruller40"/>
        <w:rPr>
          <w:rtl/>
        </w:rPr>
      </w:pPr>
    </w:p>
    <w:p w:rsidR="00FD615E" w:rsidRDefault="00FD615E" w:rsidP="00FD615E">
      <w:pPr>
        <w:pStyle w:val="Ruller4"/>
        <w:rPr>
          <w:rtl/>
        </w:rPr>
      </w:pPr>
      <w:r w:rsidRPr="00FC4766">
        <w:rPr>
          <w:rFonts w:hint="cs"/>
          <w:rtl/>
        </w:rPr>
        <w:t>ביום 1.3.2021</w:t>
      </w:r>
      <w:r>
        <w:rPr>
          <w:rFonts w:hint="cs"/>
          <w:rtl/>
        </w:rPr>
        <w:t>,</w:t>
      </w:r>
      <w:r w:rsidRPr="00FC4766">
        <w:rPr>
          <w:rFonts w:hint="cs"/>
          <w:rtl/>
        </w:rPr>
        <w:t xml:space="preserve"> בחלוף </w:t>
      </w:r>
      <w:r>
        <w:rPr>
          <w:rFonts w:hint="cs"/>
          <w:rtl/>
        </w:rPr>
        <w:t>שנה</w:t>
      </w:r>
      <w:r w:rsidRPr="00FC4766">
        <w:rPr>
          <w:rFonts w:hint="cs"/>
          <w:rtl/>
        </w:rPr>
        <w:t xml:space="preserve"> ממועד מתן פסק הדין החלקי, ביקשה המשיבה 1</w:t>
      </w:r>
      <w:r>
        <w:rPr>
          <w:rFonts w:hint="cs"/>
          <w:rtl/>
        </w:rPr>
        <w:t xml:space="preserve">, הוועדה לאישור הסכמים לנשיאת עוברים (להלן גם: </w:t>
      </w:r>
      <w:r w:rsidRPr="00A37A7C">
        <w:rPr>
          <w:rFonts w:ascii="Century" w:hAnsi="Century" w:cs="Miriam" w:hint="eastAsia"/>
          <w:b/>
          <w:spacing w:val="0"/>
          <w:sz w:val="22"/>
          <w:szCs w:val="24"/>
          <w:rtl/>
        </w:rPr>
        <w:t>ועדת</w:t>
      </w:r>
      <w:r w:rsidRPr="00A37A7C">
        <w:rPr>
          <w:rFonts w:ascii="Century" w:hAnsi="Century" w:cs="Miriam"/>
          <w:b/>
          <w:spacing w:val="0"/>
          <w:sz w:val="22"/>
          <w:szCs w:val="24"/>
          <w:rtl/>
        </w:rPr>
        <w:t xml:space="preserve"> </w:t>
      </w:r>
      <w:r w:rsidRPr="00A37A7C">
        <w:rPr>
          <w:rFonts w:ascii="Century" w:hAnsi="Century" w:cs="Miriam" w:hint="eastAsia"/>
          <w:b/>
          <w:spacing w:val="0"/>
          <w:sz w:val="22"/>
          <w:szCs w:val="24"/>
          <w:rtl/>
        </w:rPr>
        <w:t>האישורים</w:t>
      </w:r>
      <w:r>
        <w:rPr>
          <w:rFonts w:hint="cs"/>
          <w:rtl/>
        </w:rPr>
        <w:t xml:space="preserve">), להאריך את </w:t>
      </w:r>
      <w:r w:rsidRPr="00FC4766">
        <w:rPr>
          <w:rFonts w:hint="cs"/>
          <w:rtl/>
        </w:rPr>
        <w:t>פרק הזמן שנק</w:t>
      </w:r>
      <w:r>
        <w:rPr>
          <w:rFonts w:hint="cs"/>
          <w:rtl/>
        </w:rPr>
        <w:t xml:space="preserve">צב </w:t>
      </w:r>
      <w:r w:rsidRPr="00FC4766">
        <w:rPr>
          <w:rFonts w:hint="cs"/>
          <w:rtl/>
        </w:rPr>
        <w:t>למתן פסק דין סופי בהליך עד ליום 1.12.2021</w:t>
      </w:r>
      <w:r>
        <w:rPr>
          <w:rFonts w:hint="cs"/>
          <w:rtl/>
        </w:rPr>
        <w:t>,</w:t>
      </w:r>
      <w:r w:rsidRPr="00FC4766">
        <w:rPr>
          <w:rFonts w:hint="cs"/>
          <w:rtl/>
        </w:rPr>
        <w:t xml:space="preserve"> </w:t>
      </w:r>
      <w:r>
        <w:rPr>
          <w:rFonts w:hint="cs"/>
          <w:rtl/>
        </w:rPr>
        <w:t>במטרה</w:t>
      </w:r>
      <w:r w:rsidRPr="00FC4766">
        <w:rPr>
          <w:rFonts w:hint="cs"/>
          <w:rtl/>
        </w:rPr>
        <w:t xml:space="preserve"> לאפשר </w:t>
      </w:r>
      <w:r w:rsidRPr="00FC4766">
        <w:rPr>
          <w:rFonts w:ascii="Arial TUR" w:hAnsi="Arial TUR" w:hint="cs"/>
          <w:rtl/>
        </w:rPr>
        <w:t>קידום פתרון חקיקתי שירפא את הפגמים החוקתיים שנפלו בהסדר הפונדקאות</w:t>
      </w:r>
      <w:r w:rsidRPr="00FC4766">
        <w:rPr>
          <w:rFonts w:hint="cs"/>
          <w:rtl/>
        </w:rPr>
        <w:t xml:space="preserve">. המשיבה 1, שלעמדתה הצטרפה גם הכנסת, ציינה בהקשר </w:t>
      </w:r>
      <w:r w:rsidRPr="00FC4766">
        <w:rPr>
          <w:rFonts w:hint="cs"/>
          <w:rtl/>
        </w:rPr>
        <w:lastRenderedPageBreak/>
        <w:t xml:space="preserve">זה כי משרד הבריאות נדרש להתמודד בשנה האחרונה עם התפשטות נגיף הקורונה ובנסיבות חריגות אלה לא עלה בידו להשלים את תיקוני החקיקה </w:t>
      </w:r>
      <w:r>
        <w:rPr>
          <w:rFonts w:hint="cs"/>
          <w:rtl/>
        </w:rPr>
        <w:t>הנדרשים, שהם סבוכים ומצריכים</w:t>
      </w:r>
      <w:r w:rsidRPr="00FC4766">
        <w:rPr>
          <w:rFonts w:hint="cs"/>
          <w:rtl/>
        </w:rPr>
        <w:t xml:space="preserve"> </w:t>
      </w:r>
      <w:r>
        <w:rPr>
          <w:rFonts w:hint="cs"/>
          <w:rtl/>
        </w:rPr>
        <w:t xml:space="preserve">שקלול של </w:t>
      </w:r>
      <w:r w:rsidRPr="00FC4766">
        <w:rPr>
          <w:rFonts w:hint="cs"/>
          <w:rtl/>
        </w:rPr>
        <w:t>כלל ההיבטים וההשלכות המעשיות הכרוכים בהרחבת הגישה לפונדקאות לאוכלוסיות נוספות.</w:t>
      </w:r>
      <w:r>
        <w:rPr>
          <w:rFonts w:hint="cs"/>
          <w:rtl/>
        </w:rPr>
        <w:t xml:space="preserve"> בהקשר זה צוין כי בתחילת חודש דצמבר 2020 התקיים דיון בין-משרדי בהשתתפות נציגי משרד הבריאות, משרד הרווחה, רשות האוכלוסין וההגירה והייעוץ המשפטי לממשלה בעניין יישום פסק הדין החלקי, ובו הוסכם על התנעת תהליך היוועצות עם צוות חשיבה בנוגע למתווה החקיקה המתאים. עוד</w:t>
      </w:r>
      <w:r w:rsidRPr="00FC4766">
        <w:rPr>
          <w:rFonts w:hint="cs"/>
          <w:rtl/>
        </w:rPr>
        <w:t xml:space="preserve"> נטען כי התפזרות הכנסת ה-23 ביום 23.12.2020 מהווה "שינוי נסיבות משטרי משמעותי" שתומך אף הוא בבקשת הארכה. </w:t>
      </w:r>
      <w:r>
        <w:rPr>
          <w:rFonts w:hint="cs"/>
          <w:rtl/>
        </w:rPr>
        <w:t xml:space="preserve">העותרים התנגדו לבקשת המשיבה 1 וסברו כי על בית המשפט להעניק סעד אפקטיבי שייכנס לתוקף באופן </w:t>
      </w:r>
      <w:proofErr w:type="spellStart"/>
      <w:r>
        <w:rPr>
          <w:rFonts w:hint="cs"/>
          <w:rtl/>
        </w:rPr>
        <w:t>מיידי</w:t>
      </w:r>
      <w:proofErr w:type="spellEnd"/>
      <w:r>
        <w:rPr>
          <w:rFonts w:hint="cs"/>
          <w:rtl/>
        </w:rPr>
        <w:t xml:space="preserve">, ולמצער </w:t>
      </w:r>
      <w:proofErr w:type="spellStart"/>
      <w:r>
        <w:rPr>
          <w:rFonts w:hint="cs"/>
          <w:rtl/>
        </w:rPr>
        <w:t>ליתן</w:t>
      </w:r>
      <w:proofErr w:type="spellEnd"/>
      <w:r>
        <w:rPr>
          <w:rFonts w:hint="cs"/>
          <w:rtl/>
        </w:rPr>
        <w:t xml:space="preserve"> פסק דין סופי אשר יקבע את מועד כניסת הסעד לתוקפו. </w:t>
      </w:r>
    </w:p>
    <w:p w:rsidR="00FD615E" w:rsidRDefault="00FD615E" w:rsidP="00FD615E">
      <w:pPr>
        <w:pStyle w:val="Ruller40"/>
        <w:rPr>
          <w:rtl/>
        </w:rPr>
      </w:pPr>
    </w:p>
    <w:p w:rsidR="00FD615E" w:rsidRPr="00C53D7F" w:rsidRDefault="00FD615E" w:rsidP="00FD615E">
      <w:pPr>
        <w:pStyle w:val="Ruller4"/>
        <w:rPr>
          <w:rtl/>
        </w:rPr>
      </w:pPr>
      <w:r>
        <w:rPr>
          <w:rFonts w:hint="cs"/>
          <w:rtl/>
        </w:rPr>
        <w:t xml:space="preserve">ביום 10.3.2021 הורינו למשיבות להגיש הודעת עדכון מטעמן עד יום 1.7.2021 ביחס להתקדמות תהליכי החקיקה. ביני לביני, נערכו בחירות לכנסת ה-24 והוקמה הממשלה ה-36. עתה מעדכנת המשיבה 1 כי נערכה ישיבה בראשות שר הבריאות הנכנס ביום 30.6.2021, ובעקבותיה הובהר כי "בעת הנוכחית אין היתכנות פוליטית מעשית לקידום הליכי חקיקה בסוגיה הנדונה". עוד צוין בהודעת המשיבה 1 כי ככל שבית המשפט יורה על מתן סעד אופרטיבי, מבקש שר הבריאות שתינתן תקופת התארגנות לצורך היערכות הגורמים הרלוונטיים לשם יישומו, באופן שייתן מענה הולם למכלול הסוגיות המורכבות שעל הפרק. לצד זאת, היועץ המשפטי לממשלה שב והדגיש כי עמדתו העקרונית היא שנוכח מורכבות הסוגיה ורגישותה, דרך המלך להסדרתה היא באמצעות קידום תיקון חקיקה. העותרים </w:t>
      </w:r>
      <w:proofErr w:type="spellStart"/>
      <w:r>
        <w:rPr>
          <w:rFonts w:hint="cs"/>
          <w:rtl/>
        </w:rPr>
        <w:t>מצידם</w:t>
      </w:r>
      <w:proofErr w:type="spellEnd"/>
      <w:r>
        <w:rPr>
          <w:rFonts w:hint="cs"/>
          <w:rtl/>
        </w:rPr>
        <w:t xml:space="preserve"> טוענים כי בשים לב לעמדת המשיבה 1, ברי כי בשלה העת למתן פסק דין סופי בעתירה. עוד מוסיפים העותרים כי בנסיבות העניין ובחלוף למעלה משנה מפסק הדין החלקי, אין מקום ליתן תקופת התארגנות נוספת בטרם ייכנס הסעד לתוקפו. </w:t>
      </w:r>
    </w:p>
    <w:p w:rsidR="00FD615E" w:rsidRDefault="00FD615E" w:rsidP="00FD615E">
      <w:pPr>
        <w:pStyle w:val="Ruller40"/>
        <w:rPr>
          <w:rtl/>
        </w:rPr>
      </w:pPr>
    </w:p>
    <w:p w:rsidR="00FD615E" w:rsidRDefault="00FD615E" w:rsidP="00FD615E">
      <w:pPr>
        <w:pStyle w:val="Ruller4"/>
      </w:pPr>
      <w:r>
        <w:rPr>
          <w:rFonts w:hint="cs"/>
          <w:rtl/>
        </w:rPr>
        <w:t xml:space="preserve">כפי שצוין בפסק הדין החלקי, בשל חשיבותו של הדיאלוג החוקתי בין רשויות השלטון ובשל המורכבות הכרוכה בשינוי הסדר הפונדקאות, מוטב היה לו נתן המחוקק דעתו לפגמים שנפלו בהסדר הקיים, תוך תיקון הוראות חוק ההסכמים וחוק תרומת ביציות בהתאם. במסגרת קידום תיקון </w:t>
      </w:r>
      <w:r>
        <w:rPr>
          <w:rFonts w:hint="cs"/>
          <w:rtl/>
        </w:rPr>
        <w:lastRenderedPageBreak/>
        <w:t xml:space="preserve">חקיקה כאמור ניתן היה לשקול באופן מקיף וסדור את ההיבטים שעליהם עמדה המשיבה 1 בהודעת העדכון מטעמה מיום 1.3.2021, ובכלל זה: הגנה על נשים פונדקאיות; צמצום הפגיעה בנשים הנזקקות לפונדקאית מסיבות רפואיות; הסדרה מקיפה של הליך קבלת תרומת ביצית; ושקילת אפשרויות דוגמת הגבלה על גובה התשלום לפונדקאית, הסדרת "מודל פונדקאות אלטרואיסטי" או הגבלת מספר הילדים שניתן להביא לעולם באמצעות פונדקאית. על רקע מורכבות זו אכן ניתנה למחוקק שהות של למעלה משנה כדי להידרש לסוגיות האמורות. ואולם, במהלך תקופה זו לא הייתה התקדמות של ממש בכל הנוגע לתיקוני החקיקה הנדרשים, ובינתיים נמשכת הפגיעה הקשה בזכותם לשוויון של גברים יחידים ובני זוג מאותו מין ובזכותם להורות </w:t>
      </w:r>
      <w:r>
        <w:rPr>
          <w:rtl/>
        </w:rPr>
        <w:t>–</w:t>
      </w:r>
      <w:r>
        <w:rPr>
          <w:rFonts w:hint="cs"/>
          <w:rtl/>
        </w:rPr>
        <w:t xml:space="preserve"> זכות אשר לגביה נ</w:t>
      </w:r>
      <w:r w:rsidR="005117D8">
        <w:rPr>
          <w:rFonts w:hint="cs"/>
          <w:rtl/>
        </w:rPr>
        <w:t>קבע זה מכבר כי היא מצויה "ביסוד-כל-היסודות, בתשתית-כל-</w:t>
      </w:r>
      <w:r>
        <w:rPr>
          <w:rFonts w:hint="cs"/>
          <w:rtl/>
        </w:rPr>
        <w:t>התשתיות, היא קיומו של המין האנושי, היא שאיפתו של האדם" (</w:t>
      </w:r>
      <w:r w:rsidRPr="00C02E1E">
        <w:rPr>
          <w:rFonts w:hint="eastAsia"/>
          <w:rtl/>
        </w:rPr>
        <w:t>בג</w:t>
      </w:r>
      <w:r w:rsidRPr="00C02E1E">
        <w:rPr>
          <w:rtl/>
        </w:rPr>
        <w:t>"</w:t>
      </w:r>
      <w:r w:rsidRPr="00C02E1E">
        <w:rPr>
          <w:rFonts w:hint="eastAsia"/>
          <w:rtl/>
        </w:rPr>
        <w:t>ץ</w:t>
      </w:r>
      <w:r w:rsidRPr="00C02E1E">
        <w:rPr>
          <w:rtl/>
        </w:rPr>
        <w:t xml:space="preserve"> 2458/01 </w:t>
      </w:r>
      <w:r w:rsidRPr="00C02E1E">
        <w:rPr>
          <w:rFonts w:ascii="Century" w:hAnsi="Century" w:cs="Miriam" w:hint="eastAsia"/>
          <w:b/>
          <w:spacing w:val="0"/>
          <w:sz w:val="22"/>
          <w:szCs w:val="24"/>
          <w:rtl/>
        </w:rPr>
        <w:t>משפחה</w:t>
      </w:r>
      <w:r w:rsidRPr="00C02E1E">
        <w:rPr>
          <w:rFonts w:ascii="Century" w:hAnsi="Century" w:cs="Miriam"/>
          <w:b/>
          <w:spacing w:val="0"/>
          <w:sz w:val="22"/>
          <w:szCs w:val="24"/>
          <w:rtl/>
        </w:rPr>
        <w:t xml:space="preserve"> </w:t>
      </w:r>
      <w:r w:rsidRPr="00C02E1E">
        <w:rPr>
          <w:rFonts w:ascii="Century" w:hAnsi="Century" w:cs="Miriam" w:hint="eastAsia"/>
          <w:b/>
          <w:spacing w:val="0"/>
          <w:sz w:val="22"/>
          <w:szCs w:val="24"/>
          <w:rtl/>
        </w:rPr>
        <w:t>חדשה</w:t>
      </w:r>
      <w:r w:rsidRPr="00C02E1E">
        <w:rPr>
          <w:rFonts w:ascii="Century" w:hAnsi="Century" w:cs="Miriam"/>
          <w:b/>
          <w:spacing w:val="0"/>
          <w:sz w:val="22"/>
          <w:szCs w:val="24"/>
          <w:rtl/>
        </w:rPr>
        <w:t xml:space="preserve"> </w:t>
      </w:r>
      <w:r w:rsidRPr="00C02E1E">
        <w:rPr>
          <w:rFonts w:ascii="Century" w:hAnsi="Century" w:cs="Miriam" w:hint="eastAsia"/>
          <w:b/>
          <w:spacing w:val="0"/>
          <w:sz w:val="22"/>
          <w:szCs w:val="24"/>
          <w:rtl/>
        </w:rPr>
        <w:t>נ</w:t>
      </w:r>
      <w:r w:rsidRPr="00C02E1E">
        <w:rPr>
          <w:rFonts w:ascii="Century" w:hAnsi="Century" w:cs="Miriam"/>
          <w:b/>
          <w:spacing w:val="0"/>
          <w:sz w:val="22"/>
          <w:szCs w:val="24"/>
          <w:rtl/>
        </w:rPr>
        <w:t xml:space="preserve">' </w:t>
      </w:r>
      <w:r w:rsidRPr="00C02E1E">
        <w:rPr>
          <w:rFonts w:ascii="Century" w:hAnsi="Century" w:cs="Miriam" w:hint="eastAsia"/>
          <w:b/>
          <w:spacing w:val="0"/>
          <w:sz w:val="22"/>
          <w:szCs w:val="24"/>
          <w:rtl/>
        </w:rPr>
        <w:t>הוועדה</w:t>
      </w:r>
      <w:r w:rsidRPr="00C02E1E">
        <w:rPr>
          <w:rFonts w:ascii="Century" w:hAnsi="Century" w:cs="Miriam"/>
          <w:b/>
          <w:spacing w:val="0"/>
          <w:sz w:val="22"/>
          <w:szCs w:val="24"/>
          <w:rtl/>
        </w:rPr>
        <w:t xml:space="preserve"> </w:t>
      </w:r>
      <w:r w:rsidRPr="00C02E1E">
        <w:rPr>
          <w:rFonts w:ascii="Century" w:hAnsi="Century" w:cs="Miriam" w:hint="eastAsia"/>
          <w:b/>
          <w:spacing w:val="0"/>
          <w:sz w:val="22"/>
          <w:szCs w:val="24"/>
          <w:rtl/>
        </w:rPr>
        <w:t>לאישור</w:t>
      </w:r>
      <w:r w:rsidRPr="00C02E1E">
        <w:rPr>
          <w:rFonts w:ascii="Century" w:hAnsi="Century" w:cs="Miriam"/>
          <w:b/>
          <w:spacing w:val="0"/>
          <w:sz w:val="22"/>
          <w:szCs w:val="24"/>
          <w:rtl/>
        </w:rPr>
        <w:t xml:space="preserve"> </w:t>
      </w:r>
      <w:r w:rsidRPr="00C02E1E">
        <w:rPr>
          <w:rFonts w:ascii="Century" w:hAnsi="Century" w:cs="Miriam" w:hint="eastAsia"/>
          <w:b/>
          <w:spacing w:val="0"/>
          <w:sz w:val="22"/>
          <w:szCs w:val="24"/>
          <w:rtl/>
        </w:rPr>
        <w:t>הסכמים</w:t>
      </w:r>
      <w:r w:rsidRPr="00C02E1E">
        <w:rPr>
          <w:rFonts w:ascii="Century" w:hAnsi="Century" w:cs="Miriam"/>
          <w:b/>
          <w:spacing w:val="0"/>
          <w:sz w:val="22"/>
          <w:szCs w:val="24"/>
          <w:rtl/>
        </w:rPr>
        <w:t xml:space="preserve"> </w:t>
      </w:r>
      <w:r w:rsidRPr="00C02E1E">
        <w:rPr>
          <w:rFonts w:ascii="Century" w:hAnsi="Century" w:cs="Miriam" w:hint="eastAsia"/>
          <w:b/>
          <w:spacing w:val="0"/>
          <w:sz w:val="22"/>
          <w:szCs w:val="24"/>
          <w:rtl/>
        </w:rPr>
        <w:t>לנשיאת</w:t>
      </w:r>
      <w:r w:rsidRPr="00C02E1E">
        <w:rPr>
          <w:rFonts w:ascii="Century" w:hAnsi="Century" w:cs="Miriam"/>
          <w:b/>
          <w:spacing w:val="0"/>
          <w:sz w:val="22"/>
          <w:szCs w:val="24"/>
          <w:rtl/>
        </w:rPr>
        <w:t xml:space="preserve"> </w:t>
      </w:r>
      <w:r w:rsidRPr="00C02E1E">
        <w:rPr>
          <w:rFonts w:ascii="Century" w:hAnsi="Century" w:cs="Miriam" w:hint="eastAsia"/>
          <w:b/>
          <w:spacing w:val="0"/>
          <w:sz w:val="22"/>
          <w:szCs w:val="24"/>
          <w:rtl/>
        </w:rPr>
        <w:t>עוברים</w:t>
      </w:r>
      <w:r w:rsidRPr="00C02E1E">
        <w:rPr>
          <w:rtl/>
        </w:rPr>
        <w:t xml:space="preserve">, </w:t>
      </w:r>
      <w:r w:rsidRPr="00C02E1E">
        <w:rPr>
          <w:rFonts w:hint="eastAsia"/>
          <w:rtl/>
        </w:rPr>
        <w:t>פ</w:t>
      </w:r>
      <w:r w:rsidRPr="00C02E1E">
        <w:rPr>
          <w:rtl/>
        </w:rPr>
        <w:t>"</w:t>
      </w:r>
      <w:r w:rsidRPr="00C02E1E">
        <w:rPr>
          <w:rFonts w:hint="eastAsia"/>
          <w:rtl/>
        </w:rPr>
        <w:t>ד</w:t>
      </w:r>
      <w:r w:rsidRPr="00C02E1E">
        <w:rPr>
          <w:rtl/>
        </w:rPr>
        <w:t xml:space="preserve"> </w:t>
      </w:r>
      <w:r w:rsidRPr="00C02E1E">
        <w:rPr>
          <w:rFonts w:hint="eastAsia"/>
          <w:rtl/>
        </w:rPr>
        <w:t>נז</w:t>
      </w:r>
      <w:r w:rsidRPr="00C02E1E">
        <w:rPr>
          <w:rtl/>
        </w:rPr>
        <w:t>(1) 419</w:t>
      </w:r>
      <w:r>
        <w:rPr>
          <w:rFonts w:hint="cs"/>
          <w:rtl/>
        </w:rPr>
        <w:t>, 447</w:t>
      </w:r>
      <w:r w:rsidRPr="00C02E1E">
        <w:rPr>
          <w:rtl/>
        </w:rPr>
        <w:t xml:space="preserve"> (2002)</w:t>
      </w:r>
      <w:r>
        <w:rPr>
          <w:rFonts w:hint="cs"/>
          <w:rtl/>
        </w:rPr>
        <w:t xml:space="preserve">). לא למותר להזכיר כי כבר בשנת 2010 הגישו העותרים 2-1 עתירה נגד </w:t>
      </w:r>
      <w:r>
        <w:rPr>
          <w:rFonts w:ascii="FrankRuehl" w:hint="cs"/>
          <w:color w:val="000000"/>
          <w:sz w:val="28"/>
          <w:shd w:val="clear" w:color="auto" w:fill="FFFFFF"/>
          <w:rtl/>
        </w:rPr>
        <w:t>החלטתה של המשיבה 1 שלא לאשר להם הליך פונדקאות</w:t>
      </w:r>
      <w:r>
        <w:rPr>
          <w:rFonts w:hint="cs"/>
          <w:rtl/>
        </w:rPr>
        <w:t xml:space="preserve"> </w:t>
      </w:r>
      <w:r>
        <w:rPr>
          <w:rtl/>
        </w:rPr>
        <w:t>–</w:t>
      </w:r>
      <w:r>
        <w:rPr>
          <w:rFonts w:hint="cs"/>
          <w:rtl/>
        </w:rPr>
        <w:t xml:space="preserve"> עתירה שנמחקה </w:t>
      </w:r>
      <w:r>
        <w:rPr>
          <w:rFonts w:ascii="FrankRuehl" w:hint="cs"/>
          <w:color w:val="000000"/>
          <w:sz w:val="28"/>
          <w:rtl/>
        </w:rPr>
        <w:t>בעקבות הקמת ועדה ציבורית בראשותו של פרופ' שלמה מור יוסף לנושא ההסדרה החקיקתית של הפריון וההולדה</w:t>
      </w:r>
      <w:r>
        <w:rPr>
          <w:rFonts w:hint="cs"/>
          <w:rtl/>
        </w:rPr>
        <w:t>. העתירה שלפנינו הוגשה בשנת 2015. היא תלויה ועומדת למעלה משש שנים, ובמסגרת הדיון בה ניתנו פסקי דין חלקיים בשנת 2017 ובשנת 2020. בנסיבות אלה, לא ניתן להשלים עם המשך הפגיעה הקשה בזכויות אדם הנגרמת כתוצאה מהסדר הפונדקאות הקיים, ו"משהופרה זכות חוקתית יש להכיר בסעד חוקתי הנגזר ממנה" (</w:t>
      </w:r>
      <w:r w:rsidRPr="002E5060">
        <w:rPr>
          <w:rFonts w:hint="eastAsia"/>
          <w:rtl/>
        </w:rPr>
        <w:t>בג</w:t>
      </w:r>
      <w:r w:rsidRPr="002E5060">
        <w:rPr>
          <w:rtl/>
        </w:rPr>
        <w:t>"</w:t>
      </w:r>
      <w:r w:rsidRPr="002E5060">
        <w:rPr>
          <w:rFonts w:hint="eastAsia"/>
          <w:rtl/>
        </w:rPr>
        <w:t>ץ</w:t>
      </w:r>
      <w:r w:rsidRPr="002E5060">
        <w:rPr>
          <w:rtl/>
        </w:rPr>
        <w:t xml:space="preserve"> 1661</w:t>
      </w:r>
      <w:r>
        <w:rPr>
          <w:rFonts w:hint="cs"/>
          <w:rtl/>
        </w:rPr>
        <w:t>/</w:t>
      </w:r>
      <w:r w:rsidRPr="002E5060">
        <w:rPr>
          <w:rtl/>
        </w:rPr>
        <w:t xml:space="preserve">05 </w:t>
      </w:r>
      <w:r w:rsidRPr="002E5060">
        <w:rPr>
          <w:rFonts w:ascii="Century" w:hAnsi="Century" w:cs="Miriam" w:hint="eastAsia"/>
          <w:b/>
          <w:spacing w:val="0"/>
          <w:sz w:val="22"/>
          <w:szCs w:val="24"/>
          <w:rtl/>
        </w:rPr>
        <w:t>המועצה</w:t>
      </w:r>
      <w:r w:rsidRPr="002E5060">
        <w:rPr>
          <w:rFonts w:ascii="Century" w:hAnsi="Century" w:cs="Miriam"/>
          <w:b/>
          <w:spacing w:val="0"/>
          <w:sz w:val="22"/>
          <w:szCs w:val="24"/>
          <w:rtl/>
        </w:rPr>
        <w:t xml:space="preserve"> </w:t>
      </w:r>
      <w:r w:rsidRPr="002E5060">
        <w:rPr>
          <w:rFonts w:ascii="Century" w:hAnsi="Century" w:cs="Miriam" w:hint="eastAsia"/>
          <w:b/>
          <w:spacing w:val="0"/>
          <w:sz w:val="22"/>
          <w:szCs w:val="24"/>
          <w:rtl/>
        </w:rPr>
        <w:t>האזורית</w:t>
      </w:r>
      <w:r w:rsidRPr="002E5060">
        <w:rPr>
          <w:rFonts w:ascii="Century" w:hAnsi="Century" w:cs="Miriam"/>
          <w:b/>
          <w:spacing w:val="0"/>
          <w:sz w:val="22"/>
          <w:szCs w:val="24"/>
          <w:rtl/>
        </w:rPr>
        <w:t xml:space="preserve"> </w:t>
      </w:r>
      <w:r w:rsidRPr="002E5060">
        <w:rPr>
          <w:rFonts w:ascii="Century" w:hAnsi="Century" w:cs="Miriam" w:hint="eastAsia"/>
          <w:b/>
          <w:spacing w:val="0"/>
          <w:sz w:val="22"/>
          <w:szCs w:val="24"/>
          <w:rtl/>
        </w:rPr>
        <w:t>חוף</w:t>
      </w:r>
      <w:r w:rsidRPr="002E5060">
        <w:rPr>
          <w:rFonts w:ascii="Century" w:hAnsi="Century" w:cs="Miriam"/>
          <w:b/>
          <w:spacing w:val="0"/>
          <w:sz w:val="22"/>
          <w:szCs w:val="24"/>
          <w:rtl/>
        </w:rPr>
        <w:t xml:space="preserve"> </w:t>
      </w:r>
      <w:r w:rsidRPr="002E5060">
        <w:rPr>
          <w:rFonts w:ascii="Century" w:hAnsi="Century" w:cs="Miriam" w:hint="eastAsia"/>
          <w:b/>
          <w:spacing w:val="0"/>
          <w:sz w:val="22"/>
          <w:szCs w:val="24"/>
          <w:rtl/>
        </w:rPr>
        <w:t>עזה</w:t>
      </w:r>
      <w:r w:rsidRPr="002E5060">
        <w:rPr>
          <w:rFonts w:ascii="Century" w:hAnsi="Century" w:cs="Miriam"/>
          <w:b/>
          <w:spacing w:val="0"/>
          <w:sz w:val="22"/>
          <w:szCs w:val="24"/>
          <w:rtl/>
        </w:rPr>
        <w:t xml:space="preserve"> </w:t>
      </w:r>
      <w:r w:rsidRPr="002E5060">
        <w:rPr>
          <w:rFonts w:ascii="Century" w:hAnsi="Century" w:cs="Miriam" w:hint="eastAsia"/>
          <w:b/>
          <w:spacing w:val="0"/>
          <w:sz w:val="22"/>
          <w:szCs w:val="24"/>
          <w:rtl/>
        </w:rPr>
        <w:t>נ</w:t>
      </w:r>
      <w:r w:rsidRPr="002E5060">
        <w:rPr>
          <w:rFonts w:ascii="Century" w:hAnsi="Century" w:cs="Miriam"/>
          <w:b/>
          <w:spacing w:val="0"/>
          <w:sz w:val="22"/>
          <w:szCs w:val="24"/>
          <w:rtl/>
        </w:rPr>
        <w:t xml:space="preserve">' </w:t>
      </w:r>
      <w:r w:rsidRPr="002E5060">
        <w:rPr>
          <w:rFonts w:ascii="Century" w:hAnsi="Century" w:cs="Miriam" w:hint="eastAsia"/>
          <w:b/>
          <w:spacing w:val="0"/>
          <w:sz w:val="22"/>
          <w:szCs w:val="24"/>
          <w:rtl/>
        </w:rPr>
        <w:t>כנסת</w:t>
      </w:r>
      <w:r w:rsidRPr="002E5060">
        <w:rPr>
          <w:rFonts w:ascii="Century" w:hAnsi="Century" w:cs="Miriam"/>
          <w:b/>
          <w:spacing w:val="0"/>
          <w:sz w:val="22"/>
          <w:szCs w:val="24"/>
          <w:rtl/>
        </w:rPr>
        <w:t xml:space="preserve"> </w:t>
      </w:r>
      <w:r w:rsidRPr="002E5060">
        <w:rPr>
          <w:rFonts w:ascii="Century" w:hAnsi="Century" w:cs="Miriam" w:hint="eastAsia"/>
          <w:b/>
          <w:spacing w:val="0"/>
          <w:sz w:val="22"/>
          <w:szCs w:val="24"/>
          <w:rtl/>
        </w:rPr>
        <w:t>ישראל</w:t>
      </w:r>
      <w:r w:rsidRPr="002E5060">
        <w:rPr>
          <w:rtl/>
        </w:rPr>
        <w:t xml:space="preserve">, </w:t>
      </w:r>
      <w:r w:rsidRPr="002E5060">
        <w:rPr>
          <w:rFonts w:hint="eastAsia"/>
          <w:rtl/>
        </w:rPr>
        <w:t>פ</w:t>
      </w:r>
      <w:r w:rsidRPr="002E5060">
        <w:rPr>
          <w:rtl/>
        </w:rPr>
        <w:t>"</w:t>
      </w:r>
      <w:r w:rsidRPr="002E5060">
        <w:rPr>
          <w:rFonts w:hint="eastAsia"/>
          <w:rtl/>
        </w:rPr>
        <w:t>ד</w:t>
      </w:r>
      <w:r w:rsidRPr="002E5060">
        <w:rPr>
          <w:rtl/>
        </w:rPr>
        <w:t xml:space="preserve"> </w:t>
      </w:r>
      <w:r w:rsidRPr="002E5060">
        <w:rPr>
          <w:rFonts w:hint="eastAsia"/>
          <w:rtl/>
        </w:rPr>
        <w:t>נט</w:t>
      </w:r>
      <w:r w:rsidRPr="002E5060">
        <w:rPr>
          <w:rtl/>
        </w:rPr>
        <w:t>(2) 481</w:t>
      </w:r>
      <w:r>
        <w:rPr>
          <w:rFonts w:hint="cs"/>
          <w:rtl/>
        </w:rPr>
        <w:t xml:space="preserve">, 590 (2005)). </w:t>
      </w:r>
    </w:p>
    <w:p w:rsidR="00FD615E" w:rsidRDefault="00FD615E" w:rsidP="00FD615E">
      <w:pPr>
        <w:pStyle w:val="Ruller4"/>
        <w:numPr>
          <w:ilvl w:val="0"/>
          <w:numId w:val="0"/>
        </w:numPr>
        <w:rPr>
          <w:rtl/>
        </w:rPr>
      </w:pPr>
    </w:p>
    <w:p w:rsidR="00FD615E" w:rsidRDefault="00FD615E" w:rsidP="00FD615E">
      <w:pPr>
        <w:pStyle w:val="Ruller4"/>
        <w:numPr>
          <w:ilvl w:val="0"/>
          <w:numId w:val="0"/>
        </w:numPr>
        <w:rPr>
          <w:rtl/>
        </w:rPr>
      </w:pPr>
      <w:r>
        <w:rPr>
          <w:rtl/>
        </w:rPr>
        <w:tab/>
      </w:r>
      <w:proofErr w:type="spellStart"/>
      <w:r>
        <w:rPr>
          <w:rFonts w:hint="cs"/>
          <w:rtl/>
        </w:rPr>
        <w:t>לכשהובהר</w:t>
      </w:r>
      <w:proofErr w:type="spellEnd"/>
      <w:r>
        <w:rPr>
          <w:rFonts w:hint="cs"/>
          <w:rtl/>
        </w:rPr>
        <w:t xml:space="preserve"> בהודעת המדינה מיום 30.6.2021 כי משרד הבריאות שותף לעמדה שבהסדר הקיים נפלו פגמים אך בשל "חוסר היתכנות פוליטית" לא ניתן לקדם פתרון חקיקתי מתאים בעת הזו </w:t>
      </w:r>
      <w:r>
        <w:rPr>
          <w:rtl/>
        </w:rPr>
        <w:t>–</w:t>
      </w:r>
      <w:r>
        <w:rPr>
          <w:rFonts w:hint="cs"/>
          <w:rtl/>
        </w:rPr>
        <w:t xml:space="preserve"> יש להעניק סעד אופרטיבי לעותרים. </w:t>
      </w:r>
    </w:p>
    <w:p w:rsidR="00FD615E" w:rsidRDefault="00FD615E" w:rsidP="00FD615E">
      <w:pPr>
        <w:pStyle w:val="Ruller40"/>
        <w:rPr>
          <w:rtl/>
        </w:rPr>
      </w:pPr>
    </w:p>
    <w:p w:rsidR="00FD615E" w:rsidRDefault="00FD615E" w:rsidP="00F0406F">
      <w:pPr>
        <w:pStyle w:val="Ruller4"/>
        <w:rPr>
          <w:rtl/>
        </w:rPr>
      </w:pPr>
      <w:r>
        <w:rPr>
          <w:rFonts w:hint="cs"/>
          <w:rtl/>
        </w:rPr>
        <w:t xml:space="preserve">בפסק הדין החלקי עמדתי על הקשיים הכרוכים במתן הסעדים החוקתיים שנתבקשו על ידי העותרים (פסקאות 37-35 לחוות דעתי). עם זאת, לנוכח הנסיבות החריגות שתוארו לעיל; הפגיעה הקשה הנגרמת בשל כך בליבת זכויות אדם; </w:t>
      </w:r>
      <w:proofErr w:type="spellStart"/>
      <w:r>
        <w:rPr>
          <w:rFonts w:hint="cs"/>
          <w:rtl/>
        </w:rPr>
        <w:t>והעקרון</w:t>
      </w:r>
      <w:proofErr w:type="spellEnd"/>
      <w:r>
        <w:rPr>
          <w:rFonts w:hint="cs"/>
          <w:rtl/>
        </w:rPr>
        <w:t xml:space="preserve"> לפיו "יש לשאוף למציאות שבה קשיים נקודתיים נענים </w:t>
      </w:r>
      <w:proofErr w:type="spellStart"/>
      <w:r>
        <w:rPr>
          <w:rFonts w:hint="cs"/>
          <w:rtl/>
        </w:rPr>
        <w:t>בסעדים</w:t>
      </w:r>
      <w:proofErr w:type="spellEnd"/>
      <w:r>
        <w:rPr>
          <w:rFonts w:hint="cs"/>
          <w:rtl/>
        </w:rPr>
        <w:t xml:space="preserve"> נקודתיים, תוך שמירת המסגרת הכוללת של החוק ככל הניתן" (</w:t>
      </w:r>
      <w:r w:rsidRPr="00FB3C06">
        <w:rPr>
          <w:rFonts w:hint="eastAsia"/>
          <w:rtl/>
        </w:rPr>
        <w:t>בג</w:t>
      </w:r>
      <w:r w:rsidRPr="00FB3C06">
        <w:rPr>
          <w:rtl/>
        </w:rPr>
        <w:t>"</w:t>
      </w:r>
      <w:r>
        <w:rPr>
          <w:rFonts w:hint="cs"/>
          <w:rtl/>
        </w:rPr>
        <w:t>ץ</w:t>
      </w:r>
      <w:r w:rsidRPr="00FB3C06">
        <w:rPr>
          <w:rtl/>
        </w:rPr>
        <w:t xml:space="preserve"> </w:t>
      </w:r>
      <w:r w:rsidRPr="00FB3C06">
        <w:rPr>
          <w:rtl/>
        </w:rPr>
        <w:lastRenderedPageBreak/>
        <w:t xml:space="preserve">7385/13 </w:t>
      </w:r>
      <w:r w:rsidRPr="00FB3C06">
        <w:rPr>
          <w:rFonts w:ascii="Century" w:hAnsi="Century" w:cs="Miriam" w:hint="eastAsia"/>
          <w:b/>
          <w:spacing w:val="0"/>
          <w:sz w:val="22"/>
          <w:szCs w:val="24"/>
          <w:rtl/>
        </w:rPr>
        <w:t>איתן</w:t>
      </w:r>
      <w:r w:rsidRPr="00FB3C06">
        <w:rPr>
          <w:rFonts w:ascii="Century" w:hAnsi="Century" w:cs="Miriam"/>
          <w:b/>
          <w:spacing w:val="0"/>
          <w:sz w:val="22"/>
          <w:szCs w:val="24"/>
          <w:rtl/>
        </w:rPr>
        <w:t xml:space="preserve"> – </w:t>
      </w:r>
      <w:r w:rsidRPr="00FB3C06">
        <w:rPr>
          <w:rFonts w:ascii="Century" w:hAnsi="Century" w:cs="Miriam" w:hint="eastAsia"/>
          <w:b/>
          <w:spacing w:val="0"/>
          <w:sz w:val="22"/>
          <w:szCs w:val="24"/>
          <w:rtl/>
        </w:rPr>
        <w:t>מדיניות</w:t>
      </w:r>
      <w:r w:rsidRPr="00FB3C06">
        <w:rPr>
          <w:rFonts w:ascii="Century" w:hAnsi="Century" w:cs="Miriam"/>
          <w:b/>
          <w:spacing w:val="0"/>
          <w:sz w:val="22"/>
          <w:szCs w:val="24"/>
          <w:rtl/>
        </w:rPr>
        <w:t xml:space="preserve"> </w:t>
      </w:r>
      <w:r w:rsidRPr="00FB3C06">
        <w:rPr>
          <w:rFonts w:ascii="Century" w:hAnsi="Century" w:cs="Miriam" w:hint="eastAsia"/>
          <w:b/>
          <w:spacing w:val="0"/>
          <w:sz w:val="22"/>
          <w:szCs w:val="24"/>
          <w:rtl/>
        </w:rPr>
        <w:t>הגירה</w:t>
      </w:r>
      <w:r w:rsidRPr="00FB3C06">
        <w:rPr>
          <w:rFonts w:ascii="Century" w:hAnsi="Century" w:cs="Miriam"/>
          <w:b/>
          <w:spacing w:val="0"/>
          <w:sz w:val="22"/>
          <w:szCs w:val="24"/>
          <w:rtl/>
        </w:rPr>
        <w:t xml:space="preserve"> </w:t>
      </w:r>
      <w:r w:rsidRPr="00FB3C06">
        <w:rPr>
          <w:rFonts w:ascii="Century" w:hAnsi="Century" w:cs="Miriam" w:hint="eastAsia"/>
          <w:b/>
          <w:spacing w:val="0"/>
          <w:sz w:val="22"/>
          <w:szCs w:val="24"/>
          <w:rtl/>
        </w:rPr>
        <w:t>ישראלית</w:t>
      </w:r>
      <w:r w:rsidRPr="00FB3C06">
        <w:rPr>
          <w:rFonts w:ascii="Century" w:hAnsi="Century" w:cs="Miriam"/>
          <w:b/>
          <w:spacing w:val="0"/>
          <w:sz w:val="22"/>
          <w:szCs w:val="24"/>
          <w:rtl/>
        </w:rPr>
        <w:t xml:space="preserve"> </w:t>
      </w:r>
      <w:r w:rsidRPr="00FB3C06">
        <w:rPr>
          <w:rFonts w:ascii="Century" w:hAnsi="Century" w:cs="Miriam" w:hint="eastAsia"/>
          <w:b/>
          <w:spacing w:val="0"/>
          <w:sz w:val="22"/>
          <w:szCs w:val="24"/>
          <w:rtl/>
        </w:rPr>
        <w:t>נ</w:t>
      </w:r>
      <w:r w:rsidRPr="00FB3C06">
        <w:rPr>
          <w:rFonts w:ascii="Century" w:hAnsi="Century" w:cs="Miriam"/>
          <w:b/>
          <w:spacing w:val="0"/>
          <w:sz w:val="22"/>
          <w:szCs w:val="24"/>
          <w:rtl/>
        </w:rPr>
        <w:t xml:space="preserve">' </w:t>
      </w:r>
      <w:r w:rsidRPr="00FB3C06">
        <w:rPr>
          <w:rFonts w:ascii="Century" w:hAnsi="Century" w:cs="Miriam" w:hint="eastAsia"/>
          <w:b/>
          <w:spacing w:val="0"/>
          <w:sz w:val="22"/>
          <w:szCs w:val="24"/>
          <w:rtl/>
        </w:rPr>
        <w:t>ממשלת</w:t>
      </w:r>
      <w:r w:rsidRPr="00FB3C06">
        <w:rPr>
          <w:rFonts w:ascii="Century" w:hAnsi="Century" w:cs="Miriam"/>
          <w:b/>
          <w:spacing w:val="0"/>
          <w:sz w:val="22"/>
          <w:szCs w:val="24"/>
          <w:rtl/>
        </w:rPr>
        <w:t xml:space="preserve"> </w:t>
      </w:r>
      <w:r w:rsidRPr="00FB3C06">
        <w:rPr>
          <w:rFonts w:ascii="Century" w:hAnsi="Century" w:cs="Miriam" w:hint="eastAsia"/>
          <w:b/>
          <w:spacing w:val="0"/>
          <w:sz w:val="22"/>
          <w:szCs w:val="24"/>
          <w:rtl/>
        </w:rPr>
        <w:t>ישראל</w:t>
      </w:r>
      <w:r>
        <w:rPr>
          <w:rFonts w:hint="cs"/>
          <w:rtl/>
        </w:rPr>
        <w:t xml:space="preserve">, פסקה 13 לחוות דעתו של השופט </w:t>
      </w:r>
      <w:r w:rsidRPr="00FB3C06">
        <w:rPr>
          <w:rFonts w:ascii="Century" w:hAnsi="Century" w:cs="Miriam" w:hint="cs"/>
          <w:b/>
          <w:spacing w:val="0"/>
          <w:sz w:val="22"/>
          <w:szCs w:val="24"/>
          <w:rtl/>
        </w:rPr>
        <w:t>נ' הנדל</w:t>
      </w:r>
      <w:r>
        <w:rPr>
          <w:rFonts w:hint="cs"/>
          <w:rtl/>
        </w:rPr>
        <w:t xml:space="preserve"> </w:t>
      </w:r>
      <w:r w:rsidRPr="00FB3C06">
        <w:rPr>
          <w:rtl/>
        </w:rPr>
        <w:t>(22.</w:t>
      </w:r>
      <w:r>
        <w:rPr>
          <w:rFonts w:hint="cs"/>
          <w:rtl/>
        </w:rPr>
        <w:t>9</w:t>
      </w:r>
      <w:r w:rsidRPr="00FB3C06">
        <w:rPr>
          <w:rtl/>
        </w:rPr>
        <w:t>.2014)</w:t>
      </w:r>
      <w:r>
        <w:rPr>
          <w:rFonts w:hint="cs"/>
          <w:rtl/>
        </w:rPr>
        <w:t xml:space="preserve">, אציע לחבריי כי נורה על ביטול ההגדרות אשר מדירות באופן גורף מהסדר הפונדקאות גברים יחידים ובני זוג מאותו מין </w:t>
      </w:r>
      <w:r>
        <w:rPr>
          <w:rtl/>
        </w:rPr>
        <w:t>–</w:t>
      </w:r>
      <w:r>
        <w:rPr>
          <w:rFonts w:hint="cs"/>
          <w:rtl/>
        </w:rPr>
        <w:t xml:space="preserve"> קרי, הגדרת "</w:t>
      </w:r>
      <w:r w:rsidRPr="00FD7060">
        <w:rPr>
          <w:rFonts w:ascii="Century" w:hAnsi="Century" w:cs="Miriam" w:hint="cs"/>
          <w:b/>
          <w:spacing w:val="0"/>
          <w:sz w:val="22"/>
          <w:szCs w:val="24"/>
          <w:rtl/>
        </w:rPr>
        <w:t>הורים מיועדים</w:t>
      </w:r>
      <w:r>
        <w:rPr>
          <w:rFonts w:hint="cs"/>
          <w:rtl/>
        </w:rPr>
        <w:t>", "</w:t>
      </w:r>
      <w:r w:rsidRPr="00FD7060">
        <w:rPr>
          <w:rFonts w:ascii="Century" w:hAnsi="Century" w:cs="Miriam" w:hint="cs"/>
          <w:b/>
          <w:spacing w:val="0"/>
          <w:sz w:val="22"/>
          <w:szCs w:val="24"/>
          <w:rtl/>
        </w:rPr>
        <w:t>הורים מיועדים שהם בני זוג</w:t>
      </w:r>
      <w:r>
        <w:rPr>
          <w:rFonts w:hint="cs"/>
          <w:rtl/>
        </w:rPr>
        <w:t>" ו"</w:t>
      </w:r>
      <w:r w:rsidRPr="00FD7060">
        <w:rPr>
          <w:rFonts w:ascii="Century" w:hAnsi="Century" w:cs="Miriam" w:hint="cs"/>
          <w:b/>
          <w:spacing w:val="0"/>
          <w:sz w:val="22"/>
          <w:szCs w:val="24"/>
          <w:rtl/>
        </w:rPr>
        <w:t>אם מיועדת יחידה</w:t>
      </w:r>
      <w:r>
        <w:rPr>
          <w:rFonts w:hint="cs"/>
          <w:rtl/>
        </w:rPr>
        <w:t xml:space="preserve">" שבסעיף 1 לחוק ההסכמים (להלן: </w:t>
      </w:r>
      <w:r w:rsidRPr="0002177F">
        <w:rPr>
          <w:rFonts w:ascii="Century" w:hAnsi="Century" w:cs="Miriam" w:hint="cs"/>
          <w:b/>
          <w:spacing w:val="0"/>
          <w:sz w:val="22"/>
          <w:szCs w:val="24"/>
          <w:rtl/>
        </w:rPr>
        <w:t>ההגדרות</w:t>
      </w:r>
      <w:r>
        <w:rPr>
          <w:rFonts w:hint="cs"/>
          <w:rtl/>
        </w:rPr>
        <w:t xml:space="preserve">) </w:t>
      </w:r>
      <w:r>
        <w:rPr>
          <w:rtl/>
        </w:rPr>
        <w:t>–</w:t>
      </w:r>
      <w:r>
        <w:rPr>
          <w:rFonts w:hint="cs"/>
          <w:rtl/>
        </w:rPr>
        <w:t xml:space="preserve"> תוך הימנעות מפגיעה נוספת במרקם החקיקה (ראו:</w:t>
      </w:r>
      <w:r w:rsidRPr="00131611">
        <w:rPr>
          <w:rFonts w:hint="cs"/>
          <w:rtl/>
        </w:rPr>
        <w:t xml:space="preserve"> </w:t>
      </w:r>
      <w:r>
        <w:rPr>
          <w:rtl/>
        </w:rPr>
        <w:t xml:space="preserve">בג"ץ </w:t>
      </w:r>
      <w:r>
        <w:rPr>
          <w:rFonts w:hint="cs"/>
          <w:rtl/>
        </w:rPr>
        <w:t>7052/03</w:t>
      </w:r>
      <w:r>
        <w:rPr>
          <w:rtl/>
        </w:rPr>
        <w:t xml:space="preserve"> </w:t>
      </w:r>
      <w:r w:rsidRPr="00E93658">
        <w:rPr>
          <w:rFonts w:ascii="Century" w:hAnsi="Century" w:cs="Miriam"/>
          <w:b/>
          <w:spacing w:val="0"/>
          <w:sz w:val="22"/>
          <w:szCs w:val="24"/>
          <w:rtl/>
        </w:rPr>
        <w:t>עדאלה – המרכז המשפטי לזכויות המיעוט הערבי בישראל נ' שר הפנים</w:t>
      </w:r>
      <w:r>
        <w:rPr>
          <w:rtl/>
        </w:rPr>
        <w:t xml:space="preserve">, פ"ד </w:t>
      </w:r>
      <w:r>
        <w:rPr>
          <w:rFonts w:hint="cs"/>
          <w:rtl/>
        </w:rPr>
        <w:t xml:space="preserve">סא(2) 202, 350 (2006); </w:t>
      </w:r>
      <w:r w:rsidRPr="001218D1">
        <w:rPr>
          <w:rFonts w:hint="eastAsia"/>
          <w:rtl/>
        </w:rPr>
        <w:t>אהרן</w:t>
      </w:r>
      <w:r w:rsidRPr="001218D1">
        <w:rPr>
          <w:rtl/>
        </w:rPr>
        <w:t xml:space="preserve"> </w:t>
      </w:r>
      <w:r w:rsidRPr="001218D1">
        <w:rPr>
          <w:rFonts w:hint="eastAsia"/>
          <w:rtl/>
        </w:rPr>
        <w:t>ברק</w:t>
      </w:r>
      <w:r w:rsidRPr="001218D1">
        <w:rPr>
          <w:rtl/>
        </w:rPr>
        <w:t xml:space="preserve"> </w:t>
      </w:r>
      <w:r>
        <w:rPr>
          <w:rFonts w:hint="cs"/>
          <w:rtl/>
        </w:rPr>
        <w:t>"</w:t>
      </w:r>
      <w:r w:rsidRPr="001218D1">
        <w:rPr>
          <w:rFonts w:hint="eastAsia"/>
          <w:rtl/>
        </w:rPr>
        <w:t>על</w:t>
      </w:r>
      <w:r w:rsidRPr="001218D1">
        <w:rPr>
          <w:rtl/>
        </w:rPr>
        <w:t xml:space="preserve"> </w:t>
      </w:r>
      <w:r w:rsidRPr="001218D1">
        <w:rPr>
          <w:rFonts w:hint="eastAsia"/>
          <w:rtl/>
        </w:rPr>
        <w:t>תורת</w:t>
      </w:r>
      <w:r w:rsidRPr="001218D1">
        <w:rPr>
          <w:rtl/>
        </w:rPr>
        <w:t xml:space="preserve"> </w:t>
      </w:r>
      <w:r w:rsidRPr="001218D1">
        <w:rPr>
          <w:rFonts w:hint="eastAsia"/>
          <w:rtl/>
        </w:rPr>
        <w:t>הסעדים</w:t>
      </w:r>
      <w:r w:rsidRPr="001218D1">
        <w:rPr>
          <w:rtl/>
        </w:rPr>
        <w:t xml:space="preserve"> </w:t>
      </w:r>
      <w:r w:rsidRPr="001218D1">
        <w:rPr>
          <w:rFonts w:hint="eastAsia"/>
          <w:rtl/>
        </w:rPr>
        <w:t>החוקתיים</w:t>
      </w:r>
      <w:r>
        <w:rPr>
          <w:rFonts w:hint="cs"/>
          <w:rtl/>
        </w:rPr>
        <w:t>"</w:t>
      </w:r>
      <w:r w:rsidRPr="001218D1">
        <w:rPr>
          <w:rtl/>
        </w:rPr>
        <w:t xml:space="preserve"> </w:t>
      </w:r>
      <w:r w:rsidRPr="001218D1">
        <w:rPr>
          <w:rFonts w:ascii="Century" w:hAnsi="Century" w:cs="Miriam" w:hint="eastAsia"/>
          <w:b/>
          <w:spacing w:val="0"/>
          <w:sz w:val="22"/>
          <w:szCs w:val="24"/>
          <w:rtl/>
        </w:rPr>
        <w:t>משפט</w:t>
      </w:r>
      <w:r w:rsidRPr="001218D1">
        <w:rPr>
          <w:rFonts w:ascii="Century" w:hAnsi="Century" w:cs="Miriam"/>
          <w:b/>
          <w:spacing w:val="0"/>
          <w:sz w:val="22"/>
          <w:szCs w:val="24"/>
          <w:rtl/>
        </w:rPr>
        <w:t xml:space="preserve"> </w:t>
      </w:r>
      <w:r w:rsidRPr="001218D1">
        <w:rPr>
          <w:rFonts w:ascii="Century" w:hAnsi="Century" w:cs="Miriam" w:hint="eastAsia"/>
          <w:b/>
          <w:spacing w:val="0"/>
          <w:sz w:val="22"/>
          <w:szCs w:val="24"/>
          <w:rtl/>
        </w:rPr>
        <w:t>ועסקים</w:t>
      </w:r>
      <w:r w:rsidRPr="001218D1">
        <w:rPr>
          <w:rtl/>
        </w:rPr>
        <w:t xml:space="preserve"> </w:t>
      </w:r>
      <w:r w:rsidRPr="001218D1">
        <w:rPr>
          <w:rFonts w:hint="eastAsia"/>
          <w:rtl/>
        </w:rPr>
        <w:t>כ</w:t>
      </w:r>
      <w:r w:rsidRPr="001218D1">
        <w:rPr>
          <w:rtl/>
        </w:rPr>
        <w:t xml:space="preserve"> 301, </w:t>
      </w:r>
      <w:r>
        <w:rPr>
          <w:rFonts w:hint="cs"/>
          <w:rtl/>
        </w:rPr>
        <w:t>351-350</w:t>
      </w:r>
      <w:r w:rsidRPr="001218D1">
        <w:rPr>
          <w:rtl/>
        </w:rPr>
        <w:t xml:space="preserve"> (2017)</w:t>
      </w:r>
      <w:r>
        <w:rPr>
          <w:rFonts w:hint="cs"/>
          <w:rtl/>
        </w:rPr>
        <w:t xml:space="preserve"> (להלן: </w:t>
      </w:r>
      <w:r w:rsidRPr="00EA7399">
        <w:rPr>
          <w:rFonts w:ascii="Century" w:hAnsi="Century" w:cs="Miriam" w:hint="cs"/>
          <w:b/>
          <w:spacing w:val="0"/>
          <w:sz w:val="22"/>
          <w:szCs w:val="24"/>
          <w:rtl/>
        </w:rPr>
        <w:t>סעדים חוקתיים</w:t>
      </w:r>
      <w:r>
        <w:rPr>
          <w:rFonts w:hint="cs"/>
          <w:rtl/>
        </w:rPr>
        <w:t xml:space="preserve">)). לשיטתי וכפי שאפרט להלן, לאחר ביטולן של הגדרות אלו, ניתן לפרש את יתר הוראות חוק ההסכמים וחוק תרומת ביציות בהתאם לאמות המידה שהותוו בפסק הדין החלקי ולחזקה לפיה כל דבר חקיקה מבקש לקדם זכויות אדם ולא לפגוע בהן </w:t>
      </w:r>
      <w:r w:rsidR="005117D8">
        <w:rPr>
          <w:rFonts w:hint="cs"/>
          <w:rtl/>
        </w:rPr>
        <w:t>(</w:t>
      </w:r>
      <w:r w:rsidR="005117D8" w:rsidRPr="0049656D">
        <w:rPr>
          <w:rFonts w:hint="cs"/>
          <w:rtl/>
        </w:rPr>
        <w:t xml:space="preserve">ע"א 524/88 </w:t>
      </w:r>
      <w:r w:rsidR="005117D8" w:rsidRPr="0049656D">
        <w:rPr>
          <w:rFonts w:cs="Miriam" w:hint="cs"/>
          <w:sz w:val="22"/>
          <w:szCs w:val="24"/>
          <w:rtl/>
        </w:rPr>
        <w:t xml:space="preserve">"פרי העמק" </w:t>
      </w:r>
      <w:r w:rsidR="005117D8" w:rsidRPr="0049656D">
        <w:rPr>
          <w:rFonts w:cs="Miriam"/>
          <w:sz w:val="22"/>
          <w:szCs w:val="24"/>
          <w:rtl/>
        </w:rPr>
        <w:t>–</w:t>
      </w:r>
      <w:r w:rsidR="005117D8" w:rsidRPr="0049656D">
        <w:rPr>
          <w:rFonts w:cs="Miriam" w:hint="cs"/>
          <w:sz w:val="22"/>
          <w:szCs w:val="24"/>
          <w:rtl/>
        </w:rPr>
        <w:t xml:space="preserve"> אגודה חקלאית שיתופית בע"מ נ' שדה יעקב</w:t>
      </w:r>
      <w:r w:rsidR="005117D8">
        <w:rPr>
          <w:rFonts w:cs="Miriam" w:hint="cs"/>
          <w:sz w:val="22"/>
          <w:szCs w:val="24"/>
          <w:rtl/>
        </w:rPr>
        <w:t xml:space="preserve"> </w:t>
      </w:r>
      <w:r w:rsidR="005117D8">
        <w:rPr>
          <w:rFonts w:cs="Miriam"/>
          <w:sz w:val="22"/>
          <w:szCs w:val="24"/>
          <w:rtl/>
        </w:rPr>
        <w:t>–</w:t>
      </w:r>
      <w:r w:rsidR="005117D8">
        <w:rPr>
          <w:rFonts w:cs="Miriam" w:hint="cs"/>
          <w:sz w:val="22"/>
          <w:szCs w:val="24"/>
          <w:rtl/>
        </w:rPr>
        <w:t xml:space="preserve"> מושב עובדים של הפועל המזרחי להתיישבות חקלאית שיתופית בע"מ</w:t>
      </w:r>
      <w:r w:rsidR="005117D8">
        <w:rPr>
          <w:rFonts w:hint="cs"/>
          <w:rtl/>
        </w:rPr>
        <w:t xml:space="preserve">, פ"ד מה(4) 529, 561 (1991); בג"ץ 7803/06 </w:t>
      </w:r>
      <w:r w:rsidR="005117D8" w:rsidRPr="00AD3C8B">
        <w:rPr>
          <w:rFonts w:cs="Miriam" w:hint="cs"/>
          <w:sz w:val="22"/>
          <w:szCs w:val="24"/>
          <w:rtl/>
        </w:rPr>
        <w:t>אבו ערפה נ' שר הפנים</w:t>
      </w:r>
      <w:r w:rsidR="005117D8" w:rsidRPr="00994571">
        <w:rPr>
          <w:rFonts w:ascii="Century" w:hAnsi="Century" w:hint="cs"/>
          <w:sz w:val="22"/>
          <w:rtl/>
        </w:rPr>
        <w:t xml:space="preserve">, פסקה 46 לפסק דינו של השופט </w:t>
      </w:r>
      <w:r w:rsidR="005117D8" w:rsidRPr="00B616E1">
        <w:rPr>
          <w:rFonts w:ascii="Century" w:hAnsi="Century" w:cs="Miriam" w:hint="eastAsia"/>
          <w:sz w:val="20"/>
          <w:szCs w:val="24"/>
          <w:rtl/>
        </w:rPr>
        <w:t>ע</w:t>
      </w:r>
      <w:r w:rsidR="005117D8" w:rsidRPr="00B616E1">
        <w:rPr>
          <w:rFonts w:ascii="Century" w:hAnsi="Century" w:cs="Miriam"/>
          <w:sz w:val="20"/>
          <w:szCs w:val="24"/>
          <w:rtl/>
        </w:rPr>
        <w:t>'</w:t>
      </w:r>
      <w:r w:rsidR="005117D8">
        <w:rPr>
          <w:rFonts w:ascii="Century" w:hAnsi="Century" w:hint="cs"/>
          <w:sz w:val="22"/>
          <w:rtl/>
        </w:rPr>
        <w:t xml:space="preserve"> </w:t>
      </w:r>
      <w:r w:rsidR="005117D8" w:rsidRPr="00994571">
        <w:rPr>
          <w:rFonts w:ascii="Century" w:hAnsi="Century" w:cs="Miriam" w:hint="cs"/>
          <w:b/>
          <w:spacing w:val="0"/>
          <w:sz w:val="22"/>
          <w:szCs w:val="24"/>
          <w:rtl/>
        </w:rPr>
        <w:t>פוגלמן</w:t>
      </w:r>
      <w:r w:rsidR="005117D8" w:rsidRPr="00994571">
        <w:rPr>
          <w:rFonts w:hint="cs"/>
          <w:sz w:val="22"/>
          <w:szCs w:val="24"/>
          <w:rtl/>
        </w:rPr>
        <w:t xml:space="preserve"> </w:t>
      </w:r>
      <w:r w:rsidR="005117D8">
        <w:rPr>
          <w:rFonts w:hint="cs"/>
          <w:rtl/>
        </w:rPr>
        <w:t xml:space="preserve">(13.9.2017); להצעה לסעד דומה, המשלב בין בטלות חלקים מן החוק לפרשנות יתר הוראותיו, ראו: </w:t>
      </w:r>
      <w:r w:rsidR="00B946BF">
        <w:rPr>
          <w:rFonts w:hint="cs"/>
          <w:rtl/>
        </w:rPr>
        <w:t xml:space="preserve">בג"ץ 5239/11 </w:t>
      </w:r>
      <w:r w:rsidR="00B946BF" w:rsidRPr="00B616E1">
        <w:rPr>
          <w:rFonts w:cs="Miriam" w:hint="eastAsia"/>
          <w:sz w:val="22"/>
          <w:szCs w:val="24"/>
          <w:rtl/>
        </w:rPr>
        <w:t>אבנרי</w:t>
      </w:r>
      <w:r w:rsidR="00B946BF" w:rsidRPr="00B616E1">
        <w:rPr>
          <w:rFonts w:cs="Miriam"/>
          <w:sz w:val="22"/>
          <w:szCs w:val="24"/>
          <w:rtl/>
        </w:rPr>
        <w:t xml:space="preserve"> </w:t>
      </w:r>
      <w:r w:rsidR="00B946BF" w:rsidRPr="00B616E1">
        <w:rPr>
          <w:rFonts w:cs="Miriam" w:hint="eastAsia"/>
          <w:sz w:val="22"/>
          <w:szCs w:val="24"/>
          <w:rtl/>
        </w:rPr>
        <w:t>נ</w:t>
      </w:r>
      <w:r w:rsidR="00B946BF" w:rsidRPr="00B616E1">
        <w:rPr>
          <w:rFonts w:cs="Miriam"/>
          <w:sz w:val="22"/>
          <w:szCs w:val="24"/>
          <w:rtl/>
        </w:rPr>
        <w:t xml:space="preserve">' </w:t>
      </w:r>
      <w:r w:rsidR="00B946BF" w:rsidRPr="00B616E1">
        <w:rPr>
          <w:rFonts w:cs="Miriam" w:hint="eastAsia"/>
          <w:sz w:val="22"/>
          <w:szCs w:val="24"/>
          <w:rtl/>
        </w:rPr>
        <w:t>הכנסת</w:t>
      </w:r>
      <w:r w:rsidR="005117D8" w:rsidRPr="00246FEC">
        <w:rPr>
          <w:rFonts w:ascii="Century" w:hAnsi="Century" w:hint="cs"/>
          <w:sz w:val="22"/>
          <w:rtl/>
        </w:rPr>
        <w:t>,</w:t>
      </w:r>
      <w:r w:rsidR="005117D8">
        <w:t xml:space="preserve"> </w:t>
      </w:r>
      <w:r w:rsidR="005117D8">
        <w:rPr>
          <w:rFonts w:hint="cs"/>
          <w:rtl/>
        </w:rPr>
        <w:t xml:space="preserve">פסקאות 15-8 לחוות דעתו של השופט </w:t>
      </w:r>
      <w:r w:rsidR="005117D8" w:rsidRPr="00246FEC">
        <w:rPr>
          <w:rFonts w:ascii="Century" w:hAnsi="Century" w:cs="Miriam" w:hint="cs"/>
          <w:b/>
          <w:spacing w:val="0"/>
          <w:sz w:val="22"/>
          <w:szCs w:val="24"/>
          <w:rtl/>
        </w:rPr>
        <w:t>פוגלמן</w:t>
      </w:r>
      <w:r w:rsidR="00B946BF">
        <w:rPr>
          <w:rFonts w:hint="cs"/>
          <w:rtl/>
        </w:rPr>
        <w:t xml:space="preserve"> </w:t>
      </w:r>
      <w:r w:rsidR="00B946BF" w:rsidRPr="003A4B3A">
        <w:rPr>
          <w:rFonts w:hint="cs"/>
          <w:rtl/>
        </w:rPr>
        <w:t>(15.4.2015)</w:t>
      </w:r>
      <w:r w:rsidR="005117D8">
        <w:rPr>
          <w:rFonts w:hint="cs"/>
          <w:rtl/>
        </w:rPr>
        <w:t>).</w:t>
      </w:r>
    </w:p>
    <w:p w:rsidR="00FD615E" w:rsidRDefault="00FD615E" w:rsidP="00FD615E">
      <w:pPr>
        <w:pStyle w:val="Ruller40"/>
        <w:rPr>
          <w:rtl/>
        </w:rPr>
      </w:pPr>
    </w:p>
    <w:p w:rsidR="00FD615E" w:rsidRDefault="00FD615E" w:rsidP="0078112A">
      <w:pPr>
        <w:pStyle w:val="Ruller4"/>
        <w:rPr>
          <w:rtl/>
        </w:rPr>
      </w:pPr>
      <w:r>
        <w:rPr>
          <w:rFonts w:hint="cs"/>
          <w:rtl/>
        </w:rPr>
        <w:t xml:space="preserve">בהתאם לאמור בפסק הדין החלקי ולעקרון השוויון, ניתן להצביע על שתי אמות מידה עיקריות שלפיהן יש לפרש את הוראות הסדר הפונדקאות: </w:t>
      </w:r>
      <w:r w:rsidRPr="00FC368D">
        <w:rPr>
          <w:rFonts w:ascii="Century" w:hAnsi="Century" w:cs="Miriam" w:hint="cs"/>
          <w:b/>
          <w:spacing w:val="0"/>
          <w:sz w:val="22"/>
          <w:szCs w:val="24"/>
          <w:rtl/>
        </w:rPr>
        <w:t>הראשונה</w:t>
      </w:r>
      <w:r>
        <w:rPr>
          <w:rFonts w:hint="cs"/>
          <w:rtl/>
        </w:rPr>
        <w:t xml:space="preserve"> </w:t>
      </w:r>
      <w:r>
        <w:rPr>
          <w:rtl/>
        </w:rPr>
        <w:t>–</w:t>
      </w:r>
      <w:r>
        <w:rPr>
          <w:rFonts w:hint="cs"/>
          <w:rtl/>
        </w:rPr>
        <w:t xml:space="preserve"> יש להימנע מפרשנות העומדת בסתירה לזכות לשוויון ולזכות להורות, אשר תחסום את גישתם של גברים יחידים ובני זוג מאותו מין להסדר; ו</w:t>
      </w:r>
      <w:r w:rsidRPr="00FC368D">
        <w:rPr>
          <w:rFonts w:ascii="Century" w:hAnsi="Century" w:cs="Miriam" w:hint="cs"/>
          <w:b/>
          <w:spacing w:val="0"/>
          <w:sz w:val="22"/>
          <w:szCs w:val="24"/>
          <w:rtl/>
        </w:rPr>
        <w:t>השנייה</w:t>
      </w:r>
      <w:r>
        <w:rPr>
          <w:rFonts w:hint="cs"/>
          <w:rtl/>
        </w:rPr>
        <w:t xml:space="preserve"> </w:t>
      </w:r>
      <w:r>
        <w:rPr>
          <w:rtl/>
        </w:rPr>
        <w:t>–</w:t>
      </w:r>
      <w:r>
        <w:rPr>
          <w:rFonts w:hint="cs"/>
          <w:rtl/>
        </w:rPr>
        <w:t xml:space="preserve"> יש להחיל את הוראות ההסדר, במידת האפשר ובשינויים המחויבים, באופן שוויוני. כפי שנקבע בפסק הדין החלקי, קבוצת השוויון הרלוונטית בכל הנוגע להסדר הפונדקאות היא "כל מי שסובל ממגבלת פריון אשר על פי סוגה וטיבה ניתנת לפתרון רק על ידי פניה להליך פונדקאות" ובהיבט זה, כך צוין, שורר "שוויון מלא בין אישה הסובלת מבעיה רפואית [...] לבין גבר" (פסקה 7 לחוות דעתו של השופט </w:t>
      </w:r>
      <w:r w:rsidRPr="00FD6D27">
        <w:rPr>
          <w:rFonts w:ascii="Century" w:hAnsi="Century" w:cs="Miriam" w:hint="cs"/>
          <w:b/>
          <w:spacing w:val="0"/>
          <w:sz w:val="22"/>
          <w:szCs w:val="24"/>
          <w:rtl/>
        </w:rPr>
        <w:t>פוגלמן</w:t>
      </w:r>
      <w:r>
        <w:rPr>
          <w:rFonts w:hint="cs"/>
          <w:rtl/>
        </w:rPr>
        <w:t xml:space="preserve">; ראו גם: פסקה 5 לחוות דעתו של השופט </w:t>
      </w:r>
      <w:r w:rsidRPr="00FD6D27">
        <w:rPr>
          <w:rFonts w:ascii="Century" w:hAnsi="Century" w:cs="Miriam" w:hint="cs"/>
          <w:b/>
          <w:spacing w:val="0"/>
          <w:sz w:val="22"/>
          <w:szCs w:val="24"/>
          <w:rtl/>
        </w:rPr>
        <w:t>הנדל</w:t>
      </w:r>
      <w:r>
        <w:rPr>
          <w:rFonts w:hint="cs"/>
          <w:rtl/>
        </w:rPr>
        <w:t xml:space="preserve">). לפיכך, ככל שבעתיד תעלנה שאלות ביחס לפרשנות הראויה של איזו מהוראות הסדר הפונדקאות, הגורמים הרלוונטיים יידרשו לפרש את ההוראה בהתאם לאמות מידה פרשניות אלה. כך למשל, את הביטוי "הורים מיועדים" המופיע בחוק ההסכמים ניתן לפרש ככזה המתייחס לבני זוג הטרוסקסואליים, בני זוג מאותו מין, אישה יחידה וגבר יחיד, ואת הביטוי "נתרמת" שבחוק </w:t>
      </w:r>
      <w:r>
        <w:rPr>
          <w:rFonts w:hint="cs"/>
          <w:rtl/>
        </w:rPr>
        <w:lastRenderedPageBreak/>
        <w:t xml:space="preserve">תרומת ביציות ניתן לפרש ככזה המתייחס גם ל"נתרם" (ראו: סעיפים 6-5 לחוק הפרשנות, התשמ"א-1981). באופן דומה, את הדרישות הרפואיות בחוק ההסכמים (סעיף 4(א)(2) לחוק) ובחוק תרומת ביציות (סעיף 11 וסעיף 13(ה)(2) לחוק) יש לקרוא ככאלה שאינן חלות ביחס לגברים יחידים וזוגות גברים, שכן כל פרשנות אחרת תחסום באופן גורף את גישתם של אלה להסדר הפונדקאות; ולהבדיל </w:t>
      </w:r>
      <w:r>
        <w:rPr>
          <w:rtl/>
        </w:rPr>
        <w:t>–</w:t>
      </w:r>
      <w:r>
        <w:rPr>
          <w:rFonts w:hint="cs"/>
          <w:rtl/>
        </w:rPr>
        <w:t xml:space="preserve"> את הוראת סעיף 5(א)(1ג)(ב) לחוק ההסכמים, </w:t>
      </w:r>
      <w:r w:rsidR="0078112A">
        <w:rPr>
          <w:rFonts w:hint="cs"/>
          <w:rtl/>
        </w:rPr>
        <w:t>המגבילה</w:t>
      </w:r>
      <w:r>
        <w:rPr>
          <w:rFonts w:hint="cs"/>
          <w:rtl/>
        </w:rPr>
        <w:t xml:space="preserve"> את הגישה להסדר הפונדקאות למי שיש לו שני ילדים לכל היותר, יש לפרש ככזו החלה לא רק על "אם מיועדת יחידה", כלשון הסעיף, אלא גם על גברים יחידים. </w:t>
      </w:r>
    </w:p>
    <w:p w:rsidR="00FD615E" w:rsidRDefault="00FD615E" w:rsidP="00FD615E">
      <w:pPr>
        <w:pStyle w:val="Ruller4"/>
        <w:numPr>
          <w:ilvl w:val="0"/>
          <w:numId w:val="0"/>
        </w:numPr>
        <w:rPr>
          <w:rtl/>
        </w:rPr>
      </w:pPr>
    </w:p>
    <w:p w:rsidR="00FD615E" w:rsidRPr="00AA573C" w:rsidRDefault="00FD615E" w:rsidP="00B21EAC">
      <w:pPr>
        <w:pStyle w:val="Ruller4"/>
        <w:rPr>
          <w:rtl/>
        </w:rPr>
      </w:pPr>
      <w:r>
        <w:rPr>
          <w:rFonts w:hint="cs"/>
          <w:rtl/>
        </w:rPr>
        <w:t>יודגש כי ביטול ההגדרות מותיר את מכלול ההסדרים הקבועים בחוק ההסכמים ובחוק תרומת ביציות על כנם, ו</w:t>
      </w:r>
      <w:r w:rsidRPr="00FC4766">
        <w:rPr>
          <w:rFonts w:hint="cs"/>
          <w:rtl/>
        </w:rPr>
        <w:t>הרחבת הגישה ל</w:t>
      </w:r>
      <w:r>
        <w:rPr>
          <w:rFonts w:hint="cs"/>
          <w:rtl/>
        </w:rPr>
        <w:t>הסדר ה</w:t>
      </w:r>
      <w:r w:rsidRPr="00FC4766">
        <w:rPr>
          <w:rFonts w:hint="cs"/>
          <w:rtl/>
        </w:rPr>
        <w:t>פונדקאות לאוכלוסיות נוספות</w:t>
      </w:r>
      <w:r>
        <w:rPr>
          <w:rFonts w:hint="cs"/>
          <w:rtl/>
        </w:rPr>
        <w:t xml:space="preserve"> כמפורט לעיל, איננה שוללת את התכלית של </w:t>
      </w:r>
      <w:proofErr w:type="spellStart"/>
      <w:r>
        <w:rPr>
          <w:rFonts w:hint="cs"/>
          <w:rtl/>
        </w:rPr>
        <w:t>אסדרת</w:t>
      </w:r>
      <w:proofErr w:type="spellEnd"/>
      <w:r>
        <w:rPr>
          <w:rFonts w:hint="cs"/>
          <w:rtl/>
        </w:rPr>
        <w:t xml:space="preserve"> הליך הפונדקאות בישראל ("</w:t>
      </w:r>
      <w:proofErr w:type="spellStart"/>
      <w:r>
        <w:rPr>
          <w:rFonts w:hint="cs"/>
          <w:rtl/>
        </w:rPr>
        <w:t>לאסדר</w:t>
      </w:r>
      <w:proofErr w:type="spellEnd"/>
      <w:r>
        <w:rPr>
          <w:rFonts w:hint="cs"/>
          <w:rtl/>
        </w:rPr>
        <w:t xml:space="preserve"> את קיומו של הליך הפונדקאות בישראל על מנת להגשים את הזכות להפוך להורה, תוך שמירה על כבודן ושלומן של הנשים הנושאות, </w:t>
      </w:r>
      <w:proofErr w:type="spellStart"/>
      <w:r>
        <w:rPr>
          <w:rFonts w:hint="cs"/>
          <w:rtl/>
        </w:rPr>
        <w:t>ואסדרת</w:t>
      </w:r>
      <w:proofErr w:type="spellEnd"/>
      <w:r>
        <w:rPr>
          <w:rFonts w:hint="cs"/>
          <w:rtl/>
        </w:rPr>
        <w:t xml:space="preserve"> מעמד היילוד וזיקתו להורים המיועדים") או את תכליתו הרפואית ("</w:t>
      </w:r>
      <w:r w:rsidR="00B21EAC">
        <w:rPr>
          <w:rFonts w:hint="cs"/>
          <w:rtl/>
        </w:rPr>
        <w:t>לתת</w:t>
      </w:r>
      <w:r>
        <w:rPr>
          <w:rFonts w:hint="cs"/>
          <w:rtl/>
        </w:rPr>
        <w:t xml:space="preserve"> מענה ל</w:t>
      </w:r>
      <w:r w:rsidR="00B21EAC">
        <w:rPr>
          <w:rFonts w:hint="cs"/>
          <w:rtl/>
        </w:rPr>
        <w:t xml:space="preserve">מקרים של </w:t>
      </w:r>
      <w:r>
        <w:rPr>
          <w:rFonts w:hint="cs"/>
          <w:rtl/>
        </w:rPr>
        <w:t>נשים שיש להן בעיה רפואית אשר בגינה הן אינן יכולות להתעבר או לשאת הריון"; פסקה 23 לחוות דעתי בפסק הדין החלקי). לפיכך, במקרה דנן ניתן לומר כי "החלק התקף עומד על רגליו הוא וממשיך להגשים את התכלית החקיקתית, ולו באופן חלקי" (</w:t>
      </w:r>
      <w:r>
        <w:rPr>
          <w:rtl/>
        </w:rPr>
        <w:t xml:space="preserve">בג"ץ </w:t>
      </w:r>
      <w:r>
        <w:rPr>
          <w:rFonts w:hint="cs"/>
          <w:rtl/>
        </w:rPr>
        <w:t>1715/97</w:t>
      </w:r>
      <w:r>
        <w:rPr>
          <w:rtl/>
        </w:rPr>
        <w:t xml:space="preserve"> </w:t>
      </w:r>
      <w:r w:rsidRPr="000F5C33">
        <w:rPr>
          <w:rFonts w:ascii="Century" w:hAnsi="Century" w:cs="Miriam"/>
          <w:b/>
          <w:spacing w:val="0"/>
          <w:sz w:val="22"/>
          <w:szCs w:val="24"/>
          <w:rtl/>
        </w:rPr>
        <w:t>לשכת מנהלי ההשקעות בישראל נ' שר האוצר</w:t>
      </w:r>
      <w:r>
        <w:rPr>
          <w:rtl/>
        </w:rPr>
        <w:t xml:space="preserve">, פ"ד </w:t>
      </w:r>
      <w:r>
        <w:rPr>
          <w:rFonts w:hint="cs"/>
          <w:rtl/>
        </w:rPr>
        <w:t xml:space="preserve">נא(4) </w:t>
      </w:r>
      <w:r>
        <w:rPr>
          <w:rtl/>
        </w:rPr>
        <w:t>367</w:t>
      </w:r>
      <w:r>
        <w:rPr>
          <w:rFonts w:hint="cs"/>
          <w:rtl/>
        </w:rPr>
        <w:t>,</w:t>
      </w:r>
      <w:r>
        <w:rPr>
          <w:rtl/>
        </w:rPr>
        <w:t xml:space="preserve"> </w:t>
      </w:r>
      <w:r>
        <w:rPr>
          <w:rFonts w:hint="cs"/>
          <w:rtl/>
        </w:rPr>
        <w:t>414 (1997)).</w:t>
      </w:r>
    </w:p>
    <w:p w:rsidR="00FD615E" w:rsidRDefault="00FD615E" w:rsidP="00FD615E">
      <w:pPr>
        <w:pStyle w:val="Ruller40"/>
        <w:rPr>
          <w:rtl/>
        </w:rPr>
      </w:pPr>
    </w:p>
    <w:p w:rsidR="00FD615E" w:rsidRDefault="00FD615E" w:rsidP="00FD615E">
      <w:pPr>
        <w:pStyle w:val="Ruller4"/>
      </w:pPr>
      <w:r>
        <w:rPr>
          <w:rFonts w:hint="cs"/>
          <w:rtl/>
        </w:rPr>
        <w:t xml:space="preserve">אין לכחד, עם זאת, כי מחיקת ההגדרות בחוק ההסכמים מרחיבה את הגישה להסדר הפונדקאות באופן שמשאיר "בידי ועדת האישורים שיקול דעת רחב ביותר </w:t>
      </w:r>
      <w:r>
        <w:rPr>
          <w:rtl/>
        </w:rPr>
        <w:t>–</w:t>
      </w:r>
      <w:r>
        <w:rPr>
          <w:rFonts w:hint="cs"/>
          <w:rtl/>
        </w:rPr>
        <w:t xml:space="preserve"> שלא לומר, מוחלט </w:t>
      </w:r>
      <w:r>
        <w:rPr>
          <w:rtl/>
        </w:rPr>
        <w:t>–</w:t>
      </w:r>
      <w:r>
        <w:rPr>
          <w:rFonts w:hint="cs"/>
          <w:rtl/>
        </w:rPr>
        <w:t xml:space="preserve"> בכל הנוגע לאישור בקשות אף שוועדה זו נועדה מיסודה להיות ועדה יישומית [...]" (פסקה 36 לחוות דעתי</w:t>
      </w:r>
      <w:r w:rsidR="00B21EAC">
        <w:rPr>
          <w:rFonts w:hint="cs"/>
          <w:rtl/>
        </w:rPr>
        <w:t xml:space="preserve"> בפסק הדין החלקי</w:t>
      </w:r>
      <w:r>
        <w:rPr>
          <w:rFonts w:hint="cs"/>
          <w:rtl/>
        </w:rPr>
        <w:t xml:space="preserve">). קושי זה מצביע על הצורך בהתקנת תקנות וגיבוש הנחיות מתאימות שיקבעו את הקריטריונים ואת תהליכי העבודה שעל פיהם תפעל ועדת האישורים (על הצורך בתקנות והנחיות לצורך צמצום שיקול הדעת של גופים מנהליים ראו: </w:t>
      </w:r>
      <w:proofErr w:type="spellStart"/>
      <w:r w:rsidRPr="003C6EAB">
        <w:rPr>
          <w:rFonts w:ascii="FrankRuehl" w:hint="cs"/>
          <w:color w:val="000000"/>
          <w:sz w:val="28"/>
          <w:rtl/>
        </w:rPr>
        <w:t>רע"פ</w:t>
      </w:r>
      <w:proofErr w:type="spellEnd"/>
      <w:r w:rsidRPr="003C6EAB">
        <w:rPr>
          <w:rFonts w:ascii="FrankRuehl" w:hint="cs"/>
          <w:color w:val="000000"/>
          <w:sz w:val="28"/>
          <w:rtl/>
        </w:rPr>
        <w:t xml:space="preserve"> 1057/99‏ </w:t>
      </w:r>
      <w:proofErr w:type="spellStart"/>
      <w:r w:rsidRPr="003C6EAB">
        <w:rPr>
          <w:rFonts w:ascii="Century" w:hAnsi="Century" w:cs="Miriam" w:hint="cs"/>
          <w:b/>
          <w:spacing w:val="0"/>
          <w:sz w:val="22"/>
          <w:szCs w:val="24"/>
          <w:rtl/>
        </w:rPr>
        <w:t>יוחייב</w:t>
      </w:r>
      <w:proofErr w:type="spellEnd"/>
      <w:r w:rsidRPr="003C6EAB">
        <w:rPr>
          <w:rFonts w:ascii="Century" w:hAnsi="Century" w:cs="Miriam" w:hint="cs"/>
          <w:b/>
          <w:spacing w:val="0"/>
          <w:sz w:val="22"/>
          <w:szCs w:val="24"/>
          <w:rtl/>
        </w:rPr>
        <w:t xml:space="preserve"> נ' התובע הצבאי הראשי</w:t>
      </w:r>
      <w:r w:rsidRPr="003C6EAB">
        <w:rPr>
          <w:rFonts w:ascii="FrankRuehl" w:hint="cs"/>
          <w:color w:val="000000"/>
          <w:sz w:val="28"/>
          <w:rtl/>
        </w:rPr>
        <w:t>, פ''ד נג(3) 365</w:t>
      </w:r>
      <w:r>
        <w:rPr>
          <w:rFonts w:hint="cs"/>
          <w:rtl/>
        </w:rPr>
        <w:t xml:space="preserve">, 380-379 (1999); </w:t>
      </w:r>
      <w:proofErr w:type="spellStart"/>
      <w:r w:rsidRPr="003C6EAB">
        <w:rPr>
          <w:rFonts w:hint="eastAsia"/>
          <w:rtl/>
        </w:rPr>
        <w:t>רע</w:t>
      </w:r>
      <w:r w:rsidRPr="003C6EAB">
        <w:rPr>
          <w:rtl/>
        </w:rPr>
        <w:t>"</w:t>
      </w:r>
      <w:r w:rsidRPr="003C6EAB">
        <w:rPr>
          <w:rFonts w:hint="eastAsia"/>
          <w:rtl/>
        </w:rPr>
        <w:t>פ</w:t>
      </w:r>
      <w:proofErr w:type="spellEnd"/>
      <w:r w:rsidRPr="003C6EAB">
        <w:rPr>
          <w:rtl/>
        </w:rPr>
        <w:t xml:space="preserve"> 3676</w:t>
      </w:r>
      <w:r>
        <w:rPr>
          <w:rFonts w:hint="cs"/>
          <w:rtl/>
        </w:rPr>
        <w:t>/</w:t>
      </w:r>
      <w:r w:rsidRPr="003C6EAB">
        <w:rPr>
          <w:rtl/>
        </w:rPr>
        <w:t xml:space="preserve">08 </w:t>
      </w:r>
      <w:r w:rsidRPr="003C6EAB">
        <w:rPr>
          <w:rFonts w:ascii="Century" w:hAnsi="Century" w:cs="Miriam" w:hint="eastAsia"/>
          <w:b/>
          <w:spacing w:val="0"/>
          <w:sz w:val="22"/>
          <w:szCs w:val="24"/>
          <w:rtl/>
        </w:rPr>
        <w:t>זנו</w:t>
      </w:r>
      <w:r w:rsidRPr="003C6EAB">
        <w:rPr>
          <w:rFonts w:ascii="Century" w:hAnsi="Century" w:cs="Miriam"/>
          <w:b/>
          <w:spacing w:val="0"/>
          <w:sz w:val="22"/>
          <w:szCs w:val="24"/>
          <w:rtl/>
        </w:rPr>
        <w:t xml:space="preserve"> </w:t>
      </w:r>
      <w:r w:rsidRPr="003C6EAB">
        <w:rPr>
          <w:rFonts w:ascii="Century" w:hAnsi="Century" w:cs="Miriam" w:hint="eastAsia"/>
          <w:b/>
          <w:spacing w:val="0"/>
          <w:sz w:val="22"/>
          <w:szCs w:val="24"/>
          <w:rtl/>
        </w:rPr>
        <w:t>נ</w:t>
      </w:r>
      <w:r w:rsidRPr="003C6EAB">
        <w:rPr>
          <w:rFonts w:ascii="Century" w:hAnsi="Century" w:cs="Miriam"/>
          <w:b/>
          <w:spacing w:val="0"/>
          <w:sz w:val="22"/>
          <w:szCs w:val="24"/>
          <w:rtl/>
        </w:rPr>
        <w:t xml:space="preserve">' </w:t>
      </w:r>
      <w:r w:rsidRPr="003C6EAB">
        <w:rPr>
          <w:rFonts w:ascii="Century" w:hAnsi="Century" w:cs="Miriam" w:hint="eastAsia"/>
          <w:b/>
          <w:spacing w:val="0"/>
          <w:sz w:val="22"/>
          <w:szCs w:val="24"/>
          <w:rtl/>
        </w:rPr>
        <w:t>מדינת</w:t>
      </w:r>
      <w:r w:rsidRPr="003C6EAB">
        <w:rPr>
          <w:rFonts w:ascii="Century" w:hAnsi="Century" w:cs="Miriam"/>
          <w:b/>
          <w:spacing w:val="0"/>
          <w:sz w:val="22"/>
          <w:szCs w:val="24"/>
          <w:rtl/>
        </w:rPr>
        <w:t xml:space="preserve"> </w:t>
      </w:r>
      <w:r w:rsidRPr="003C6EAB">
        <w:rPr>
          <w:rFonts w:ascii="Century" w:hAnsi="Century" w:cs="Miriam" w:hint="eastAsia"/>
          <w:b/>
          <w:spacing w:val="0"/>
          <w:sz w:val="22"/>
          <w:szCs w:val="24"/>
          <w:rtl/>
        </w:rPr>
        <w:t>ישראל</w:t>
      </w:r>
      <w:r>
        <w:rPr>
          <w:rFonts w:hint="cs"/>
          <w:rtl/>
        </w:rPr>
        <w:t xml:space="preserve">, פסקה 37 (27.7.2009)). שר הבריאות עצמו ציין במכתב מיום 4.7.2021 אשר צורף להודעת העדכון </w:t>
      </w:r>
      <w:r>
        <w:rPr>
          <w:rFonts w:hint="cs"/>
          <w:rtl/>
        </w:rPr>
        <w:lastRenderedPageBreak/>
        <w:t xml:space="preserve">מטעם המשיבה 1 מיום 6.7.2021, כי "ניתן ליצור את </w:t>
      </w:r>
      <w:proofErr w:type="spellStart"/>
      <w:r>
        <w:rPr>
          <w:rFonts w:hint="cs"/>
          <w:rtl/>
        </w:rPr>
        <w:t>האיזונים</w:t>
      </w:r>
      <w:proofErr w:type="spellEnd"/>
      <w:r>
        <w:rPr>
          <w:rFonts w:hint="cs"/>
          <w:rtl/>
        </w:rPr>
        <w:t xml:space="preserve"> הנדרשים לשם הגנה על מכלול הזכויות בהליך זה, באמצעות קביעת קווים מנחים להפעלת שיקול דעתה של ועדת האישורים [...], וזאת במסגרת החוק הקיים, ולאחר שתינתן הכרעתו הסופי של בית המשפט העליון". </w:t>
      </w:r>
    </w:p>
    <w:p w:rsidR="00FD615E" w:rsidRDefault="00FD615E" w:rsidP="00FD615E">
      <w:pPr>
        <w:pStyle w:val="Ruller4"/>
        <w:numPr>
          <w:ilvl w:val="0"/>
          <w:numId w:val="0"/>
        </w:numPr>
        <w:rPr>
          <w:rtl/>
        </w:rPr>
      </w:pPr>
    </w:p>
    <w:p w:rsidR="00FD615E" w:rsidRDefault="00FD615E" w:rsidP="0078112A">
      <w:pPr>
        <w:pStyle w:val="Ruller4"/>
        <w:numPr>
          <w:ilvl w:val="0"/>
          <w:numId w:val="0"/>
        </w:numPr>
        <w:rPr>
          <w:rtl/>
        </w:rPr>
      </w:pPr>
      <w:r>
        <w:rPr>
          <w:rtl/>
        </w:rPr>
        <w:tab/>
      </w:r>
      <w:r>
        <w:rPr>
          <w:rFonts w:hint="cs"/>
          <w:rtl/>
        </w:rPr>
        <w:t xml:space="preserve">משכך, אציע לחבריי ליתן שהות של שישה חודשים בטרם ייכנס הסעד המוצע לתוקפו, וזאת על מנת לאפשר התארגנות מנהלית מתאימה (להלן: </w:t>
      </w:r>
      <w:r w:rsidRPr="00635583">
        <w:rPr>
          <w:rFonts w:ascii="Century" w:hAnsi="Century" w:cs="Miriam" w:hint="cs"/>
          <w:b/>
          <w:spacing w:val="0"/>
          <w:sz w:val="22"/>
          <w:szCs w:val="24"/>
          <w:rtl/>
        </w:rPr>
        <w:t>תקופת הביניים</w:t>
      </w:r>
      <w:r>
        <w:rPr>
          <w:rFonts w:hint="cs"/>
          <w:rtl/>
        </w:rPr>
        <w:t>). עם זאת, כדי להימנע מפגיעה נוספת בזכויות היסוד של</w:t>
      </w:r>
      <w:r w:rsidRPr="00635583">
        <w:rPr>
          <w:rFonts w:hint="cs"/>
          <w:rtl/>
        </w:rPr>
        <w:t xml:space="preserve"> </w:t>
      </w:r>
      <w:r>
        <w:rPr>
          <w:rFonts w:hint="cs"/>
          <w:rtl/>
        </w:rPr>
        <w:t xml:space="preserve">גברים יחידים ובני זוג מאותו מין, אציע כי ביחס לאוכלוסיות אלה לא תובא בחשבון תקופת הביניים לצורך חישוב "הגיל הקובע" לעניין מגבלת הגיל המקסימאלי שבסעיף </w:t>
      </w:r>
      <w:r w:rsidR="0078112A">
        <w:rPr>
          <w:rFonts w:hint="cs"/>
          <w:rtl/>
        </w:rPr>
        <w:t>5</w:t>
      </w:r>
      <w:r>
        <w:rPr>
          <w:rFonts w:hint="cs"/>
          <w:rtl/>
        </w:rPr>
        <w:t xml:space="preserve">(א)(1ג)(א) לחוק ההסכמים ובסעיפים 11 ו-13(ה)(1) לחוק תרומת ביציות (ראו בהקשר זה: </w:t>
      </w:r>
      <w:r w:rsidRPr="00EA7399">
        <w:rPr>
          <w:rFonts w:ascii="Century" w:hAnsi="Century" w:cs="Miriam" w:hint="cs"/>
          <w:b/>
          <w:spacing w:val="0"/>
          <w:sz w:val="22"/>
          <w:szCs w:val="24"/>
          <w:rtl/>
        </w:rPr>
        <w:t>סעדים חוקתיים</w:t>
      </w:r>
      <w:r>
        <w:rPr>
          <w:rFonts w:hint="cs"/>
          <w:rtl/>
        </w:rPr>
        <w:t xml:space="preserve">, בעמ' 373-370). למותר לציין כי עד לכניסת הסעד לתוקפו, פתוחה בפני הכנסת האפשרות לחוקק תיקוני חקיקה בהתאם לקביעות בית המשפט בפסק הדין החלקי ולאמות המידה שהותוו בפסק דין זה. </w:t>
      </w:r>
    </w:p>
    <w:p w:rsidR="00FD615E" w:rsidRDefault="00FD615E" w:rsidP="00FD615E">
      <w:pPr>
        <w:pStyle w:val="Ruller4"/>
        <w:numPr>
          <w:ilvl w:val="0"/>
          <w:numId w:val="0"/>
        </w:numPr>
        <w:rPr>
          <w:rtl/>
        </w:rPr>
      </w:pPr>
    </w:p>
    <w:p w:rsidR="00FD615E" w:rsidRPr="0001767D" w:rsidRDefault="00FD615E" w:rsidP="00FD615E">
      <w:pPr>
        <w:pStyle w:val="Ruller4"/>
        <w:rPr>
          <w:rtl/>
        </w:rPr>
      </w:pPr>
      <w:r>
        <w:rPr>
          <w:rFonts w:hint="cs"/>
          <w:rtl/>
        </w:rPr>
        <w:t xml:space="preserve">סיכומם של דברים: שש שנים התנהלה בפנינו העתירה שבכותרת ומשנקבע כי ההסדר אינו חוקתי, "העדר היתכנות פוליטית" אינו יכול להצדיק את המשך הפגיעה הקשה בזכויות יסוד. כפי שהיטיב לציין, השופט (כתוארו אז) </w:t>
      </w:r>
      <w:r>
        <w:rPr>
          <w:rFonts w:ascii="Century" w:hAnsi="Century" w:cs="Miriam" w:hint="cs"/>
          <w:b/>
          <w:spacing w:val="0"/>
          <w:sz w:val="22"/>
          <w:szCs w:val="24"/>
          <w:rtl/>
        </w:rPr>
        <w:t>מ' חשין</w:t>
      </w:r>
      <w:r>
        <w:rPr>
          <w:rFonts w:ascii="Century" w:hAnsi="Century" w:hint="cs"/>
          <w:sz w:val="22"/>
          <w:rtl/>
        </w:rPr>
        <w:t xml:space="preserve">: </w:t>
      </w:r>
      <w:r>
        <w:rPr>
          <w:rFonts w:hint="cs"/>
          <w:rtl/>
        </w:rPr>
        <w:t>"והפליה, ידענו, היא הרע-מכל-רע [...] אין פלא בדבר אפוא שבכל אתר ובכל דור עשו ועושים בני החברה הנאורים להעלמתה ולמיגורה של ההפליה. והמלחמה היא מלחמה מתמדת, מלחמת יום-יום"</w:t>
      </w:r>
      <w:r w:rsidRPr="00964CCA">
        <w:rPr>
          <w:rFonts w:hint="cs"/>
          <w:rtl/>
        </w:rPr>
        <w:t xml:space="preserve"> </w:t>
      </w:r>
      <w:r>
        <w:rPr>
          <w:rFonts w:hint="cs"/>
          <w:rtl/>
        </w:rPr>
        <w:t>(</w:t>
      </w:r>
      <w:r w:rsidRPr="0001767D">
        <w:rPr>
          <w:rFonts w:hint="eastAsia"/>
          <w:rtl/>
        </w:rPr>
        <w:t>בג</w:t>
      </w:r>
      <w:r w:rsidRPr="0001767D">
        <w:rPr>
          <w:rtl/>
        </w:rPr>
        <w:t>"</w:t>
      </w:r>
      <w:r w:rsidRPr="0001767D">
        <w:rPr>
          <w:rFonts w:hint="eastAsia"/>
          <w:rtl/>
        </w:rPr>
        <w:t>ץ</w:t>
      </w:r>
      <w:r w:rsidRPr="0001767D">
        <w:rPr>
          <w:rtl/>
        </w:rPr>
        <w:t xml:space="preserve"> 7111/95 </w:t>
      </w:r>
      <w:r w:rsidRPr="0001767D">
        <w:rPr>
          <w:rFonts w:ascii="Century" w:hAnsi="Century" w:cs="Miriam" w:hint="eastAsia"/>
          <w:b/>
          <w:spacing w:val="0"/>
          <w:szCs w:val="24"/>
          <w:rtl/>
        </w:rPr>
        <w:t>מרכז</w:t>
      </w:r>
      <w:r w:rsidRPr="0001767D">
        <w:rPr>
          <w:rFonts w:ascii="Century" w:hAnsi="Century" w:cs="Miriam"/>
          <w:b/>
          <w:spacing w:val="0"/>
          <w:szCs w:val="24"/>
          <w:rtl/>
        </w:rPr>
        <w:t xml:space="preserve"> </w:t>
      </w:r>
      <w:r w:rsidRPr="0001767D">
        <w:rPr>
          <w:rFonts w:ascii="Century" w:hAnsi="Century" w:cs="Miriam" w:hint="eastAsia"/>
          <w:b/>
          <w:spacing w:val="0"/>
          <w:szCs w:val="24"/>
          <w:rtl/>
        </w:rPr>
        <w:t>השלטון</w:t>
      </w:r>
      <w:r w:rsidRPr="0001767D">
        <w:rPr>
          <w:rFonts w:ascii="Century" w:hAnsi="Century" w:cs="Miriam"/>
          <w:b/>
          <w:spacing w:val="0"/>
          <w:szCs w:val="24"/>
          <w:rtl/>
        </w:rPr>
        <w:t xml:space="preserve"> </w:t>
      </w:r>
      <w:r w:rsidRPr="0001767D">
        <w:rPr>
          <w:rFonts w:ascii="Century" w:hAnsi="Century" w:cs="Miriam" w:hint="eastAsia"/>
          <w:b/>
          <w:spacing w:val="0"/>
          <w:szCs w:val="24"/>
          <w:rtl/>
        </w:rPr>
        <w:t>המקומי</w:t>
      </w:r>
      <w:r w:rsidRPr="0001767D">
        <w:rPr>
          <w:rFonts w:ascii="Century" w:hAnsi="Century" w:cs="Miriam"/>
          <w:b/>
          <w:spacing w:val="0"/>
          <w:szCs w:val="24"/>
          <w:rtl/>
        </w:rPr>
        <w:t xml:space="preserve"> </w:t>
      </w:r>
      <w:r w:rsidRPr="0001767D">
        <w:rPr>
          <w:rFonts w:ascii="Century" w:hAnsi="Century" w:cs="Miriam" w:hint="eastAsia"/>
          <w:b/>
          <w:spacing w:val="0"/>
          <w:szCs w:val="24"/>
          <w:rtl/>
        </w:rPr>
        <w:t>נ</w:t>
      </w:r>
      <w:r w:rsidRPr="0001767D">
        <w:rPr>
          <w:rFonts w:ascii="Century" w:hAnsi="Century" w:cs="Miriam"/>
          <w:b/>
          <w:spacing w:val="0"/>
          <w:szCs w:val="24"/>
          <w:rtl/>
        </w:rPr>
        <w:t xml:space="preserve">' </w:t>
      </w:r>
      <w:r w:rsidRPr="0001767D">
        <w:rPr>
          <w:rFonts w:ascii="Century" w:hAnsi="Century" w:cs="Miriam" w:hint="eastAsia"/>
          <w:b/>
          <w:spacing w:val="0"/>
          <w:szCs w:val="24"/>
          <w:rtl/>
        </w:rPr>
        <w:t>הכנסת</w:t>
      </w:r>
      <w:r w:rsidRPr="0001767D">
        <w:rPr>
          <w:rtl/>
        </w:rPr>
        <w:t xml:space="preserve">, </w:t>
      </w:r>
      <w:r w:rsidRPr="0001767D">
        <w:rPr>
          <w:rFonts w:hint="eastAsia"/>
          <w:rtl/>
        </w:rPr>
        <w:t>פ</w:t>
      </w:r>
      <w:r w:rsidRPr="0001767D">
        <w:rPr>
          <w:rtl/>
        </w:rPr>
        <w:t>"</w:t>
      </w:r>
      <w:r w:rsidRPr="0001767D">
        <w:rPr>
          <w:rFonts w:hint="eastAsia"/>
          <w:rtl/>
        </w:rPr>
        <w:t>ד</w:t>
      </w:r>
      <w:r w:rsidRPr="0001767D">
        <w:rPr>
          <w:rtl/>
        </w:rPr>
        <w:t xml:space="preserve"> </w:t>
      </w:r>
      <w:r w:rsidRPr="0001767D">
        <w:rPr>
          <w:rFonts w:hint="eastAsia"/>
          <w:rtl/>
        </w:rPr>
        <w:t>נ</w:t>
      </w:r>
      <w:r w:rsidRPr="0001767D">
        <w:rPr>
          <w:rtl/>
        </w:rPr>
        <w:t xml:space="preserve">(3) 485, </w:t>
      </w:r>
      <w:r>
        <w:rPr>
          <w:rFonts w:hint="cs"/>
          <w:rtl/>
        </w:rPr>
        <w:t>503 (1996)).</w:t>
      </w:r>
      <w:r>
        <w:rPr>
          <w:rFonts w:ascii="Century" w:hAnsi="Century" w:hint="cs"/>
          <w:sz w:val="22"/>
          <w:rtl/>
        </w:rPr>
        <w:t xml:space="preserve"> דברים נכוחים אלה ראוי שינחו את דרכם של הגורמים הרלוונטיים בבואם לפרש את ההסדר שבפנינו. </w:t>
      </w:r>
    </w:p>
    <w:p w:rsidR="00FD615E" w:rsidRDefault="00FD615E" w:rsidP="00FD615E">
      <w:pPr>
        <w:pStyle w:val="Ruller40"/>
        <w:rPr>
          <w:rtl/>
        </w:rPr>
      </w:pPr>
    </w:p>
    <w:p w:rsidR="00FD615E" w:rsidRDefault="00FD615E" w:rsidP="0078112A">
      <w:pPr>
        <w:pStyle w:val="Ruller4"/>
        <w:rPr>
          <w:rtl/>
        </w:rPr>
      </w:pPr>
      <w:r>
        <w:rPr>
          <w:rFonts w:hint="cs"/>
          <w:rtl/>
        </w:rPr>
        <w:t>אשר על כן, אציע כי בתוך שישה חודשים ממועד מתן פסק דין זה תבוטלנה ההגדרות "</w:t>
      </w:r>
      <w:r w:rsidRPr="00FD7060">
        <w:rPr>
          <w:rFonts w:ascii="Century" w:hAnsi="Century" w:cs="Miriam" w:hint="cs"/>
          <w:b/>
          <w:spacing w:val="0"/>
          <w:sz w:val="22"/>
          <w:szCs w:val="24"/>
          <w:rtl/>
        </w:rPr>
        <w:t>הורים מיועדים</w:t>
      </w:r>
      <w:r>
        <w:rPr>
          <w:rFonts w:hint="cs"/>
          <w:rtl/>
        </w:rPr>
        <w:t>", "</w:t>
      </w:r>
      <w:r w:rsidRPr="00FD7060">
        <w:rPr>
          <w:rFonts w:ascii="Century" w:hAnsi="Century" w:cs="Miriam" w:hint="cs"/>
          <w:b/>
          <w:spacing w:val="0"/>
          <w:sz w:val="22"/>
          <w:szCs w:val="24"/>
          <w:rtl/>
        </w:rPr>
        <w:t>הורים מיועדים שהם בני זוג</w:t>
      </w:r>
      <w:r>
        <w:rPr>
          <w:rFonts w:hint="cs"/>
          <w:rtl/>
        </w:rPr>
        <w:t>" ו"</w:t>
      </w:r>
      <w:r w:rsidRPr="00FD7060">
        <w:rPr>
          <w:rFonts w:ascii="Century" w:hAnsi="Century" w:cs="Miriam" w:hint="cs"/>
          <w:b/>
          <w:spacing w:val="0"/>
          <w:sz w:val="22"/>
          <w:szCs w:val="24"/>
          <w:rtl/>
        </w:rPr>
        <w:t>אם מיועדת יחידה</w:t>
      </w:r>
      <w:r>
        <w:rPr>
          <w:rFonts w:hint="cs"/>
          <w:rtl/>
        </w:rPr>
        <w:t>" שבסעיף 1 לחוק ההסכמים, ולאחר ביטול ההגדרות תפורשנה הוראות חוק ההסכמים וחוק תרומת ביציות בהתאם לאמור בפסקה 6 לעיל.</w:t>
      </w:r>
      <w:r w:rsidRPr="0077719C">
        <w:rPr>
          <w:rFonts w:hint="cs"/>
          <w:color w:val="000000"/>
          <w:sz w:val="28"/>
          <w:rtl/>
        </w:rPr>
        <w:t xml:space="preserve"> </w:t>
      </w:r>
      <w:r>
        <w:rPr>
          <w:rFonts w:hint="cs"/>
          <w:color w:val="000000"/>
          <w:sz w:val="28"/>
          <w:rtl/>
        </w:rPr>
        <w:t xml:space="preserve">עוד </w:t>
      </w:r>
      <w:r w:rsidRPr="00803CCC">
        <w:rPr>
          <w:rFonts w:hint="cs"/>
          <w:color w:val="000000"/>
          <w:sz w:val="28"/>
          <w:rtl/>
        </w:rPr>
        <w:t xml:space="preserve">אציע כי </w:t>
      </w:r>
      <w:r>
        <w:rPr>
          <w:rFonts w:hint="cs"/>
          <w:color w:val="000000"/>
          <w:sz w:val="28"/>
          <w:rtl/>
        </w:rPr>
        <w:t xml:space="preserve">בהינתן התוצאה האמורה ופרק הזמן הממושך שבמהלכו התנהלה העתירה, </w:t>
      </w:r>
      <w:r w:rsidRPr="00803CCC">
        <w:rPr>
          <w:rFonts w:hint="cs"/>
          <w:color w:val="000000"/>
          <w:sz w:val="28"/>
          <w:rtl/>
        </w:rPr>
        <w:t xml:space="preserve">נחייב את </w:t>
      </w:r>
      <w:r>
        <w:rPr>
          <w:rFonts w:hint="cs"/>
          <w:color w:val="000000"/>
          <w:sz w:val="28"/>
          <w:rtl/>
        </w:rPr>
        <w:t>המשיבה 1</w:t>
      </w:r>
      <w:r w:rsidRPr="00803CCC">
        <w:rPr>
          <w:rFonts w:hint="cs"/>
          <w:color w:val="000000"/>
          <w:sz w:val="28"/>
          <w:rtl/>
        </w:rPr>
        <w:t xml:space="preserve"> בהוצאות העותרים ובשכר טרחת עו</w:t>
      </w:r>
      <w:r>
        <w:rPr>
          <w:rFonts w:hint="cs"/>
          <w:color w:val="000000"/>
          <w:sz w:val="28"/>
          <w:rtl/>
        </w:rPr>
        <w:t>רך דין</w:t>
      </w:r>
      <w:r w:rsidRPr="00803CCC">
        <w:rPr>
          <w:rFonts w:hint="cs"/>
          <w:color w:val="000000"/>
          <w:sz w:val="28"/>
          <w:rtl/>
        </w:rPr>
        <w:t xml:space="preserve"> בסך </w:t>
      </w:r>
      <w:r w:rsidR="0078112A">
        <w:rPr>
          <w:rFonts w:hint="cs"/>
          <w:color w:val="000000"/>
          <w:sz w:val="28"/>
          <w:rtl/>
        </w:rPr>
        <w:t>30,000</w:t>
      </w:r>
      <w:r w:rsidRPr="00803CCC">
        <w:rPr>
          <w:rFonts w:hint="cs"/>
          <w:color w:val="000000"/>
          <w:sz w:val="28"/>
          <w:rtl/>
        </w:rPr>
        <w:t xml:space="preserve"> ש"ח</w:t>
      </w:r>
      <w:r>
        <w:rPr>
          <w:rFonts w:ascii="Arial TUR" w:hAnsi="Arial TUR" w:hint="cs"/>
          <w:sz w:val="22"/>
          <w:rtl/>
        </w:rPr>
        <w:t>.</w:t>
      </w:r>
    </w:p>
    <w:p w:rsidR="007B1D7B" w:rsidRDefault="007B1D7B" w:rsidP="007B1D7B">
      <w:pPr>
        <w:pStyle w:val="Ruller40"/>
        <w:rPr>
          <w:rtl/>
        </w:rPr>
      </w:pPr>
    </w:p>
    <w:p w:rsidR="009E2DA8" w:rsidRDefault="009E2DA8" w:rsidP="007B1D7B">
      <w:pPr>
        <w:pStyle w:val="Ruller40"/>
        <w:rPr>
          <w:rtl/>
        </w:rPr>
      </w:pPr>
    </w:p>
    <w:p w:rsidR="007B1D7B" w:rsidRPr="007B1D7B" w:rsidRDefault="007B1D7B" w:rsidP="007B1D7B">
      <w:pPr>
        <w:pStyle w:val="Ruller40"/>
        <w:rPr>
          <w:rtl/>
        </w:rPr>
      </w:pPr>
    </w:p>
    <w:p w:rsidR="00016EF1" w:rsidRDefault="007B1D7B" w:rsidP="00A51FAE">
      <w:pPr>
        <w:pStyle w:val="Ruller40"/>
        <w:rPr>
          <w:rtl/>
        </w:rPr>
      </w:pPr>
      <w:r>
        <w:rPr>
          <w:rtl/>
        </w:rPr>
        <w:tab/>
        <w:t xml:space="preserve">ניתן היום, </w:t>
      </w:r>
      <w:r>
        <w:rPr>
          <w:rFonts w:hint="eastAsia"/>
          <w:rtl/>
        </w:rPr>
        <w:t>‏ב</w:t>
      </w:r>
      <w:r>
        <w:rPr>
          <w:rtl/>
        </w:rPr>
        <w:t xml:space="preserve">' באב </w:t>
      </w:r>
      <w:proofErr w:type="spellStart"/>
      <w:r>
        <w:rPr>
          <w:rtl/>
        </w:rPr>
        <w:t>התשפ"א</w:t>
      </w:r>
      <w:proofErr w:type="spellEnd"/>
      <w:r>
        <w:rPr>
          <w:rtl/>
        </w:rPr>
        <w:t xml:space="preserve"> (</w:t>
      </w:r>
      <w:r>
        <w:rPr>
          <w:rFonts w:hint="eastAsia"/>
          <w:rtl/>
        </w:rPr>
        <w:t>‏</w:t>
      </w:r>
      <w:r>
        <w:rPr>
          <w:rtl/>
        </w:rPr>
        <w:t>11.7.2021).</w:t>
      </w:r>
    </w:p>
    <w:p w:rsidR="00134A03" w:rsidRDefault="00A1563F" w:rsidP="00A51FAE">
      <w:pPr>
        <w:pStyle w:val="Ruller40"/>
        <w:rPr>
          <w:rtl/>
        </w:rPr>
      </w:pPr>
      <w:r>
        <w:rPr>
          <w:rtl/>
        </w:rPr>
        <w:br/>
      </w:r>
    </w:p>
    <w:p w:rsidR="00134A03" w:rsidRDefault="00134A03" w:rsidP="00A51FAE">
      <w:pPr>
        <w:pStyle w:val="Ruller40"/>
        <w:rPr>
          <w:rtl/>
        </w:rPr>
      </w:pPr>
    </w:p>
    <w:tbl>
      <w:tblPr>
        <w:bidiVisual/>
        <w:tblW w:w="8363" w:type="dxa"/>
        <w:tblLook w:val="01E0" w:firstRow="1" w:lastRow="1" w:firstColumn="1" w:lastColumn="1" w:noHBand="0" w:noVBand="0"/>
      </w:tblPr>
      <w:tblGrid>
        <w:gridCol w:w="2783"/>
        <w:gridCol w:w="2797"/>
        <w:gridCol w:w="2783"/>
      </w:tblGrid>
      <w:tr w:rsidR="00134A03" w:rsidTr="00134A03">
        <w:tc>
          <w:tcPr>
            <w:tcW w:w="2842" w:type="dxa"/>
            <w:hideMark/>
          </w:tcPr>
          <w:p w:rsidR="00134A03" w:rsidRDefault="00134A03" w:rsidP="00134A03">
            <w:pPr>
              <w:pStyle w:val="Ruller40"/>
              <w:jc w:val="center"/>
            </w:pPr>
            <w:r>
              <w:rPr>
                <w:rFonts w:hint="cs"/>
                <w:rtl/>
              </w:rPr>
              <w:t>ה נ ש י א ה</w:t>
            </w:r>
          </w:p>
        </w:tc>
        <w:tc>
          <w:tcPr>
            <w:tcW w:w="2843" w:type="dxa"/>
            <w:hideMark/>
          </w:tcPr>
          <w:p w:rsidR="00134A03" w:rsidRDefault="00134A03" w:rsidP="00134A03">
            <w:pPr>
              <w:pStyle w:val="Ruller40"/>
              <w:jc w:val="center"/>
              <w:rPr>
                <w:rtl/>
              </w:rPr>
            </w:pPr>
            <w:r>
              <w:rPr>
                <w:rFonts w:hint="cs"/>
                <w:rtl/>
              </w:rPr>
              <w:t>המשנה לנשיאה (</w:t>
            </w:r>
            <w:proofErr w:type="spellStart"/>
            <w:r>
              <w:rPr>
                <w:rFonts w:hint="cs"/>
                <w:rtl/>
              </w:rPr>
              <w:t>בדימ</w:t>
            </w:r>
            <w:proofErr w:type="spellEnd"/>
            <w:r>
              <w:rPr>
                <w:rFonts w:hint="cs"/>
                <w:rtl/>
              </w:rPr>
              <w:t>')</w:t>
            </w:r>
          </w:p>
        </w:tc>
        <w:tc>
          <w:tcPr>
            <w:tcW w:w="2843" w:type="dxa"/>
            <w:hideMark/>
          </w:tcPr>
          <w:p w:rsidR="00134A03" w:rsidRDefault="00134A03" w:rsidP="00134A03">
            <w:pPr>
              <w:pStyle w:val="Ruller40"/>
              <w:jc w:val="center"/>
              <w:rPr>
                <w:rtl/>
              </w:rPr>
            </w:pPr>
            <w:r>
              <w:rPr>
                <w:rFonts w:hint="cs"/>
                <w:rtl/>
              </w:rPr>
              <w:t>ש ו פ ט</w:t>
            </w:r>
          </w:p>
        </w:tc>
      </w:tr>
    </w:tbl>
    <w:p w:rsidR="00134A03" w:rsidRDefault="00134A03" w:rsidP="00134A03">
      <w:pPr>
        <w:jc w:val="center"/>
        <w:rPr>
          <w:szCs w:val="16"/>
          <w:rtl/>
        </w:rPr>
      </w:pPr>
    </w:p>
    <w:p w:rsidR="00134A03" w:rsidRDefault="00134A03" w:rsidP="00134A03">
      <w:pPr>
        <w:jc w:val="center"/>
        <w:rPr>
          <w:szCs w:val="16"/>
          <w:rtl/>
        </w:rPr>
      </w:pPr>
    </w:p>
    <w:p w:rsidR="00134A03" w:rsidRDefault="00134A03" w:rsidP="00134A03">
      <w:pPr>
        <w:jc w:val="center"/>
        <w:rPr>
          <w:szCs w:val="16"/>
          <w:rtl/>
        </w:rPr>
      </w:pPr>
    </w:p>
    <w:p w:rsidR="00D20C0A" w:rsidRDefault="00D20C0A" w:rsidP="00134A03">
      <w:pPr>
        <w:jc w:val="center"/>
        <w:rPr>
          <w:szCs w:val="16"/>
          <w:rtl/>
        </w:rPr>
      </w:pPr>
    </w:p>
    <w:p w:rsidR="00D20C0A" w:rsidRDefault="00D20C0A" w:rsidP="00134A03">
      <w:pPr>
        <w:jc w:val="center"/>
        <w:rPr>
          <w:szCs w:val="16"/>
          <w:rtl/>
        </w:rPr>
      </w:pPr>
    </w:p>
    <w:p w:rsidR="00134A03" w:rsidRDefault="00134A03" w:rsidP="00134A03">
      <w:pPr>
        <w:jc w:val="center"/>
        <w:rPr>
          <w:szCs w:val="16"/>
          <w:rtl/>
        </w:rPr>
      </w:pPr>
    </w:p>
    <w:tbl>
      <w:tblPr>
        <w:bidiVisual/>
        <w:tblW w:w="8363" w:type="dxa"/>
        <w:tblLook w:val="01E0" w:firstRow="1" w:lastRow="1" w:firstColumn="1" w:lastColumn="1" w:noHBand="0" w:noVBand="0"/>
      </w:tblPr>
      <w:tblGrid>
        <w:gridCol w:w="2788"/>
        <w:gridCol w:w="2789"/>
        <w:gridCol w:w="2786"/>
      </w:tblGrid>
      <w:tr w:rsidR="00134A03" w:rsidTr="00134A03">
        <w:tc>
          <w:tcPr>
            <w:tcW w:w="2842" w:type="dxa"/>
            <w:hideMark/>
          </w:tcPr>
          <w:p w:rsidR="00134A03" w:rsidRDefault="00134A03" w:rsidP="00134A03">
            <w:pPr>
              <w:pStyle w:val="Ruller40"/>
              <w:jc w:val="center"/>
              <w:rPr>
                <w:rtl/>
              </w:rPr>
            </w:pPr>
            <w:r>
              <w:rPr>
                <w:rFonts w:hint="cs"/>
                <w:rtl/>
              </w:rPr>
              <w:t>ש ו פ ט</w:t>
            </w:r>
          </w:p>
        </w:tc>
        <w:tc>
          <w:tcPr>
            <w:tcW w:w="2843" w:type="dxa"/>
            <w:hideMark/>
          </w:tcPr>
          <w:p w:rsidR="00134A03" w:rsidRDefault="00134A03" w:rsidP="00134A03">
            <w:pPr>
              <w:pStyle w:val="Ruller40"/>
              <w:jc w:val="center"/>
              <w:rPr>
                <w:rtl/>
              </w:rPr>
            </w:pPr>
            <w:r>
              <w:rPr>
                <w:rFonts w:hint="cs"/>
                <w:rtl/>
              </w:rPr>
              <w:t>ש ו פ ט</w:t>
            </w:r>
          </w:p>
        </w:tc>
        <w:tc>
          <w:tcPr>
            <w:tcW w:w="2843" w:type="dxa"/>
          </w:tcPr>
          <w:p w:rsidR="00134A03" w:rsidRDefault="00134A03" w:rsidP="00134A03">
            <w:pPr>
              <w:pStyle w:val="Ruller40"/>
              <w:jc w:val="center"/>
              <w:rPr>
                <w:rtl/>
              </w:rPr>
            </w:pPr>
          </w:p>
        </w:tc>
      </w:tr>
    </w:tbl>
    <w:p w:rsidR="00134A03" w:rsidRDefault="00134A03" w:rsidP="00A51FAE">
      <w:pPr>
        <w:pStyle w:val="Ruller40"/>
        <w:rPr>
          <w:rtl/>
        </w:rPr>
      </w:pPr>
    </w:p>
    <w:p w:rsidR="007B1D7B" w:rsidRDefault="007B1D7B" w:rsidP="00A51FAE">
      <w:pPr>
        <w:pStyle w:val="Ruller40"/>
        <w:rPr>
          <w:rtl/>
        </w:rPr>
      </w:pPr>
    </w:p>
    <w:p w:rsidR="00916FF8" w:rsidRDefault="00916FF8">
      <w:pPr>
        <w:rPr>
          <w:szCs w:val="16"/>
          <w:rtl/>
        </w:rPr>
      </w:pPr>
      <w:r>
        <w:rPr>
          <w:szCs w:val="16"/>
          <w:rtl/>
        </w:rPr>
        <w:t>_________________</w:t>
      </w:r>
      <w:r w:rsidR="00A12E0F">
        <w:rPr>
          <w:rFonts w:hint="cs"/>
          <w:szCs w:val="16"/>
          <w:rtl/>
        </w:rPr>
        <w:t>________</w:t>
      </w:r>
    </w:p>
    <w:p w:rsidR="00916FF8" w:rsidRDefault="00591983" w:rsidP="00B009CC">
      <w:pPr>
        <w:pStyle w:val="Ruller38"/>
        <w:rPr>
          <w:rtl/>
        </w:rPr>
      </w:pPr>
      <w:r>
        <w:rPr>
          <w:sz w:val="16"/>
        </w:rPr>
        <w:t xml:space="preserve"> </w:t>
      </w:r>
      <w:r w:rsidR="00A12E0F">
        <w:rPr>
          <w:sz w:val="16"/>
        </w:rPr>
        <w:t xml:space="preserve">  </w:t>
      </w:r>
      <w:r w:rsidR="00100AA5">
        <w:rPr>
          <w:sz w:val="16"/>
        </w:rPr>
        <w:t xml:space="preserve">15007810_V73.docx   </w:t>
      </w:r>
      <w:r w:rsidR="00100AA5">
        <w:rPr>
          <w:sz w:val="16"/>
          <w:rtl/>
        </w:rPr>
        <w:t>מי</w:t>
      </w:r>
    </w:p>
    <w:p w:rsidR="003F1F97" w:rsidRPr="00782291" w:rsidRDefault="00591983" w:rsidP="00782291">
      <w:pPr>
        <w:pStyle w:val="Ruller38"/>
        <w:rPr>
          <w:rtl/>
        </w:rPr>
      </w:pPr>
      <w:r>
        <w:rPr>
          <w:rtl/>
        </w:rPr>
        <w:t>מרכז מידע, טל'</w:t>
      </w:r>
      <w:r>
        <w:rPr>
          <w:rFonts w:hint="cs"/>
          <w:rtl/>
        </w:rPr>
        <w:t xml:space="preserve"> </w:t>
      </w:r>
      <w:r w:rsidR="00B63343">
        <w:rPr>
          <w:rFonts w:hint="cs"/>
          <w:rtl/>
        </w:rPr>
        <w:t>077</w:t>
      </w:r>
      <w:r>
        <w:rPr>
          <w:rFonts w:hint="cs"/>
          <w:rtl/>
        </w:rPr>
        <w:t>-</w:t>
      </w:r>
      <w:r w:rsidR="00B63343">
        <w:rPr>
          <w:rFonts w:hint="cs"/>
          <w:rtl/>
        </w:rPr>
        <w:t>270</w:t>
      </w:r>
      <w:r w:rsidR="00E21CA9">
        <w:rPr>
          <w:rFonts w:hint="cs"/>
          <w:rtl/>
        </w:rPr>
        <w:t>3</w:t>
      </w:r>
      <w:r w:rsidR="009B38DA">
        <w:rPr>
          <w:rFonts w:hint="cs"/>
          <w:rtl/>
        </w:rPr>
        <w:t>333</w:t>
      </w:r>
      <w:r w:rsidR="000C0A71">
        <w:rPr>
          <w:rFonts w:hint="cs"/>
          <w:rtl/>
        </w:rPr>
        <w:t>, 3852*</w:t>
      </w:r>
      <w:r>
        <w:rPr>
          <w:rFonts w:hint="cs"/>
          <w:rtl/>
        </w:rPr>
        <w:t xml:space="preserve"> ; אתר אינטרנט,  </w:t>
      </w:r>
      <w:hyperlink r:id="rId9" w:history="1">
        <w:r w:rsidR="00782291" w:rsidRPr="00BB4C68">
          <w:rPr>
            <w:rStyle w:val="Hyperlink"/>
            <w:sz w:val="16"/>
          </w:rPr>
          <w:t>https://supreme.court.gov.il</w:t>
        </w:r>
      </w:hyperlink>
    </w:p>
    <w:sectPr w:rsidR="003F1F97" w:rsidRPr="00782291" w:rsidSect="00591983">
      <w:headerReference w:type="even" r:id="rId10"/>
      <w:headerReference w:type="default" r:id="rId11"/>
      <w:footerReference w:type="even" r:id="rId12"/>
      <w:headerReference w:type="first" r:id="rId13"/>
      <w:footerReference w:type="first" r:id="rId14"/>
      <w:endnotePr>
        <w:numFmt w:val="lowerLetter"/>
      </w:endnotePr>
      <w:pgSz w:w="11906" w:h="16838" w:code="9"/>
      <w:pgMar w:top="1134" w:right="1797" w:bottom="1440" w:left="1797" w:header="567" w:footer="397" w:gutter="0"/>
      <w:cols w:space="720"/>
      <w:titlePg/>
      <w:bidi/>
      <w:rtlGutter/>
    </w:sectPr>
  </w:body>
</w:document>
</file>

<file path=word/customizations.xml><?xml version="1.0" encoding="utf-8"?>
<wne:tcg xmlns:r="http://schemas.openxmlformats.org/officeDocument/2006/relationships" xmlns:wne="http://schemas.microsoft.com/office/word/2006/wordml">
  <wne:keymaps>
    <wne:keymap wne:kcmPrimary="0433">
      <wne:acd wne:acdName="acd0"/>
    </wne:keymap>
    <wne:keymap wne:kcmPrimary="0434">
      <wne:acd wne:acdName="acd1"/>
    </wne:keymap>
    <wne:keymap wne:kcmPrimary="0435">
      <wne:acd wne:acdName="acd2"/>
    </wne:keymap>
  </wne:keymaps>
  <wne:toolbars>
    <wne:acdManifest>
      <wne:acdEntry wne:acdName="acd0"/>
      <wne:acdEntry wne:acdName="acd1"/>
      <wne:acdEntry wne:acdName="acd2"/>
    </wne:acdManifest>
    <wne:toolbarData r:id="rId1"/>
  </wne:toolbars>
  <wne:acds>
    <wne:acd wne:argValue="AgBSAHUAbABsAGUAcgAgADMA" wne:acdName="acd0" wne:fciIndexBasedOn="0065"/>
    <wne:acd wne:argValue="AgBSAHUAbABsAGUAcgA0AA==" wne:acdName="acd1" wne:fciIndexBasedOn="0065"/>
    <wne:acd wne:argValue="AgBSAHUAbABsAGUAcgA1A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512" w:rsidRDefault="007F7512">
      <w:r>
        <w:separator/>
      </w:r>
    </w:p>
  </w:endnote>
  <w:endnote w:type="continuationSeparator" w:id="0">
    <w:p w:rsidR="007F7512" w:rsidRDefault="007F7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B1"/>
    <w:family w:val="swiss"/>
    <w:pitch w:val="variable"/>
    <w:sig w:usb0="00000801" w:usb1="00000000" w:usb2="00000000" w:usb3="00000000" w:csb0="00000020" w:csb1="00000000"/>
  </w:font>
  <w:font w:name="FrankRuehl">
    <w:panose1 w:val="020E0503060101010101"/>
    <w:charset w:val="00"/>
    <w:family w:val="swiss"/>
    <w:pitch w:val="variable"/>
    <w:sig w:usb0="00000803" w:usb1="00000000" w:usb2="00000000" w:usb3="00000000" w:csb0="00000021" w:csb1="00000000"/>
  </w:font>
  <w:font w:name="Arial TUR">
    <w:charset w:val="00"/>
    <w:family w:val="swiss"/>
    <w:pitch w:val="variable"/>
    <w:sig w:usb0="E0002EFF" w:usb1="C000785B" w:usb2="00000009" w:usb3="00000000" w:csb0="000001FF" w:csb1="00000000"/>
  </w:font>
  <w:font w:name="DavidFix">
    <w:charset w:val="B1"/>
    <w:family w:val="auto"/>
    <w:pitch w:val="variable"/>
    <w:sig w:usb0="00001801" w:usb1="00000000" w:usb2="00000000" w:usb3="00000000" w:csb0="00000020" w:csb1="00000000"/>
  </w:font>
  <w:font w:name="Guttman Yad">
    <w:panose1 w:val="02010401010101010101"/>
    <w:charset w:val="B1"/>
    <w:family w:val="auto"/>
    <w:pitch w:val="variable"/>
    <w:sig w:usb0="00000801"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iriam">
    <w:panose1 w:val="020B0502050101010101"/>
    <w:charset w:val="00"/>
    <w:family w:val="swiss"/>
    <w:pitch w:val="variable"/>
    <w:sig w:usb0="00000803" w:usb1="00000000" w:usb2="00000000" w:usb3="00000000" w:csb0="0000002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102" w:rsidRDefault="00377102">
    <w:pPr>
      <w:pStyle w:val="a3"/>
      <w:framePr w:wrap="around" w:vAnchor="text" w:hAnchor="margin" w:xAlign="center" w:y="1"/>
      <w:rPr>
        <w:rStyle w:val="a4"/>
        <w:rtl/>
      </w:rPr>
    </w:pPr>
    <w:r>
      <w:rPr>
        <w:rStyle w:val="a4"/>
        <w:rtl/>
      </w:rPr>
      <w:fldChar w:fldCharType="begin"/>
    </w:r>
    <w:r>
      <w:rPr>
        <w:rStyle w:val="a4"/>
      </w:rPr>
      <w:instrText xml:space="preserve">PAGE  </w:instrText>
    </w:r>
    <w:r>
      <w:rPr>
        <w:rStyle w:val="a4"/>
        <w:rtl/>
      </w:rPr>
      <w:fldChar w:fldCharType="separate"/>
    </w:r>
    <w:r w:rsidR="00BC0E82">
      <w:rPr>
        <w:rStyle w:val="a4"/>
        <w:noProof/>
        <w:rtl/>
      </w:rPr>
      <w:t>1</w:t>
    </w:r>
    <w:r>
      <w:rPr>
        <w:rStyle w:val="a4"/>
        <w:rtl/>
      </w:rPr>
      <w:fldChar w:fldCharType="end"/>
    </w:r>
  </w:p>
  <w:p w:rsidR="00377102" w:rsidRDefault="00377102">
    <w:pPr>
      <w:pStyle w:val="a3"/>
      <w:rPr>
        <w:rtl/>
      </w:rPr>
    </w:pPr>
  </w:p>
  <w:p w:rsidR="00377102" w:rsidRDefault="0037710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B4D" w:rsidRPr="00F959DB" w:rsidRDefault="00045B4D" w:rsidP="00914156">
    <w:pPr>
      <w:pStyle w:val="a3"/>
      <w:bidi w:val="0"/>
      <w:jc w:val="right"/>
      <w:rPr>
        <w:sz w:val="16"/>
        <w:szCs w:val="16"/>
      </w:rPr>
    </w:pPr>
    <w:bookmarkStart w:id="6" w:name="footer_line"/>
    <w:bookmarkEnd w:id="6"/>
  </w:p>
  <w:p w:rsidR="00045B4D" w:rsidRDefault="00045B4D">
    <w:pPr>
      <w:pStyle w:val="a3"/>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512" w:rsidRDefault="007F7512">
      <w:r>
        <w:separator/>
      </w:r>
    </w:p>
  </w:footnote>
  <w:footnote w:type="continuationSeparator" w:id="0">
    <w:p w:rsidR="007F7512" w:rsidRDefault="007F7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102" w:rsidRDefault="00377102">
    <w:pPr>
      <w:pStyle w:val="a5"/>
      <w:framePr w:wrap="around" w:vAnchor="text" w:hAnchor="margin" w:xAlign="center" w:y="1"/>
      <w:rPr>
        <w:rStyle w:val="a4"/>
        <w:rtl/>
      </w:rPr>
    </w:pPr>
    <w:r>
      <w:rPr>
        <w:rStyle w:val="a4"/>
        <w:rtl/>
      </w:rPr>
      <w:fldChar w:fldCharType="begin"/>
    </w:r>
    <w:r>
      <w:rPr>
        <w:rStyle w:val="a4"/>
      </w:rPr>
      <w:instrText xml:space="preserve">PAGE  </w:instrText>
    </w:r>
    <w:r>
      <w:rPr>
        <w:rStyle w:val="a4"/>
        <w:rtl/>
      </w:rPr>
      <w:fldChar w:fldCharType="separate"/>
    </w:r>
    <w:r w:rsidR="00BC0E82">
      <w:rPr>
        <w:rStyle w:val="a4"/>
        <w:noProof/>
        <w:rtl/>
      </w:rPr>
      <w:t>1</w:t>
    </w:r>
    <w:r>
      <w:rPr>
        <w:rStyle w:val="a4"/>
        <w:rtl/>
      </w:rPr>
      <w:fldChar w:fldCharType="end"/>
    </w:r>
  </w:p>
  <w:p w:rsidR="00377102" w:rsidRDefault="00377102">
    <w:pPr>
      <w:pStyle w:val="a5"/>
      <w:rPr>
        <w:rtl/>
      </w:rPr>
    </w:pPr>
  </w:p>
  <w:p w:rsidR="00377102" w:rsidRDefault="0037710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102" w:rsidRDefault="00377102">
    <w:pPr>
      <w:pStyle w:val="a5"/>
      <w:framePr w:wrap="around" w:vAnchor="text" w:hAnchor="margin" w:xAlign="center" w:y="1"/>
      <w:rPr>
        <w:rStyle w:val="a4"/>
        <w:rtl/>
      </w:rPr>
    </w:pPr>
    <w:r>
      <w:rPr>
        <w:rStyle w:val="a4"/>
        <w:rtl/>
      </w:rPr>
      <w:fldChar w:fldCharType="begin"/>
    </w:r>
    <w:r>
      <w:rPr>
        <w:rStyle w:val="a4"/>
      </w:rPr>
      <w:instrText xml:space="preserve">PAGE  </w:instrText>
    </w:r>
    <w:r>
      <w:rPr>
        <w:rStyle w:val="a4"/>
        <w:rtl/>
      </w:rPr>
      <w:fldChar w:fldCharType="separate"/>
    </w:r>
    <w:r w:rsidR="00910CAB">
      <w:rPr>
        <w:rStyle w:val="a4"/>
        <w:noProof/>
        <w:rtl/>
      </w:rPr>
      <w:t>7</w:t>
    </w:r>
    <w:r>
      <w:rPr>
        <w:rStyle w:val="a4"/>
        <w:rtl/>
      </w:rPr>
      <w:fldChar w:fldCharType="end"/>
    </w:r>
  </w:p>
  <w:p w:rsidR="00377102" w:rsidRDefault="00377102">
    <w:pPr>
      <w:pStyle w:val="a5"/>
      <w:rPr>
        <w:rtl/>
      </w:rPr>
    </w:pPr>
  </w:p>
  <w:p w:rsidR="00377102" w:rsidRDefault="0037710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Look w:val="01E0" w:firstRow="1" w:lastRow="1" w:firstColumn="1" w:lastColumn="1" w:noHBand="0" w:noVBand="0"/>
    </w:tblPr>
    <w:tblGrid>
      <w:gridCol w:w="8312"/>
    </w:tblGrid>
    <w:tr w:rsidR="00FA21B3" w:rsidTr="00AC2323">
      <w:tc>
        <w:tcPr>
          <w:tcW w:w="8528" w:type="dxa"/>
          <w:shd w:val="clear" w:color="auto" w:fill="auto"/>
        </w:tcPr>
        <w:p w:rsidR="00FA21B3" w:rsidRDefault="00FA21B3" w:rsidP="00FA21B3">
          <w:pPr>
            <w:pStyle w:val="a5"/>
            <w:jc w:val="center"/>
            <w:rPr>
              <w:rtl/>
            </w:rPr>
          </w:pPr>
          <w:r w:rsidRPr="00D745E1">
            <w:rPr>
              <w:b/>
              <w:bCs/>
              <w:noProof/>
              <w:sz w:val="16"/>
              <w:szCs w:val="18"/>
              <w:rtl/>
            </w:rPr>
            <w:drawing>
              <wp:inline distT="0" distB="0" distL="0" distR="0" wp14:anchorId="29F7886E" wp14:editId="1839AA9F">
                <wp:extent cx="464820" cy="4495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449580"/>
                        </a:xfrm>
                        <a:prstGeom prst="rect">
                          <a:avLst/>
                        </a:prstGeom>
                        <a:noFill/>
                        <a:ln>
                          <a:noFill/>
                        </a:ln>
                      </pic:spPr>
                    </pic:pic>
                  </a:graphicData>
                </a:graphic>
              </wp:inline>
            </w:drawing>
          </w:r>
        </w:p>
      </w:tc>
    </w:tr>
    <w:tr w:rsidR="00FA21B3" w:rsidTr="00AC2323">
      <w:trPr>
        <w:trHeight w:val="372"/>
      </w:trPr>
      <w:tc>
        <w:tcPr>
          <w:tcW w:w="8528" w:type="dxa"/>
          <w:shd w:val="clear" w:color="auto" w:fill="auto"/>
        </w:tcPr>
        <w:p w:rsidR="00FA21B3" w:rsidRDefault="00FA21B3" w:rsidP="00FA21B3">
          <w:pPr>
            <w:pStyle w:val="a5"/>
            <w:jc w:val="center"/>
            <w:rPr>
              <w:rtl/>
            </w:rPr>
          </w:pPr>
        </w:p>
      </w:tc>
    </w:tr>
  </w:tbl>
  <w:p w:rsidR="00FA21B3" w:rsidRDefault="00FA21B3" w:rsidP="00E71AD2">
    <w:pPr>
      <w:tabs>
        <w:tab w:val="left" w:pos="3319"/>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77A4F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B8EE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485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3003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0465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CCE6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264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1A09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046C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800B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A6001B"/>
    <w:multiLevelType w:val="hybridMultilevel"/>
    <w:tmpl w:val="B2C4B5E4"/>
    <w:lvl w:ilvl="0" w:tplc="72FE1F78">
      <w:start w:val="1"/>
      <w:numFmt w:val="decimal"/>
      <w:pStyle w:val="Ruller4"/>
      <w:lvlText w:val="%1."/>
      <w:lvlJc w:val="left"/>
      <w:pPr>
        <w:tabs>
          <w:tab w:val="num" w:pos="907"/>
        </w:tabs>
        <w:ind w:left="0" w:firstLine="0"/>
      </w:pPr>
      <w:rPr>
        <w:rFonts w:hint="default"/>
      </w:rPr>
    </w:lvl>
    <w:lvl w:ilvl="1" w:tplc="C1C666A2" w:tentative="1">
      <w:start w:val="1"/>
      <w:numFmt w:val="lowerLetter"/>
      <w:lvlText w:val="%2."/>
      <w:lvlJc w:val="left"/>
      <w:pPr>
        <w:tabs>
          <w:tab w:val="num" w:pos="1440"/>
        </w:tabs>
        <w:ind w:left="1440" w:hanging="360"/>
      </w:pPr>
    </w:lvl>
    <w:lvl w:ilvl="2" w:tplc="CD1C5A26" w:tentative="1">
      <w:start w:val="1"/>
      <w:numFmt w:val="lowerRoman"/>
      <w:lvlText w:val="%3."/>
      <w:lvlJc w:val="right"/>
      <w:pPr>
        <w:tabs>
          <w:tab w:val="num" w:pos="2160"/>
        </w:tabs>
        <w:ind w:left="2160" w:hanging="180"/>
      </w:pPr>
    </w:lvl>
    <w:lvl w:ilvl="3" w:tplc="F34C5D8E" w:tentative="1">
      <w:start w:val="1"/>
      <w:numFmt w:val="decimal"/>
      <w:lvlText w:val="%4."/>
      <w:lvlJc w:val="left"/>
      <w:pPr>
        <w:tabs>
          <w:tab w:val="num" w:pos="2880"/>
        </w:tabs>
        <w:ind w:left="2880" w:hanging="360"/>
      </w:pPr>
    </w:lvl>
    <w:lvl w:ilvl="4" w:tplc="7D9C671E" w:tentative="1">
      <w:start w:val="1"/>
      <w:numFmt w:val="lowerLetter"/>
      <w:lvlText w:val="%5."/>
      <w:lvlJc w:val="left"/>
      <w:pPr>
        <w:tabs>
          <w:tab w:val="num" w:pos="3600"/>
        </w:tabs>
        <w:ind w:left="3600" w:hanging="360"/>
      </w:pPr>
    </w:lvl>
    <w:lvl w:ilvl="5" w:tplc="6FDCA57C" w:tentative="1">
      <w:start w:val="1"/>
      <w:numFmt w:val="lowerRoman"/>
      <w:lvlText w:val="%6."/>
      <w:lvlJc w:val="right"/>
      <w:pPr>
        <w:tabs>
          <w:tab w:val="num" w:pos="4320"/>
        </w:tabs>
        <w:ind w:left="4320" w:hanging="180"/>
      </w:pPr>
    </w:lvl>
    <w:lvl w:ilvl="6" w:tplc="029C8524" w:tentative="1">
      <w:start w:val="1"/>
      <w:numFmt w:val="decimal"/>
      <w:lvlText w:val="%7."/>
      <w:lvlJc w:val="left"/>
      <w:pPr>
        <w:tabs>
          <w:tab w:val="num" w:pos="5040"/>
        </w:tabs>
        <w:ind w:left="5040" w:hanging="360"/>
      </w:pPr>
    </w:lvl>
    <w:lvl w:ilvl="7" w:tplc="20943A86" w:tentative="1">
      <w:start w:val="1"/>
      <w:numFmt w:val="lowerLetter"/>
      <w:lvlText w:val="%8."/>
      <w:lvlJc w:val="left"/>
      <w:pPr>
        <w:tabs>
          <w:tab w:val="num" w:pos="5760"/>
        </w:tabs>
        <w:ind w:left="5760" w:hanging="360"/>
      </w:pPr>
    </w:lvl>
    <w:lvl w:ilvl="8" w:tplc="A3EE738C"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lowerLette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227"/>
    <w:rsid w:val="00016EF1"/>
    <w:rsid w:val="00032036"/>
    <w:rsid w:val="000352D8"/>
    <w:rsid w:val="00036227"/>
    <w:rsid w:val="00044953"/>
    <w:rsid w:val="00045B4D"/>
    <w:rsid w:val="00072AD2"/>
    <w:rsid w:val="000B1478"/>
    <w:rsid w:val="000C0A71"/>
    <w:rsid w:val="000C4690"/>
    <w:rsid w:val="000C792F"/>
    <w:rsid w:val="000D25C4"/>
    <w:rsid w:val="00100AA5"/>
    <w:rsid w:val="00134A03"/>
    <w:rsid w:val="00134A67"/>
    <w:rsid w:val="001A0164"/>
    <w:rsid w:val="00200D6B"/>
    <w:rsid w:val="00265F6E"/>
    <w:rsid w:val="002876BF"/>
    <w:rsid w:val="002A4A7A"/>
    <w:rsid w:val="002A4BF3"/>
    <w:rsid w:val="002F7BB6"/>
    <w:rsid w:val="00320E8E"/>
    <w:rsid w:val="003448B2"/>
    <w:rsid w:val="00353F2F"/>
    <w:rsid w:val="00361DB2"/>
    <w:rsid w:val="0037622E"/>
    <w:rsid w:val="00377102"/>
    <w:rsid w:val="0039709B"/>
    <w:rsid w:val="00397D71"/>
    <w:rsid w:val="003C3F1D"/>
    <w:rsid w:val="003D72DA"/>
    <w:rsid w:val="003E0D5E"/>
    <w:rsid w:val="003F1F97"/>
    <w:rsid w:val="00407C54"/>
    <w:rsid w:val="0041048F"/>
    <w:rsid w:val="004610A4"/>
    <w:rsid w:val="0048386C"/>
    <w:rsid w:val="004B29FF"/>
    <w:rsid w:val="004C7868"/>
    <w:rsid w:val="00503A3E"/>
    <w:rsid w:val="005052E0"/>
    <w:rsid w:val="005117D8"/>
    <w:rsid w:val="00523686"/>
    <w:rsid w:val="00527F02"/>
    <w:rsid w:val="0058440A"/>
    <w:rsid w:val="00591983"/>
    <w:rsid w:val="005C42EE"/>
    <w:rsid w:val="0060214C"/>
    <w:rsid w:val="00624A42"/>
    <w:rsid w:val="0065522F"/>
    <w:rsid w:val="006A30F7"/>
    <w:rsid w:val="006A783F"/>
    <w:rsid w:val="006C42AD"/>
    <w:rsid w:val="00741CC0"/>
    <w:rsid w:val="0078112A"/>
    <w:rsid w:val="00782291"/>
    <w:rsid w:val="007B1D7B"/>
    <w:rsid w:val="007B512F"/>
    <w:rsid w:val="007F7512"/>
    <w:rsid w:val="00810894"/>
    <w:rsid w:val="008143AB"/>
    <w:rsid w:val="00836667"/>
    <w:rsid w:val="008C02A2"/>
    <w:rsid w:val="008C2F11"/>
    <w:rsid w:val="008D78B9"/>
    <w:rsid w:val="008E3F85"/>
    <w:rsid w:val="009051E8"/>
    <w:rsid w:val="00907FE3"/>
    <w:rsid w:val="00910CAB"/>
    <w:rsid w:val="00914156"/>
    <w:rsid w:val="00916FF8"/>
    <w:rsid w:val="00922093"/>
    <w:rsid w:val="00930C85"/>
    <w:rsid w:val="00992E3D"/>
    <w:rsid w:val="009B38DA"/>
    <w:rsid w:val="009E2DA8"/>
    <w:rsid w:val="009F2F53"/>
    <w:rsid w:val="009F4187"/>
    <w:rsid w:val="00A12E0F"/>
    <w:rsid w:val="00A1563F"/>
    <w:rsid w:val="00A32E88"/>
    <w:rsid w:val="00A51FAE"/>
    <w:rsid w:val="00A821BF"/>
    <w:rsid w:val="00A83419"/>
    <w:rsid w:val="00AB69F7"/>
    <w:rsid w:val="00AD097B"/>
    <w:rsid w:val="00AD22AE"/>
    <w:rsid w:val="00AD64B9"/>
    <w:rsid w:val="00AE022B"/>
    <w:rsid w:val="00AE6AC0"/>
    <w:rsid w:val="00AF0F5E"/>
    <w:rsid w:val="00AF375F"/>
    <w:rsid w:val="00B009CC"/>
    <w:rsid w:val="00B0782A"/>
    <w:rsid w:val="00B21EAC"/>
    <w:rsid w:val="00B23CDD"/>
    <w:rsid w:val="00B62B8C"/>
    <w:rsid w:val="00B63343"/>
    <w:rsid w:val="00B946BF"/>
    <w:rsid w:val="00BA0B08"/>
    <w:rsid w:val="00BC0E82"/>
    <w:rsid w:val="00BD40F9"/>
    <w:rsid w:val="00C41C86"/>
    <w:rsid w:val="00C63A6C"/>
    <w:rsid w:val="00CA13AF"/>
    <w:rsid w:val="00CA1444"/>
    <w:rsid w:val="00CB1590"/>
    <w:rsid w:val="00CB7600"/>
    <w:rsid w:val="00CC3639"/>
    <w:rsid w:val="00D00B1D"/>
    <w:rsid w:val="00D20C0A"/>
    <w:rsid w:val="00D25F16"/>
    <w:rsid w:val="00E21CA9"/>
    <w:rsid w:val="00E31063"/>
    <w:rsid w:val="00E36FE9"/>
    <w:rsid w:val="00E71AD2"/>
    <w:rsid w:val="00E73E98"/>
    <w:rsid w:val="00E90D72"/>
    <w:rsid w:val="00EC23AC"/>
    <w:rsid w:val="00ED46A4"/>
    <w:rsid w:val="00ED6FD9"/>
    <w:rsid w:val="00EE3810"/>
    <w:rsid w:val="00F0406F"/>
    <w:rsid w:val="00F23776"/>
    <w:rsid w:val="00F63C3B"/>
    <w:rsid w:val="00F959DB"/>
    <w:rsid w:val="00FA21B3"/>
    <w:rsid w:val="00FD61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150A3A-1FC6-463A-956C-412BA6B37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bidi/>
      <w:adjustRightInd w:val="0"/>
      <w:textAlignment w:val="baseline"/>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uller3">
    <w:name w:val="Ruller 3"/>
    <w:basedOn w:val="a"/>
    <w:rsid w:val="00A51FAE"/>
    <w:pPr>
      <w:tabs>
        <w:tab w:val="left" w:pos="3210"/>
        <w:tab w:val="left" w:pos="6753"/>
      </w:tabs>
      <w:spacing w:line="360" w:lineRule="auto"/>
    </w:pPr>
    <w:rPr>
      <w:rFonts w:cs="FrankRuehl"/>
      <w:spacing w:val="10"/>
      <w:sz w:val="22"/>
      <w:szCs w:val="28"/>
    </w:rPr>
  </w:style>
  <w:style w:type="paragraph" w:customStyle="1" w:styleId="Pskdinhead">
    <w:name w:val="Pskdin head"/>
    <w:basedOn w:val="a"/>
    <w:pPr>
      <w:spacing w:line="360" w:lineRule="auto"/>
    </w:pPr>
    <w:rPr>
      <w:b/>
      <w:bCs/>
      <w:u w:val="single"/>
    </w:rPr>
  </w:style>
  <w:style w:type="paragraph" w:customStyle="1" w:styleId="FileNumber">
    <w:name w:val="File Number"/>
    <w:basedOn w:val="a"/>
    <w:pPr>
      <w:spacing w:line="360" w:lineRule="auto"/>
      <w:jc w:val="right"/>
    </w:pPr>
    <w:rPr>
      <w:bCs/>
    </w:rPr>
  </w:style>
  <w:style w:type="paragraph" w:customStyle="1" w:styleId="FirstpagestylePsakdin">
    <w:name w:val="First page style Psak din"/>
    <w:basedOn w:val="Ruller3"/>
    <w:pPr>
      <w:tabs>
        <w:tab w:val="clear" w:pos="3210"/>
        <w:tab w:val="left" w:pos="3209"/>
      </w:tabs>
    </w:pPr>
    <w:rPr>
      <w:bCs/>
    </w:rPr>
  </w:style>
  <w:style w:type="paragraph" w:customStyle="1" w:styleId="TyutaDate">
    <w:name w:val="Tyuta Date"/>
    <w:basedOn w:val="a"/>
    <w:pPr>
      <w:jc w:val="center"/>
    </w:pPr>
    <w:rPr>
      <w:b/>
      <w:bCs/>
      <w:i/>
      <w:iCs/>
      <w:sz w:val="28"/>
      <w:szCs w:val="28"/>
    </w:rPr>
  </w:style>
  <w:style w:type="paragraph" w:customStyle="1" w:styleId="DocumentHead">
    <w:name w:val="Document Head"/>
    <w:basedOn w:val="a"/>
    <w:pPr>
      <w:spacing w:line="360" w:lineRule="auto"/>
      <w:jc w:val="center"/>
    </w:pPr>
    <w:rPr>
      <w:bCs/>
      <w:spacing w:val="30"/>
      <w:szCs w:val="28"/>
      <w:u w:val="single"/>
    </w:rPr>
  </w:style>
  <w:style w:type="paragraph" w:customStyle="1" w:styleId="TfutzaList">
    <w:name w:val="Tfutza List"/>
    <w:basedOn w:val="a"/>
    <w:rPr>
      <w:i/>
      <w:iCs/>
    </w:rPr>
  </w:style>
  <w:style w:type="paragraph" w:customStyle="1" w:styleId="Ruller40">
    <w:name w:val="Ruller4"/>
    <w:basedOn w:val="a"/>
    <w:link w:val="Ruller41"/>
    <w:rsid w:val="00A51FAE"/>
    <w:pPr>
      <w:tabs>
        <w:tab w:val="left" w:pos="800"/>
      </w:tabs>
      <w:spacing w:line="360" w:lineRule="auto"/>
      <w:jc w:val="both"/>
    </w:pPr>
    <w:rPr>
      <w:rFonts w:ascii="Arial TUR" w:hAnsi="Arial TUR" w:cs="FrankRuehl"/>
      <w:spacing w:val="10"/>
      <w:sz w:val="22"/>
      <w:szCs w:val="28"/>
    </w:rPr>
  </w:style>
  <w:style w:type="paragraph" w:customStyle="1" w:styleId="Ruller5">
    <w:name w:val="Ruller5"/>
    <w:basedOn w:val="a"/>
    <w:rsid w:val="00A51FAE"/>
    <w:pPr>
      <w:ind w:left="1642" w:right="1282"/>
      <w:jc w:val="both"/>
    </w:pPr>
    <w:rPr>
      <w:rFonts w:ascii="Arial TUR" w:hAnsi="Arial TUR" w:cs="FrankRuehl"/>
      <w:spacing w:val="10"/>
      <w:sz w:val="22"/>
      <w:szCs w:val="28"/>
    </w:rPr>
  </w:style>
  <w:style w:type="paragraph" w:customStyle="1" w:styleId="Ruller6">
    <w:name w:val="Ruller6"/>
    <w:basedOn w:val="a"/>
    <w:rsid w:val="00A51FAE"/>
    <w:pPr>
      <w:tabs>
        <w:tab w:val="left" w:pos="794"/>
        <w:tab w:val="left" w:pos="2268"/>
        <w:tab w:val="left" w:pos="5783"/>
        <w:tab w:val="left" w:pos="7371"/>
      </w:tabs>
    </w:pPr>
    <w:rPr>
      <w:rFonts w:ascii="Arial TUR" w:hAnsi="Arial TUR" w:cs="DavidFix"/>
      <w:spacing w:val="10"/>
      <w:sz w:val="22"/>
      <w:szCs w:val="20"/>
    </w:rPr>
  </w:style>
  <w:style w:type="character" w:customStyle="1" w:styleId="Delete">
    <w:name w:val="Delete"/>
    <w:rPr>
      <w:strike/>
    </w:rPr>
  </w:style>
  <w:style w:type="paragraph" w:customStyle="1" w:styleId="WriterName">
    <w:name w:val="Writer Name"/>
    <w:basedOn w:val="Ruller40"/>
    <w:next w:val="Ruller40"/>
    <w:rPr>
      <w:rFonts w:cs="David"/>
      <w:b/>
      <w:bCs/>
      <w:u w:val="single"/>
    </w:rPr>
  </w:style>
  <w:style w:type="character" w:customStyle="1" w:styleId="Hand">
    <w:name w:val="Hand"/>
    <w:rPr>
      <w:rFonts w:cs="Guttman Yad"/>
    </w:rPr>
  </w:style>
  <w:style w:type="paragraph" w:styleId="a3">
    <w:name w:val="footer"/>
    <w:basedOn w:val="a"/>
    <w:pPr>
      <w:tabs>
        <w:tab w:val="center" w:pos="4153"/>
        <w:tab w:val="right" w:pos="8306"/>
      </w:tabs>
    </w:pPr>
  </w:style>
  <w:style w:type="character" w:styleId="a4">
    <w:name w:val="page number"/>
    <w:basedOn w:val="a0"/>
  </w:style>
  <w:style w:type="paragraph" w:styleId="a5">
    <w:name w:val="header"/>
    <w:basedOn w:val="a"/>
    <w:pPr>
      <w:tabs>
        <w:tab w:val="center" w:pos="4153"/>
        <w:tab w:val="right" w:pos="8306"/>
      </w:tabs>
    </w:pPr>
  </w:style>
  <w:style w:type="paragraph" w:customStyle="1" w:styleId="2">
    <w:name w:val="ñâðåï2"/>
    <w:basedOn w:val="a"/>
    <w:pPr>
      <w:overflowPunct/>
      <w:textAlignment w:val="auto"/>
    </w:pPr>
    <w:rPr>
      <w:rFonts w:cs="Times New Roman"/>
    </w:rPr>
  </w:style>
  <w:style w:type="paragraph" w:customStyle="1" w:styleId="Casenameintextbody">
    <w:name w:val="Case name in text body"/>
    <w:basedOn w:val="a"/>
    <w:pPr>
      <w:overflowPunct/>
      <w:jc w:val="right"/>
      <w:textAlignment w:val="auto"/>
    </w:pPr>
    <w:rPr>
      <w:rFonts w:cs="Times New Roman"/>
      <w:b/>
      <w:bCs/>
      <w:u w:val="single"/>
    </w:rPr>
  </w:style>
  <w:style w:type="paragraph" w:customStyle="1" w:styleId="precasestyle">
    <w:name w:val="pre_case style"/>
    <w:basedOn w:val="a"/>
    <w:pPr>
      <w:tabs>
        <w:tab w:val="left" w:pos="2552"/>
      </w:tabs>
      <w:overflowPunct/>
      <w:ind w:right="2549"/>
      <w:textAlignment w:val="auto"/>
    </w:pPr>
    <w:rPr>
      <w:rFonts w:cs="Times New Roman"/>
    </w:rPr>
  </w:style>
  <w:style w:type="paragraph" w:customStyle="1" w:styleId="BodyRuller">
    <w:name w:val="Body Ruller"/>
    <w:basedOn w:val="a"/>
    <w:rPr>
      <w:sz w:val="22"/>
      <w:szCs w:val="28"/>
    </w:rPr>
  </w:style>
  <w:style w:type="paragraph" w:customStyle="1" w:styleId="Ruller38">
    <w:name w:val="סגנון Ruller 3 + (מורכב) ‏8 נק"/>
    <w:basedOn w:val="BodyRuller"/>
    <w:rPr>
      <w:szCs w:val="16"/>
    </w:rPr>
  </w:style>
  <w:style w:type="character" w:customStyle="1" w:styleId="Ruller30">
    <w:name w:val="Ruller 3 תו"/>
    <w:rPr>
      <w:rFonts w:cs="FrankRuehl"/>
      <w:sz w:val="22"/>
      <w:szCs w:val="28"/>
      <w:lang w:val="en-US" w:eastAsia="en-US" w:bidi="he-IL"/>
    </w:rPr>
  </w:style>
  <w:style w:type="character" w:customStyle="1" w:styleId="BodyRuller0">
    <w:name w:val="Body Ruller תו"/>
    <w:rPr>
      <w:rFonts w:cs="David"/>
      <w:sz w:val="22"/>
      <w:szCs w:val="28"/>
      <w:lang w:val="en-US" w:eastAsia="en-US" w:bidi="he-IL"/>
    </w:rPr>
  </w:style>
  <w:style w:type="character" w:customStyle="1" w:styleId="Ruller380">
    <w:name w:val="סגנון Ruller 3 + (מורכב) ‏8 נק תו"/>
    <w:rPr>
      <w:rFonts w:cs="David"/>
      <w:sz w:val="22"/>
      <w:szCs w:val="16"/>
      <w:lang w:val="en-US" w:eastAsia="en-US" w:bidi="he-IL"/>
    </w:rPr>
  </w:style>
  <w:style w:type="paragraph" w:customStyle="1" w:styleId="FileNumber0">
    <w:name w:val="סגנון File Number + ימין"/>
    <w:basedOn w:val="FileNumber"/>
    <w:rsid w:val="004C7868"/>
    <w:pPr>
      <w:jc w:val="left"/>
    </w:pPr>
    <w:rPr>
      <w:szCs w:val="28"/>
    </w:rPr>
  </w:style>
  <w:style w:type="paragraph" w:customStyle="1" w:styleId="BODYVERDICT">
    <w:name w:val="BODY VERDICT"/>
    <w:basedOn w:val="a"/>
    <w:rsid w:val="00036227"/>
    <w:rPr>
      <w:rFonts w:cs="FrankRuehl"/>
      <w:spacing w:val="10"/>
      <w:sz w:val="22"/>
      <w:szCs w:val="28"/>
    </w:rPr>
  </w:style>
  <w:style w:type="character" w:styleId="Hyperlink">
    <w:name w:val="Hyperlink"/>
    <w:rsid w:val="003F1F97"/>
    <w:rPr>
      <w:color w:val="0000FF"/>
      <w:u w:val="single"/>
    </w:rPr>
  </w:style>
  <w:style w:type="table" w:styleId="a6">
    <w:name w:val="Table Grid"/>
    <w:basedOn w:val="a1"/>
    <w:rsid w:val="003F1F97"/>
    <w:pPr>
      <w:overflowPunct w:val="0"/>
      <w:autoSpaceDE w:val="0"/>
      <w:autoSpaceDN w:val="0"/>
      <w:bidi/>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a0"/>
    <w:rsid w:val="0058440A"/>
    <w:rPr>
      <w:color w:val="954F72" w:themeColor="followedHyperlink"/>
      <w:u w:val="single"/>
    </w:rPr>
  </w:style>
  <w:style w:type="character" w:styleId="a7">
    <w:name w:val="annotation reference"/>
    <w:basedOn w:val="a0"/>
    <w:rsid w:val="00D00B1D"/>
    <w:rPr>
      <w:sz w:val="16"/>
      <w:szCs w:val="16"/>
    </w:rPr>
  </w:style>
  <w:style w:type="paragraph" w:styleId="a8">
    <w:name w:val="annotation text"/>
    <w:basedOn w:val="a"/>
    <w:link w:val="a9"/>
    <w:rsid w:val="00D00B1D"/>
    <w:rPr>
      <w:szCs w:val="20"/>
    </w:rPr>
  </w:style>
  <w:style w:type="character" w:customStyle="1" w:styleId="a9">
    <w:name w:val="טקסט הערה תו"/>
    <w:basedOn w:val="a0"/>
    <w:link w:val="a8"/>
    <w:rsid w:val="00D00B1D"/>
    <w:rPr>
      <w:rFonts w:cs="David"/>
    </w:rPr>
  </w:style>
  <w:style w:type="paragraph" w:styleId="aa">
    <w:name w:val="annotation subject"/>
    <w:basedOn w:val="a8"/>
    <w:next w:val="a8"/>
    <w:link w:val="ab"/>
    <w:rsid w:val="00D00B1D"/>
    <w:rPr>
      <w:b/>
      <w:bCs/>
    </w:rPr>
  </w:style>
  <w:style w:type="character" w:customStyle="1" w:styleId="ab">
    <w:name w:val="נושא הערה תו"/>
    <w:basedOn w:val="a9"/>
    <w:link w:val="aa"/>
    <w:rsid w:val="00D00B1D"/>
    <w:rPr>
      <w:rFonts w:cs="David"/>
      <w:b/>
      <w:bCs/>
    </w:rPr>
  </w:style>
  <w:style w:type="paragraph" w:styleId="ac">
    <w:name w:val="Balloon Text"/>
    <w:basedOn w:val="a"/>
    <w:link w:val="ad"/>
    <w:rsid w:val="00D00B1D"/>
    <w:rPr>
      <w:rFonts w:ascii="Tahoma" w:hAnsi="Tahoma" w:cs="Tahoma"/>
      <w:sz w:val="18"/>
      <w:szCs w:val="18"/>
    </w:rPr>
  </w:style>
  <w:style w:type="character" w:customStyle="1" w:styleId="ad">
    <w:name w:val="טקסט בלונים תו"/>
    <w:basedOn w:val="a0"/>
    <w:link w:val="ac"/>
    <w:rsid w:val="00D00B1D"/>
    <w:rPr>
      <w:rFonts w:ascii="Tahoma" w:hAnsi="Tahoma" w:cs="Tahoma"/>
      <w:sz w:val="18"/>
      <w:szCs w:val="18"/>
    </w:rPr>
  </w:style>
  <w:style w:type="paragraph" w:customStyle="1" w:styleId="Ruller4">
    <w:name w:val="Ruller 4 ממוספר"/>
    <w:basedOn w:val="Ruller40"/>
    <w:next w:val="Ruller40"/>
    <w:link w:val="Ruller42"/>
    <w:rsid w:val="00FD615E"/>
    <w:pPr>
      <w:numPr>
        <w:numId w:val="11"/>
      </w:numPr>
    </w:pPr>
    <w:rPr>
      <w:rFonts w:ascii="Garamond" w:hAnsi="Garamond"/>
      <w:sz w:val="24"/>
    </w:rPr>
  </w:style>
  <w:style w:type="character" w:customStyle="1" w:styleId="Ruller42">
    <w:name w:val="Ruller 4 ממוספר תו"/>
    <w:link w:val="Ruller4"/>
    <w:locked/>
    <w:rsid w:val="00FD615E"/>
    <w:rPr>
      <w:rFonts w:ascii="Garamond" w:hAnsi="Garamond" w:cs="FrankRuehl"/>
      <w:spacing w:val="10"/>
      <w:sz w:val="24"/>
      <w:szCs w:val="28"/>
    </w:rPr>
  </w:style>
  <w:style w:type="character" w:customStyle="1" w:styleId="Ruller41">
    <w:name w:val="Ruller4 תו"/>
    <w:link w:val="Ruller40"/>
    <w:locked/>
    <w:rsid w:val="00FD615E"/>
    <w:rPr>
      <w:rFonts w:ascii="Arial TUR" w:hAnsi="Arial TUR" w:cs="FrankRuehl"/>
      <w:spacing w:val="10"/>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51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supreme.court.gov.il/"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97B96-DD07-453D-8035-41A7F1081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2022</Words>
  <Characters>10019</Characters>
  <Application>Microsoft Office Word</Application>
  <DocSecurity>4</DocSecurity>
  <Lines>83</Lines>
  <Paragraphs>24</Paragraphs>
  <ScaleCrop>false</ScaleCrop>
  <HeadingPairs>
    <vt:vector size="2" baseType="variant">
      <vt:variant>
        <vt:lpstr>שם</vt:lpstr>
      </vt:variant>
      <vt:variant>
        <vt:i4>1</vt:i4>
      </vt:variant>
    </vt:vector>
  </HeadingPairs>
  <TitlesOfParts>
    <vt:vector size="1" baseType="lpstr">
      <vt:lpstr>פסק-דין בתיק בג"ץ  781/15</vt:lpstr>
    </vt:vector>
  </TitlesOfParts>
  <Company>supreme court of israel</Company>
  <LinksUpToDate>false</LinksUpToDate>
  <CharactersWithSpaces>12017</CharactersWithSpaces>
  <SharedDoc>false</SharedDoc>
  <HLinks>
    <vt:vector size="6" baseType="variant">
      <vt:variant>
        <vt:i4>1966158</vt:i4>
      </vt:variant>
      <vt:variant>
        <vt:i4>12</vt:i4>
      </vt:variant>
      <vt:variant>
        <vt:i4>0</vt:i4>
      </vt:variant>
      <vt:variant>
        <vt:i4>5</vt:i4>
      </vt:variant>
      <vt:variant>
        <vt:lpwstr>http://www.court.gov.il/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פסק-דין בתיק בג"ץ  781/15</dc:title>
  <dc:subject/>
  <dc:creator>Administrator</dc:creator>
  <cp:keywords/>
  <dc:description/>
  <cp:lastModifiedBy>מוטי גולן</cp:lastModifiedBy>
  <cp:revision>2</cp:revision>
  <cp:lastPrinted>2021-07-11T06:11:00Z</cp:lastPrinted>
  <dcterms:created xsi:type="dcterms:W3CDTF">2021-07-11T08:43:00Z</dcterms:created>
  <dcterms:modified xsi:type="dcterms:W3CDTF">2021-07-11T08:43:00Z</dcterms:modified>
</cp:coreProperties>
</file>