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8BF" w:rsidRPr="004518A7" w:rsidRDefault="00C058BF" w:rsidP="00C058BF">
      <w:pPr>
        <w:pStyle w:val="1"/>
        <w:rPr>
          <w:rFonts w:asciiTheme="minorBidi" w:hAnsiTheme="minorBidi" w:cs="David"/>
        </w:rPr>
      </w:pPr>
      <w:bookmarkStart w:id="0" w:name="_Toc341715991"/>
      <w:r w:rsidRPr="004518A7">
        <w:rPr>
          <w:rFonts w:asciiTheme="minorBidi" w:hAnsiTheme="minorBidi" w:cs="David"/>
          <w:rtl/>
        </w:rPr>
        <w:t>הדיינים בקידה"ח ובעיבור השנה</w:t>
      </w:r>
      <w:bookmarkEnd w:id="0"/>
    </w:p>
    <w:p w:rsidR="00C058BF" w:rsidRPr="004518A7" w:rsidRDefault="00C058BF" w:rsidP="00C058BF">
      <w:pPr>
        <w:pStyle w:val="a3"/>
        <w:numPr>
          <w:ilvl w:val="0"/>
          <w:numId w:val="1"/>
        </w:numPr>
        <w:ind w:left="714"/>
        <w:jc w:val="both"/>
        <w:rPr>
          <w:rFonts w:asciiTheme="minorBidi" w:hAnsiTheme="minorBidi" w:cs="David"/>
          <w:szCs w:val="18"/>
        </w:rPr>
      </w:pPr>
      <w:r w:rsidRPr="004518A7">
        <w:rPr>
          <w:rFonts w:asciiTheme="minorBidi" w:hAnsiTheme="minorBidi" w:cs="David"/>
          <w:rtl/>
        </w:rPr>
        <w:t>איתא בגמ' שבבי"ד שמקד</w:t>
      </w:r>
      <w:bookmarkStart w:id="1" w:name="_GoBack"/>
      <w:bookmarkEnd w:id="1"/>
      <w:r w:rsidRPr="004518A7">
        <w:rPr>
          <w:rFonts w:asciiTheme="minorBidi" w:hAnsiTheme="minorBidi" w:cs="David"/>
          <w:rtl/>
        </w:rPr>
        <w:t xml:space="preserve">שים את החודש צריך להיות לפחות שלושה דיינים סמוכים, והוא נלמד מפסוק. ובירושלמי איתא שדעת שמואל שצריך עשרה, וביאר הפני משה שהוא מדרבנן כדי לפרסם את הדבר. ולכאו' לא משמע כן בגמ' שלנו שסתמה שצריך שלושה בקידה"ח, ומשמע שגם מדרבנן מספיק שלושה. וכן הרמב"ם כתב בפשיטות שמספיק שלושה בקידה"ח ולא הזכיר את הירושלמי. וראיתי בפני מבין שהביא שגם רש"י כתב שהיו עולים עשרה או יותר לסעודת עיבור החודש לקמן פ"ג ה"ז, וכתב שלקידוש עצמו ודאי מספיק שלושה, ורק היו מתאספים שם עשרה כדי לפרסם את הדבר. ואולי זה כוונת הירושלמי, ואין כאן מח'. וכן מצאתי שהבין הבני בנימין. </w:t>
      </w:r>
      <w:r w:rsidRPr="004518A7">
        <w:rPr>
          <w:rFonts w:asciiTheme="minorBidi" w:hAnsiTheme="minorBidi" w:cs="David"/>
          <w:szCs w:val="18"/>
          <w:rtl/>
        </w:rPr>
        <w:t>(ר"ה כה:, ירושלמי סנהדרין פ"א רה"ב, פני משה שם, פני מבין סנהדרין י:, בני בנימין הנדפס בסוף הרמב"ם לקמן פ"ג ה"ז)</w:t>
      </w:r>
    </w:p>
    <w:p w:rsidR="00C058BF" w:rsidRPr="004518A7" w:rsidRDefault="00C058BF" w:rsidP="00C058BF">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וברמב"ם בפיה"מ כתב שלקידה"ח לא מספיק פחות משלושה דיינים </w:t>
      </w:r>
      <w:r w:rsidRPr="004518A7">
        <w:rPr>
          <w:rFonts w:asciiTheme="minorBidi" w:hAnsiTheme="minorBidi" w:cs="David"/>
          <w:u w:val="single"/>
          <w:rtl/>
        </w:rPr>
        <w:t>או יותר</w:t>
      </w:r>
      <w:r w:rsidRPr="004518A7">
        <w:rPr>
          <w:rFonts w:asciiTheme="minorBidi" w:hAnsiTheme="minorBidi" w:cs="David"/>
          <w:rtl/>
        </w:rPr>
        <w:t xml:space="preserve">, ולכאו' משמע שצריך דוקא שלושה דיינים ולא יותר. וכן דייק הברכת אריאל. וצ"ע הטעם בזה, ועוד שמבואר במשנה שבי"ד שראו יחד את הירח יכולים לעמוד שניים מתוכם ולהעיד בפני חבריהם, ודוחק להעמיד שבאותו בי"ד היו בדיוק חמישה דיינים, שהרי בד"כ יש בבי"ד 3 דיינים או 23 דיינים בסנהדרין קטנה או 70 בסנהדרין גדולה. וגם בתוס' שם מבואר שמדובר בבי"ד של 23. </w:t>
      </w:r>
      <w:r w:rsidRPr="004518A7">
        <w:rPr>
          <w:rFonts w:asciiTheme="minorBidi" w:hAnsiTheme="minorBidi" w:cs="David"/>
          <w:sz w:val="18"/>
          <w:szCs w:val="18"/>
          <w:rtl/>
        </w:rPr>
        <w:t>(רמב"ם בפיה"מ ר"ה פ"ג מ"א, ברכת אריאל סי"ג ס"א, ר"ה כה:, תוס' שם)</w:t>
      </w:r>
    </w:p>
    <w:p w:rsidR="00C058BF" w:rsidRPr="004518A7" w:rsidRDefault="00C058BF" w:rsidP="00C058BF">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ובמכילתא מבואר שלומדים מפסוק שרק בי"ד הגדול שבירושלים יכולים לעבר את השנה, וכן לגבי קידה"ח כבר נתבאר לעיל ס"ק </w:t>
      </w:r>
      <w:r>
        <w:fldChar w:fldCharType="begin"/>
      </w:r>
      <w:r>
        <w:instrText xml:space="preserve"> REF _Ref295934467 \r \h  \* MERGEFORMAT </w:instrText>
      </w:r>
      <w:r>
        <w:fldChar w:fldCharType="separate"/>
      </w:r>
      <w:r w:rsidRPr="004518A7">
        <w:rPr>
          <w:rFonts w:asciiTheme="minorBidi" w:hAnsiTheme="minorBidi" w:cs="David"/>
          <w:cs/>
        </w:rPr>
        <w:t>‎</w:t>
      </w:r>
      <w:r w:rsidRPr="004518A7">
        <w:rPr>
          <w:rFonts w:asciiTheme="minorBidi" w:hAnsiTheme="minorBidi" w:cs="David"/>
          <w:rtl/>
        </w:rPr>
        <w:t>יח</w:t>
      </w:r>
      <w:r>
        <w:fldChar w:fldCharType="end"/>
      </w:r>
      <w:r w:rsidRPr="004518A7">
        <w:rPr>
          <w:rFonts w:asciiTheme="minorBidi" w:hAnsiTheme="minorBidi" w:cs="David"/>
          <w:rtl/>
        </w:rPr>
        <w:t xml:space="preserve"> שלומדים מפסוק שצריך שדוקא הנשיא שהוא ראש הסנהדרין יאמר מקודש, ורק אם הוא לא כאן תיקנו רבנן שלא יצטרכו ללכת אליו. וביאר הרמב"ם שגם לגבי קידה"ח רק הסנהדרין יכולים לקדש את החודש ולא כל שלושה סמוכים. ובסה"מ כתב הרמב"ם סנהדרין גדולה כמו שמבואר במכילתא, וכתב הרמב"ן שנראה שגם בהלכות כוונתו לזה. </w:t>
      </w:r>
      <w:r w:rsidRPr="004518A7">
        <w:rPr>
          <w:rFonts w:asciiTheme="minorBidi" w:hAnsiTheme="minorBidi" w:cs="David"/>
          <w:szCs w:val="18"/>
          <w:rtl/>
        </w:rPr>
        <w:t>(רמב"ם לקמן פ"ה ה"א, סה"מ עשה קנ"ג, רמב"ן שם, מכילתא פרשת בא ספ"ב)</w:t>
      </w:r>
    </w:p>
    <w:p w:rsidR="00C058BF" w:rsidRPr="004518A7" w:rsidRDefault="00C058BF" w:rsidP="00C058BF">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וכתב הרמב"ם כאן שיכולים סנהדרין לתת רשות לשלושה סמוכים לקדש את החודש, ואז יועיל הקידוש שלהם אע"פ שהם לא בסנהדרין, ולקמן פ"ד כתב הרמב"ם בפשיטות שהדיינים בעיבור השנה צריכים להיות מכלל הסנהדרין, ולא הזכיר שמועיל בכל סמוכין אם נתנו להם הסנהדרין רשות, ובהל' סנהדרין כתב הרמב"ם שצריך לעיבור השנה סמוכין ולא הזכיר כלל את הסנהדרין. ואולי בשני המקומות סמך על מה שנתבאר כאן שצריך סמוכין שנתנו להם הסנהדרין רשות. </w:t>
      </w:r>
      <w:r w:rsidRPr="004518A7">
        <w:rPr>
          <w:rFonts w:asciiTheme="minorBidi" w:hAnsiTheme="minorBidi" w:cs="David"/>
          <w:szCs w:val="18"/>
          <w:rtl/>
        </w:rPr>
        <w:t>(רמב"ם לקמן פ"ד ה"י, רמב"ם הל' סנהדרין פ"ה ה"ז)</w:t>
      </w:r>
    </w:p>
    <w:p w:rsidR="00C058BF" w:rsidRPr="004518A7" w:rsidRDefault="00C058BF" w:rsidP="00C058BF">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ואיתא בירושלמי שחברים יכולים להיכנס לקידה"ח ומצטרפים למנין, אבל לא לעיבור השנה. ופי' הפני משה והקרה"ע שאם יש חבר שהוא סמוך אבל אינו זקן יכול לדון בקידה"ח ולא בעיבור השנה. ופי' הקרה"ע שלעיבור השנה צריך זקן ויושב בישיבה, והפני משה פי' שצריך שיהיה מהסנהדרין. והירושלמי לומד את זה ממעשה שר"ג הזמין שבעה דיינים לעיבור השנה, וביקש משליחו לקורא לשבעה זקנים, ומשמע שצריך דוקא זקנים. והרמב"ם לא כתב שום חילוק בין קידה"ח לעיבור השנה, וכתב הקרה"ע שנראה שסבר שהגמ' שלנו חלקה ע"ז, כי הגמ' מביאה את אותו מעשה של ר"ג, ולא הוזכר שם שביקש דוקא זקנים. וע"ל פ"ד ה"ט שהאו"ש הבין את הירושלמי שכוונתו שבקידה"ח יכולים להיכנס גם חברים שלא הוזמנו משא"כ בעיבור השנה שאסור להם להיכנס למקום הבי"ד. </w:t>
      </w:r>
      <w:r w:rsidRPr="004518A7">
        <w:rPr>
          <w:rFonts w:asciiTheme="minorBidi" w:hAnsiTheme="minorBidi" w:cs="David"/>
          <w:szCs w:val="18"/>
          <w:rtl/>
        </w:rPr>
        <w:t>(ירושלמי סנהדרין פ"א ה"ב, פני משה קרה"ע ושיירי הקרבן שם)</w:t>
      </w:r>
    </w:p>
    <w:p w:rsidR="00C058BF" w:rsidRPr="004518A7" w:rsidRDefault="00C058BF" w:rsidP="00C058BF">
      <w:pPr>
        <w:pStyle w:val="a3"/>
        <w:jc w:val="both"/>
        <w:rPr>
          <w:rFonts w:asciiTheme="minorBidi" w:hAnsiTheme="minorBidi" w:cs="David"/>
        </w:rPr>
      </w:pPr>
      <w:r>
        <w:rPr>
          <w:rFonts w:asciiTheme="minorBidi" w:hAnsiTheme="minorBidi" w:cs="David"/>
          <w:noProof/>
        </w:rPr>
        <mc:AlternateContent>
          <mc:Choice Requires="wps">
            <w:drawing>
              <wp:anchor distT="0" distB="0" distL="114300" distR="114300" simplePos="0" relativeHeight="251659264" behindDoc="0" locked="0" layoutInCell="1" allowOverlap="1">
                <wp:simplePos x="0" y="0"/>
                <wp:positionH relativeFrom="column">
                  <wp:posOffset>3412490</wp:posOffset>
                </wp:positionH>
                <wp:positionV relativeFrom="paragraph">
                  <wp:posOffset>118745</wp:posOffset>
                </wp:positionV>
                <wp:extent cx="534670" cy="635"/>
                <wp:effectExtent l="12065" t="11430" r="5715" b="6985"/>
                <wp:wrapNone/>
                <wp:docPr id="1" name="מחבר חץ ישר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מחבר חץ ישר 1" o:spid="_x0000_s1026" type="#_x0000_t32" style="position:absolute;left:0;text-align:left;margin-left:268.7pt;margin-top:9.35pt;width:42.1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"/>
            </w:pict>
          </mc:Fallback>
        </mc:AlternateContent>
      </w:r>
    </w:p>
    <w:p w:rsidR="00C058BF" w:rsidRPr="004518A7" w:rsidRDefault="00C058BF" w:rsidP="00C058BF">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והנה מבואר ברמב"ם שמה שצריך כאן סנהדרין הוא מעיקר הדין והוא מעכב. והרמב"ן כתב שמדינא אין כלל צורך בסנהדרין אלא כל שלושה סמוכים כשרים, וכוונת המכילתא שבזמן שיש סנהדרין אין רשות לאף אחד לקדש חדשים בלי רשותם כיון שהם מכריעים בכל המחלוקות, ולכן גם כאן שהוא נוגע לכל ישראל צריך שהם יכריעו. וכ"כ היסו"ע. והנה לשון הרמב"ן שהסכמת כל ישראל שיעברו רק הסנהדרין הגדולה ולא שאר הסמוכים. ולכאו' נראה מדבריו שהוא תלוי בהסכמת העם ואינו דאו'. ואולי סבר שהפסוק הוא אסמכתא. </w:t>
      </w:r>
      <w:r w:rsidRPr="004518A7">
        <w:rPr>
          <w:rFonts w:asciiTheme="minorBidi" w:hAnsiTheme="minorBidi" w:cs="David"/>
          <w:szCs w:val="18"/>
          <w:rtl/>
        </w:rPr>
        <w:t>(רמב"ן על סה"מ עשה קנ"ג, יסו"ע מ"ד פ"ט)</w:t>
      </w:r>
    </w:p>
    <w:p w:rsidR="00C058BF" w:rsidRPr="004518A7" w:rsidRDefault="00C058BF" w:rsidP="00C058BF">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וכתבו הרמב"ן והיסו"ע שלדעתם כשבטלה סנהדרין יכולים כל שלושה סמוכין לקדש את החודש כיון שלא שייך לבקש רשות מסנהדרין, והוכיח כן הרמב"ן שהרי בזמן הגמ' היו מקדשים את החודש, ומשחרב ביהמ"ק אין לסנהדרין גדולה דין בי"ד הגדול, כיון שאינם ליד ביהמ"ק עי' בהל' סנהדרין פי"ד הי"א. וכתב מהרלב"ח שמהראיות שהביא הרמב"ן עצמו נראה שקידוש החודש תלוי בסנהדרין גם לאחר החורבן, וצ"ל שהמשיכו לעשות כמו שהיה לפני החורבן אע"פ שאינו מדינא. </w:t>
      </w:r>
      <w:r w:rsidRPr="004518A7">
        <w:rPr>
          <w:rFonts w:asciiTheme="minorBidi" w:hAnsiTheme="minorBidi" w:cs="David"/>
          <w:szCs w:val="18"/>
          <w:rtl/>
        </w:rPr>
        <w:t>(רמב"ן על סה"מ עשין קנ"ג, יסו"ע מ"ד פ"ט, שו"ת מהרלב"ח בסופו קונטרס ג')</w:t>
      </w:r>
    </w:p>
    <w:p w:rsidR="00C058BF" w:rsidRPr="004518A7" w:rsidRDefault="00C058BF" w:rsidP="00C058BF">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וכתבו מהרלב"ח המגא"ס והלב שמח והשקה"ק שהרמב"ם יסבור שגם כשאין ביהמ"ק יש דין סנהדרין גדולה לענין קידה"ח ועיבור השנה, ורק לגבי דיני נפשות צריך ביהמ"ק. ומעין זה כתב המועדים וזמנים שגם אחרי החורבן שאין סנהדרין מועיל בי"ד שיש בו נשיא שהכל כפופים אליו. </w:t>
      </w:r>
      <w:r w:rsidRPr="004518A7">
        <w:rPr>
          <w:rFonts w:asciiTheme="minorBidi" w:hAnsiTheme="minorBidi" w:cs="David"/>
          <w:rtl/>
        </w:rPr>
        <w:lastRenderedPageBreak/>
        <w:t xml:space="preserve">וכתב ריד"ה סולבייצ'יק שי"ל סברא בדברי מהרלב"ח שלדעת הרמב"ם מה שצריך סנהדרין גדולה אינו מצד שצריך דוקא את הבי"ד של הסנהדרין גדולה, אלא שקידה"ח ניתן לכלל ישראל שהם יקדשו את החודשים, ורק סנהדרין גדולה הם נחשבים כשלוחי הציבור והם באים במקום כלל ישראל, וא"כ גם בזמן שחרב ביהמ"ק כל זמן שיש סנהדרין גדולה למעשה או שעכ"פ יש בי"ד קבוע שהוא הכי חשוב, גם הוא נחשב במקום כלל ישראל, ורק כשאין בכלל בי"ד קבוע א"א לקדש את החודש לדעת הרמב"ם. </w:t>
      </w:r>
      <w:r w:rsidRPr="004518A7">
        <w:rPr>
          <w:rFonts w:asciiTheme="minorBidi" w:hAnsiTheme="minorBidi" w:cs="David"/>
          <w:szCs w:val="18"/>
          <w:rtl/>
        </w:rPr>
        <w:t>(לב שמח עשין קנ"ג, שו"ת מהרלב"ח בסופו קונטרס ג', שקה"ק פ"ה סק"ד, הפרדס שבט תש"ד, מועדים וזמנים ח"ו סי"ד)</w:t>
      </w:r>
    </w:p>
    <w:p w:rsidR="00C058BF" w:rsidRPr="004518A7" w:rsidRDefault="00C058BF" w:rsidP="00C058BF">
      <w:pPr>
        <w:pStyle w:val="a3"/>
        <w:numPr>
          <w:ilvl w:val="0"/>
          <w:numId w:val="1"/>
        </w:numPr>
        <w:ind w:left="714"/>
        <w:jc w:val="both"/>
        <w:rPr>
          <w:rFonts w:asciiTheme="minorBidi" w:hAnsiTheme="minorBidi" w:cs="David"/>
          <w:szCs w:val="18"/>
        </w:rPr>
      </w:pPr>
      <w:r w:rsidRPr="004518A7">
        <w:rPr>
          <w:rFonts w:asciiTheme="minorBidi" w:hAnsiTheme="minorBidi" w:cs="David"/>
          <w:rtl/>
        </w:rPr>
        <w:t>והגר"ח סולובייצ'יק כתב מעין זה שמה שצריך סנהדרין בקידה"ח אינו שצריך את ה</w:t>
      </w:r>
      <w:r w:rsidRPr="004518A7">
        <w:rPr>
          <w:rFonts w:asciiTheme="minorBidi" w:hAnsiTheme="minorBidi" w:cs="David"/>
          <w:u w:val="single"/>
          <w:rtl/>
        </w:rPr>
        <w:t>בי"ד</w:t>
      </w:r>
      <w:r w:rsidRPr="004518A7">
        <w:rPr>
          <w:rFonts w:asciiTheme="minorBidi" w:hAnsiTheme="minorBidi" w:cs="David"/>
          <w:rtl/>
        </w:rPr>
        <w:t xml:space="preserve"> של הסנהדרין, אלא צריך שיקדשו את החודש עם רשות מ</w:t>
      </w:r>
      <w:r w:rsidRPr="004518A7">
        <w:rPr>
          <w:rFonts w:asciiTheme="minorBidi" w:hAnsiTheme="minorBidi" w:cs="David"/>
          <w:u w:val="single"/>
          <w:rtl/>
        </w:rPr>
        <w:t>חברי</w:t>
      </w:r>
      <w:r w:rsidRPr="004518A7">
        <w:rPr>
          <w:rFonts w:asciiTheme="minorBidi" w:hAnsiTheme="minorBidi" w:cs="David"/>
          <w:rtl/>
        </w:rPr>
        <w:t xml:space="preserve"> הסנהדרין, שצריך שדיין שהוא חבר בסנהדרין יתן רשות לקדש את החודש. וכמו שמצינו שיש קדושה מיוחדת לדיין שחבר בסנהדרין גם כשאינו בבי"ד של הסנהדרין לגבי עגלה ערופה בהל' רוצח פ"ט ה"א, שצריך שימדדו את העיר הקרובה דוקא חמישה דיינים שחברים בסנהדרין אע"פ שודאי אינם מודדים בתורת בי"ד. וא"כ סבר הרמב"ם שכל מה שמצינו שיש לסנהדרין דין סנהדרין רק בזמן שהם ליד ביהמ"ק הוא רק לגבי הבי"ד של הסנהדרין, אבל דיין יכול להיחשב "חבר בסנהדרין" גם אם גלתה ממקומה, ולכן גם אחרי שחרב ביהמ"ק אפשר לקדש את החודש עפ"י חברי סנהדרין אע"פ שאין כאן בי"ד של סנהדרין. </w:t>
      </w:r>
      <w:r w:rsidRPr="004518A7">
        <w:rPr>
          <w:rFonts w:asciiTheme="minorBidi" w:hAnsiTheme="minorBidi" w:cs="David"/>
          <w:szCs w:val="18"/>
          <w:rtl/>
        </w:rPr>
        <w:t>(הפרדס שבט תש"ד הובא בחידושי הגר"ח סטנסיל סי' מ"ו)</w:t>
      </w:r>
    </w:p>
    <w:p w:rsidR="00C058BF" w:rsidRPr="004518A7" w:rsidRDefault="00C058BF" w:rsidP="00C058BF">
      <w:pPr>
        <w:pStyle w:val="a3"/>
        <w:numPr>
          <w:ilvl w:val="0"/>
          <w:numId w:val="1"/>
        </w:numPr>
        <w:ind w:left="714"/>
        <w:jc w:val="both"/>
        <w:rPr>
          <w:rFonts w:asciiTheme="minorBidi" w:hAnsiTheme="minorBidi" w:cs="David"/>
          <w:szCs w:val="18"/>
        </w:rPr>
      </w:pPr>
      <w:r w:rsidRPr="004518A7">
        <w:rPr>
          <w:rFonts w:asciiTheme="minorBidi" w:hAnsiTheme="minorBidi" w:cs="David"/>
          <w:rtl/>
        </w:rPr>
        <w:t>ומהר"י בירב כתב שבאמת גם לרמב"ם בטלה סנהדרין בזמן בגמ', אלא שכיון שעדיין יש סמוכים נחשב שהסמוכים מקדשים בשליחות הסנהדרין שהיתה קודם, ורק אם התבטלה הסמיכה גם אם תחזור אח"כ לקדמותה אינו נחשב שהם שלוחי הסנהדרין וצריך סנהדרין ממש כיון שהיתה כאן הפסקה. והמשך חכמה ומהר"ם שיק כתבו שסבר הרמב"ם שכך ניתנה ההלל"מ שכשיש סנהדרין צריך סנהדרין או שלוחם וכשאין סנהדרין אפשר גם שלושה סמוכים שאינם סנהדרין. (וכ"כ המגא"ס. ולא כ"כ הבנתי כוונתו שא"כ למה הוצרך המגא"ס לומר כדברי מהרלב"ח שבזמן הגמ' היה סנהדרין)</w:t>
      </w:r>
      <w:r w:rsidRPr="004518A7">
        <w:rPr>
          <w:rFonts w:asciiTheme="minorBidi" w:hAnsiTheme="minorBidi" w:cs="David"/>
          <w:szCs w:val="18"/>
          <w:rtl/>
        </w:rPr>
        <w:t xml:space="preserve"> (מגא"ס עשין קנ"ג, מהר"י בירב בקונטרס החכם, משך חכמה פרשת בא, שו"ת מהר"ם שי"ק או"ח סי' קפ"ה)</w:t>
      </w:r>
    </w:p>
    <w:p w:rsidR="00C058BF" w:rsidRPr="004518A7" w:rsidRDefault="00C058BF" w:rsidP="00C058BF">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והמצרף לכסף כתב שגם הרמב"ם יודה שכשאין סנהדרין הסמוכים הם במקום הסנהדרין. ולכאו' כוונתו שגם הרמב"ם יודה לדברי הרמב"ן שהדין של סנהדרין הוא רק שאין רשות לאף אחד אחר לקדש חודשים כשיש סנהדרין. ולכאו' הוא דוחק ודו"ק. </w:t>
      </w:r>
      <w:r w:rsidRPr="004518A7">
        <w:rPr>
          <w:rFonts w:asciiTheme="minorBidi" w:hAnsiTheme="minorBidi" w:cs="David"/>
          <w:szCs w:val="18"/>
          <w:rtl/>
        </w:rPr>
        <w:t>(מצרף לכסף מ"ב פ"ו)</w:t>
      </w:r>
    </w:p>
    <w:p w:rsidR="004E2EB7" w:rsidRPr="00C058BF" w:rsidRDefault="004E2EB7"/>
    <w:sectPr w:rsidR="004E2EB7" w:rsidRPr="00C058BF" w:rsidSect="005A770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5078B"/>
    <w:multiLevelType w:val="hybridMultilevel"/>
    <w:tmpl w:val="5F5245D6"/>
    <w:lvl w:ilvl="0" w:tplc="8EE67ABC">
      <w:start w:val="1"/>
      <w:numFmt w:val="hebrew1"/>
      <w:lvlRestart w:val="0"/>
      <w:lvlText w:val="%1."/>
      <w:lvlJc w:val="left"/>
      <w:pPr>
        <w:ind w:left="1071" w:hanging="363"/>
      </w:pPr>
      <w:rPr>
        <w:sz w:val="28"/>
        <w:szCs w:val="22"/>
        <w:lang w:val="en-US"/>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8BF"/>
    <w:rsid w:val="004E2EB7"/>
    <w:rsid w:val="005A7709"/>
    <w:rsid w:val="00C058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8BF"/>
    <w:pPr>
      <w:ind w:left="720"/>
      <w:contextualSpacing/>
    </w:pPr>
    <w:rPr>
      <w:rFonts w:ascii="Calibri" w:eastAsia="Calibri" w:hAnsi="Calibri" w:cs="Arial"/>
    </w:rPr>
  </w:style>
  <w:style w:type="paragraph" w:customStyle="1" w:styleId="1">
    <w:name w:val="כותרת משנה 1"/>
    <w:basedOn w:val="a4"/>
    <w:link w:val="10"/>
    <w:qFormat/>
    <w:rsid w:val="00C058BF"/>
    <w:pPr>
      <w:numPr>
        <w:ilvl w:val="0"/>
      </w:numPr>
      <w:spacing w:after="60"/>
      <w:jc w:val="both"/>
      <w:outlineLvl w:val="1"/>
    </w:pPr>
    <w:rPr>
      <w:rFonts w:ascii="Times New Roman" w:eastAsia="Times New Roman" w:hAnsi="Times New Roman" w:cs="Times New Roman"/>
      <w:i w:val="0"/>
      <w:iCs w:val="0"/>
      <w:sz w:val="16"/>
      <w:szCs w:val="16"/>
    </w:rPr>
  </w:style>
  <w:style w:type="character" w:customStyle="1" w:styleId="10">
    <w:name w:val="כותרת משנה 1 תו"/>
    <w:basedOn w:val="a5"/>
    <w:link w:val="1"/>
    <w:rsid w:val="00C058BF"/>
    <w:rPr>
      <w:rFonts w:ascii="Times New Roman" w:eastAsia="Times New Roman" w:hAnsi="Times New Roman" w:cs="Times New Roman"/>
      <w:i w:val="0"/>
      <w:iCs w:val="0"/>
      <w:color w:val="4F81BD" w:themeColor="accent1"/>
      <w:spacing w:val="15"/>
      <w:sz w:val="16"/>
      <w:szCs w:val="16"/>
    </w:rPr>
  </w:style>
  <w:style w:type="paragraph" w:styleId="a4">
    <w:name w:val="Subtitle"/>
    <w:basedOn w:val="a"/>
    <w:next w:val="a"/>
    <w:link w:val="a5"/>
    <w:uiPriority w:val="11"/>
    <w:qFormat/>
    <w:rsid w:val="00C058B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כותרת משנה תו"/>
    <w:basedOn w:val="a0"/>
    <w:link w:val="a4"/>
    <w:uiPriority w:val="11"/>
    <w:rsid w:val="00C058B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8BF"/>
    <w:pPr>
      <w:ind w:left="720"/>
      <w:contextualSpacing/>
    </w:pPr>
    <w:rPr>
      <w:rFonts w:ascii="Calibri" w:eastAsia="Calibri" w:hAnsi="Calibri" w:cs="Arial"/>
    </w:rPr>
  </w:style>
  <w:style w:type="paragraph" w:customStyle="1" w:styleId="1">
    <w:name w:val="כותרת משנה 1"/>
    <w:basedOn w:val="a4"/>
    <w:link w:val="10"/>
    <w:qFormat/>
    <w:rsid w:val="00C058BF"/>
    <w:pPr>
      <w:numPr>
        <w:ilvl w:val="0"/>
      </w:numPr>
      <w:spacing w:after="60"/>
      <w:jc w:val="both"/>
      <w:outlineLvl w:val="1"/>
    </w:pPr>
    <w:rPr>
      <w:rFonts w:ascii="Times New Roman" w:eastAsia="Times New Roman" w:hAnsi="Times New Roman" w:cs="Times New Roman"/>
      <w:i w:val="0"/>
      <w:iCs w:val="0"/>
      <w:sz w:val="16"/>
      <w:szCs w:val="16"/>
    </w:rPr>
  </w:style>
  <w:style w:type="character" w:customStyle="1" w:styleId="10">
    <w:name w:val="כותרת משנה 1 תו"/>
    <w:basedOn w:val="a5"/>
    <w:link w:val="1"/>
    <w:rsid w:val="00C058BF"/>
    <w:rPr>
      <w:rFonts w:ascii="Times New Roman" w:eastAsia="Times New Roman" w:hAnsi="Times New Roman" w:cs="Times New Roman"/>
      <w:i w:val="0"/>
      <w:iCs w:val="0"/>
      <w:color w:val="4F81BD" w:themeColor="accent1"/>
      <w:spacing w:val="15"/>
      <w:sz w:val="16"/>
      <w:szCs w:val="16"/>
    </w:rPr>
  </w:style>
  <w:style w:type="paragraph" w:styleId="a4">
    <w:name w:val="Subtitle"/>
    <w:basedOn w:val="a"/>
    <w:next w:val="a"/>
    <w:link w:val="a5"/>
    <w:uiPriority w:val="11"/>
    <w:qFormat/>
    <w:rsid w:val="00C058B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כותרת משנה תו"/>
    <w:basedOn w:val="a0"/>
    <w:link w:val="a4"/>
    <w:uiPriority w:val="11"/>
    <w:rsid w:val="00C058B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1024</Words>
  <Characters>5123</Characters>
  <Application>Microsoft Office Word</Application>
  <DocSecurity>0</DocSecurity>
  <Lines>42</Lines>
  <Paragraphs>12</Paragraphs>
  <ScaleCrop>false</ScaleCrop>
  <Company/>
  <LinksUpToDate>false</LinksUpToDate>
  <CharactersWithSpaces>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שמואל כליפא</dc:creator>
  <cp:lastModifiedBy>שמואל כליפא</cp:lastModifiedBy>
  <cp:revision>1</cp:revision>
  <dcterms:created xsi:type="dcterms:W3CDTF">2014-05-11T21:36:00Z</dcterms:created>
  <dcterms:modified xsi:type="dcterms:W3CDTF">2014-05-11T21:37:00Z</dcterms:modified>
</cp:coreProperties>
</file>