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AA5" w:rsidRDefault="00C45AA5" w:rsidP="00C45AA5">
      <w:pPr>
        <w:spacing w:after="0" w:line="360" w:lineRule="auto"/>
        <w:jc w:val="both"/>
        <w:rPr>
          <w:rFonts w:cs="David"/>
          <w:sz w:val="26"/>
          <w:szCs w:val="26"/>
          <w:rtl/>
        </w:rPr>
      </w:pPr>
      <w:r>
        <w:rPr>
          <w:rFonts w:cs="David" w:hint="cs"/>
          <w:sz w:val="26"/>
          <w:szCs w:val="26"/>
          <w:rtl/>
        </w:rPr>
        <w:t>בס"ד</w:t>
      </w:r>
    </w:p>
    <w:p w:rsidR="00C45AA5" w:rsidRPr="009E0A41" w:rsidRDefault="00C45AA5" w:rsidP="00C45AA5">
      <w:pPr>
        <w:spacing w:after="0" w:line="360" w:lineRule="auto"/>
        <w:jc w:val="center"/>
        <w:rPr>
          <w:rFonts w:cs="David"/>
          <w:sz w:val="44"/>
          <w:szCs w:val="44"/>
          <w:u w:val="single"/>
          <w:rtl/>
        </w:rPr>
      </w:pPr>
      <w:r w:rsidRPr="009E0A41">
        <w:rPr>
          <w:rFonts w:cs="David" w:hint="cs"/>
          <w:sz w:val="44"/>
          <w:szCs w:val="44"/>
          <w:u w:val="single"/>
          <w:rtl/>
        </w:rPr>
        <w:t>מערך שיעורים והרצאות לשבת חתן פרשת ראה</w:t>
      </w:r>
    </w:p>
    <w:p w:rsidR="00C45AA5" w:rsidRPr="009E0A41" w:rsidRDefault="00C45AA5" w:rsidP="00C45AA5">
      <w:pPr>
        <w:spacing w:after="0" w:line="360" w:lineRule="auto"/>
        <w:jc w:val="center"/>
        <w:rPr>
          <w:rFonts w:cs="David"/>
          <w:sz w:val="44"/>
          <w:szCs w:val="44"/>
          <w:rtl/>
        </w:rPr>
      </w:pPr>
      <w:r w:rsidRPr="009E0A41">
        <w:rPr>
          <w:rFonts w:cs="David" w:hint="cs"/>
          <w:sz w:val="44"/>
          <w:szCs w:val="44"/>
          <w:u w:val="single"/>
          <w:rtl/>
        </w:rPr>
        <w:t xml:space="preserve">מאת </w:t>
      </w:r>
      <w:proofErr w:type="spellStart"/>
      <w:r w:rsidRPr="009E0A41">
        <w:rPr>
          <w:rFonts w:cs="David" w:hint="cs"/>
          <w:sz w:val="44"/>
          <w:szCs w:val="44"/>
          <w:u w:val="single"/>
          <w:rtl/>
        </w:rPr>
        <w:t>אליאור</w:t>
      </w:r>
      <w:proofErr w:type="spellEnd"/>
      <w:r w:rsidRPr="009E0A41">
        <w:rPr>
          <w:rFonts w:cs="David" w:hint="cs"/>
          <w:sz w:val="44"/>
          <w:szCs w:val="44"/>
          <w:u w:val="single"/>
          <w:rtl/>
        </w:rPr>
        <w:t xml:space="preserve"> </w:t>
      </w:r>
      <w:proofErr w:type="spellStart"/>
      <w:r w:rsidRPr="009E0A41">
        <w:rPr>
          <w:rFonts w:cs="David" w:hint="cs"/>
          <w:sz w:val="44"/>
          <w:szCs w:val="44"/>
          <w:u w:val="single"/>
          <w:rtl/>
        </w:rPr>
        <w:t>בביאן</w:t>
      </w:r>
      <w:proofErr w:type="spellEnd"/>
    </w:p>
    <w:p w:rsidR="00C45AA5" w:rsidRPr="009E0A41" w:rsidRDefault="00C45AA5" w:rsidP="00C45AA5">
      <w:pPr>
        <w:spacing w:after="0" w:line="360" w:lineRule="auto"/>
        <w:jc w:val="center"/>
        <w:rPr>
          <w:rFonts w:cs="David"/>
          <w:sz w:val="44"/>
          <w:szCs w:val="44"/>
          <w:rtl/>
        </w:rPr>
      </w:pPr>
      <w:r w:rsidRPr="009E0A41">
        <w:rPr>
          <w:rFonts w:cs="David" w:hint="cs"/>
          <w:sz w:val="44"/>
          <w:szCs w:val="44"/>
          <w:rtl/>
        </w:rPr>
        <w:t>1. מבנה הפרשה והמסר שלה</w:t>
      </w:r>
    </w:p>
    <w:p w:rsidR="00C45AA5" w:rsidRPr="009E0A41" w:rsidRDefault="00C45AA5" w:rsidP="00C45AA5">
      <w:pPr>
        <w:spacing w:after="0" w:line="360" w:lineRule="auto"/>
        <w:jc w:val="center"/>
        <w:rPr>
          <w:rFonts w:cs="David"/>
          <w:sz w:val="44"/>
          <w:szCs w:val="44"/>
          <w:rtl/>
        </w:rPr>
      </w:pPr>
      <w:r w:rsidRPr="009E0A41">
        <w:rPr>
          <w:rFonts w:cs="David" w:hint="cs"/>
          <w:sz w:val="44"/>
          <w:szCs w:val="44"/>
          <w:rtl/>
        </w:rPr>
        <w:t>2. היין והשמן</w:t>
      </w:r>
    </w:p>
    <w:p w:rsidR="00C45AA5" w:rsidRPr="009E0A41" w:rsidRDefault="00C45AA5" w:rsidP="00C45AA5">
      <w:pPr>
        <w:spacing w:after="0" w:line="360" w:lineRule="auto"/>
        <w:jc w:val="center"/>
        <w:rPr>
          <w:rFonts w:cs="David"/>
          <w:sz w:val="44"/>
          <w:szCs w:val="44"/>
          <w:rtl/>
        </w:rPr>
      </w:pPr>
      <w:r w:rsidRPr="009E0A41">
        <w:rPr>
          <w:rFonts w:cs="David" w:hint="cs"/>
          <w:sz w:val="44"/>
          <w:szCs w:val="44"/>
          <w:rtl/>
        </w:rPr>
        <w:t>3. בל תוסיף</w:t>
      </w:r>
    </w:p>
    <w:p w:rsidR="00C45AA5" w:rsidRPr="009E0A41" w:rsidRDefault="00C45AA5" w:rsidP="00C45AA5">
      <w:pPr>
        <w:spacing w:after="0" w:line="360" w:lineRule="auto"/>
        <w:jc w:val="center"/>
        <w:rPr>
          <w:rFonts w:cs="David"/>
          <w:sz w:val="44"/>
          <w:szCs w:val="44"/>
          <w:rtl/>
        </w:rPr>
      </w:pPr>
      <w:r w:rsidRPr="009E0A41">
        <w:rPr>
          <w:rFonts w:cs="David" w:hint="cs"/>
          <w:sz w:val="44"/>
          <w:szCs w:val="44"/>
          <w:rtl/>
        </w:rPr>
        <w:t>4. קרבה שנת השבע</w:t>
      </w:r>
    </w:p>
    <w:p w:rsidR="00C45AA5" w:rsidRPr="009E0A41" w:rsidRDefault="00C45AA5" w:rsidP="00C45AA5">
      <w:pPr>
        <w:spacing w:after="0" w:line="360" w:lineRule="auto"/>
        <w:jc w:val="center"/>
        <w:rPr>
          <w:rFonts w:cs="David"/>
          <w:sz w:val="44"/>
          <w:szCs w:val="44"/>
          <w:rtl/>
        </w:rPr>
      </w:pPr>
      <w:r w:rsidRPr="009E0A41">
        <w:rPr>
          <w:rFonts w:cs="David" w:hint="cs"/>
          <w:sz w:val="44"/>
          <w:szCs w:val="44"/>
          <w:rtl/>
        </w:rPr>
        <w:t>5. הפטרה ופרשה</w:t>
      </w:r>
    </w:p>
    <w:p w:rsidR="00C45AA5" w:rsidRPr="009E0A41" w:rsidRDefault="00C45AA5" w:rsidP="00C45AA5">
      <w:pPr>
        <w:spacing w:after="0" w:line="360" w:lineRule="auto"/>
        <w:jc w:val="center"/>
        <w:rPr>
          <w:rFonts w:cs="David"/>
          <w:sz w:val="44"/>
          <w:szCs w:val="44"/>
          <w:rtl/>
        </w:rPr>
      </w:pPr>
      <w:r w:rsidRPr="009E0A41">
        <w:rPr>
          <w:rFonts w:cs="David" w:hint="cs"/>
          <w:sz w:val="44"/>
          <w:szCs w:val="44"/>
          <w:rtl/>
        </w:rPr>
        <w:t xml:space="preserve">6. התפילה </w:t>
      </w:r>
      <w:r w:rsidRPr="009E0A41">
        <w:rPr>
          <w:rFonts w:cs="David"/>
          <w:sz w:val="44"/>
          <w:szCs w:val="44"/>
          <w:rtl/>
        </w:rPr>
        <w:t>–</w:t>
      </w:r>
      <w:r w:rsidRPr="009E0A41">
        <w:rPr>
          <w:rFonts w:cs="David" w:hint="cs"/>
          <w:sz w:val="44"/>
          <w:szCs w:val="44"/>
          <w:rtl/>
        </w:rPr>
        <w:t xml:space="preserve"> "כי מי גוי גדול"</w:t>
      </w:r>
    </w:p>
    <w:p w:rsidR="00C45AA5" w:rsidRPr="009E0A41" w:rsidRDefault="00C45AA5" w:rsidP="00C45AA5">
      <w:pPr>
        <w:spacing w:after="0" w:line="360" w:lineRule="auto"/>
        <w:jc w:val="center"/>
        <w:rPr>
          <w:rFonts w:cs="David"/>
          <w:sz w:val="44"/>
          <w:szCs w:val="44"/>
          <w:rtl/>
        </w:rPr>
      </w:pPr>
      <w:r w:rsidRPr="009E0A41">
        <w:rPr>
          <w:rFonts w:cs="David" w:hint="cs"/>
          <w:sz w:val="44"/>
          <w:szCs w:val="44"/>
          <w:rtl/>
        </w:rPr>
        <w:t>7. הסיר כסמל לשלום</w:t>
      </w:r>
    </w:p>
    <w:p w:rsidR="00C45AA5" w:rsidRDefault="00C45AA5" w:rsidP="00C45AA5">
      <w:pPr>
        <w:spacing w:after="0" w:line="360" w:lineRule="auto"/>
        <w:jc w:val="center"/>
        <w:rPr>
          <w:rFonts w:cs="David"/>
          <w:sz w:val="44"/>
          <w:szCs w:val="44"/>
          <w:rtl/>
        </w:rPr>
      </w:pPr>
      <w:r w:rsidRPr="009E0A41">
        <w:rPr>
          <w:rFonts w:cs="David" w:hint="cs"/>
          <w:sz w:val="44"/>
          <w:szCs w:val="44"/>
          <w:rtl/>
        </w:rPr>
        <w:t>8. לאו הבא מכלל עשה</w:t>
      </w:r>
    </w:p>
    <w:p w:rsidR="00C45AA5" w:rsidRDefault="00C45AA5" w:rsidP="00C45AA5">
      <w:pPr>
        <w:spacing w:after="0" w:line="360" w:lineRule="auto"/>
        <w:jc w:val="center"/>
        <w:rPr>
          <w:rFonts w:cs="David" w:hint="cs"/>
          <w:sz w:val="44"/>
          <w:szCs w:val="44"/>
          <w:rtl/>
        </w:rPr>
      </w:pPr>
      <w:r>
        <w:rPr>
          <w:rFonts w:cs="David" w:hint="cs"/>
          <w:sz w:val="44"/>
          <w:szCs w:val="44"/>
          <w:rtl/>
        </w:rPr>
        <w:t>9. אני לדודי ודודי לי</w:t>
      </w:r>
    </w:p>
    <w:p w:rsidR="00C45AA5" w:rsidRDefault="00C45AA5" w:rsidP="00C45AA5">
      <w:pPr>
        <w:spacing w:after="0" w:line="360" w:lineRule="auto"/>
        <w:jc w:val="center"/>
        <w:rPr>
          <w:rFonts w:cs="David" w:hint="cs"/>
          <w:sz w:val="44"/>
          <w:szCs w:val="44"/>
          <w:rtl/>
        </w:rPr>
      </w:pPr>
      <w:r>
        <w:rPr>
          <w:rFonts w:cs="David" w:hint="cs"/>
          <w:sz w:val="44"/>
          <w:szCs w:val="44"/>
          <w:rtl/>
        </w:rPr>
        <w:t>10. דמיון ספר דניאל לסיפור יוסף</w:t>
      </w:r>
    </w:p>
    <w:p w:rsidR="00C45AA5" w:rsidRDefault="00C45AA5" w:rsidP="00C45AA5">
      <w:pPr>
        <w:spacing w:after="0" w:line="360" w:lineRule="auto"/>
        <w:jc w:val="center"/>
        <w:rPr>
          <w:rFonts w:cs="David" w:hint="cs"/>
          <w:sz w:val="44"/>
          <w:szCs w:val="44"/>
          <w:rtl/>
        </w:rPr>
      </w:pPr>
      <w:r>
        <w:rPr>
          <w:rFonts w:cs="David" w:hint="cs"/>
          <w:sz w:val="44"/>
          <w:szCs w:val="44"/>
          <w:rtl/>
        </w:rPr>
        <w:t>11. מעגל החטא, העונש והתשועה</w:t>
      </w:r>
    </w:p>
    <w:p w:rsidR="00C45AA5" w:rsidRDefault="00C45AA5" w:rsidP="00C45AA5">
      <w:pPr>
        <w:spacing w:after="0" w:line="360" w:lineRule="auto"/>
        <w:jc w:val="center"/>
        <w:rPr>
          <w:rFonts w:cs="David"/>
          <w:sz w:val="44"/>
          <w:szCs w:val="44"/>
          <w:rtl/>
        </w:rPr>
      </w:pPr>
      <w:r>
        <w:rPr>
          <w:rFonts w:cs="David" w:hint="cs"/>
          <w:sz w:val="44"/>
          <w:szCs w:val="44"/>
          <w:rtl/>
        </w:rPr>
        <w:t>12. "בא חבקוק והעמידן על אחת"</w:t>
      </w:r>
    </w:p>
    <w:p w:rsidR="00C45AA5" w:rsidRDefault="00C45AA5" w:rsidP="00C45AA5">
      <w:pPr>
        <w:spacing w:after="0" w:line="360" w:lineRule="auto"/>
        <w:jc w:val="center"/>
        <w:rPr>
          <w:rFonts w:cs="David"/>
          <w:sz w:val="44"/>
          <w:szCs w:val="44"/>
          <w:rtl/>
        </w:rPr>
      </w:pPr>
      <w:r>
        <w:rPr>
          <w:rFonts w:cs="David" w:hint="cs"/>
          <w:sz w:val="44"/>
          <w:szCs w:val="44"/>
          <w:rtl/>
        </w:rPr>
        <w:t>13. "מה ה' אלוהיך שואל מעמך"</w:t>
      </w:r>
    </w:p>
    <w:p w:rsidR="00C45AA5" w:rsidRDefault="00C45AA5" w:rsidP="00C45AA5">
      <w:pPr>
        <w:spacing w:after="0" w:line="360" w:lineRule="auto"/>
        <w:jc w:val="center"/>
        <w:rPr>
          <w:rFonts w:cs="David"/>
          <w:sz w:val="44"/>
          <w:szCs w:val="44"/>
          <w:rtl/>
        </w:rPr>
      </w:pPr>
      <w:r>
        <w:rPr>
          <w:rFonts w:cs="David" w:hint="cs"/>
          <w:sz w:val="44"/>
          <w:szCs w:val="44"/>
          <w:rtl/>
        </w:rPr>
        <w:t xml:space="preserve">14. "הכה שאול באלפיו ודוד </w:t>
      </w:r>
      <w:proofErr w:type="spellStart"/>
      <w:r>
        <w:rPr>
          <w:rFonts w:cs="David" w:hint="cs"/>
          <w:sz w:val="44"/>
          <w:szCs w:val="44"/>
          <w:rtl/>
        </w:rPr>
        <w:t>בריבבותיו</w:t>
      </w:r>
      <w:proofErr w:type="spellEnd"/>
      <w:r>
        <w:rPr>
          <w:rFonts w:cs="David" w:hint="cs"/>
          <w:sz w:val="44"/>
          <w:szCs w:val="44"/>
          <w:rtl/>
        </w:rPr>
        <w:t>"</w:t>
      </w:r>
    </w:p>
    <w:p w:rsidR="00C45AA5" w:rsidRPr="009E0A41" w:rsidRDefault="00C45AA5" w:rsidP="00C45AA5">
      <w:pPr>
        <w:spacing w:after="0" w:line="360" w:lineRule="auto"/>
        <w:jc w:val="center"/>
        <w:rPr>
          <w:rFonts w:cs="David"/>
          <w:sz w:val="44"/>
          <w:szCs w:val="44"/>
          <w:rtl/>
        </w:rPr>
      </w:pPr>
      <w:r>
        <w:rPr>
          <w:rFonts w:cs="David" w:hint="cs"/>
          <w:sz w:val="44"/>
          <w:szCs w:val="44"/>
          <w:rtl/>
        </w:rPr>
        <w:t>15. נותן חכמה לחכמים</w:t>
      </w:r>
    </w:p>
    <w:p w:rsidR="00C45AA5" w:rsidRDefault="00C45AA5" w:rsidP="00C45AA5">
      <w:pPr>
        <w:spacing w:after="0" w:line="360" w:lineRule="auto"/>
        <w:jc w:val="both"/>
        <w:rPr>
          <w:rFonts w:cs="David"/>
          <w:sz w:val="26"/>
          <w:szCs w:val="26"/>
          <w:rtl/>
        </w:rPr>
      </w:pPr>
    </w:p>
    <w:p w:rsidR="00C45AA5" w:rsidRDefault="00C45AA5" w:rsidP="00C45AA5">
      <w:pPr>
        <w:spacing w:after="0" w:line="360" w:lineRule="auto"/>
        <w:jc w:val="both"/>
        <w:rPr>
          <w:rFonts w:cs="David"/>
          <w:sz w:val="26"/>
          <w:szCs w:val="26"/>
          <w:rtl/>
        </w:rPr>
      </w:pPr>
    </w:p>
    <w:p w:rsidR="00C45AA5" w:rsidRDefault="00C45AA5" w:rsidP="00C45AA5">
      <w:pPr>
        <w:spacing w:after="0" w:line="360" w:lineRule="auto"/>
        <w:jc w:val="both"/>
        <w:rPr>
          <w:rFonts w:cs="David"/>
          <w:sz w:val="26"/>
          <w:szCs w:val="26"/>
          <w:rtl/>
        </w:rPr>
      </w:pPr>
    </w:p>
    <w:p w:rsidR="00C45AA5" w:rsidRDefault="00C45AA5" w:rsidP="00C45AA5">
      <w:pPr>
        <w:spacing w:after="0" w:line="360" w:lineRule="auto"/>
        <w:jc w:val="both"/>
        <w:rPr>
          <w:rFonts w:cs="David"/>
          <w:sz w:val="26"/>
          <w:szCs w:val="26"/>
          <w:rtl/>
        </w:rPr>
      </w:pPr>
    </w:p>
    <w:p w:rsidR="00C45AA5" w:rsidRDefault="00C45AA5" w:rsidP="00C45AA5">
      <w:pPr>
        <w:spacing w:after="0" w:line="360" w:lineRule="auto"/>
        <w:jc w:val="both"/>
        <w:rPr>
          <w:rFonts w:cs="David"/>
          <w:sz w:val="26"/>
          <w:szCs w:val="26"/>
          <w:rtl/>
        </w:rPr>
      </w:pPr>
    </w:p>
    <w:p w:rsidR="00C45AA5" w:rsidRDefault="00C45AA5" w:rsidP="00C45AA5">
      <w:pPr>
        <w:spacing w:after="0" w:line="360" w:lineRule="auto"/>
        <w:jc w:val="both"/>
        <w:rPr>
          <w:rFonts w:cs="David"/>
          <w:sz w:val="26"/>
          <w:szCs w:val="26"/>
          <w:rtl/>
        </w:rPr>
      </w:pPr>
    </w:p>
    <w:p w:rsidR="00C45AA5" w:rsidRDefault="00C45AA5" w:rsidP="00C45AA5">
      <w:pPr>
        <w:spacing w:after="0" w:line="360" w:lineRule="auto"/>
        <w:jc w:val="both"/>
        <w:rPr>
          <w:rFonts w:cs="David" w:hint="cs"/>
          <w:b/>
          <w:bCs/>
          <w:sz w:val="26"/>
          <w:szCs w:val="26"/>
          <w:u w:val="single"/>
          <w:rtl/>
        </w:rPr>
      </w:pPr>
      <w:r>
        <w:rPr>
          <w:rFonts w:cs="David" w:hint="cs"/>
          <w:b/>
          <w:bCs/>
          <w:sz w:val="26"/>
          <w:szCs w:val="26"/>
          <w:u w:val="single"/>
          <w:rtl/>
        </w:rPr>
        <w:lastRenderedPageBreak/>
        <w:t>שיחה מס' 7: אני לדודי ודודי לי</w:t>
      </w:r>
    </w:p>
    <w:p w:rsidR="00C45AA5" w:rsidRDefault="00C45AA5" w:rsidP="00C45AA5">
      <w:pPr>
        <w:spacing w:after="0" w:line="360" w:lineRule="auto"/>
        <w:jc w:val="both"/>
        <w:rPr>
          <w:rFonts w:cs="David" w:hint="cs"/>
          <w:sz w:val="26"/>
          <w:szCs w:val="26"/>
          <w:rtl/>
        </w:rPr>
      </w:pPr>
      <w:r>
        <w:rPr>
          <w:rFonts w:cs="David" w:hint="cs"/>
          <w:sz w:val="26"/>
          <w:szCs w:val="26"/>
          <w:rtl/>
        </w:rPr>
        <w:t xml:space="preserve">אנו נמצאים בשבת מיוחדת: חודש אלול בפתח, שבת פרשת ראה וחגיגת שבת חתן. כל אלו נקשר ברעיון אחד שמשלב את כולם בקו משותף. נפתח בחודש אלול. חודש זה מכונה גם "חודש הרחמים והסליחות", ועל ימים אלו נאמר "המלך בשדה", כלומר, בורא עולם קרוב אלינו יותר מתמיד ופתוח לקבלת תשובתנו. חכמים מצאו אסמכתא לדבר מראשי התיבות בשם החודש: </w:t>
      </w:r>
      <w:r w:rsidRPr="00C45AA5">
        <w:rPr>
          <w:rFonts w:cs="David" w:hint="cs"/>
          <w:b/>
          <w:bCs/>
          <w:sz w:val="26"/>
          <w:szCs w:val="26"/>
          <w:rtl/>
        </w:rPr>
        <w:t>א</w:t>
      </w:r>
      <w:r>
        <w:rPr>
          <w:rFonts w:cs="David" w:hint="cs"/>
          <w:sz w:val="26"/>
          <w:szCs w:val="26"/>
          <w:rtl/>
        </w:rPr>
        <w:t xml:space="preserve">ני </w:t>
      </w:r>
      <w:r w:rsidRPr="00C45AA5">
        <w:rPr>
          <w:rFonts w:cs="David" w:hint="cs"/>
          <w:b/>
          <w:bCs/>
          <w:sz w:val="26"/>
          <w:szCs w:val="26"/>
          <w:rtl/>
        </w:rPr>
        <w:t>ל</w:t>
      </w:r>
      <w:r>
        <w:rPr>
          <w:rFonts w:cs="David" w:hint="cs"/>
          <w:sz w:val="26"/>
          <w:szCs w:val="26"/>
          <w:rtl/>
        </w:rPr>
        <w:t xml:space="preserve">דודי </w:t>
      </w:r>
      <w:r w:rsidRPr="00C45AA5">
        <w:rPr>
          <w:rFonts w:cs="David" w:hint="cs"/>
          <w:b/>
          <w:bCs/>
          <w:sz w:val="26"/>
          <w:szCs w:val="26"/>
          <w:rtl/>
        </w:rPr>
        <w:t>ו</w:t>
      </w:r>
      <w:r>
        <w:rPr>
          <w:rFonts w:cs="David" w:hint="cs"/>
          <w:sz w:val="26"/>
          <w:szCs w:val="26"/>
          <w:rtl/>
        </w:rPr>
        <w:t xml:space="preserve">דודי </w:t>
      </w:r>
      <w:r w:rsidRPr="00C45AA5">
        <w:rPr>
          <w:rFonts w:cs="David" w:hint="cs"/>
          <w:b/>
          <w:bCs/>
          <w:sz w:val="26"/>
          <w:szCs w:val="26"/>
          <w:rtl/>
        </w:rPr>
        <w:t>ל</w:t>
      </w:r>
      <w:r>
        <w:rPr>
          <w:rFonts w:cs="David" w:hint="cs"/>
          <w:sz w:val="26"/>
          <w:szCs w:val="26"/>
          <w:rtl/>
        </w:rPr>
        <w:t xml:space="preserve">י. פסוק זה לקוח מספר שיר השירים. בספר זה מסופר על אהבה שבין בחור, המכונה "דוד", ובין בחורה המכונה "רעיה". במשך כל הפרקים מושמעים דברי אהבה מהאהוב לאהובתו ולהיפך. חז"ל קובעים כי מדובר בסיפור </w:t>
      </w:r>
      <w:proofErr w:type="spellStart"/>
      <w:r>
        <w:rPr>
          <w:rFonts w:cs="David" w:hint="cs"/>
          <w:sz w:val="26"/>
          <w:szCs w:val="26"/>
          <w:rtl/>
        </w:rPr>
        <w:t>אליגורי</w:t>
      </w:r>
      <w:proofErr w:type="spellEnd"/>
      <w:r>
        <w:rPr>
          <w:rFonts w:cs="David" w:hint="cs"/>
          <w:sz w:val="26"/>
          <w:szCs w:val="26"/>
          <w:rtl/>
        </w:rPr>
        <w:t xml:space="preserve">, כלומר במשל. הדוד מייצג את ה' והרעיה </w:t>
      </w:r>
      <w:r>
        <w:rPr>
          <w:rFonts w:cs="David"/>
          <w:sz w:val="26"/>
          <w:szCs w:val="26"/>
          <w:rtl/>
        </w:rPr>
        <w:t>–</w:t>
      </w:r>
      <w:r>
        <w:rPr>
          <w:rFonts w:cs="David" w:hint="cs"/>
          <w:sz w:val="26"/>
          <w:szCs w:val="26"/>
          <w:rtl/>
        </w:rPr>
        <w:t xml:space="preserve"> את עם ישראל. זהו איפה סיפור אהבה בין ה' לעם ישראל שמיוצג כאהבת איש לאישה.</w:t>
      </w:r>
    </w:p>
    <w:p w:rsidR="00C45AA5" w:rsidRDefault="00C45AA5" w:rsidP="00C45AA5">
      <w:pPr>
        <w:spacing w:after="0" w:line="360" w:lineRule="auto"/>
        <w:jc w:val="both"/>
        <w:rPr>
          <w:rFonts w:cs="David" w:hint="cs"/>
          <w:sz w:val="26"/>
          <w:szCs w:val="26"/>
          <w:rtl/>
        </w:rPr>
      </w:pPr>
      <w:r>
        <w:rPr>
          <w:rFonts w:cs="David" w:hint="cs"/>
          <w:sz w:val="26"/>
          <w:szCs w:val="26"/>
          <w:rtl/>
        </w:rPr>
        <w:t xml:space="preserve">מוטיב מרכזי בקשר הזה הוא ששני בני הזוג תורמים לקשר כמעט במידה שווה. ספר שיר השירים חוזר ומדגיש את המסר הזה באמצעים ספרותיים שונים. נדגים כמה מהם: בראש ובראשונה, הפסוק "אני לדודי ודודי לי". יחס האוהבים בפסוק זה הוא הדדי. מעבר לכך, מובלטת הסימטריות גם בפסוק: "כשושנה בין החוחים כן רעיתי בין הבנות" שמושמע מפי הדוד, מול הפסוק "כתפוח בעצי היער כן דודי בין הבנים". בשני הפסוקים הללו מדמה צד אחד את הצד השני לצומח הבולט לטובה בסביבתו. </w:t>
      </w:r>
      <w:r w:rsidR="004F39C6">
        <w:rPr>
          <w:rFonts w:cs="David" w:hint="cs"/>
          <w:sz w:val="26"/>
          <w:szCs w:val="26"/>
          <w:rtl/>
        </w:rPr>
        <w:t>עוד: הרעיה מתארת במספר סוגים את מבנה גופו של הדוד לאבנים טובות: "ראשו כתם פז קווצותיו תלתלים שחורות כעורב: עיניו כיונים על אפיקי מים.. לחייו כערוגת הבושם". בדומה לכך, גם האוהב מתאר את חיצוניותה של הרעיה: "ראשך עליך ככרמל. צווארך כמגדל השן עיניך ברכות בחשבון על שער בת רבים אפך כמגדל הלבנון צופה פני דמשק". כל אלו מצביעים ששלהבת הקשר מתלבה הן על ידי האוהב, הלא הוא ה', והן על ידי האוהבת, הלא הם בני ישראל.</w:t>
      </w:r>
    </w:p>
    <w:p w:rsidR="004F39C6" w:rsidRDefault="00447AE6" w:rsidP="00C45AA5">
      <w:pPr>
        <w:spacing w:after="0" w:line="360" w:lineRule="auto"/>
        <w:jc w:val="both"/>
        <w:rPr>
          <w:rFonts w:cs="David" w:hint="cs"/>
          <w:sz w:val="26"/>
          <w:szCs w:val="26"/>
          <w:rtl/>
        </w:rPr>
      </w:pPr>
      <w:r>
        <w:rPr>
          <w:rFonts w:cs="David" w:hint="cs"/>
          <w:sz w:val="26"/>
          <w:szCs w:val="26"/>
          <w:rtl/>
        </w:rPr>
        <w:t>דברים אלו מסבירים את הפסוק בפרשתנו: "כי עם קדוש אתה לה' אלוהיך ובך בחר ה' להיות לו לעם סגולה מכל העמים אשר על פני האדמה". ה' בוחר בנו כי אנחנו קדושים ונאמנים אליו. הקשר נבנה בין שני הצדדים.</w:t>
      </w:r>
    </w:p>
    <w:p w:rsidR="00447AE6" w:rsidRPr="00C45AA5" w:rsidRDefault="00447AE6" w:rsidP="00C45AA5">
      <w:pPr>
        <w:spacing w:after="0" w:line="360" w:lineRule="auto"/>
        <w:jc w:val="both"/>
        <w:rPr>
          <w:rFonts w:cs="David"/>
          <w:sz w:val="26"/>
          <w:szCs w:val="26"/>
          <w:rtl/>
        </w:rPr>
      </w:pPr>
      <w:r>
        <w:rPr>
          <w:rFonts w:cs="David" w:hint="cs"/>
          <w:sz w:val="26"/>
          <w:szCs w:val="26"/>
          <w:rtl/>
        </w:rPr>
        <w:t xml:space="preserve">נכון גם הדבר לחיי הנישואין שהם מרכז ענייננו היום. </w:t>
      </w:r>
      <w:r w:rsidR="001C186A">
        <w:rPr>
          <w:rFonts w:cs="David" w:hint="cs"/>
          <w:sz w:val="26"/>
          <w:szCs w:val="26"/>
          <w:rtl/>
        </w:rPr>
        <w:t>נאחל לבני הזוג שיטפחו את קשרם בהדדיות ויחזקו זה את זו לימים ארוכים של אושר ובריאות.</w:t>
      </w:r>
      <w:bookmarkStart w:id="0" w:name="_GoBack"/>
      <w:bookmarkEnd w:id="0"/>
    </w:p>
    <w:p w:rsidR="00C45AA5" w:rsidRDefault="00C45AA5" w:rsidP="00C45AA5">
      <w:pPr>
        <w:spacing w:after="0" w:line="360" w:lineRule="auto"/>
        <w:jc w:val="both"/>
        <w:rPr>
          <w:rFonts w:cs="David"/>
          <w:sz w:val="26"/>
          <w:szCs w:val="26"/>
          <w:rtl/>
        </w:rPr>
      </w:pPr>
    </w:p>
    <w:p w:rsidR="00C45AA5" w:rsidRDefault="00C45AA5" w:rsidP="00C45AA5">
      <w:pPr>
        <w:spacing w:after="0" w:line="360" w:lineRule="auto"/>
        <w:jc w:val="both"/>
        <w:rPr>
          <w:rFonts w:cs="David"/>
          <w:sz w:val="26"/>
          <w:szCs w:val="26"/>
          <w:rtl/>
        </w:rPr>
      </w:pPr>
    </w:p>
    <w:p w:rsidR="00C45AA5" w:rsidRDefault="00C45AA5" w:rsidP="00C45AA5">
      <w:pPr>
        <w:spacing w:after="0" w:line="360" w:lineRule="auto"/>
        <w:jc w:val="both"/>
        <w:rPr>
          <w:rFonts w:cs="David"/>
          <w:sz w:val="26"/>
          <w:szCs w:val="26"/>
          <w:rtl/>
        </w:rPr>
      </w:pPr>
    </w:p>
    <w:p w:rsidR="00C45AA5" w:rsidRDefault="00C45AA5" w:rsidP="00C45AA5">
      <w:pPr>
        <w:spacing w:after="0" w:line="360" w:lineRule="auto"/>
        <w:jc w:val="both"/>
        <w:rPr>
          <w:rFonts w:cs="David"/>
          <w:sz w:val="26"/>
          <w:szCs w:val="26"/>
          <w:rtl/>
        </w:rPr>
      </w:pPr>
    </w:p>
    <w:p w:rsidR="00C45AA5" w:rsidRDefault="00C45AA5" w:rsidP="00C45AA5">
      <w:pPr>
        <w:spacing w:after="0" w:line="360" w:lineRule="auto"/>
        <w:jc w:val="both"/>
        <w:rPr>
          <w:rFonts w:cs="David"/>
          <w:sz w:val="26"/>
          <w:szCs w:val="26"/>
          <w:rtl/>
        </w:rPr>
      </w:pPr>
    </w:p>
    <w:p w:rsidR="00C45AA5" w:rsidRDefault="00C45AA5" w:rsidP="00C45AA5">
      <w:pPr>
        <w:spacing w:after="0" w:line="360" w:lineRule="auto"/>
        <w:jc w:val="both"/>
        <w:rPr>
          <w:rFonts w:cs="David"/>
          <w:sz w:val="26"/>
          <w:szCs w:val="26"/>
          <w:rtl/>
        </w:rPr>
      </w:pPr>
    </w:p>
    <w:p w:rsidR="00C45AA5" w:rsidRDefault="00C45AA5" w:rsidP="00C45AA5">
      <w:pPr>
        <w:spacing w:after="0" w:line="360" w:lineRule="auto"/>
        <w:jc w:val="both"/>
        <w:rPr>
          <w:rFonts w:cs="David"/>
          <w:sz w:val="26"/>
          <w:szCs w:val="26"/>
          <w:rtl/>
        </w:rPr>
      </w:pPr>
    </w:p>
    <w:p w:rsidR="00C45AA5" w:rsidRDefault="00C45AA5" w:rsidP="00C45AA5">
      <w:pPr>
        <w:spacing w:after="0" w:line="360" w:lineRule="auto"/>
        <w:jc w:val="both"/>
        <w:rPr>
          <w:rFonts w:cs="David"/>
          <w:sz w:val="26"/>
          <w:szCs w:val="26"/>
          <w:rtl/>
        </w:rPr>
      </w:pPr>
    </w:p>
    <w:p w:rsidR="00C45AA5" w:rsidRDefault="00C45AA5" w:rsidP="00C45AA5">
      <w:pPr>
        <w:spacing w:after="0" w:line="360" w:lineRule="auto"/>
        <w:jc w:val="both"/>
        <w:rPr>
          <w:rFonts w:cs="David"/>
          <w:sz w:val="26"/>
          <w:szCs w:val="26"/>
          <w:rtl/>
        </w:rPr>
      </w:pPr>
    </w:p>
    <w:p w:rsidR="0005200A" w:rsidRDefault="0005200A"/>
    <w:sectPr w:rsidR="0005200A" w:rsidSect="000C503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EC5"/>
    <w:rsid w:val="0005200A"/>
    <w:rsid w:val="000C503E"/>
    <w:rsid w:val="001C186A"/>
    <w:rsid w:val="00447AE6"/>
    <w:rsid w:val="004F39C6"/>
    <w:rsid w:val="00984EC5"/>
    <w:rsid w:val="00C45A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01697-7CAA-4F04-B44C-9A635604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AA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376</Words>
  <Characters>1881</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‏‏משתמש Windows</cp:lastModifiedBy>
  <cp:revision>4</cp:revision>
  <dcterms:created xsi:type="dcterms:W3CDTF">2016-08-29T20:44:00Z</dcterms:created>
  <dcterms:modified xsi:type="dcterms:W3CDTF">2016-08-29T21:04:00Z</dcterms:modified>
</cp:coreProperties>
</file>