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7A" w:rsidRDefault="001E7745" w:rsidP="00472693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 w:rsidRPr="001E7745">
        <w:rPr>
          <w:rFonts w:cs="Guttman Drogolin" w:hint="cs"/>
          <w:b/>
          <w:bCs/>
          <w:sz w:val="40"/>
          <w:szCs w:val="40"/>
          <w:rtl/>
        </w:rPr>
        <w:t>פרשת</w:t>
      </w:r>
      <w:r>
        <w:rPr>
          <w:rFonts w:cs="Guttman Drogolin" w:hint="cs"/>
          <w:b/>
          <w:bCs/>
          <w:sz w:val="40"/>
          <w:szCs w:val="40"/>
          <w:rtl/>
        </w:rPr>
        <w:t xml:space="preserve"> בהר </w:t>
      </w:r>
      <w:proofErr w:type="spellStart"/>
      <w:r>
        <w:rPr>
          <w:rFonts w:cs="Guttman Drogolin" w:hint="cs"/>
          <w:b/>
          <w:bCs/>
          <w:sz w:val="40"/>
          <w:szCs w:val="40"/>
          <w:rtl/>
        </w:rPr>
        <w:t>בחוקותי</w:t>
      </w:r>
      <w:proofErr w:type="spellEnd"/>
    </w:p>
    <w:p w:rsidR="001E7745" w:rsidRDefault="0081230F" w:rsidP="00472693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שמיטה</w:t>
      </w:r>
    </w:p>
    <w:p w:rsidR="00D736B1" w:rsidRDefault="00D736B1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בתחילת פרשת בהר מופיע לנו הציווי על שמירת השמיטה:</w:t>
      </w:r>
    </w:p>
    <w:p w:rsidR="00D736B1" w:rsidRDefault="00D736B1" w:rsidP="00472693">
      <w:pPr>
        <w:spacing w:after="40"/>
        <w:ind w:left="720"/>
        <w:jc w:val="both"/>
        <w:rPr>
          <w:rFonts w:cs="Guttman Vilna"/>
          <w:sz w:val="28"/>
          <w:szCs w:val="28"/>
          <w:rtl/>
        </w:rPr>
      </w:pPr>
      <w:r w:rsidRPr="00D736B1">
        <w:rPr>
          <w:rFonts w:cs="Guttman Vilna" w:hint="cs"/>
          <w:sz w:val="28"/>
          <w:szCs w:val="28"/>
          <w:rtl/>
        </w:rPr>
        <w:t>"</w:t>
      </w:r>
      <w:r w:rsidRPr="00D736B1">
        <w:rPr>
          <w:rFonts w:cs="Guttman Vilna"/>
          <w:sz w:val="28"/>
          <w:szCs w:val="28"/>
          <w:rtl/>
        </w:rPr>
        <w:t xml:space="preserve">וַיְדַבֵּר ה' אֶל מֹשֶׁה בְּהַר סִינַי </w:t>
      </w:r>
      <w:proofErr w:type="spellStart"/>
      <w:r w:rsidRPr="00D736B1">
        <w:rPr>
          <w:rFonts w:cs="Guttman Vilna"/>
          <w:sz w:val="28"/>
          <w:szCs w:val="28"/>
          <w:rtl/>
        </w:rPr>
        <w:t>לֵאמֹר</w:t>
      </w:r>
      <w:proofErr w:type="spellEnd"/>
      <w:r w:rsidRPr="00D736B1">
        <w:rPr>
          <w:rFonts w:cs="Guttman Vilna"/>
          <w:sz w:val="28"/>
          <w:szCs w:val="28"/>
          <w:rtl/>
        </w:rPr>
        <w:t>:</w:t>
      </w:r>
      <w:bookmarkStart w:id="0" w:name="ויקראBפרק-כה-{ב}"/>
      <w:bookmarkEnd w:id="0"/>
      <w:r w:rsidRPr="00D736B1">
        <w:rPr>
          <w:rFonts w:cs="Guttman Vilna"/>
          <w:sz w:val="28"/>
          <w:szCs w:val="28"/>
          <w:rtl/>
        </w:rPr>
        <w:t xml:space="preserve"> דַּבֵּר אֶל בְּנֵי יִשְׂרָאֵל וְאָמַרְתָּ אֲלֵהֶם כִּי </w:t>
      </w:r>
      <w:proofErr w:type="spellStart"/>
      <w:r w:rsidRPr="00D736B1">
        <w:rPr>
          <w:rFonts w:cs="Guttman Vilna"/>
          <w:sz w:val="28"/>
          <w:szCs w:val="28"/>
          <w:rtl/>
        </w:rPr>
        <w:t>תָבֹאו</w:t>
      </w:r>
      <w:proofErr w:type="spellEnd"/>
      <w:r w:rsidRPr="00D736B1">
        <w:rPr>
          <w:rFonts w:cs="Guttman Vilna"/>
          <w:sz w:val="28"/>
          <w:szCs w:val="28"/>
          <w:rtl/>
        </w:rPr>
        <w:t>ּ אֶל הָאָרֶץ אֲשֶׁר אֲנִי נֹתֵן לָכֶם וְשָׁבְתָה הָאָרֶץ שַׁבָּת לה':</w:t>
      </w:r>
      <w:bookmarkStart w:id="1" w:name="ויקראBפרק-כה-{ג}"/>
      <w:bookmarkEnd w:id="1"/>
      <w:r w:rsidRPr="00D736B1">
        <w:rPr>
          <w:rFonts w:cs="Guttman Vilna"/>
          <w:sz w:val="28"/>
          <w:szCs w:val="28"/>
          <w:rtl/>
        </w:rPr>
        <w:t xml:space="preserve"> שֵׁשׁ שָׁנִים תִּזְרַע שָׂדֶךָ וְשֵׁשׁ שָׁנִים תִּזְמֹר כַּרְמֶךָ וְאָסַפְתָּ אֶת תְּבוּאָתָהּ: </w:t>
      </w:r>
      <w:bookmarkStart w:id="2" w:name="ויקראBפרק-כה-{ד}"/>
      <w:bookmarkEnd w:id="2"/>
      <w:r w:rsidRPr="00D736B1">
        <w:rPr>
          <w:rFonts w:cs="Guttman Vilna"/>
          <w:sz w:val="28"/>
          <w:szCs w:val="28"/>
          <w:rtl/>
        </w:rPr>
        <w:t xml:space="preserve">וּבַשָּׁנָה </w:t>
      </w:r>
      <w:proofErr w:type="spellStart"/>
      <w:r w:rsidRPr="00D736B1">
        <w:rPr>
          <w:rFonts w:cs="Guttman Vilna"/>
          <w:sz w:val="28"/>
          <w:szCs w:val="28"/>
          <w:rtl/>
        </w:rPr>
        <w:t>הַשְּׁבִיעִת</w:t>
      </w:r>
      <w:proofErr w:type="spellEnd"/>
      <w:r w:rsidRPr="00D736B1">
        <w:rPr>
          <w:rFonts w:cs="Guttman Vilna"/>
          <w:sz w:val="28"/>
          <w:szCs w:val="28"/>
          <w:rtl/>
        </w:rPr>
        <w:t xml:space="preserve"> שַׁבַּת שַׁבָּתוֹן יִהְיֶה לָאָרֶץ שַׁבָּת לה' שָׂדְךָ לֹא תִזְרָע וְכַרְמְךָ לֹא תִזְמֹר:</w:t>
      </w:r>
      <w:bookmarkStart w:id="3" w:name="ויקראBפרק-כה-{ה}"/>
      <w:bookmarkEnd w:id="3"/>
      <w:r w:rsidRPr="00D736B1">
        <w:rPr>
          <w:rFonts w:cs="Guttman Vilna"/>
          <w:sz w:val="28"/>
          <w:szCs w:val="28"/>
          <w:rtl/>
        </w:rPr>
        <w:t> אֵת סְפִיחַ קְצִירְךָ לֹא תִקְצוֹר וְאֶת עִנְּבֵי נְזִירֶךָ לֹא תִבְצֹר שְׁנַת שַׁבָּתוֹן יִהְיֶה לָאָרֶץ:</w:t>
      </w:r>
      <w:bookmarkStart w:id="4" w:name="ויקראBפרק-כה-{ו}"/>
      <w:bookmarkEnd w:id="4"/>
      <w:r w:rsidRPr="00D736B1">
        <w:rPr>
          <w:rFonts w:cs="Guttman Vilna"/>
          <w:sz w:val="28"/>
          <w:szCs w:val="28"/>
          <w:rtl/>
        </w:rPr>
        <w:t> </w:t>
      </w:r>
      <w:proofErr w:type="spellStart"/>
      <w:r w:rsidRPr="00D736B1">
        <w:rPr>
          <w:rFonts w:cs="Guttman Vilna"/>
          <w:sz w:val="28"/>
          <w:szCs w:val="28"/>
          <w:rtl/>
        </w:rPr>
        <w:t>וְהָיְתָה</w:t>
      </w:r>
      <w:proofErr w:type="spellEnd"/>
      <w:r w:rsidRPr="00D736B1">
        <w:rPr>
          <w:rFonts w:cs="Guttman Vilna"/>
          <w:sz w:val="28"/>
          <w:szCs w:val="28"/>
          <w:rtl/>
        </w:rPr>
        <w:t xml:space="preserve"> שַׁבַּת הָאָרֶץ לָכֶם לְאָכְלָה לְךָ וּלְעַבְדְּךָ וְלַאֲמָתֶךָ וְלִשְׂכִירְךָ וּלְתוֹשָׁבְךָ הַגָּרִים עִמָּךְ:</w:t>
      </w:r>
      <w:bookmarkStart w:id="5" w:name="ויקראBפרק-כה-{ז}"/>
      <w:bookmarkEnd w:id="5"/>
      <w:r w:rsidRPr="00D736B1">
        <w:rPr>
          <w:rFonts w:cs="Guttman Vilna"/>
          <w:sz w:val="28"/>
          <w:szCs w:val="28"/>
          <w:rtl/>
        </w:rPr>
        <w:t> וְלִבְהֶמְתְּךָ וְלַחַיָּה אֲשֶׁר בְּאַרְצֶךָ תִּהְיֶה כָל תְּבוּאָתָהּ לֶאֱכֹל:</w:t>
      </w:r>
      <w:r w:rsidRPr="00D736B1">
        <w:rPr>
          <w:rFonts w:cs="Guttman Vilna" w:hint="cs"/>
          <w:sz w:val="28"/>
          <w:szCs w:val="28"/>
          <w:rtl/>
        </w:rPr>
        <w:t>"</w:t>
      </w:r>
    </w:p>
    <w:p w:rsidR="00D736B1" w:rsidRDefault="00134390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בע"ה נראה מספר נקודות חשובות שאפשר ללמוד מה</w:t>
      </w:r>
      <w:r w:rsidR="007E6881">
        <w:rPr>
          <w:rFonts w:cs="Guttman Drogolin" w:hint="cs"/>
          <w:sz w:val="28"/>
          <w:szCs w:val="28"/>
          <w:rtl/>
        </w:rPr>
        <w:t>פסוקים:</w:t>
      </w:r>
    </w:p>
    <w:p w:rsidR="0081230F" w:rsidRPr="0081230F" w:rsidRDefault="0081230F" w:rsidP="00472693">
      <w:pPr>
        <w:spacing w:after="40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ההבטחה לשומרי השמיטה</w:t>
      </w:r>
      <w:r w:rsidR="00C45CE2">
        <w:rPr>
          <w:rFonts w:cs="Guttman Drogolin" w:hint="cs"/>
          <w:b/>
          <w:bCs/>
          <w:sz w:val="28"/>
          <w:szCs w:val="28"/>
          <w:rtl/>
        </w:rPr>
        <w:t xml:space="preserve"> - זריעה</w:t>
      </w:r>
    </w:p>
    <w:p w:rsidR="007E6881" w:rsidRDefault="007E6881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כתוב בפסוקים שבמשך שש שנים </w:t>
      </w:r>
      <w:r w:rsidR="00CA4D91">
        <w:rPr>
          <w:rFonts w:cs="Guttman Drogolin" w:hint="cs"/>
          <w:sz w:val="28"/>
          <w:szCs w:val="28"/>
          <w:rtl/>
        </w:rPr>
        <w:t>בעל השדה יוכל לעבוד בשדהו- "</w:t>
      </w:r>
      <w:r w:rsidR="00CA4D91" w:rsidRPr="00D736B1">
        <w:rPr>
          <w:rFonts w:cs="Guttman Vilna"/>
          <w:sz w:val="28"/>
          <w:szCs w:val="28"/>
          <w:rtl/>
        </w:rPr>
        <w:t>שֵׁשׁ שָׁנִים תִּזְרַע שָׂדֶךָ וְשֵׁשׁ שָׁנִים תִּזְמֹר כַּרְמֶךָ וְאָסַפְתָּ אֶת תְּבוּאָתָהּ</w:t>
      </w:r>
      <w:r w:rsidR="00CA4D91">
        <w:rPr>
          <w:rFonts w:cs="Guttman Vilna" w:hint="cs"/>
          <w:sz w:val="28"/>
          <w:szCs w:val="28"/>
          <w:rtl/>
        </w:rPr>
        <w:t>"</w:t>
      </w:r>
      <w:r w:rsidR="00CA4D91">
        <w:rPr>
          <w:rFonts w:cs="Guttman Drogolin" w:hint="cs"/>
          <w:sz w:val="28"/>
          <w:szCs w:val="28"/>
          <w:rtl/>
        </w:rPr>
        <w:t>, ובשנה השביעית "</w:t>
      </w:r>
      <w:r w:rsidR="00CA4D91" w:rsidRPr="00D736B1">
        <w:rPr>
          <w:rFonts w:cs="Guttman Vilna"/>
          <w:sz w:val="28"/>
          <w:szCs w:val="28"/>
          <w:rtl/>
        </w:rPr>
        <w:t>שַׁבַּת שַׁבָּ</w:t>
      </w:r>
      <w:r w:rsidR="00134390">
        <w:rPr>
          <w:rFonts w:cs="Guttman Vilna"/>
          <w:sz w:val="28"/>
          <w:szCs w:val="28"/>
          <w:rtl/>
        </w:rPr>
        <w:t>תוֹן יִהְיֶה לָאָרֶץ</w:t>
      </w:r>
      <w:r w:rsidR="00CA4D91">
        <w:rPr>
          <w:rFonts w:cs="Guttman Vilna" w:hint="cs"/>
          <w:sz w:val="28"/>
          <w:szCs w:val="28"/>
          <w:rtl/>
        </w:rPr>
        <w:t>..."</w:t>
      </w:r>
      <w:r w:rsidR="00CD64FC">
        <w:rPr>
          <w:rFonts w:cs="Guttman Drogolin" w:hint="cs"/>
          <w:sz w:val="28"/>
          <w:szCs w:val="28"/>
          <w:rtl/>
        </w:rPr>
        <w:t>, ולכאורה נראה שהפסוק הראשון (המדבר על העבודה בשדה במשך שש שנים) כתוב בלשון ארוכה, הרי היה אפשר לכתוב</w:t>
      </w:r>
      <w:r w:rsidR="00134390">
        <w:rPr>
          <w:rFonts w:cs="Guttman Drogolin" w:hint="cs"/>
          <w:sz w:val="28"/>
          <w:szCs w:val="28"/>
          <w:rtl/>
        </w:rPr>
        <w:t xml:space="preserve"> פשוט</w:t>
      </w:r>
      <w:r w:rsidR="00CD64FC">
        <w:rPr>
          <w:rFonts w:cs="Guttman Drogolin" w:hint="cs"/>
          <w:sz w:val="28"/>
          <w:szCs w:val="28"/>
          <w:rtl/>
        </w:rPr>
        <w:t xml:space="preserve"> </w:t>
      </w:r>
      <w:r w:rsidR="00134390">
        <w:rPr>
          <w:rFonts w:cs="Guttman Drogolin" w:hint="cs"/>
          <w:sz w:val="28"/>
          <w:szCs w:val="28"/>
          <w:rtl/>
        </w:rPr>
        <w:t>"</w:t>
      </w:r>
      <w:r w:rsidR="00CD64FC">
        <w:rPr>
          <w:rFonts w:cs="Guttman Drogolin" w:hint="cs"/>
          <w:sz w:val="28"/>
          <w:szCs w:val="28"/>
          <w:rtl/>
        </w:rPr>
        <w:t>שש שנים תעבוד בשדה ובשנה השביעית תשבות</w:t>
      </w:r>
      <w:r w:rsidR="00134390">
        <w:rPr>
          <w:rFonts w:cs="Guttman Drogolin" w:hint="cs"/>
          <w:sz w:val="28"/>
          <w:szCs w:val="28"/>
          <w:rtl/>
        </w:rPr>
        <w:t>"</w:t>
      </w:r>
      <w:r w:rsidR="00CD64FC">
        <w:rPr>
          <w:rFonts w:cs="Guttman Drogolin" w:hint="cs"/>
          <w:sz w:val="28"/>
          <w:szCs w:val="28"/>
          <w:rtl/>
        </w:rPr>
        <w:t>?</w:t>
      </w:r>
    </w:p>
    <w:p w:rsidR="004C762E" w:rsidRDefault="005B214B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אלא שבפסוקים הללו יש הבטחה עבור שומרי השמיטה, מי שישמור שמיטה בשנה השביעית מובטח לו שבמשך שאר השנים</w:t>
      </w:r>
      <w:r w:rsidR="004C762E">
        <w:rPr>
          <w:rFonts w:cs="Guttman Drogolin" w:hint="cs"/>
          <w:sz w:val="28"/>
          <w:szCs w:val="28"/>
          <w:rtl/>
        </w:rPr>
        <w:t xml:space="preserve"> הוא י</w:t>
      </w:r>
      <w:r w:rsidR="000804FD">
        <w:rPr>
          <w:rFonts w:cs="Guttman Drogolin" w:hint="cs"/>
          <w:sz w:val="28"/>
          <w:szCs w:val="28"/>
          <w:rtl/>
        </w:rPr>
        <w:t xml:space="preserve">צליח בעבודתו בשדה! </w:t>
      </w:r>
      <w:r w:rsidR="004C762E">
        <w:rPr>
          <w:rFonts w:cs="Guttman Drogolin" w:hint="cs"/>
          <w:sz w:val="28"/>
          <w:szCs w:val="28"/>
          <w:rtl/>
        </w:rPr>
        <w:t>"</w:t>
      </w:r>
      <w:r w:rsidR="004C762E" w:rsidRPr="00D736B1">
        <w:rPr>
          <w:rFonts w:cs="Guttman Vilna"/>
          <w:sz w:val="28"/>
          <w:szCs w:val="28"/>
          <w:rtl/>
        </w:rPr>
        <w:t>שֵׁשׁ שָׁנִים תִּזְרַע שָׂדֶךָ</w:t>
      </w:r>
      <w:r w:rsidR="004C762E">
        <w:rPr>
          <w:rFonts w:cs="Guttman Vilna" w:hint="cs"/>
          <w:sz w:val="28"/>
          <w:szCs w:val="28"/>
          <w:rtl/>
        </w:rPr>
        <w:t>"</w:t>
      </w:r>
      <w:r w:rsidR="004C762E">
        <w:rPr>
          <w:rFonts w:cs="Guttman Drogolin" w:hint="cs"/>
          <w:sz w:val="28"/>
          <w:szCs w:val="28"/>
          <w:rtl/>
        </w:rPr>
        <w:t xml:space="preserve"> </w:t>
      </w:r>
      <w:r w:rsidR="004C762E">
        <w:rPr>
          <w:rFonts w:cs="Guttman Drogolin"/>
          <w:sz w:val="28"/>
          <w:szCs w:val="28"/>
          <w:rtl/>
        </w:rPr>
        <w:t>–</w:t>
      </w:r>
      <w:r w:rsidR="004C762E">
        <w:rPr>
          <w:rFonts w:cs="Guttman Drogolin" w:hint="cs"/>
          <w:sz w:val="28"/>
          <w:szCs w:val="28"/>
          <w:rtl/>
        </w:rPr>
        <w:t xml:space="preserve"> </w:t>
      </w:r>
      <w:r w:rsidR="004C762E" w:rsidRPr="004C762E">
        <w:rPr>
          <w:rFonts w:cs="Guttman Vilna" w:hint="cs"/>
          <w:sz w:val="28"/>
          <w:szCs w:val="28"/>
          <w:rtl/>
        </w:rPr>
        <w:t>"...</w:t>
      </w:r>
      <w:r w:rsidR="004C762E" w:rsidRPr="004C762E">
        <w:rPr>
          <w:rFonts w:cs="Guttman Vilna"/>
          <w:sz w:val="28"/>
          <w:szCs w:val="28"/>
          <w:rtl/>
        </w:rPr>
        <w:t>שלא כמנהג בעבודת האדמה שאם יזרעו חלקה אחת בעצמה שנים רצופות לא תוסיף תת כ</w:t>
      </w:r>
      <w:r w:rsidR="004C762E" w:rsidRPr="004C762E">
        <w:rPr>
          <w:rFonts w:cs="Guttman Vilna" w:hint="cs"/>
          <w:sz w:val="28"/>
          <w:szCs w:val="28"/>
          <w:rtl/>
        </w:rPr>
        <w:t>ו</w:t>
      </w:r>
      <w:r w:rsidR="004C762E" w:rsidRPr="004C762E">
        <w:rPr>
          <w:rFonts w:cs="Guttman Vilna"/>
          <w:sz w:val="28"/>
          <w:szCs w:val="28"/>
          <w:rtl/>
        </w:rPr>
        <w:t>חה</w:t>
      </w:r>
      <w:r w:rsidR="004C762E" w:rsidRPr="004C762E">
        <w:rPr>
          <w:rFonts w:cs="Guttman Vilna" w:hint="cs"/>
          <w:sz w:val="28"/>
          <w:szCs w:val="28"/>
          <w:rtl/>
        </w:rPr>
        <w:t>..."</w:t>
      </w:r>
      <w:r w:rsidR="00CC0ADD" w:rsidRPr="00CC0ADD">
        <w:rPr>
          <w:rStyle w:val="a9"/>
          <w:rFonts w:cs="Guttman Drogolin"/>
          <w:sz w:val="28"/>
          <w:szCs w:val="28"/>
          <w:rtl/>
        </w:rPr>
        <w:footnoteReference w:id="1"/>
      </w:r>
      <w:r w:rsidR="004C762E" w:rsidRPr="00CC0ADD">
        <w:rPr>
          <w:rFonts w:cs="Guttman Drogolin" w:hint="cs"/>
          <w:sz w:val="28"/>
          <w:szCs w:val="28"/>
          <w:rtl/>
        </w:rPr>
        <w:t xml:space="preserve">, </w:t>
      </w:r>
      <w:r w:rsidR="005B13C9">
        <w:rPr>
          <w:rFonts w:cs="Guttman Drogolin" w:hint="cs"/>
          <w:sz w:val="28"/>
          <w:szCs w:val="28"/>
          <w:rtl/>
        </w:rPr>
        <w:t xml:space="preserve">כלומר, בשדה </w:t>
      </w:r>
      <w:r w:rsidR="0011057A">
        <w:rPr>
          <w:rFonts w:cs="Guttman Drogolin" w:hint="cs"/>
          <w:sz w:val="28"/>
          <w:szCs w:val="28"/>
          <w:rtl/>
        </w:rPr>
        <w:t>רגיל אם במשך כמה שנים זורעים בה</w:t>
      </w:r>
      <w:r w:rsidR="005B13C9">
        <w:rPr>
          <w:rFonts w:cs="Guttman Drogolin" w:hint="cs"/>
          <w:sz w:val="28"/>
          <w:szCs w:val="28"/>
          <w:rtl/>
        </w:rPr>
        <w:t xml:space="preserve"> בסוף היא</w:t>
      </w:r>
      <w:r w:rsidR="000804FD">
        <w:rPr>
          <w:rFonts w:cs="Guttman Drogolin" w:hint="cs"/>
          <w:sz w:val="28"/>
          <w:szCs w:val="28"/>
          <w:rtl/>
        </w:rPr>
        <w:t xml:space="preserve"> -</w:t>
      </w:r>
      <w:r w:rsidR="005B13C9">
        <w:rPr>
          <w:rFonts w:cs="Guttman Drogolin" w:hint="cs"/>
          <w:sz w:val="28"/>
          <w:szCs w:val="28"/>
          <w:rtl/>
        </w:rPr>
        <w:t xml:space="preserve"> </w:t>
      </w:r>
      <w:r w:rsidR="005B13C9" w:rsidRPr="000804FD">
        <w:rPr>
          <w:rFonts w:cs="Guttman Vilna" w:hint="cs"/>
          <w:sz w:val="28"/>
          <w:szCs w:val="28"/>
          <w:rtl/>
        </w:rPr>
        <w:t>"לא תוסיף תת כוחה"</w:t>
      </w:r>
      <w:r w:rsidR="000804FD">
        <w:rPr>
          <w:rFonts w:cs="Guttman Drogolin" w:hint="cs"/>
          <w:sz w:val="28"/>
          <w:szCs w:val="28"/>
          <w:rtl/>
        </w:rPr>
        <w:t>. אבל</w:t>
      </w:r>
      <w:r w:rsidR="005B13C9">
        <w:rPr>
          <w:rFonts w:cs="Guttman Drogolin" w:hint="cs"/>
          <w:sz w:val="28"/>
          <w:szCs w:val="28"/>
          <w:rtl/>
        </w:rPr>
        <w:t xml:space="preserve"> מי שישמור את השמיטה</w:t>
      </w:r>
      <w:r w:rsidR="000804FD">
        <w:rPr>
          <w:rFonts w:cs="Guttman Drogolin" w:hint="cs"/>
          <w:sz w:val="28"/>
          <w:szCs w:val="28"/>
          <w:rtl/>
        </w:rPr>
        <w:t xml:space="preserve"> -</w:t>
      </w:r>
      <w:r w:rsidR="005B13C9">
        <w:rPr>
          <w:rFonts w:cs="Guttman Drogolin" w:hint="cs"/>
          <w:sz w:val="28"/>
          <w:szCs w:val="28"/>
          <w:rtl/>
        </w:rPr>
        <w:t xml:space="preserve"> </w:t>
      </w:r>
      <w:r w:rsidR="005B13C9" w:rsidRPr="005B13C9">
        <w:rPr>
          <w:rFonts w:cs="Guttman Vilna" w:hint="cs"/>
          <w:sz w:val="28"/>
          <w:szCs w:val="28"/>
          <w:rtl/>
        </w:rPr>
        <w:t>"</w:t>
      </w:r>
      <w:r w:rsidR="005B13C9" w:rsidRPr="005B13C9">
        <w:rPr>
          <w:rFonts w:cs="Guttman Vilna"/>
          <w:sz w:val="28"/>
          <w:szCs w:val="28"/>
          <w:rtl/>
        </w:rPr>
        <w:t>זו הבטחה שלא יכחיש חילה אף אם יזרע שש שנים רצופים ולא יעשה שנה בור אחר שני שנים זרע</w:t>
      </w:r>
      <w:r w:rsidR="00D62CF5">
        <w:rPr>
          <w:rFonts w:cs="Guttman Vilna" w:hint="cs"/>
          <w:sz w:val="28"/>
          <w:szCs w:val="28"/>
          <w:rtl/>
        </w:rPr>
        <w:t xml:space="preserve"> וכו'</w:t>
      </w:r>
      <w:r w:rsidR="000804FD">
        <w:rPr>
          <w:rFonts w:cs="Guttman Vilna" w:hint="cs"/>
          <w:sz w:val="28"/>
          <w:szCs w:val="28"/>
          <w:rtl/>
        </w:rPr>
        <w:t>...</w:t>
      </w:r>
      <w:r w:rsidR="005B13C9" w:rsidRPr="005B13C9">
        <w:rPr>
          <w:rFonts w:cs="Guttman Vilna" w:hint="cs"/>
          <w:sz w:val="28"/>
          <w:szCs w:val="28"/>
          <w:rtl/>
        </w:rPr>
        <w:t>"</w:t>
      </w:r>
      <w:r w:rsidR="005B13C9">
        <w:rPr>
          <w:rStyle w:val="a9"/>
          <w:rFonts w:cs="Guttman Vilna"/>
          <w:sz w:val="28"/>
          <w:szCs w:val="28"/>
          <w:rtl/>
        </w:rPr>
        <w:footnoteReference w:id="2"/>
      </w:r>
    </w:p>
    <w:p w:rsidR="00C02679" w:rsidRDefault="00C02679" w:rsidP="00C02679">
      <w:pPr>
        <w:spacing w:after="40"/>
        <w:rPr>
          <w:rFonts w:cs="Guttman Drogolin"/>
          <w:sz w:val="28"/>
          <w:szCs w:val="28"/>
          <w:rtl/>
        </w:rPr>
      </w:pPr>
    </w:p>
    <w:p w:rsidR="00C02679" w:rsidRDefault="00C02679" w:rsidP="00C02679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3C2DE557" wp14:editId="47C41066">
            <wp:extent cx="1229360" cy="219075"/>
            <wp:effectExtent l="0" t="0" r="8890" b="9525"/>
            <wp:docPr id="3" name="תמונה 3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679" w:rsidRPr="00472693" w:rsidRDefault="00C02679" w:rsidP="00C02679">
      <w:pPr>
        <w:spacing w:after="40"/>
        <w:jc w:val="center"/>
        <w:rPr>
          <w:rFonts w:cs="Guttman Drogolin"/>
          <w:sz w:val="2"/>
          <w:szCs w:val="2"/>
          <w:rtl/>
        </w:rPr>
      </w:pPr>
    </w:p>
    <w:p w:rsidR="00C02679" w:rsidRPr="00C02679" w:rsidRDefault="00C02679" w:rsidP="00472693">
      <w:pPr>
        <w:spacing w:after="40"/>
        <w:jc w:val="both"/>
        <w:rPr>
          <w:rFonts w:cs="Guttman Drogolin"/>
          <w:sz w:val="2"/>
          <w:szCs w:val="2"/>
          <w:rtl/>
        </w:rPr>
      </w:pPr>
    </w:p>
    <w:p w:rsidR="00C45CE2" w:rsidRPr="0081230F" w:rsidRDefault="00C45CE2" w:rsidP="00472693">
      <w:pPr>
        <w:spacing w:after="40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 xml:space="preserve">ההבטחה לשומרי השמיטה </w:t>
      </w:r>
      <w:r w:rsidR="00A50BB4">
        <w:rPr>
          <w:rFonts w:cs="Guttman Drogolin"/>
          <w:b/>
          <w:bCs/>
          <w:sz w:val="28"/>
          <w:szCs w:val="28"/>
          <w:rtl/>
        </w:rPr>
        <w:t>–</w:t>
      </w:r>
      <w:r w:rsidR="00A50BB4">
        <w:rPr>
          <w:rFonts w:cs="Guttman Drogolin" w:hint="cs"/>
          <w:b/>
          <w:bCs/>
          <w:sz w:val="28"/>
          <w:szCs w:val="28"/>
          <w:rtl/>
        </w:rPr>
        <w:t xml:space="preserve"> גדילת התבואה ואסיפתה</w:t>
      </w:r>
    </w:p>
    <w:p w:rsidR="009347B4" w:rsidRDefault="00C45CE2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בנוסף על זה שכתוב "</w:t>
      </w:r>
      <w:r w:rsidRPr="00D736B1">
        <w:rPr>
          <w:rFonts w:cs="Guttman Vilna"/>
          <w:sz w:val="28"/>
          <w:szCs w:val="28"/>
          <w:rtl/>
        </w:rPr>
        <w:t>שֵׁשׁ שָׁנִים תִּזְרַע שָׂדֶךָ</w:t>
      </w:r>
      <w:r>
        <w:rPr>
          <w:rFonts w:cs="Guttman Vilna" w:hint="cs"/>
          <w:sz w:val="28"/>
          <w:szCs w:val="28"/>
          <w:rtl/>
        </w:rPr>
        <w:t>"</w:t>
      </w:r>
      <w:r>
        <w:rPr>
          <w:rFonts w:cs="Guttman Drogolin" w:hint="cs"/>
          <w:sz w:val="28"/>
          <w:szCs w:val="28"/>
          <w:rtl/>
        </w:rPr>
        <w:t>, כתוב לנו "</w:t>
      </w:r>
      <w:r w:rsidRPr="00D736B1">
        <w:rPr>
          <w:rFonts w:cs="Guttman Vilna"/>
          <w:sz w:val="28"/>
          <w:szCs w:val="28"/>
          <w:rtl/>
        </w:rPr>
        <w:t>וְאָסַפְתָּ אֶת תְּבוּאָתָהּ</w:t>
      </w:r>
      <w:r>
        <w:rPr>
          <w:rFonts w:cs="Guttman Drogolin" w:hint="cs"/>
          <w:sz w:val="28"/>
          <w:szCs w:val="28"/>
          <w:rtl/>
        </w:rPr>
        <w:t xml:space="preserve">", </w:t>
      </w:r>
      <w:r w:rsidR="000F36E3">
        <w:rPr>
          <w:rFonts w:cs="Guttman Drogolin" w:hint="cs"/>
          <w:sz w:val="28"/>
          <w:szCs w:val="28"/>
          <w:rtl/>
        </w:rPr>
        <w:t>ולכאורה נראה לשאול מדוע אנו זקוקי</w:t>
      </w:r>
      <w:bookmarkStart w:id="6" w:name="_GoBack"/>
      <w:bookmarkEnd w:id="6"/>
      <w:r w:rsidR="000F36E3">
        <w:rPr>
          <w:rFonts w:cs="Guttman Drogolin" w:hint="cs"/>
          <w:sz w:val="28"/>
          <w:szCs w:val="28"/>
          <w:rtl/>
        </w:rPr>
        <w:t>ם להוספה זאת? הרי בוודאי שמי שגידל בש</w:t>
      </w:r>
      <w:r w:rsidR="009347B4">
        <w:rPr>
          <w:rFonts w:cs="Guttman Drogolin" w:hint="cs"/>
          <w:sz w:val="28"/>
          <w:szCs w:val="28"/>
          <w:rtl/>
        </w:rPr>
        <w:t>דהו ירצה בסוף לאסוף את הגידולים!</w:t>
      </w:r>
      <w:r w:rsidR="000F36E3">
        <w:rPr>
          <w:rFonts w:cs="Guttman Drogolin" w:hint="cs"/>
          <w:sz w:val="28"/>
          <w:szCs w:val="28"/>
          <w:rtl/>
        </w:rPr>
        <w:t xml:space="preserve"> </w:t>
      </w:r>
    </w:p>
    <w:p w:rsidR="002158CF" w:rsidRDefault="000F36E3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lastRenderedPageBreak/>
        <w:t xml:space="preserve">אלא שזוהי הבטחה נוספת, לא רק שמי שישמור את השמיטה- </w:t>
      </w:r>
      <w:r w:rsidR="00A50BB4">
        <w:rPr>
          <w:rFonts w:cs="Guttman Drogolin" w:hint="cs"/>
          <w:sz w:val="28"/>
          <w:szCs w:val="28"/>
          <w:rtl/>
        </w:rPr>
        <w:t>יוכל לזרוע את שדהו, אלא גם יגדלו לו גידולים</w:t>
      </w:r>
      <w:r w:rsidR="009347B4">
        <w:rPr>
          <w:rFonts w:cs="Guttman Drogolin" w:hint="cs"/>
          <w:sz w:val="28"/>
          <w:szCs w:val="28"/>
          <w:rtl/>
        </w:rPr>
        <w:t>, והוא אף יזכה לאסוף את גידוליו.</w:t>
      </w:r>
      <w:r w:rsidR="00A50BB4">
        <w:rPr>
          <w:rFonts w:cs="Guttman Drogolin" w:hint="cs"/>
          <w:sz w:val="28"/>
          <w:szCs w:val="28"/>
          <w:rtl/>
        </w:rPr>
        <w:t xml:space="preserve"> והם לא יפגעו או יהרסו כתוצאה מברד או ארבה כפי שנראה בסיפורים בהמשך.</w:t>
      </w:r>
    </w:p>
    <w:p w:rsidR="00C02679" w:rsidRDefault="00C02679" w:rsidP="00C02679">
      <w:pPr>
        <w:spacing w:after="40"/>
        <w:rPr>
          <w:rFonts w:cs="Guttman Drogolin"/>
          <w:sz w:val="28"/>
          <w:szCs w:val="28"/>
          <w:rtl/>
        </w:rPr>
      </w:pPr>
    </w:p>
    <w:p w:rsidR="00C02679" w:rsidRDefault="00C02679" w:rsidP="00C02679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3C2DE557" wp14:editId="47C41066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679" w:rsidRPr="00C02679" w:rsidRDefault="00C02679" w:rsidP="00C02679">
      <w:pPr>
        <w:spacing w:after="40"/>
        <w:jc w:val="center"/>
        <w:rPr>
          <w:rFonts w:cs="Guttman Drogolin"/>
          <w:sz w:val="2"/>
          <w:szCs w:val="2"/>
          <w:rtl/>
        </w:rPr>
      </w:pPr>
      <w:r>
        <w:rPr>
          <w:rFonts w:cs="Guttman Drogolin" w:hint="cs"/>
          <w:sz w:val="2"/>
          <w:szCs w:val="2"/>
          <w:rtl/>
        </w:rPr>
        <w:t>]</w:t>
      </w:r>
    </w:p>
    <w:p w:rsidR="0080735B" w:rsidRPr="0080735B" w:rsidRDefault="0080735B" w:rsidP="00472693">
      <w:pPr>
        <w:spacing w:after="40"/>
        <w:rPr>
          <w:rFonts w:cs="Guttman Drogolin"/>
          <w:b/>
          <w:bCs/>
          <w:sz w:val="28"/>
          <w:szCs w:val="28"/>
          <w:rtl/>
        </w:rPr>
      </w:pPr>
      <w:r w:rsidRPr="0080735B">
        <w:rPr>
          <w:rFonts w:cs="Guttman Drogolin" w:hint="cs"/>
          <w:b/>
          <w:bCs/>
          <w:sz w:val="28"/>
          <w:szCs w:val="28"/>
          <w:rtl/>
        </w:rPr>
        <w:t>"</w:t>
      </w:r>
      <w:r w:rsidRPr="0080735B">
        <w:rPr>
          <w:rFonts w:cs="Guttman Drogolin"/>
          <w:b/>
          <w:bCs/>
          <w:sz w:val="28"/>
          <w:szCs w:val="28"/>
          <w:rtl/>
        </w:rPr>
        <w:t>וְשָׁבְתָה הָאָרֶץ שַׁבָּת לה'</w:t>
      </w:r>
      <w:r w:rsidRPr="0080735B">
        <w:rPr>
          <w:rFonts w:cs="Guttman Drogolin" w:hint="cs"/>
          <w:b/>
          <w:bCs/>
          <w:sz w:val="28"/>
          <w:szCs w:val="28"/>
          <w:rtl/>
        </w:rPr>
        <w:t>"</w:t>
      </w:r>
      <w:r>
        <w:rPr>
          <w:rStyle w:val="a9"/>
          <w:rFonts w:cs="Guttman Vilna"/>
          <w:sz w:val="28"/>
          <w:szCs w:val="28"/>
          <w:rtl/>
        </w:rPr>
        <w:footnoteReference w:id="3"/>
      </w:r>
    </w:p>
    <w:p w:rsidR="00E327EA" w:rsidRDefault="00E327EA" w:rsidP="00472693">
      <w:pPr>
        <w:spacing w:after="40"/>
        <w:rPr>
          <w:rFonts w:cs="Guttman Vilna" w:hint="cs"/>
          <w:sz w:val="28"/>
          <w:szCs w:val="28"/>
          <w:rtl/>
        </w:rPr>
      </w:pPr>
      <w:r w:rsidRPr="00E327EA">
        <w:rPr>
          <w:rFonts w:cs="Guttman Vilna" w:hint="cs"/>
          <w:sz w:val="28"/>
          <w:szCs w:val="28"/>
          <w:rtl/>
        </w:rPr>
        <w:t>"</w:t>
      </w:r>
      <w:r w:rsidRPr="00E327EA">
        <w:rPr>
          <w:rFonts w:cs="Guttman Vilna"/>
          <w:sz w:val="28"/>
          <w:szCs w:val="28"/>
          <w:rtl/>
        </w:rPr>
        <w:t>שַׁבָּת לה'</w:t>
      </w:r>
      <w:r w:rsidRPr="00E327EA">
        <w:rPr>
          <w:rFonts w:cs="Guttman Vilna" w:hint="cs"/>
          <w:sz w:val="28"/>
          <w:szCs w:val="28"/>
          <w:rtl/>
        </w:rPr>
        <w:t>"</w:t>
      </w:r>
      <w:r w:rsidR="00D772B3">
        <w:rPr>
          <w:rFonts w:cs="Guttman Vilna" w:hint="cs"/>
          <w:sz w:val="28"/>
          <w:szCs w:val="28"/>
          <w:rtl/>
        </w:rPr>
        <w:t xml:space="preserve">, וכותב רש"י: </w:t>
      </w:r>
      <w:r w:rsidR="00D772B3" w:rsidRPr="00D772B3">
        <w:rPr>
          <w:rFonts w:cs="Guttman Vilna" w:hint="cs"/>
          <w:sz w:val="28"/>
          <w:szCs w:val="28"/>
          <w:rtl/>
        </w:rPr>
        <w:t>"</w:t>
      </w:r>
      <w:r w:rsidR="00D772B3" w:rsidRPr="00D772B3">
        <w:rPr>
          <w:rFonts w:cs="Guttman Vilna"/>
          <w:b/>
          <w:bCs/>
          <w:sz w:val="28"/>
          <w:szCs w:val="28"/>
          <w:rtl/>
        </w:rPr>
        <w:t>שבת לה'.</w:t>
      </w:r>
      <w:r w:rsidR="00D772B3" w:rsidRPr="00D772B3">
        <w:rPr>
          <w:rFonts w:cs="Guttman Vilna"/>
          <w:sz w:val="28"/>
          <w:szCs w:val="28"/>
          <w:rtl/>
        </w:rPr>
        <w:t xml:space="preserve"> לשם ה' כשם שנאמר  בשבת בראשית</w:t>
      </w:r>
      <w:r w:rsidR="00D772B3" w:rsidRPr="00D772B3">
        <w:rPr>
          <w:rFonts w:cs="Guttman Vilna" w:hint="cs"/>
          <w:sz w:val="28"/>
          <w:szCs w:val="28"/>
          <w:rtl/>
        </w:rPr>
        <w:t>"</w:t>
      </w:r>
      <w:r w:rsidR="00D772B3">
        <w:rPr>
          <w:rFonts w:cs="Guttman Vilna" w:hint="cs"/>
          <w:sz w:val="28"/>
          <w:szCs w:val="28"/>
          <w:rtl/>
        </w:rPr>
        <w:t>.</w:t>
      </w:r>
    </w:p>
    <w:p w:rsidR="00D772B3" w:rsidRDefault="00C96C27" w:rsidP="00472693">
      <w:pPr>
        <w:spacing w:after="40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מהי כוונת רש"י בכתבו "לשם ה'"?</w:t>
      </w:r>
    </w:p>
    <w:p w:rsidR="00C96C27" w:rsidRDefault="00C96C27" w:rsidP="00472693">
      <w:pPr>
        <w:spacing w:after="40"/>
        <w:rPr>
          <w:rFonts w:cs="Guttman Drogolin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מסביר</w:t>
      </w:r>
      <w:r w:rsidR="00B05A6B">
        <w:rPr>
          <w:rFonts w:cs="Guttman Vilna" w:hint="cs"/>
          <w:sz w:val="28"/>
          <w:szCs w:val="28"/>
          <w:rtl/>
        </w:rPr>
        <w:t xml:space="preserve"> בעל הספר "אזנים לתורה" שהמשבית את שדהו עשוי לומר: זה טוב</w:t>
      </w:r>
      <w:r w:rsidR="00975823">
        <w:rPr>
          <w:rFonts w:cs="Guttman Vilna" w:hint="cs"/>
          <w:sz w:val="28"/>
          <w:szCs w:val="28"/>
          <w:rtl/>
        </w:rPr>
        <w:t xml:space="preserve"> לשדה שתנוח, כדי שבשנה הבאה תצמיח יבול רב. לכן אומרת לו התורה: "</w:t>
      </w:r>
      <w:r w:rsidR="00975823" w:rsidRPr="00E327EA">
        <w:rPr>
          <w:rFonts w:cs="Guttman Vilna"/>
          <w:sz w:val="28"/>
          <w:szCs w:val="28"/>
          <w:rtl/>
        </w:rPr>
        <w:t>שַׁבָּת לה'</w:t>
      </w:r>
      <w:r w:rsidR="00891393">
        <w:rPr>
          <w:rFonts w:cs="Guttman Vilna" w:hint="cs"/>
          <w:sz w:val="28"/>
          <w:szCs w:val="28"/>
          <w:rtl/>
        </w:rPr>
        <w:t xml:space="preserve">" </w:t>
      </w:r>
      <w:r w:rsidR="00891393">
        <w:rPr>
          <w:rFonts w:cs="Guttman Vilna"/>
          <w:sz w:val="28"/>
          <w:szCs w:val="28"/>
          <w:rtl/>
        </w:rPr>
        <w:t>–</w:t>
      </w:r>
      <w:r w:rsidR="00891393">
        <w:rPr>
          <w:rFonts w:cs="Guttman Vilna" w:hint="cs"/>
          <w:sz w:val="28"/>
          <w:szCs w:val="28"/>
          <w:rtl/>
        </w:rPr>
        <w:t xml:space="preserve"> עליך לשבות משום שכך ציווה ה' ולא לשם כוונה אחרת וכך גם נאמר על השבת </w:t>
      </w:r>
      <w:r w:rsidR="00891393" w:rsidRPr="00472693">
        <w:rPr>
          <w:rFonts w:cs="Guttman Vilna" w:hint="cs"/>
          <w:sz w:val="28"/>
          <w:szCs w:val="28"/>
          <w:rtl/>
        </w:rPr>
        <w:t>"</w:t>
      </w:r>
      <w:r w:rsidR="00C35222" w:rsidRPr="00472693">
        <w:rPr>
          <w:rFonts w:cs="Guttman Vilna"/>
          <w:sz w:val="28"/>
          <w:szCs w:val="28"/>
          <w:rtl/>
        </w:rPr>
        <w:t xml:space="preserve">שַׁבָּת לה' </w:t>
      </w:r>
      <w:proofErr w:type="spellStart"/>
      <w:r w:rsidR="00C35222" w:rsidRPr="00472693">
        <w:rPr>
          <w:rFonts w:cs="Guttman Vilna"/>
          <w:sz w:val="28"/>
          <w:szCs w:val="28"/>
          <w:rtl/>
        </w:rPr>
        <w:t>אֱלֹהֶיך</w:t>
      </w:r>
      <w:proofErr w:type="spellEnd"/>
      <w:r w:rsidR="00C35222" w:rsidRPr="00472693">
        <w:rPr>
          <w:rFonts w:cs="Guttman Vilna"/>
          <w:sz w:val="28"/>
          <w:szCs w:val="28"/>
          <w:rtl/>
        </w:rPr>
        <w:t>ָ</w:t>
      </w:r>
      <w:r w:rsidR="00472693" w:rsidRPr="00472693">
        <w:rPr>
          <w:rFonts w:cs="Guttman Vilna" w:hint="cs"/>
          <w:sz w:val="28"/>
          <w:szCs w:val="28"/>
          <w:rtl/>
        </w:rPr>
        <w:t>"</w:t>
      </w:r>
      <w:r w:rsidR="00C35222" w:rsidRPr="00472693">
        <w:rPr>
          <w:rFonts w:cs="Guttman Vilna"/>
          <w:sz w:val="28"/>
          <w:szCs w:val="28"/>
          <w:vertAlign w:val="superscript"/>
          <w:rtl/>
        </w:rPr>
        <w:footnoteReference w:id="4"/>
      </w:r>
      <w:r w:rsidR="00472693">
        <w:rPr>
          <w:rFonts w:cs="Guttman Vilna" w:hint="cs"/>
          <w:sz w:val="28"/>
          <w:szCs w:val="28"/>
          <w:rtl/>
        </w:rPr>
        <w:t xml:space="preserve">. </w:t>
      </w:r>
      <w:r w:rsidR="00472693">
        <w:rPr>
          <w:rFonts w:cs="Guttman Drogolin" w:hint="cs"/>
          <w:sz w:val="28"/>
          <w:szCs w:val="28"/>
          <w:rtl/>
        </w:rPr>
        <w:t>שלא יאמר אדם: כמה טוב שיש לי יום מנוחה! אלא עליו לנוח משום שכך ציווה ה'.</w:t>
      </w:r>
    </w:p>
    <w:p w:rsidR="00C02679" w:rsidRDefault="00C02679" w:rsidP="00472693">
      <w:pPr>
        <w:spacing w:after="40"/>
        <w:rPr>
          <w:rFonts w:cs="Guttman Drogolin"/>
          <w:sz w:val="28"/>
          <w:szCs w:val="28"/>
          <w:rtl/>
        </w:rPr>
      </w:pPr>
    </w:p>
    <w:p w:rsidR="00472693" w:rsidRDefault="00472693" w:rsidP="00472693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0081EE8F" wp14:editId="13A98F7C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693" w:rsidRPr="00472693" w:rsidRDefault="00472693" w:rsidP="00472693">
      <w:pPr>
        <w:spacing w:after="40"/>
        <w:jc w:val="center"/>
        <w:rPr>
          <w:rFonts w:cs="Guttman Drogolin"/>
          <w:sz w:val="2"/>
          <w:szCs w:val="2"/>
          <w:rtl/>
        </w:rPr>
      </w:pPr>
    </w:p>
    <w:p w:rsidR="00A50BB4" w:rsidRPr="00FF600C" w:rsidRDefault="00A50BB4" w:rsidP="00472693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 w:rsidRPr="00FF600C">
        <w:rPr>
          <w:rFonts w:cs="Guttman Drogolin" w:hint="cs"/>
          <w:b/>
          <w:bCs/>
          <w:sz w:val="28"/>
          <w:szCs w:val="28"/>
          <w:rtl/>
        </w:rPr>
        <w:t>סיפורים על הצלחתם של שומרי שמיטה</w:t>
      </w:r>
    </w:p>
    <w:p w:rsidR="002158CF" w:rsidRDefault="002158CF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ישנם מספר סיפורים מדהימים על מושבים ששמרו את שנת השמיטה, ואכן עזרו להם משמיים והייתה להם הגנה והצלחה מרובה</w:t>
      </w:r>
      <w:r w:rsidR="00A50BB4">
        <w:rPr>
          <w:rFonts w:cs="Guttman Drogolin" w:hint="cs"/>
          <w:sz w:val="28"/>
          <w:szCs w:val="28"/>
          <w:rtl/>
        </w:rPr>
        <w:t>, בע"ה נביא שלושה</w:t>
      </w:r>
      <w:r w:rsidR="00AA1D1D">
        <w:rPr>
          <w:rStyle w:val="a9"/>
          <w:rFonts w:cs="Guttman Drogolin"/>
          <w:sz w:val="28"/>
          <w:szCs w:val="28"/>
          <w:rtl/>
        </w:rPr>
        <w:footnoteReference w:id="5"/>
      </w:r>
      <w:r>
        <w:rPr>
          <w:rFonts w:cs="Guttman Drogolin" w:hint="cs"/>
          <w:sz w:val="28"/>
          <w:szCs w:val="28"/>
          <w:rtl/>
        </w:rPr>
        <w:t>:</w:t>
      </w:r>
    </w:p>
    <w:p w:rsidR="00C56FA1" w:rsidRPr="00C56FA1" w:rsidRDefault="002158CF" w:rsidP="00472693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  <w:rtl/>
        </w:rPr>
      </w:pPr>
      <w:r w:rsidRPr="00C56FA1">
        <w:rPr>
          <w:rFonts w:cs="Guttman Drogolin" w:hint="cs"/>
          <w:sz w:val="28"/>
          <w:szCs w:val="28"/>
          <w:rtl/>
        </w:rPr>
        <w:t>בשנ</w:t>
      </w:r>
      <w:r w:rsidR="00F13015" w:rsidRPr="00C56FA1">
        <w:rPr>
          <w:rFonts w:cs="Guttman Drogolin" w:hint="cs"/>
          <w:sz w:val="28"/>
          <w:szCs w:val="28"/>
          <w:rtl/>
        </w:rPr>
        <w:t>ת ת</w:t>
      </w:r>
      <w:r w:rsidRPr="00C56FA1">
        <w:rPr>
          <w:rFonts w:cs="Guttman Drogolin" w:hint="cs"/>
          <w:sz w:val="28"/>
          <w:szCs w:val="28"/>
          <w:rtl/>
        </w:rPr>
        <w:t>ש</w:t>
      </w:r>
      <w:r w:rsidR="00F13015" w:rsidRPr="00C56FA1">
        <w:rPr>
          <w:rFonts w:cs="Guttman Drogolin" w:hint="cs"/>
          <w:sz w:val="28"/>
          <w:szCs w:val="28"/>
          <w:rtl/>
        </w:rPr>
        <w:t>נ</w:t>
      </w:r>
      <w:r w:rsidRPr="00C56FA1">
        <w:rPr>
          <w:rFonts w:cs="Guttman Drogolin" w:hint="cs"/>
          <w:sz w:val="28"/>
          <w:szCs w:val="28"/>
          <w:rtl/>
        </w:rPr>
        <w:t xml:space="preserve">"ד ירד </w:t>
      </w:r>
      <w:r w:rsidR="009D41A7" w:rsidRPr="00C56FA1">
        <w:rPr>
          <w:rFonts w:cs="Guttman Drogolin" w:hint="cs"/>
          <w:sz w:val="28"/>
          <w:szCs w:val="28"/>
          <w:rtl/>
        </w:rPr>
        <w:t>באזור</w:t>
      </w:r>
      <w:r w:rsidRPr="00C56FA1">
        <w:rPr>
          <w:rFonts w:cs="Guttman Drogolin" w:hint="cs"/>
          <w:sz w:val="28"/>
          <w:szCs w:val="28"/>
          <w:rtl/>
        </w:rPr>
        <w:t xml:space="preserve"> המועצה</w:t>
      </w:r>
      <w:r w:rsidR="009D41A7" w:rsidRPr="00C56FA1">
        <w:rPr>
          <w:rFonts w:cs="Guttman Drogolin" w:hint="cs"/>
          <w:sz w:val="28"/>
          <w:szCs w:val="28"/>
          <w:rtl/>
        </w:rPr>
        <w:t xml:space="preserve"> </w:t>
      </w:r>
      <w:r w:rsidRPr="00C56FA1">
        <w:rPr>
          <w:rFonts w:cs="Guttman Drogolin" w:hint="cs"/>
          <w:sz w:val="28"/>
          <w:szCs w:val="28"/>
          <w:rtl/>
        </w:rPr>
        <w:t>"גזר" ברד כבד וחזק</w:t>
      </w:r>
      <w:r w:rsidR="009D41A7" w:rsidRPr="00C56FA1">
        <w:rPr>
          <w:rFonts w:cs="Guttman Drogolin" w:hint="cs"/>
          <w:sz w:val="28"/>
          <w:szCs w:val="28"/>
          <w:rtl/>
        </w:rPr>
        <w:t>.</w:t>
      </w:r>
      <w:r w:rsidRPr="00C56FA1">
        <w:rPr>
          <w:rFonts w:cs="Guttman Drogolin" w:hint="cs"/>
          <w:sz w:val="28"/>
          <w:szCs w:val="28"/>
          <w:rtl/>
        </w:rPr>
        <w:t xml:space="preserve"> </w:t>
      </w:r>
    </w:p>
    <w:p w:rsidR="00F6295F" w:rsidRDefault="002158CF" w:rsidP="00472693">
      <w:pPr>
        <w:spacing w:after="40"/>
        <w:jc w:val="both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וכידוע</w:t>
      </w:r>
      <w:r w:rsidR="009D41A7">
        <w:rPr>
          <w:rFonts w:cs="Guttman Drogolin" w:hint="cs"/>
          <w:sz w:val="28"/>
          <w:szCs w:val="28"/>
          <w:rtl/>
        </w:rPr>
        <w:t>,</w:t>
      </w:r>
      <w:r>
        <w:rPr>
          <w:rFonts w:cs="Guttman Drogolin" w:hint="cs"/>
          <w:sz w:val="28"/>
          <w:szCs w:val="28"/>
          <w:rtl/>
        </w:rPr>
        <w:t xml:space="preserve"> כאשר הברד יורד</w:t>
      </w:r>
      <w:r w:rsidR="009D41A7">
        <w:rPr>
          <w:rFonts w:cs="Guttman Drogolin" w:hint="cs"/>
          <w:sz w:val="28"/>
          <w:szCs w:val="28"/>
          <w:rtl/>
        </w:rPr>
        <w:t xml:space="preserve"> הוא משמיד כל פריחה ולבלוב שעל העצים</w:t>
      </w:r>
      <w:r w:rsidR="00D00D7B">
        <w:rPr>
          <w:rFonts w:cs="Guttman Drogolin" w:hint="cs"/>
          <w:sz w:val="28"/>
          <w:szCs w:val="28"/>
          <w:rtl/>
        </w:rPr>
        <w:t xml:space="preserve"> וזה בדיוק מה שהיה בכל האזורים שם. היו נזקים לכרמים בסכום של כ-8 מיליון שקלים! </w:t>
      </w:r>
    </w:p>
    <w:p w:rsidR="002158CF" w:rsidRDefault="00D00D7B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אולם במושב "בית עוזיאל" ששמר שמי</w:t>
      </w:r>
      <w:r w:rsidR="00FD55EA">
        <w:rPr>
          <w:rFonts w:cs="Guttman Drogolin" w:hint="cs"/>
          <w:b/>
          <w:bCs/>
          <w:sz w:val="28"/>
          <w:szCs w:val="28"/>
          <w:rtl/>
        </w:rPr>
        <w:t xml:space="preserve">טה כדין על פי הוראותיו של </w:t>
      </w:r>
      <w:proofErr w:type="spellStart"/>
      <w:r w:rsidR="00FD55EA">
        <w:rPr>
          <w:rFonts w:cs="Guttman Drogolin" w:hint="cs"/>
          <w:b/>
          <w:bCs/>
          <w:sz w:val="28"/>
          <w:szCs w:val="28"/>
          <w:rtl/>
        </w:rPr>
        <w:t>הראשל"צ</w:t>
      </w:r>
      <w:proofErr w:type="spellEnd"/>
      <w:r w:rsidR="00FD55EA">
        <w:rPr>
          <w:rFonts w:cs="Guttman Drogolin" w:hint="cs"/>
          <w:b/>
          <w:bCs/>
          <w:sz w:val="28"/>
          <w:szCs w:val="28"/>
          <w:rtl/>
        </w:rPr>
        <w:t xml:space="preserve"> הרב עובדיה זצ"ל, לא נפל אפילו לבלוב אחד! למרות הברד החזק שירד שם, </w:t>
      </w:r>
      <w:r w:rsidR="00FD55EA">
        <w:rPr>
          <w:rFonts w:cs="Guttman Drogolin" w:hint="cs"/>
          <w:sz w:val="28"/>
          <w:szCs w:val="28"/>
          <w:rtl/>
        </w:rPr>
        <w:t xml:space="preserve"> כמו בכל </w:t>
      </w:r>
      <w:proofErr w:type="spellStart"/>
      <w:r w:rsidR="00FD55EA">
        <w:rPr>
          <w:rFonts w:cs="Guttman Drogolin" w:hint="cs"/>
          <w:sz w:val="28"/>
          <w:szCs w:val="28"/>
          <w:rtl/>
        </w:rPr>
        <w:t>האיזור</w:t>
      </w:r>
      <w:proofErr w:type="spellEnd"/>
      <w:r w:rsidR="00FD55EA">
        <w:rPr>
          <w:rFonts w:cs="Guttman Drogolin" w:hint="cs"/>
          <w:sz w:val="28"/>
          <w:szCs w:val="28"/>
          <w:rtl/>
        </w:rPr>
        <w:t>, ויהיה הדבר לפלא.</w:t>
      </w:r>
    </w:p>
    <w:p w:rsidR="00F6295F" w:rsidRDefault="00F6295F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2. </w:t>
      </w:r>
      <w:r w:rsidR="00FD55EA">
        <w:rPr>
          <w:rFonts w:cs="Guttman Drogolin" w:hint="cs"/>
          <w:sz w:val="28"/>
          <w:szCs w:val="28"/>
          <w:rtl/>
        </w:rPr>
        <w:t xml:space="preserve">בשנת תשי"ט הייתה מכת ארבה בכל </w:t>
      </w:r>
      <w:proofErr w:type="spellStart"/>
      <w:r w:rsidR="00FD55EA">
        <w:rPr>
          <w:rFonts w:cs="Guttman Drogolin" w:hint="cs"/>
          <w:sz w:val="28"/>
          <w:szCs w:val="28"/>
          <w:rtl/>
        </w:rPr>
        <w:t>איזור</w:t>
      </w:r>
      <w:proofErr w:type="spellEnd"/>
      <w:r w:rsidR="00FD55EA">
        <w:rPr>
          <w:rFonts w:cs="Guttman Drogolin" w:hint="cs"/>
          <w:sz w:val="28"/>
          <w:szCs w:val="28"/>
          <w:rtl/>
        </w:rPr>
        <w:t xml:space="preserve"> הדרום, הארבה שהתחיל את פעילותו עוד במצרים </w:t>
      </w:r>
      <w:r w:rsidR="00E474AE">
        <w:rPr>
          <w:rFonts w:cs="Guttman Drogolin" w:hint="cs"/>
          <w:sz w:val="28"/>
          <w:szCs w:val="28"/>
          <w:rtl/>
        </w:rPr>
        <w:t xml:space="preserve">והזיק כבר שם, פשט על יישובי הדרום. </w:t>
      </w:r>
    </w:p>
    <w:p w:rsidR="00FD55EA" w:rsidRDefault="00E474AE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כשהגיע הארבה לגבול ישוב "קוממיות", שהוא מושב חקלאי ששומר שמטה כדין, </w:t>
      </w:r>
      <w:r>
        <w:rPr>
          <w:rFonts w:cs="Guttman Drogolin" w:hint="cs"/>
          <w:b/>
          <w:bCs/>
          <w:sz w:val="28"/>
          <w:szCs w:val="28"/>
          <w:rtl/>
        </w:rPr>
        <w:t xml:space="preserve">פנה עורף ושב כלעומת </w:t>
      </w:r>
      <w:r w:rsidRPr="00FE08FE">
        <w:rPr>
          <w:rFonts w:cs="Guttman Drogolin" w:hint="cs"/>
          <w:b/>
          <w:bCs/>
          <w:sz w:val="28"/>
          <w:szCs w:val="28"/>
          <w:rtl/>
        </w:rPr>
        <w:t>שבא ולא נשאר אף ארבה בגבול ישראל</w:t>
      </w:r>
      <w:r>
        <w:rPr>
          <w:rFonts w:cs="Guttman Drogolin" w:hint="cs"/>
          <w:sz w:val="28"/>
          <w:szCs w:val="28"/>
          <w:rtl/>
        </w:rPr>
        <w:t>, וזו השגחה שאי אפשר לשאר ולתאר.</w:t>
      </w:r>
    </w:p>
    <w:p w:rsidR="00FE08FE" w:rsidRDefault="00FE08FE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 w:rsidRPr="00FE08FE">
        <w:rPr>
          <w:rFonts w:cs="Guttman Drogolin" w:hint="cs"/>
          <w:sz w:val="28"/>
          <w:szCs w:val="28"/>
          <w:rtl/>
        </w:rPr>
        <w:lastRenderedPageBreak/>
        <w:t>3.</w:t>
      </w:r>
      <w:r>
        <w:rPr>
          <w:rFonts w:cs="Guttman Drogolin" w:hint="cs"/>
          <w:sz w:val="28"/>
          <w:szCs w:val="28"/>
          <w:rtl/>
        </w:rPr>
        <w:t xml:space="preserve"> </w:t>
      </w:r>
      <w:r w:rsidR="00DB0703" w:rsidRPr="00FE08FE">
        <w:rPr>
          <w:rFonts w:cs="Guttman Drogolin" w:hint="cs"/>
          <w:sz w:val="28"/>
          <w:szCs w:val="28"/>
          <w:rtl/>
        </w:rPr>
        <w:t>סיפור מדהים נוסף שהיה באותו מושב. שנתיים לפני כן החליטה הסוכנות לנטוע פרדסים בכמה יישובים וביניהם קוממיות. התנאי של מושב קוממיות היה שבשמיטה, שתב</w:t>
      </w:r>
      <w:r>
        <w:rPr>
          <w:rFonts w:cs="Guttman Drogolin" w:hint="cs"/>
          <w:sz w:val="28"/>
          <w:szCs w:val="28"/>
          <w:rtl/>
        </w:rPr>
        <w:t>וא שנתיים אחר כך, הם ינהגו בכל ד</w:t>
      </w:r>
      <w:r w:rsidR="00DB0703" w:rsidRPr="00FE08FE">
        <w:rPr>
          <w:rFonts w:cs="Guttman Drogolin" w:hint="cs"/>
          <w:sz w:val="28"/>
          <w:szCs w:val="28"/>
          <w:rtl/>
        </w:rPr>
        <w:t xml:space="preserve">יני שמיטה כהלכה. </w:t>
      </w:r>
    </w:p>
    <w:p w:rsidR="00DB0703" w:rsidRPr="00FE08FE" w:rsidRDefault="00DB0703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 w:rsidRPr="00FE08FE">
        <w:rPr>
          <w:rFonts w:cs="Guttman Drogolin" w:hint="cs"/>
          <w:sz w:val="28"/>
          <w:szCs w:val="28"/>
          <w:rtl/>
        </w:rPr>
        <w:t>מה שאומר שהם לא יכולים לזבל, לרסס, השקיה מינ</w:t>
      </w:r>
      <w:r w:rsidR="004A63FA" w:rsidRPr="00FE08FE">
        <w:rPr>
          <w:rFonts w:cs="Guttman Drogolin" w:hint="cs"/>
          <w:sz w:val="28"/>
          <w:szCs w:val="28"/>
          <w:rtl/>
        </w:rPr>
        <w:t>י</w:t>
      </w:r>
      <w:r w:rsidRPr="00FE08FE">
        <w:rPr>
          <w:rFonts w:cs="Guttman Drogolin" w:hint="cs"/>
          <w:sz w:val="28"/>
          <w:szCs w:val="28"/>
          <w:rtl/>
        </w:rPr>
        <w:t>מלית וכו'. הסוכ</w:t>
      </w:r>
      <w:r w:rsidR="004A63FA" w:rsidRPr="00FE08FE">
        <w:rPr>
          <w:rFonts w:cs="Guttman Drogolin" w:hint="cs"/>
          <w:sz w:val="28"/>
          <w:szCs w:val="28"/>
          <w:rtl/>
        </w:rPr>
        <w:t>נות סירבה לתנאי,</w:t>
      </w:r>
      <w:r w:rsidR="00FE08FE">
        <w:rPr>
          <w:rFonts w:cs="Guttman Drogolin" w:hint="cs"/>
          <w:sz w:val="28"/>
          <w:szCs w:val="28"/>
          <w:rtl/>
        </w:rPr>
        <w:t xml:space="preserve"> אך לאחר שרב המושב הרב מנדלסון ז</w:t>
      </w:r>
      <w:r w:rsidR="004A63FA" w:rsidRPr="00FE08FE">
        <w:rPr>
          <w:rFonts w:cs="Guttman Drogolin" w:hint="cs"/>
          <w:sz w:val="28"/>
          <w:szCs w:val="28"/>
          <w:rtl/>
        </w:rPr>
        <w:t>צ"ל די</w:t>
      </w:r>
      <w:r w:rsidR="00FE08FE">
        <w:rPr>
          <w:rFonts w:cs="Guttman Drogolin" w:hint="cs"/>
          <w:sz w:val="28"/>
          <w:szCs w:val="28"/>
          <w:rtl/>
        </w:rPr>
        <w:t>בר עם מנהל הפרדסים אד' ויגודסקי</w:t>
      </w:r>
      <w:r w:rsidR="004A63FA" w:rsidRPr="00FE08FE">
        <w:rPr>
          <w:rFonts w:cs="Guttman Drogolin" w:hint="cs"/>
          <w:sz w:val="28"/>
          <w:szCs w:val="28"/>
          <w:rtl/>
        </w:rPr>
        <w:t xml:space="preserve"> בדברים נרגשים היוצאים מן הלב על חשיבות המצווה הזאת וכמה הם נכונים למסור את נפשם עליה, התפעל אדון ויגוד</w:t>
      </w:r>
      <w:r w:rsidR="00F96021" w:rsidRPr="00FE08FE">
        <w:rPr>
          <w:rFonts w:cs="Guttman Drogolin" w:hint="cs"/>
          <w:sz w:val="28"/>
          <w:szCs w:val="28"/>
          <w:rtl/>
        </w:rPr>
        <w:t>סקי והסכים להשקיע כחצי מיליון שקל בנטיעת פרדס במושב.</w:t>
      </w:r>
    </w:p>
    <w:p w:rsidR="000F36E3" w:rsidRDefault="00F96021" w:rsidP="00472693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כשהגיעה שנת השמיטה שמרו אנשי קוממיות על הלכות שמיטה כמוסכם מראש אבל האגרונומים ומנהלי הפרדס התריעו על הנהגה זו שהיא מסכנת את הפרדס ואת כל הסכום שהושקע בו. </w:t>
      </w:r>
    </w:p>
    <w:p w:rsidR="0081230F" w:rsidRPr="00E321E7" w:rsidRDefault="00F96021" w:rsidP="00472693">
      <w:pPr>
        <w:spacing w:after="40"/>
        <w:jc w:val="both"/>
        <w:rPr>
          <w:rFonts w:cs="Times New Roman"/>
          <w:sz w:val="28"/>
          <w:szCs w:val="28"/>
        </w:rPr>
      </w:pPr>
      <w:r>
        <w:rPr>
          <w:rFonts w:cs="Guttman Drogolin" w:hint="cs"/>
          <w:sz w:val="28"/>
          <w:szCs w:val="28"/>
          <w:rtl/>
        </w:rPr>
        <w:t>בסוף שנת השמיטה הגיע אדון ויגודסקי, מנהל הפרדסים אל הרב ואמר לו: "אני אחראי על הפרדסים מטעם הסוכנות על שניים עשר פרדסים</w:t>
      </w:r>
      <w:r w:rsidR="00E321E7">
        <w:rPr>
          <w:rFonts w:cs="Guttman Drogolin" w:hint="cs"/>
          <w:sz w:val="28"/>
          <w:szCs w:val="28"/>
          <w:rtl/>
        </w:rPr>
        <w:t xml:space="preserve">, שבכולם עבדו כרגיל מלבד הפרדס בקוממיות, שבו שמרו על הוראות הרב בקפדנות, נגד מה שנדרש לדעתנו. והנה </w:t>
      </w:r>
      <w:r w:rsidR="00E321E7">
        <w:rPr>
          <w:rFonts w:cs="Guttman Drogolin" w:hint="cs"/>
          <w:b/>
          <w:bCs/>
          <w:sz w:val="28"/>
          <w:szCs w:val="28"/>
          <w:rtl/>
        </w:rPr>
        <w:t>הפרדס בקוממיות הצליח הרבה יותר משאר הפרדסים!</w:t>
      </w:r>
      <w:r w:rsidR="00E321E7">
        <w:rPr>
          <w:rFonts w:cs="Guttman Drogolin" w:hint="cs"/>
          <w:sz w:val="28"/>
          <w:szCs w:val="28"/>
          <w:rtl/>
        </w:rPr>
        <w:t xml:space="preserve"> אמור לי נא מה סוד הדבר?!"</w:t>
      </w:r>
    </w:p>
    <w:sectPr w:rsidR="0081230F" w:rsidRPr="00E321E7" w:rsidSect="00B800A0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FE" w:rsidRDefault="00AC7EFE" w:rsidP="0019627E">
      <w:pPr>
        <w:spacing w:after="0" w:line="240" w:lineRule="auto"/>
      </w:pPr>
      <w:r>
        <w:separator/>
      </w:r>
    </w:p>
  </w:endnote>
  <w:endnote w:type="continuationSeparator" w:id="0">
    <w:p w:rsidR="00AC7EFE" w:rsidRDefault="00AC7EFE" w:rsidP="0019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FE" w:rsidRDefault="00AC7EFE" w:rsidP="0019627E">
      <w:pPr>
        <w:spacing w:after="0" w:line="240" w:lineRule="auto"/>
      </w:pPr>
      <w:r>
        <w:separator/>
      </w:r>
    </w:p>
  </w:footnote>
  <w:footnote w:type="continuationSeparator" w:id="0">
    <w:p w:rsidR="00AC7EFE" w:rsidRDefault="00AC7EFE" w:rsidP="0019627E">
      <w:pPr>
        <w:spacing w:after="0" w:line="240" w:lineRule="auto"/>
      </w:pPr>
      <w:r>
        <w:continuationSeparator/>
      </w:r>
    </w:p>
  </w:footnote>
  <w:footnote w:id="1">
    <w:p w:rsidR="00CC0ADD" w:rsidRDefault="00CC0ADD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ספורנו</w:t>
      </w:r>
      <w:proofErr w:type="spellEnd"/>
      <w:r>
        <w:rPr>
          <w:rFonts w:hint="cs"/>
          <w:rtl/>
        </w:rPr>
        <w:t xml:space="preserve"> על הפסוק.</w:t>
      </w:r>
    </w:p>
  </w:footnote>
  <w:footnote w:id="2">
    <w:p w:rsidR="005B13C9" w:rsidRDefault="005B13C9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כלי יקר על הפסוק.</w:t>
      </w:r>
    </w:p>
  </w:footnote>
  <w:footnote w:id="3">
    <w:p w:rsidR="0080735B" w:rsidRDefault="0080735B" w:rsidP="0080735B">
      <w:pPr>
        <w:pStyle w:val="a7"/>
        <w:rPr>
          <w:rFonts w:hint="cs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ויקרא כה, ב.</w:t>
      </w:r>
    </w:p>
  </w:footnote>
  <w:footnote w:id="4">
    <w:p w:rsidR="00C35222" w:rsidRDefault="00C35222">
      <w:pPr>
        <w:pStyle w:val="a7"/>
        <w:rPr>
          <w:rFonts w:hint="cs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שמות כ, י.</w:t>
      </w:r>
    </w:p>
  </w:footnote>
  <w:footnote w:id="5">
    <w:p w:rsidR="00AA1D1D" w:rsidRDefault="00AA1D1D">
      <w:pPr>
        <w:pStyle w:val="a7"/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הסיפורים מתוך "מצוות הארץ בהלכה ובאגדה".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27E" w:rsidRDefault="0019627E" w:rsidP="0019627E">
    <w:pPr>
      <w:pStyle w:val="a3"/>
    </w:pPr>
    <w:r>
      <w:rPr>
        <w:rFonts w:hint="cs"/>
        <w:rtl/>
      </w:rPr>
      <w:t>בס"ד ובהשתדלות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020E6"/>
    <w:multiLevelType w:val="hybridMultilevel"/>
    <w:tmpl w:val="A7169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7E"/>
    <w:rsid w:val="00044271"/>
    <w:rsid w:val="000804FD"/>
    <w:rsid w:val="000F3036"/>
    <w:rsid w:val="000F36E3"/>
    <w:rsid w:val="0011057A"/>
    <w:rsid w:val="00134390"/>
    <w:rsid w:val="001920D8"/>
    <w:rsid w:val="0019627E"/>
    <w:rsid w:val="001E7745"/>
    <w:rsid w:val="002158CF"/>
    <w:rsid w:val="0036704A"/>
    <w:rsid w:val="003A107A"/>
    <w:rsid w:val="00455C80"/>
    <w:rsid w:val="00456DA5"/>
    <w:rsid w:val="00472693"/>
    <w:rsid w:val="004A63FA"/>
    <w:rsid w:val="004C4AF1"/>
    <w:rsid w:val="004C762E"/>
    <w:rsid w:val="005B13C9"/>
    <w:rsid w:val="005B214B"/>
    <w:rsid w:val="005E6424"/>
    <w:rsid w:val="007E6881"/>
    <w:rsid w:val="0080735B"/>
    <w:rsid w:val="0081230F"/>
    <w:rsid w:val="00891393"/>
    <w:rsid w:val="009347B4"/>
    <w:rsid w:val="00973346"/>
    <w:rsid w:val="00975823"/>
    <w:rsid w:val="00992171"/>
    <w:rsid w:val="009D41A7"/>
    <w:rsid w:val="00A50BB4"/>
    <w:rsid w:val="00AA1D1D"/>
    <w:rsid w:val="00AC7EFE"/>
    <w:rsid w:val="00B05A6B"/>
    <w:rsid w:val="00B800A0"/>
    <w:rsid w:val="00C02679"/>
    <w:rsid w:val="00C35222"/>
    <w:rsid w:val="00C45CE2"/>
    <w:rsid w:val="00C56FA1"/>
    <w:rsid w:val="00C96C27"/>
    <w:rsid w:val="00CA4D91"/>
    <w:rsid w:val="00CC0ADD"/>
    <w:rsid w:val="00CD64FC"/>
    <w:rsid w:val="00D00D7B"/>
    <w:rsid w:val="00D62CF5"/>
    <w:rsid w:val="00D736B1"/>
    <w:rsid w:val="00D772B3"/>
    <w:rsid w:val="00DB0703"/>
    <w:rsid w:val="00E321E7"/>
    <w:rsid w:val="00E327EA"/>
    <w:rsid w:val="00E474AE"/>
    <w:rsid w:val="00F11937"/>
    <w:rsid w:val="00F13015"/>
    <w:rsid w:val="00F6295F"/>
    <w:rsid w:val="00F76AF6"/>
    <w:rsid w:val="00F96021"/>
    <w:rsid w:val="00FD55EA"/>
    <w:rsid w:val="00FE08FE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8BD5F-67F0-4E14-9224-E0F33318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9627E"/>
  </w:style>
  <w:style w:type="paragraph" w:styleId="a5">
    <w:name w:val="footer"/>
    <w:basedOn w:val="a"/>
    <w:link w:val="a6"/>
    <w:uiPriority w:val="99"/>
    <w:unhideWhenUsed/>
    <w:rsid w:val="00196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9627E"/>
  </w:style>
  <w:style w:type="character" w:styleId="Hyperlink">
    <w:name w:val="Hyperlink"/>
    <w:basedOn w:val="a0"/>
    <w:uiPriority w:val="99"/>
    <w:unhideWhenUsed/>
    <w:rsid w:val="00D736B1"/>
    <w:rPr>
      <w:color w:val="2F6DBB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CC0ADD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CC0AD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C0ADD"/>
    <w:rPr>
      <w:vertAlign w:val="superscript"/>
    </w:rPr>
  </w:style>
  <w:style w:type="paragraph" w:styleId="aa">
    <w:name w:val="List Paragraph"/>
    <w:basedOn w:val="a"/>
    <w:uiPriority w:val="34"/>
    <w:qFormat/>
    <w:rsid w:val="00C56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711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8</cp:revision>
  <dcterms:created xsi:type="dcterms:W3CDTF">2017-05-15T08:44:00Z</dcterms:created>
  <dcterms:modified xsi:type="dcterms:W3CDTF">2017-05-19T06:17:00Z</dcterms:modified>
</cp:coreProperties>
</file>