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0FB" w:rsidRDefault="00B5068F" w:rsidP="00C76479">
      <w:pPr>
        <w:spacing w:after="40"/>
        <w:jc w:val="center"/>
        <w:rPr>
          <w:rFonts w:cs="Guttman Drogolin"/>
          <w:b/>
          <w:bCs/>
          <w:sz w:val="40"/>
          <w:szCs w:val="40"/>
          <w:rtl/>
        </w:rPr>
      </w:pPr>
      <w:r>
        <w:rPr>
          <w:rFonts w:cs="Guttman Drogolin" w:hint="cs"/>
          <w:b/>
          <w:bCs/>
          <w:sz w:val="40"/>
          <w:szCs w:val="40"/>
          <w:rtl/>
        </w:rPr>
        <w:t>פרשת בהעלותך</w:t>
      </w:r>
    </w:p>
    <w:p w:rsidR="001C445D" w:rsidRPr="001C445D" w:rsidRDefault="000915DE" w:rsidP="00C76479">
      <w:pPr>
        <w:spacing w:after="40"/>
        <w:jc w:val="both"/>
        <w:rPr>
          <w:rFonts w:cs="Guttman Drogolin"/>
          <w:b/>
          <w:bCs/>
          <w:sz w:val="32"/>
          <w:szCs w:val="32"/>
          <w:rtl/>
        </w:rPr>
      </w:pPr>
      <w:r>
        <w:rPr>
          <w:rFonts w:cs="Guttman Drogolin" w:hint="cs"/>
          <w:b/>
          <w:bCs/>
          <w:sz w:val="32"/>
          <w:szCs w:val="32"/>
          <w:rtl/>
        </w:rPr>
        <w:t>התאוו לתאווה</w:t>
      </w:r>
    </w:p>
    <w:p w:rsidR="00B5068F" w:rsidRDefault="001C445D" w:rsidP="00C76479">
      <w:pPr>
        <w:spacing w:after="40"/>
        <w:jc w:val="both"/>
        <w:rPr>
          <w:rFonts w:cs="Guttman Vilna"/>
          <w:sz w:val="28"/>
          <w:szCs w:val="28"/>
          <w:rtl/>
        </w:rPr>
      </w:pPr>
      <w:r w:rsidRPr="001C445D">
        <w:rPr>
          <w:rFonts w:cs="Guttman Vilna" w:hint="cs"/>
          <w:sz w:val="28"/>
          <w:szCs w:val="28"/>
          <w:rtl/>
        </w:rPr>
        <w:t>"</w:t>
      </w:r>
      <w:r w:rsidRPr="001C445D">
        <w:rPr>
          <w:rFonts w:cs="Guttman Vilna"/>
          <w:sz w:val="28"/>
          <w:szCs w:val="28"/>
          <w:rtl/>
        </w:rPr>
        <w:t>וְהָאסַפְסֻף אֲשֶׁר בְּקִרְבּוֹ הִתְאַוּוּ תַּאֲוָה וַיָּשֻׁבוּ וַיִּבְכּוּ גַּם בְּנֵי יִשְׂרָאֵל וַיֹּאמְרוּ מִי יַאֲכִלֵנוּ בָּשָׂר</w:t>
      </w:r>
      <w:r w:rsidRPr="001C445D">
        <w:rPr>
          <w:rFonts w:cs="Guttman Vilna" w:hint="cs"/>
          <w:sz w:val="28"/>
          <w:szCs w:val="28"/>
          <w:rtl/>
        </w:rPr>
        <w:t>"</w:t>
      </w:r>
      <w:r w:rsidR="000915DE">
        <w:rPr>
          <w:rStyle w:val="a9"/>
          <w:rFonts w:cs="Guttman Vilna"/>
          <w:sz w:val="28"/>
          <w:szCs w:val="28"/>
        </w:rPr>
        <w:footnoteReference w:id="1"/>
      </w:r>
      <w:r w:rsidR="000915DE">
        <w:rPr>
          <w:rFonts w:cs="Guttman Vilna" w:hint="cs"/>
          <w:sz w:val="28"/>
          <w:szCs w:val="28"/>
          <w:rtl/>
        </w:rPr>
        <w:t>.</w:t>
      </w:r>
    </w:p>
    <w:p w:rsidR="000915DE" w:rsidRDefault="00920D87" w:rsidP="00C76479">
      <w:pPr>
        <w:spacing w:after="40"/>
        <w:jc w:val="both"/>
        <w:rPr>
          <w:rFonts w:cs="Guttman Drogolin"/>
          <w:sz w:val="28"/>
          <w:szCs w:val="28"/>
          <w:rtl/>
        </w:rPr>
      </w:pPr>
      <w:r>
        <w:rPr>
          <w:rFonts w:cs="Guttman Drogolin" w:hint="cs"/>
          <w:sz w:val="28"/>
          <w:szCs w:val="28"/>
          <w:rtl/>
        </w:rPr>
        <w:t>וכתב בעל ה"שיירי מנחה"</w:t>
      </w:r>
      <w:r>
        <w:rPr>
          <w:rStyle w:val="a9"/>
          <w:rFonts w:cs="Guttman Drogolin"/>
          <w:sz w:val="28"/>
          <w:szCs w:val="28"/>
          <w:rtl/>
        </w:rPr>
        <w:footnoteReference w:id="2"/>
      </w:r>
      <w:r>
        <w:rPr>
          <w:rFonts w:cs="Guttman Drogolin" w:hint="cs"/>
          <w:sz w:val="28"/>
          <w:szCs w:val="28"/>
          <w:rtl/>
        </w:rPr>
        <w:t xml:space="preserve"> שיש לדקדק שלכאורה היה צריך לכתוב שהאספסוף "התאוו לבשר"</w:t>
      </w:r>
      <w:r w:rsidR="00B97EA1">
        <w:rPr>
          <w:rFonts w:cs="Guttman Drogolin" w:hint="cs"/>
          <w:sz w:val="28"/>
          <w:szCs w:val="28"/>
          <w:rtl/>
        </w:rPr>
        <w:t>? מה הכוונה "</w:t>
      </w:r>
      <w:r w:rsidR="00B97EA1" w:rsidRPr="001C445D">
        <w:rPr>
          <w:rFonts w:cs="Guttman Vilna"/>
          <w:sz w:val="28"/>
          <w:szCs w:val="28"/>
          <w:rtl/>
        </w:rPr>
        <w:t>הִתְאַוּוּ תַּאֲוָה</w:t>
      </w:r>
      <w:r w:rsidR="00B97EA1">
        <w:rPr>
          <w:rFonts w:cs="Guttman Vilna" w:hint="cs"/>
          <w:sz w:val="28"/>
          <w:szCs w:val="28"/>
          <w:rtl/>
        </w:rPr>
        <w:t>"?</w:t>
      </w:r>
    </w:p>
    <w:p w:rsidR="00B97EA1" w:rsidRDefault="00B97EA1" w:rsidP="00C76479">
      <w:pPr>
        <w:spacing w:after="40"/>
        <w:jc w:val="both"/>
        <w:rPr>
          <w:rFonts w:cs="Guttman Drogolin"/>
          <w:sz w:val="28"/>
          <w:szCs w:val="28"/>
          <w:rtl/>
        </w:rPr>
      </w:pPr>
      <w:r>
        <w:rPr>
          <w:rFonts w:cs="Guttman Drogolin" w:hint="cs"/>
          <w:sz w:val="28"/>
          <w:szCs w:val="28"/>
          <w:rtl/>
        </w:rPr>
        <w:t>ועונה שנראה לפרש לפי שדרך העולם שאין האדם מתאווה אלא למה שהוא רואה כנגד עיניו</w:t>
      </w:r>
      <w:r w:rsidR="00BE3510">
        <w:rPr>
          <w:rFonts w:cs="Guttman Drogolin" w:hint="cs"/>
          <w:sz w:val="28"/>
          <w:szCs w:val="28"/>
          <w:rtl/>
        </w:rPr>
        <w:t xml:space="preserve"> כמו שכתוב ש"עין רואה ולב חומד</w:t>
      </w:r>
      <w:r w:rsidR="00A10A78">
        <w:rPr>
          <w:rFonts w:cs="Guttman Drogolin" w:hint="cs"/>
          <w:sz w:val="28"/>
          <w:szCs w:val="28"/>
          <w:rtl/>
        </w:rPr>
        <w:t>", וכך גם באכילה, כשאד</w:t>
      </w:r>
      <w:r w:rsidR="001F6B92">
        <w:rPr>
          <w:rFonts w:cs="Guttman Drogolin" w:hint="cs"/>
          <w:sz w:val="28"/>
          <w:szCs w:val="28"/>
          <w:rtl/>
        </w:rPr>
        <w:t xml:space="preserve">ם רואה פירות טובים או בשר </w:t>
      </w:r>
      <w:r w:rsidR="00CC0647">
        <w:rPr>
          <w:rFonts w:cs="Guttman Drogolin" w:hint="cs"/>
          <w:sz w:val="28"/>
          <w:szCs w:val="28"/>
          <w:rtl/>
        </w:rPr>
        <w:t>איכותי</w:t>
      </w:r>
      <w:r w:rsidR="00A10A78">
        <w:rPr>
          <w:rFonts w:cs="Guttman Drogolin" w:hint="cs"/>
          <w:sz w:val="28"/>
          <w:szCs w:val="28"/>
          <w:rtl/>
        </w:rPr>
        <w:t xml:space="preserve"> וכדו' </w:t>
      </w:r>
      <w:r w:rsidR="00A10A78">
        <w:rPr>
          <w:rFonts w:cs="Guttman Drogolin"/>
          <w:sz w:val="28"/>
          <w:szCs w:val="28"/>
          <w:rtl/>
        </w:rPr>
        <w:t>–</w:t>
      </w:r>
      <w:r w:rsidR="00A10A78">
        <w:rPr>
          <w:rFonts w:cs="Guttman Drogolin" w:hint="cs"/>
          <w:sz w:val="28"/>
          <w:szCs w:val="28"/>
          <w:rtl/>
        </w:rPr>
        <w:t xml:space="preserve"> הוא מתאווה לאכול מהם</w:t>
      </w:r>
      <w:r w:rsidR="00515074">
        <w:rPr>
          <w:rFonts w:cs="Guttman Drogolin" w:hint="cs"/>
          <w:sz w:val="28"/>
          <w:szCs w:val="28"/>
          <w:rtl/>
        </w:rPr>
        <w:t xml:space="preserve">, אבל במן למרות שהיו טועמים בו כל מיני פירות ובשר ודגים וכד' </w:t>
      </w:r>
      <w:r w:rsidR="00515074">
        <w:rPr>
          <w:rFonts w:cs="Guttman Drogolin"/>
          <w:sz w:val="28"/>
          <w:szCs w:val="28"/>
          <w:rtl/>
        </w:rPr>
        <w:t>–</w:t>
      </w:r>
      <w:r w:rsidR="00515074">
        <w:rPr>
          <w:rFonts w:cs="Guttman Drogolin" w:hint="cs"/>
          <w:sz w:val="28"/>
          <w:szCs w:val="28"/>
          <w:rtl/>
        </w:rPr>
        <w:t xml:space="preserve"> למרות זאת לא הייתה להם </w:t>
      </w:r>
      <w:r w:rsidR="00DA2DFE">
        <w:rPr>
          <w:rFonts w:cs="Guttman Drogolin" w:hint="cs"/>
          <w:sz w:val="28"/>
          <w:szCs w:val="28"/>
          <w:rtl/>
        </w:rPr>
        <w:t>שום תאווה בשום דבר כיוון שלא היו רואים דבר, וזוהי כוונת הפסוק: "</w:t>
      </w:r>
      <w:r w:rsidR="00DA2DFE" w:rsidRPr="001C445D">
        <w:rPr>
          <w:rFonts w:cs="Guttman Vilna"/>
          <w:sz w:val="28"/>
          <w:szCs w:val="28"/>
          <w:rtl/>
        </w:rPr>
        <w:t>הִתְאַוּוּ תַּאֲוָה</w:t>
      </w:r>
      <w:r w:rsidR="00DA2DFE">
        <w:rPr>
          <w:rFonts w:cs="Guttman Vilna" w:hint="cs"/>
          <w:sz w:val="28"/>
          <w:szCs w:val="28"/>
          <w:rtl/>
        </w:rPr>
        <w:t>"</w:t>
      </w:r>
      <w:r w:rsidR="003A3FCC">
        <w:rPr>
          <w:rFonts w:cs="Guttman Vilna" w:hint="cs"/>
          <w:sz w:val="28"/>
          <w:szCs w:val="28"/>
          <w:rtl/>
        </w:rPr>
        <w:t xml:space="preserve"> </w:t>
      </w:r>
      <w:r w:rsidR="003A3FCC">
        <w:rPr>
          <w:rFonts w:cs="Guttman Vilna"/>
          <w:sz w:val="28"/>
          <w:szCs w:val="28"/>
          <w:rtl/>
        </w:rPr>
        <w:t>–</w:t>
      </w:r>
      <w:r w:rsidR="003A3FCC">
        <w:rPr>
          <w:rFonts w:cs="Guttman Vilna" w:hint="cs"/>
          <w:sz w:val="28"/>
          <w:szCs w:val="28"/>
          <w:rtl/>
        </w:rPr>
        <w:t xml:space="preserve"> </w:t>
      </w:r>
      <w:r w:rsidR="003A3FCC" w:rsidRPr="00E901AF">
        <w:rPr>
          <w:rFonts w:cs="Guttman Vilna" w:hint="cs"/>
          <w:b/>
          <w:bCs/>
          <w:sz w:val="28"/>
          <w:szCs w:val="28"/>
          <w:rtl/>
        </w:rPr>
        <w:t xml:space="preserve">שנתאוו </w:t>
      </w:r>
      <w:r w:rsidR="00334214" w:rsidRPr="00E901AF">
        <w:rPr>
          <w:rFonts w:cs="Guttman Vilna" w:hint="cs"/>
          <w:b/>
          <w:bCs/>
          <w:sz w:val="28"/>
          <w:szCs w:val="28"/>
          <w:rtl/>
        </w:rPr>
        <w:t>שתהיה להם תאווה</w:t>
      </w:r>
      <w:r w:rsidR="00334214">
        <w:rPr>
          <w:rFonts w:cs="Guttman Vilna" w:hint="cs"/>
          <w:sz w:val="28"/>
          <w:szCs w:val="28"/>
          <w:rtl/>
        </w:rPr>
        <w:t xml:space="preserve">, וזוהי הכוונה שהם אמרו בהמשך </w:t>
      </w:r>
      <w:r w:rsidR="00334214" w:rsidRPr="00334214">
        <w:rPr>
          <w:rFonts w:cs="Guttman Vilna" w:hint="cs"/>
          <w:sz w:val="28"/>
          <w:szCs w:val="28"/>
          <w:rtl/>
        </w:rPr>
        <w:t>"</w:t>
      </w:r>
      <w:r w:rsidR="00334214" w:rsidRPr="00334214">
        <w:rPr>
          <w:rFonts w:cs="Guttman Vilna"/>
          <w:sz w:val="28"/>
          <w:szCs w:val="28"/>
          <w:rtl/>
        </w:rPr>
        <w:t>בִּלְתִּי אֶל הַמָּן עֵינֵינוּ</w:t>
      </w:r>
      <w:r w:rsidR="00334214" w:rsidRPr="00334214">
        <w:rPr>
          <w:rFonts w:cs="Guttman Vilna" w:hint="cs"/>
          <w:sz w:val="28"/>
          <w:szCs w:val="28"/>
          <w:rtl/>
        </w:rPr>
        <w:t>"</w:t>
      </w:r>
      <w:r w:rsidR="00334214">
        <w:rPr>
          <w:rStyle w:val="a9"/>
          <w:rFonts w:cs="Guttman Drogolin"/>
          <w:sz w:val="28"/>
          <w:szCs w:val="28"/>
          <w:rtl/>
        </w:rPr>
        <w:footnoteReference w:id="3"/>
      </w:r>
      <w:r w:rsidR="00E901AF">
        <w:rPr>
          <w:rFonts w:cs="Guttman Drogolin" w:hint="cs"/>
          <w:sz w:val="28"/>
          <w:szCs w:val="28"/>
          <w:rtl/>
        </w:rPr>
        <w:t>.</w:t>
      </w:r>
    </w:p>
    <w:p w:rsidR="00E901AF" w:rsidRDefault="00E901AF" w:rsidP="00C76479">
      <w:pPr>
        <w:spacing w:after="40"/>
        <w:jc w:val="both"/>
        <w:rPr>
          <w:rFonts w:cs="Guttman Drogolin"/>
          <w:sz w:val="28"/>
          <w:szCs w:val="28"/>
          <w:rtl/>
        </w:rPr>
      </w:pPr>
    </w:p>
    <w:p w:rsidR="00E901AF" w:rsidRDefault="00E901AF" w:rsidP="00C76479">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1CFA6039" wp14:editId="4C4A1A23">
            <wp:extent cx="1229360" cy="219075"/>
            <wp:effectExtent l="0" t="0" r="8890" b="9525"/>
            <wp:docPr id="2" name="תמונה 2"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881B48" w:rsidRDefault="00881B48" w:rsidP="00C76479">
      <w:pPr>
        <w:spacing w:after="40"/>
        <w:jc w:val="center"/>
        <w:rPr>
          <w:rFonts w:cs="Guttman Drogolin"/>
          <w:sz w:val="2"/>
          <w:szCs w:val="2"/>
          <w:rtl/>
        </w:rPr>
      </w:pPr>
    </w:p>
    <w:p w:rsidR="00CC0647" w:rsidRPr="00CC0647" w:rsidRDefault="00CC0647" w:rsidP="00C76479">
      <w:pPr>
        <w:spacing w:after="40"/>
        <w:jc w:val="both"/>
        <w:rPr>
          <w:rFonts w:cs="Guttman Drogolin"/>
          <w:b/>
          <w:bCs/>
          <w:sz w:val="30"/>
          <w:szCs w:val="30"/>
          <w:rtl/>
        </w:rPr>
      </w:pPr>
      <w:r>
        <w:rPr>
          <w:rFonts w:cs="Guttman Drogolin" w:hint="cs"/>
          <w:b/>
          <w:bCs/>
          <w:sz w:val="30"/>
          <w:szCs w:val="30"/>
          <w:rtl/>
        </w:rPr>
        <w:t>המנורה - לימוד לתורה השלימה</w:t>
      </w:r>
    </w:p>
    <w:p w:rsidR="00353ACB" w:rsidRPr="00845796" w:rsidRDefault="00353ACB" w:rsidP="00C76479">
      <w:pPr>
        <w:spacing w:after="40"/>
        <w:rPr>
          <w:rFonts w:cs="Guttman Vilna"/>
          <w:sz w:val="28"/>
          <w:szCs w:val="28"/>
          <w:rtl/>
        </w:rPr>
      </w:pPr>
      <w:r w:rsidRPr="00845796">
        <w:rPr>
          <w:rFonts w:cs="Guttman Vilna"/>
          <w:sz w:val="28"/>
          <w:szCs w:val="28"/>
          <w:rtl/>
        </w:rPr>
        <w:t> </w:t>
      </w:r>
      <w:r w:rsidRPr="00845796">
        <w:rPr>
          <w:rFonts w:cs="Guttman Vilna" w:hint="cs"/>
          <w:sz w:val="28"/>
          <w:szCs w:val="28"/>
          <w:rtl/>
        </w:rPr>
        <w:t>"</w:t>
      </w:r>
      <w:r w:rsidRPr="00845796">
        <w:rPr>
          <w:rFonts w:cs="Guttman Vilna"/>
          <w:sz w:val="28"/>
          <w:szCs w:val="28"/>
          <w:rtl/>
        </w:rPr>
        <w:t>כַּמַּרְאֶה אֲשֶׁר הֶרְאָה ה' אֶת מֹשֶׁה כֵּן עָשָׂה אֶת הַמְּנֹרָה</w:t>
      </w:r>
      <w:r w:rsidRPr="00845796">
        <w:rPr>
          <w:rFonts w:cs="Guttman Vilna" w:hint="cs"/>
          <w:sz w:val="28"/>
          <w:szCs w:val="28"/>
          <w:rtl/>
        </w:rPr>
        <w:t>..."</w:t>
      </w:r>
      <w:r w:rsidRPr="00845796">
        <w:rPr>
          <w:rStyle w:val="a9"/>
          <w:rFonts w:cs="Guttman Vilna"/>
          <w:sz w:val="28"/>
          <w:szCs w:val="28"/>
          <w:rtl/>
        </w:rPr>
        <w:footnoteReference w:id="4"/>
      </w:r>
    </w:p>
    <w:p w:rsidR="00353ACB" w:rsidRDefault="00A32822" w:rsidP="00C76479">
      <w:pPr>
        <w:spacing w:after="40"/>
        <w:rPr>
          <w:rFonts w:cs="Guttman Drogolin"/>
          <w:sz w:val="28"/>
          <w:szCs w:val="28"/>
          <w:rtl/>
        </w:rPr>
      </w:pPr>
      <w:r>
        <w:rPr>
          <w:rFonts w:cs="Guttman Drogolin" w:hint="cs"/>
          <w:sz w:val="28"/>
          <w:szCs w:val="28"/>
          <w:rtl/>
        </w:rPr>
        <w:t>אומר החפץ חיים</w:t>
      </w:r>
      <w:r w:rsidR="005F09C0">
        <w:rPr>
          <w:rStyle w:val="a9"/>
          <w:rFonts w:cs="Guttman Drogolin"/>
          <w:sz w:val="28"/>
          <w:szCs w:val="28"/>
          <w:rtl/>
        </w:rPr>
        <w:footnoteReference w:id="5"/>
      </w:r>
      <w:r>
        <w:rPr>
          <w:rFonts w:cs="Guttman Drogolin" w:hint="cs"/>
          <w:sz w:val="28"/>
          <w:szCs w:val="28"/>
          <w:rtl/>
        </w:rPr>
        <w:t>:</w:t>
      </w:r>
    </w:p>
    <w:p w:rsidR="002B0851" w:rsidRDefault="00A32822" w:rsidP="00C76479">
      <w:pPr>
        <w:spacing w:after="40"/>
        <w:jc w:val="both"/>
        <w:rPr>
          <w:rFonts w:cs="Guttman Drogolin"/>
          <w:sz w:val="28"/>
          <w:szCs w:val="28"/>
          <w:rtl/>
        </w:rPr>
      </w:pPr>
      <w:r>
        <w:rPr>
          <w:rFonts w:cs="Guttman Drogolin" w:hint="cs"/>
          <w:sz w:val="28"/>
          <w:szCs w:val="28"/>
          <w:rtl/>
        </w:rPr>
        <w:t>המנורה מסמלת</w:t>
      </w:r>
      <w:r w:rsidR="00FD1820">
        <w:rPr>
          <w:rFonts w:cs="Guttman Drogolin" w:hint="cs"/>
          <w:sz w:val="28"/>
          <w:szCs w:val="28"/>
          <w:rtl/>
        </w:rPr>
        <w:t xml:space="preserve"> כידוע</w:t>
      </w:r>
      <w:r>
        <w:rPr>
          <w:rFonts w:cs="Guttman Drogolin" w:hint="cs"/>
          <w:sz w:val="28"/>
          <w:szCs w:val="28"/>
          <w:rtl/>
        </w:rPr>
        <w:t xml:space="preserve"> את התורה, לפיכך נעשתה מתחילתה מקשה אחת, ולא מכמה חלקים מצורפים. אפילו הגביעים, הכפתורים והפרחים, חייבים</w:t>
      </w:r>
      <w:r w:rsidR="0029104C">
        <w:rPr>
          <w:rFonts w:cs="Guttman Drogolin" w:hint="cs"/>
          <w:sz w:val="28"/>
          <w:szCs w:val="28"/>
          <w:rtl/>
        </w:rPr>
        <w:t xml:space="preserve"> היו להיות מעובדים מאותו גוש זהב. </w:t>
      </w:r>
    </w:p>
    <w:p w:rsidR="002B0851" w:rsidRDefault="0029104C" w:rsidP="00C76479">
      <w:pPr>
        <w:spacing w:after="40"/>
        <w:jc w:val="both"/>
        <w:rPr>
          <w:rFonts w:cs="Guttman Drogolin"/>
          <w:sz w:val="28"/>
          <w:szCs w:val="28"/>
          <w:rtl/>
        </w:rPr>
      </w:pPr>
      <w:r>
        <w:rPr>
          <w:rFonts w:cs="Guttman Drogolin" w:hint="cs"/>
          <w:sz w:val="28"/>
          <w:szCs w:val="28"/>
          <w:rtl/>
        </w:rPr>
        <w:t>ללמדך, שהתורה כולה, שורשי ההלכות, הכללים, הפרטים ו</w:t>
      </w:r>
      <w:r w:rsidR="00FD1820">
        <w:rPr>
          <w:rFonts w:cs="Guttman Drogolin" w:hint="cs"/>
          <w:sz w:val="28"/>
          <w:szCs w:val="28"/>
          <w:rtl/>
        </w:rPr>
        <w:t>הד</w:t>
      </w:r>
      <w:r>
        <w:rPr>
          <w:rFonts w:cs="Guttman Drogolin" w:hint="cs"/>
          <w:sz w:val="28"/>
          <w:szCs w:val="28"/>
          <w:rtl/>
        </w:rPr>
        <w:t>קדוקים, תורה שבעל פה, וכל מה שתלמיד ותיק עתיד לחדש</w:t>
      </w:r>
      <w:r w:rsidR="00FD1820">
        <w:rPr>
          <w:rFonts w:cs="Guttman Drogolin" w:hint="cs"/>
          <w:sz w:val="28"/>
          <w:szCs w:val="28"/>
          <w:rtl/>
        </w:rPr>
        <w:t>, כולם כאחד ניתנו למשה בסיני. כל חידוש ועיטור, שורשיו טמונים בתורה, כמו שכתוב "ליכא מידי דלא רמיזא באורייתא"</w:t>
      </w:r>
      <w:r w:rsidR="002807FD">
        <w:rPr>
          <w:rStyle w:val="a9"/>
          <w:rFonts w:cs="Guttman Drogolin"/>
          <w:sz w:val="28"/>
          <w:szCs w:val="28"/>
          <w:rtl/>
        </w:rPr>
        <w:footnoteReference w:id="6"/>
      </w:r>
      <w:r w:rsidR="00EA5333">
        <w:rPr>
          <w:rFonts w:cs="Guttman Drogolin" w:hint="cs"/>
          <w:sz w:val="28"/>
          <w:szCs w:val="28"/>
          <w:rtl/>
        </w:rPr>
        <w:t xml:space="preserve">. </w:t>
      </w:r>
    </w:p>
    <w:p w:rsidR="00A32822" w:rsidRDefault="00EA5333" w:rsidP="00C76479">
      <w:pPr>
        <w:spacing w:after="40"/>
        <w:jc w:val="both"/>
        <w:rPr>
          <w:rFonts w:cs="Guttman Drogolin"/>
          <w:sz w:val="28"/>
          <w:szCs w:val="28"/>
          <w:rtl/>
        </w:rPr>
      </w:pPr>
      <w:r>
        <w:rPr>
          <w:rFonts w:cs="Guttman Drogolin" w:hint="cs"/>
          <w:sz w:val="28"/>
          <w:szCs w:val="28"/>
          <w:rtl/>
        </w:rPr>
        <w:t>לפי זה מדוקדק לשון הכתוב "</w:t>
      </w:r>
      <w:r w:rsidRPr="00845796">
        <w:rPr>
          <w:rFonts w:cs="Guttman Vilna"/>
          <w:sz w:val="28"/>
          <w:szCs w:val="28"/>
          <w:rtl/>
        </w:rPr>
        <w:t>כַּמַּרְאֶה אֲשֶׁר הֶרְאָה ה' אֶת מֹשֶׁה</w:t>
      </w:r>
      <w:r>
        <w:rPr>
          <w:rFonts w:cs="Guttman Vilna" w:hint="cs"/>
          <w:sz w:val="28"/>
          <w:szCs w:val="28"/>
          <w:rtl/>
        </w:rPr>
        <w:t>"</w:t>
      </w:r>
      <w:r>
        <w:rPr>
          <w:rFonts w:cs="Guttman Drogolin" w:hint="cs"/>
          <w:sz w:val="28"/>
          <w:szCs w:val="28"/>
          <w:rtl/>
        </w:rPr>
        <w:t>, היינו, כאותה תורה אשר גילה הקב"ה</w:t>
      </w:r>
      <w:r w:rsidR="004E1992">
        <w:rPr>
          <w:rFonts w:cs="Guttman Drogolin" w:hint="cs"/>
          <w:sz w:val="28"/>
          <w:szCs w:val="28"/>
          <w:rtl/>
        </w:rPr>
        <w:t xml:space="preserve"> למשה בהר סיני, בשלמותה, </w:t>
      </w:r>
      <w:r w:rsidR="004E1992" w:rsidRPr="004E1992">
        <w:rPr>
          <w:rFonts w:cs="Guttman Vilna" w:hint="cs"/>
          <w:sz w:val="28"/>
          <w:szCs w:val="28"/>
          <w:rtl/>
        </w:rPr>
        <w:t>"</w:t>
      </w:r>
      <w:r w:rsidR="004E1992" w:rsidRPr="004E1992">
        <w:rPr>
          <w:rFonts w:cs="Guttman Vilna"/>
          <w:sz w:val="28"/>
          <w:szCs w:val="28"/>
          <w:rtl/>
        </w:rPr>
        <w:t>כֵּן עָשָׂה אֶת הַמְּנֹרָה</w:t>
      </w:r>
      <w:r w:rsidR="004E1992" w:rsidRPr="004E1992">
        <w:rPr>
          <w:rFonts w:cs="Guttman Vilna" w:hint="cs"/>
          <w:sz w:val="28"/>
          <w:szCs w:val="28"/>
          <w:rtl/>
        </w:rPr>
        <w:t>"</w:t>
      </w:r>
      <w:r w:rsidR="004E1992">
        <w:rPr>
          <w:rFonts w:cs="Guttman Vilna" w:hint="cs"/>
          <w:sz w:val="28"/>
          <w:szCs w:val="28"/>
          <w:rtl/>
        </w:rPr>
        <w:t xml:space="preserve">, </w:t>
      </w:r>
      <w:r w:rsidR="004E1992">
        <w:rPr>
          <w:rFonts w:cs="Guttman Drogolin" w:hint="cs"/>
          <w:sz w:val="28"/>
          <w:szCs w:val="28"/>
          <w:rtl/>
        </w:rPr>
        <w:t xml:space="preserve">מקשה אחת, כסמל </w:t>
      </w:r>
      <w:r w:rsidR="002B0851">
        <w:rPr>
          <w:rFonts w:cs="Guttman Drogolin" w:hint="cs"/>
          <w:sz w:val="28"/>
          <w:szCs w:val="28"/>
          <w:rtl/>
        </w:rPr>
        <w:t>ורמז לאותה תורה מושלמת.</w:t>
      </w:r>
    </w:p>
    <w:p w:rsidR="00A20BFB" w:rsidRDefault="00A20BFB" w:rsidP="00C76479">
      <w:pPr>
        <w:spacing w:after="40"/>
        <w:jc w:val="both"/>
        <w:rPr>
          <w:rFonts w:cs="Guttman Drogolin"/>
          <w:sz w:val="28"/>
          <w:szCs w:val="28"/>
          <w:rtl/>
        </w:rPr>
      </w:pPr>
    </w:p>
    <w:p w:rsidR="00A20BFB" w:rsidRDefault="00A20BFB" w:rsidP="00C76479">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366856FB" wp14:editId="5BDDBA31">
            <wp:extent cx="1229360" cy="219075"/>
            <wp:effectExtent l="0" t="0" r="8890" b="9525"/>
            <wp:docPr id="6" name="תמונה 6"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A20BFB" w:rsidRDefault="00A20BFB" w:rsidP="00C76479">
      <w:pPr>
        <w:spacing w:after="40"/>
        <w:jc w:val="center"/>
        <w:rPr>
          <w:rFonts w:cs="Guttman Drogolin" w:hint="cs"/>
          <w:sz w:val="2"/>
          <w:szCs w:val="2"/>
          <w:rtl/>
        </w:rPr>
      </w:pPr>
    </w:p>
    <w:p w:rsidR="005F09C0" w:rsidRPr="005F09C0" w:rsidRDefault="005F09C0" w:rsidP="00C76479">
      <w:pPr>
        <w:spacing w:after="40"/>
        <w:rPr>
          <w:rFonts w:cs="Guttman Drogolin"/>
          <w:b/>
          <w:bCs/>
          <w:sz w:val="32"/>
          <w:szCs w:val="32"/>
          <w:rtl/>
        </w:rPr>
      </w:pPr>
      <w:r>
        <w:rPr>
          <w:rFonts w:cs="Guttman Drogolin" w:hint="cs"/>
          <w:b/>
          <w:bCs/>
          <w:sz w:val="32"/>
          <w:szCs w:val="32"/>
          <w:rtl/>
        </w:rPr>
        <w:t>תומכי התורה</w:t>
      </w:r>
    </w:p>
    <w:p w:rsidR="00A20BFB" w:rsidRDefault="00A20BFB" w:rsidP="00C76479">
      <w:pPr>
        <w:spacing w:after="40"/>
        <w:rPr>
          <w:rFonts w:cs="Guttman Vilna"/>
          <w:sz w:val="28"/>
          <w:szCs w:val="28"/>
          <w:rtl/>
        </w:rPr>
      </w:pPr>
      <w:r>
        <w:rPr>
          <w:rFonts w:cs="Guttman Vilna" w:hint="cs"/>
          <w:sz w:val="28"/>
          <w:szCs w:val="28"/>
          <w:rtl/>
        </w:rPr>
        <w:t>"</w:t>
      </w:r>
      <w:r w:rsidRPr="00A20BFB">
        <w:rPr>
          <w:rFonts w:cs="Guttman Vilna"/>
          <w:sz w:val="28"/>
          <w:szCs w:val="28"/>
          <w:rtl/>
        </w:rPr>
        <w:t>עַד יְרֵכָהּ עַד פִּרְחָהּ מִקְשָׁה הִוא</w:t>
      </w:r>
      <w:r>
        <w:rPr>
          <w:rFonts w:cs="Guttman Vilna" w:hint="cs"/>
          <w:sz w:val="28"/>
          <w:szCs w:val="28"/>
          <w:rtl/>
        </w:rPr>
        <w:t>..."</w:t>
      </w:r>
      <w:r>
        <w:rPr>
          <w:rStyle w:val="a9"/>
          <w:rFonts w:cs="Guttman Vilna"/>
          <w:sz w:val="28"/>
          <w:szCs w:val="28"/>
          <w:rtl/>
        </w:rPr>
        <w:footnoteReference w:id="7"/>
      </w:r>
    </w:p>
    <w:p w:rsidR="00834E06" w:rsidRDefault="005F09C0" w:rsidP="00C76479">
      <w:pPr>
        <w:spacing w:after="40"/>
        <w:rPr>
          <w:rFonts w:cs="Guttman Drogolin"/>
          <w:sz w:val="28"/>
          <w:szCs w:val="28"/>
          <w:rtl/>
        </w:rPr>
      </w:pPr>
      <w:r>
        <w:rPr>
          <w:rFonts w:cs="Guttman Drogolin" w:hint="cs"/>
          <w:sz w:val="28"/>
          <w:szCs w:val="28"/>
          <w:rtl/>
        </w:rPr>
        <w:t>החפץ חיים אומר עוד</w:t>
      </w:r>
      <w:r w:rsidR="00834E06">
        <w:rPr>
          <w:rFonts w:cs="Guttman Drogolin" w:hint="cs"/>
          <w:sz w:val="28"/>
          <w:szCs w:val="28"/>
          <w:rtl/>
        </w:rPr>
        <w:t xml:space="preserve"> רמז שאפשר ללמוד מפסוק זה:</w:t>
      </w:r>
    </w:p>
    <w:p w:rsidR="00C76479" w:rsidRDefault="00E5708D" w:rsidP="00C76479">
      <w:pPr>
        <w:spacing w:after="40"/>
        <w:rPr>
          <w:rFonts w:cs="Guttman Drogolin"/>
          <w:sz w:val="28"/>
          <w:szCs w:val="28"/>
          <w:rtl/>
        </w:rPr>
      </w:pPr>
      <w:r>
        <w:rPr>
          <w:rFonts w:cs="Guttman Drogolin" w:hint="cs"/>
          <w:sz w:val="28"/>
          <w:szCs w:val="28"/>
          <w:rtl/>
        </w:rPr>
        <w:t>"</w:t>
      </w:r>
      <w:r w:rsidRPr="00A20BFB">
        <w:rPr>
          <w:rFonts w:cs="Guttman Vilna"/>
          <w:sz w:val="28"/>
          <w:szCs w:val="28"/>
          <w:rtl/>
        </w:rPr>
        <w:t>יְרֵכָהּ</w:t>
      </w:r>
      <w:r>
        <w:rPr>
          <w:rFonts w:cs="Guttman Drogolin" w:hint="cs"/>
          <w:sz w:val="28"/>
          <w:szCs w:val="28"/>
          <w:rtl/>
        </w:rPr>
        <w:t>" הוא הבסי</w:t>
      </w:r>
      <w:r w:rsidR="00C76479">
        <w:rPr>
          <w:rFonts w:cs="Guttman Drogolin" w:hint="cs"/>
          <w:sz w:val="28"/>
          <w:szCs w:val="28"/>
          <w:rtl/>
        </w:rPr>
        <w:t>ס המחזיק את המנורה כולה. ואף הוא צריך להיות ב</w:t>
      </w:r>
      <w:r>
        <w:rPr>
          <w:rFonts w:cs="Guttman Drogolin" w:hint="cs"/>
          <w:sz w:val="28"/>
          <w:szCs w:val="28"/>
          <w:rtl/>
        </w:rPr>
        <w:t>גוש אחד עם המנורה.</w:t>
      </w:r>
      <w:r w:rsidR="00CE54AA">
        <w:rPr>
          <w:rFonts w:cs="Guttman Drogolin" w:hint="cs"/>
          <w:sz w:val="28"/>
          <w:szCs w:val="28"/>
          <w:rtl/>
        </w:rPr>
        <w:t xml:space="preserve"> </w:t>
      </w:r>
    </w:p>
    <w:p w:rsidR="00834E06" w:rsidRDefault="00CE54AA" w:rsidP="00C76479">
      <w:pPr>
        <w:spacing w:after="40"/>
        <w:rPr>
          <w:rFonts w:cs="Guttman Drogolin"/>
          <w:sz w:val="28"/>
          <w:szCs w:val="28"/>
          <w:rtl/>
        </w:rPr>
      </w:pPr>
      <w:r>
        <w:rPr>
          <w:rFonts w:cs="Guttman Drogolin" w:hint="cs"/>
          <w:sz w:val="28"/>
          <w:szCs w:val="28"/>
          <w:rtl/>
        </w:rPr>
        <w:t xml:space="preserve">וזהו רמז שמי שמחזיק ותומך בממונו </w:t>
      </w:r>
      <w:r w:rsidR="00C151EB">
        <w:rPr>
          <w:rFonts w:cs="Guttman Drogolin" w:hint="cs"/>
          <w:sz w:val="28"/>
          <w:szCs w:val="28"/>
          <w:rtl/>
        </w:rPr>
        <w:t>ב</w:t>
      </w:r>
      <w:r>
        <w:rPr>
          <w:rFonts w:cs="Guttman Drogolin" w:hint="cs"/>
          <w:sz w:val="28"/>
          <w:szCs w:val="28"/>
          <w:rtl/>
        </w:rPr>
        <w:t xml:space="preserve">לומדי תורה </w:t>
      </w:r>
      <w:r>
        <w:rPr>
          <w:rFonts w:cs="Guttman Drogolin"/>
          <w:sz w:val="28"/>
          <w:szCs w:val="28"/>
          <w:rtl/>
        </w:rPr>
        <w:t>–</w:t>
      </w:r>
      <w:r>
        <w:rPr>
          <w:rFonts w:cs="Guttman Drogolin" w:hint="cs"/>
          <w:sz w:val="28"/>
          <w:szCs w:val="28"/>
          <w:rtl/>
        </w:rPr>
        <w:t xml:space="preserve"> בעולם הבא מתאחד הוא עם לומדי</w:t>
      </w:r>
      <w:r w:rsidR="00C151EB">
        <w:rPr>
          <w:rFonts w:cs="Guttman Drogolin" w:hint="cs"/>
          <w:sz w:val="28"/>
          <w:szCs w:val="28"/>
          <w:rtl/>
        </w:rPr>
        <w:t xml:space="preserve"> התורה בקבלת השכר הצפוי להם.</w:t>
      </w:r>
    </w:p>
    <w:p w:rsidR="00C151EB" w:rsidRDefault="00C151EB" w:rsidP="00C76479">
      <w:pPr>
        <w:spacing w:after="40"/>
        <w:rPr>
          <w:rFonts w:cs="Guttman Drogolin"/>
          <w:sz w:val="28"/>
          <w:szCs w:val="28"/>
          <w:rtl/>
        </w:rPr>
      </w:pPr>
    </w:p>
    <w:p w:rsidR="00C151EB" w:rsidRDefault="00C151EB" w:rsidP="00C76479">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75E2DC44" wp14:editId="1B290DB3">
            <wp:extent cx="1229360" cy="219075"/>
            <wp:effectExtent l="0" t="0" r="8890" b="9525"/>
            <wp:docPr id="7" name="תמונה 7"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353ACB" w:rsidRPr="00C151EB" w:rsidRDefault="00353ACB" w:rsidP="00C76479">
      <w:pPr>
        <w:spacing w:after="40"/>
        <w:rPr>
          <w:rFonts w:cs="Guttman Drogolin"/>
          <w:sz w:val="2"/>
          <w:szCs w:val="2"/>
          <w:rtl/>
        </w:rPr>
      </w:pPr>
    </w:p>
    <w:p w:rsidR="00E901AF" w:rsidRPr="00A00BDD" w:rsidRDefault="00A00BDD" w:rsidP="00C76479">
      <w:pPr>
        <w:spacing w:after="40"/>
        <w:rPr>
          <w:rFonts w:cs="Guttman Drogolin"/>
          <w:b/>
          <w:bCs/>
          <w:sz w:val="36"/>
          <w:szCs w:val="36"/>
          <w:rtl/>
        </w:rPr>
      </w:pPr>
      <w:r w:rsidRPr="00A00BDD">
        <w:rPr>
          <w:rFonts w:cs="Guttman Vilna"/>
          <w:b/>
          <w:bCs/>
          <w:sz w:val="32"/>
          <w:szCs w:val="32"/>
          <w:rtl/>
        </w:rPr>
        <w:t>בְּכָל בֵּיתִי נֶאֱמָן הוּא</w:t>
      </w:r>
    </w:p>
    <w:p w:rsidR="002F185B" w:rsidRPr="002F185B" w:rsidRDefault="002F185B" w:rsidP="00C76479">
      <w:pPr>
        <w:spacing w:after="40"/>
        <w:jc w:val="both"/>
        <w:rPr>
          <w:rFonts w:cs="Guttman Drogolin"/>
          <w:sz w:val="28"/>
          <w:szCs w:val="28"/>
          <w:rtl/>
        </w:rPr>
      </w:pPr>
      <w:r w:rsidRPr="002F185B">
        <w:rPr>
          <w:rFonts w:cs="Guttman Drogolin" w:hint="cs"/>
          <w:sz w:val="28"/>
          <w:szCs w:val="28"/>
          <w:rtl/>
        </w:rPr>
        <w:t xml:space="preserve">בפרשתנו כתוב שה' אומר על משה רבינו: </w:t>
      </w:r>
    </w:p>
    <w:p w:rsidR="00DA2DFE" w:rsidRDefault="007062D6" w:rsidP="00C76479">
      <w:pPr>
        <w:spacing w:after="40"/>
        <w:jc w:val="both"/>
        <w:rPr>
          <w:rFonts w:cs="Guttman Vilna"/>
          <w:sz w:val="28"/>
          <w:szCs w:val="28"/>
          <w:rtl/>
        </w:rPr>
      </w:pPr>
      <w:r w:rsidRPr="007062D6">
        <w:rPr>
          <w:rFonts w:cs="Guttman Vilna" w:hint="cs"/>
          <w:sz w:val="28"/>
          <w:szCs w:val="28"/>
          <w:rtl/>
        </w:rPr>
        <w:t>"</w:t>
      </w:r>
      <w:r w:rsidRPr="007062D6">
        <w:rPr>
          <w:rFonts w:cs="Guttman Vilna"/>
          <w:sz w:val="28"/>
          <w:szCs w:val="28"/>
          <w:rtl/>
        </w:rPr>
        <w:t>לֹא כֵן עַבְדִּי מֹשֶׁה בְּכָל בֵּיתִי נֶאֱמָן הוּא</w:t>
      </w:r>
      <w:r>
        <w:rPr>
          <w:rFonts w:cs="Guttman Vilna" w:hint="cs"/>
          <w:sz w:val="28"/>
          <w:szCs w:val="28"/>
          <w:rtl/>
        </w:rPr>
        <w:t>...</w:t>
      </w:r>
      <w:r w:rsidRPr="007062D6">
        <w:rPr>
          <w:rFonts w:cs="Guttman Vilna" w:hint="cs"/>
          <w:sz w:val="28"/>
          <w:szCs w:val="28"/>
          <w:rtl/>
        </w:rPr>
        <w:t>"</w:t>
      </w:r>
      <w:r>
        <w:rPr>
          <w:rStyle w:val="a9"/>
          <w:rFonts w:cs="Guttman Vilna"/>
          <w:sz w:val="28"/>
          <w:szCs w:val="28"/>
        </w:rPr>
        <w:footnoteReference w:id="8"/>
      </w:r>
    </w:p>
    <w:p w:rsidR="007062D6" w:rsidRDefault="007062D6" w:rsidP="00C76479">
      <w:pPr>
        <w:spacing w:after="40"/>
        <w:jc w:val="both"/>
        <w:rPr>
          <w:rFonts w:cs="Guttman Drogolin"/>
          <w:sz w:val="28"/>
          <w:szCs w:val="28"/>
          <w:rtl/>
        </w:rPr>
      </w:pPr>
      <w:r>
        <w:rPr>
          <w:rFonts w:cs="Guttman Drogolin" w:hint="cs"/>
          <w:sz w:val="28"/>
          <w:szCs w:val="28"/>
          <w:rtl/>
        </w:rPr>
        <w:t>ועולה השאלה, וכי שאר הנביאים וצדיקים אינם נאמנים?</w:t>
      </w:r>
    </w:p>
    <w:p w:rsidR="007062D6" w:rsidRDefault="007062D6" w:rsidP="00C76479">
      <w:pPr>
        <w:spacing w:after="40"/>
        <w:jc w:val="both"/>
        <w:rPr>
          <w:rFonts w:cs="Guttman Drogolin"/>
          <w:sz w:val="28"/>
          <w:szCs w:val="28"/>
          <w:rtl/>
        </w:rPr>
      </w:pPr>
      <w:r>
        <w:rPr>
          <w:rFonts w:cs="Guttman Drogolin" w:hint="cs"/>
          <w:sz w:val="28"/>
          <w:szCs w:val="28"/>
          <w:rtl/>
        </w:rPr>
        <w:t>הרב</w:t>
      </w:r>
      <w:r w:rsidR="005A56AF">
        <w:rPr>
          <w:rFonts w:cs="Guttman Drogolin" w:hint="cs"/>
          <w:sz w:val="28"/>
          <w:szCs w:val="28"/>
          <w:rtl/>
        </w:rPr>
        <w:t xml:space="preserve"> מרדכי אלישברג</w:t>
      </w:r>
      <w:r w:rsidR="00073EA5">
        <w:rPr>
          <w:rFonts w:cs="Guttman Drogolin" w:hint="cs"/>
          <w:sz w:val="28"/>
          <w:szCs w:val="28"/>
          <w:rtl/>
        </w:rPr>
        <w:t xml:space="preserve"> זצ"ל</w:t>
      </w:r>
      <w:r w:rsidR="005A56AF">
        <w:rPr>
          <w:rStyle w:val="a9"/>
          <w:rFonts w:cs="Guttman Drogolin"/>
          <w:sz w:val="28"/>
          <w:szCs w:val="28"/>
        </w:rPr>
        <w:footnoteReference w:id="9"/>
      </w:r>
      <w:r w:rsidR="005A56AF">
        <w:rPr>
          <w:rFonts w:cs="Guttman Drogolin" w:hint="cs"/>
          <w:sz w:val="28"/>
          <w:szCs w:val="28"/>
          <w:rtl/>
        </w:rPr>
        <w:t xml:space="preserve"> אמר משל המסביר את העניין:</w:t>
      </w:r>
    </w:p>
    <w:p w:rsidR="003D7C40" w:rsidRDefault="00073EA5" w:rsidP="00C76479">
      <w:pPr>
        <w:spacing w:after="40"/>
        <w:jc w:val="both"/>
        <w:rPr>
          <w:rFonts w:cs="Guttman Drogolin"/>
          <w:sz w:val="28"/>
          <w:szCs w:val="28"/>
          <w:rtl/>
        </w:rPr>
      </w:pPr>
      <w:r>
        <w:rPr>
          <w:rFonts w:cs="Guttman Drogolin" w:hint="cs"/>
          <w:sz w:val="28"/>
          <w:szCs w:val="28"/>
          <w:rtl/>
        </w:rPr>
        <w:t>משל לחנות שהופקד עליה שומר לשמירת סחורות שבה,</w:t>
      </w:r>
      <w:r w:rsidR="00623C8E">
        <w:rPr>
          <w:rFonts w:cs="Guttman Drogolin" w:hint="cs"/>
          <w:sz w:val="28"/>
          <w:szCs w:val="28"/>
          <w:rtl/>
        </w:rPr>
        <w:t xml:space="preserve"> אף שבוטחים בו בשמירתו על הרכוש היקר ערך, עדיי</w:t>
      </w:r>
      <w:r w:rsidR="001A5011">
        <w:rPr>
          <w:rFonts w:cs="Guttman Drogolin" w:hint="cs"/>
          <w:sz w:val="28"/>
          <w:szCs w:val="28"/>
          <w:rtl/>
        </w:rPr>
        <w:t xml:space="preserve">ן אי אפשר להגדיר אותו כאיש נאמן, כי הלא הסחורות </w:t>
      </w:r>
      <w:r w:rsidR="00773049">
        <w:rPr>
          <w:rFonts w:cs="Guttman Drogolin" w:hint="cs"/>
          <w:sz w:val="28"/>
          <w:szCs w:val="28"/>
          <w:rtl/>
        </w:rPr>
        <w:t xml:space="preserve">עצמן סגורות </w:t>
      </w:r>
      <w:r w:rsidR="001A5011">
        <w:rPr>
          <w:rFonts w:cs="Guttman Drogolin" w:hint="cs"/>
          <w:sz w:val="28"/>
          <w:szCs w:val="28"/>
          <w:rtl/>
        </w:rPr>
        <w:t>בפניו.</w:t>
      </w:r>
      <w:r w:rsidR="00773049">
        <w:rPr>
          <w:rFonts w:cs="Guttman Drogolin" w:hint="cs"/>
          <w:sz w:val="28"/>
          <w:szCs w:val="28"/>
          <w:rtl/>
        </w:rPr>
        <w:t xml:space="preserve"> </w:t>
      </w:r>
    </w:p>
    <w:p w:rsidR="003D7C40" w:rsidRDefault="00773049" w:rsidP="00C76479">
      <w:pPr>
        <w:spacing w:after="40"/>
        <w:jc w:val="both"/>
        <w:rPr>
          <w:rFonts w:cs="Guttman Drogolin"/>
          <w:sz w:val="28"/>
          <w:szCs w:val="28"/>
          <w:rtl/>
        </w:rPr>
      </w:pPr>
      <w:r>
        <w:rPr>
          <w:rFonts w:cs="Guttman Drogolin" w:hint="cs"/>
          <w:sz w:val="28"/>
          <w:szCs w:val="28"/>
          <w:rtl/>
        </w:rPr>
        <w:t>לא כן הפקיד היושב בחנות עצמה, וכסף הפדיון מופקד בידיו, הוא הראוי להיקרא בשם נאמן.</w:t>
      </w:r>
      <w:r w:rsidR="009148F6">
        <w:rPr>
          <w:rFonts w:cs="Guttman Drogolin" w:hint="cs"/>
          <w:sz w:val="28"/>
          <w:szCs w:val="28"/>
          <w:rtl/>
        </w:rPr>
        <w:t xml:space="preserve"> ואף הוא, עדיין ירא</w:t>
      </w:r>
      <w:r w:rsidR="00F069D3">
        <w:rPr>
          <w:rFonts w:cs="Guttman Drogolin" w:hint="cs"/>
          <w:sz w:val="28"/>
          <w:szCs w:val="28"/>
          <w:rtl/>
        </w:rPr>
        <w:t xml:space="preserve"> הוא</w:t>
      </w:r>
      <w:r w:rsidR="009148F6">
        <w:rPr>
          <w:rFonts w:cs="Guttman Drogolin" w:hint="cs"/>
          <w:sz w:val="28"/>
          <w:szCs w:val="28"/>
          <w:rtl/>
        </w:rPr>
        <w:t xml:space="preserve"> מהפקיד הגבוה שמעליו, אשר עיניו פקוחות על כל מעשיו. </w:t>
      </w:r>
    </w:p>
    <w:p w:rsidR="00073EA5" w:rsidRDefault="009148F6" w:rsidP="00C76479">
      <w:pPr>
        <w:spacing w:after="40"/>
        <w:jc w:val="both"/>
        <w:rPr>
          <w:rFonts w:cs="Guttman Drogolin"/>
          <w:sz w:val="28"/>
          <w:szCs w:val="28"/>
          <w:rtl/>
        </w:rPr>
      </w:pPr>
      <w:r>
        <w:rPr>
          <w:rFonts w:cs="Guttman Drogolin" w:hint="cs"/>
          <w:sz w:val="28"/>
          <w:szCs w:val="28"/>
          <w:rtl/>
        </w:rPr>
        <w:t>מה שאין כן המנהל הראשי</w:t>
      </w:r>
      <w:r w:rsidR="008D4D7E">
        <w:rPr>
          <w:rFonts w:cs="Guttman Drogolin" w:hint="cs"/>
          <w:sz w:val="28"/>
          <w:szCs w:val="28"/>
          <w:rtl/>
        </w:rPr>
        <w:t xml:space="preserve"> המפקח על הכל, ובידו זכות החתימה על השטרות לעשות בהם כרצונו</w:t>
      </w:r>
      <w:r w:rsidR="00F069D3">
        <w:rPr>
          <w:rFonts w:cs="Guttman Drogolin" w:hint="cs"/>
          <w:sz w:val="28"/>
          <w:szCs w:val="28"/>
          <w:rtl/>
        </w:rPr>
        <w:t>, הוא הראוי להיקרא "איש נאמן" באמת.</w:t>
      </w:r>
      <w:r w:rsidR="00773049">
        <w:rPr>
          <w:rFonts w:cs="Guttman Drogolin" w:hint="cs"/>
          <w:sz w:val="28"/>
          <w:szCs w:val="28"/>
          <w:rtl/>
        </w:rPr>
        <w:t xml:space="preserve"> </w:t>
      </w:r>
    </w:p>
    <w:p w:rsidR="003D7C40" w:rsidRDefault="00F069D3" w:rsidP="00C76479">
      <w:pPr>
        <w:spacing w:after="40"/>
        <w:jc w:val="both"/>
        <w:rPr>
          <w:rFonts w:cs="Guttman Drogolin"/>
          <w:sz w:val="28"/>
          <w:szCs w:val="28"/>
          <w:rtl/>
        </w:rPr>
      </w:pPr>
      <w:r>
        <w:rPr>
          <w:rFonts w:cs="Guttman Drogolin" w:hint="cs"/>
          <w:sz w:val="28"/>
          <w:szCs w:val="28"/>
          <w:rtl/>
        </w:rPr>
        <w:t>כך משה רבינו, נמסרו לו כל רזי התורה, וכל השמות הקדושים</w:t>
      </w:r>
      <w:r w:rsidR="00142D38">
        <w:rPr>
          <w:rFonts w:cs="Guttman Drogolin" w:hint="cs"/>
          <w:sz w:val="28"/>
          <w:szCs w:val="28"/>
          <w:rtl/>
        </w:rPr>
        <w:t xml:space="preserve"> שנבראו בהם שמיים וארץ, ונפתחו לו מ"ט שערי בינה וכו'. ובכל זאת לא עשה בהם שום שימוש</w:t>
      </w:r>
      <w:r w:rsidR="008721E0">
        <w:rPr>
          <w:rFonts w:cs="Guttman Drogolin" w:hint="cs"/>
          <w:sz w:val="28"/>
          <w:szCs w:val="28"/>
          <w:rtl/>
        </w:rPr>
        <w:t xml:space="preserve"> שאינו לרצון ה'. ואף שסבל הרבה מתלונותיהם של בני ישראל, ויכול היה למלא רצונם על ידי המפתחות שבידו, לא נגע מדעת עצמו באוצרותיו של הקב"ה מאומה.</w:t>
      </w:r>
      <w:r w:rsidR="00FF299A">
        <w:rPr>
          <w:rFonts w:cs="Guttman Drogolin" w:hint="cs"/>
          <w:sz w:val="28"/>
          <w:szCs w:val="28"/>
          <w:rtl/>
        </w:rPr>
        <w:t xml:space="preserve"> </w:t>
      </w:r>
    </w:p>
    <w:p w:rsidR="00E92D08" w:rsidRDefault="00FF299A" w:rsidP="00C76479">
      <w:pPr>
        <w:spacing w:after="40"/>
        <w:jc w:val="both"/>
        <w:rPr>
          <w:rFonts w:cs="Guttman Drogolin"/>
          <w:sz w:val="28"/>
          <w:szCs w:val="28"/>
          <w:rtl/>
        </w:rPr>
      </w:pPr>
      <w:r>
        <w:rPr>
          <w:rFonts w:cs="Guttman Drogolin" w:hint="cs"/>
          <w:sz w:val="28"/>
          <w:szCs w:val="28"/>
          <w:rtl/>
        </w:rPr>
        <w:t>אכן הוא האיש הנעלה ביותר שאכן מתאים לו ה</w:t>
      </w:r>
      <w:r w:rsidR="008721E0">
        <w:rPr>
          <w:rFonts w:cs="Guttman Drogolin" w:hint="cs"/>
          <w:sz w:val="28"/>
          <w:szCs w:val="28"/>
          <w:rtl/>
        </w:rPr>
        <w:t>תואר</w:t>
      </w:r>
      <w:r>
        <w:rPr>
          <w:rFonts w:cs="Guttman Drogolin" w:hint="cs"/>
          <w:sz w:val="28"/>
          <w:szCs w:val="28"/>
          <w:rtl/>
        </w:rPr>
        <w:t xml:space="preserve"> "</w:t>
      </w:r>
      <w:r w:rsidRPr="007062D6">
        <w:rPr>
          <w:rFonts w:cs="Guttman Vilna"/>
          <w:sz w:val="28"/>
          <w:szCs w:val="28"/>
          <w:rtl/>
        </w:rPr>
        <w:t>בְּכָל בֵּיתִי נֶאֱמָן הוּא</w:t>
      </w:r>
      <w:r>
        <w:rPr>
          <w:rFonts w:cs="Guttman Vilna" w:hint="cs"/>
          <w:sz w:val="28"/>
          <w:szCs w:val="28"/>
          <w:rtl/>
        </w:rPr>
        <w:t>".</w:t>
      </w:r>
    </w:p>
    <w:p w:rsidR="00E92D08" w:rsidRDefault="00E92D08" w:rsidP="00C76479">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1B1256ED" wp14:editId="299D8AC8">
            <wp:extent cx="1229360" cy="219075"/>
            <wp:effectExtent l="0" t="0" r="8890" b="9525"/>
            <wp:docPr id="1" name="תמונה 1"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234194" w:rsidRDefault="00234194" w:rsidP="00C76479">
      <w:pPr>
        <w:spacing w:after="40"/>
        <w:jc w:val="center"/>
        <w:rPr>
          <w:rFonts w:cs="Guttman Drogolin"/>
          <w:sz w:val="28"/>
          <w:szCs w:val="28"/>
          <w:rtl/>
        </w:rPr>
      </w:pPr>
    </w:p>
    <w:p w:rsidR="00234194" w:rsidRDefault="00234194" w:rsidP="00234194">
      <w:pPr>
        <w:spacing w:after="40"/>
        <w:jc w:val="both"/>
        <w:rPr>
          <w:rFonts w:cs="Guttman Drogolin"/>
          <w:sz w:val="2"/>
          <w:szCs w:val="2"/>
          <w:rtl/>
        </w:rPr>
      </w:pPr>
      <w:r>
        <w:rPr>
          <w:rFonts w:cs="Guttman Drogolin" w:hint="cs"/>
          <w:b/>
          <w:bCs/>
          <w:sz w:val="32"/>
          <w:szCs w:val="32"/>
          <w:rtl/>
        </w:rPr>
        <w:lastRenderedPageBreak/>
        <w:t>רצונו של אהרון הכהן להתעלות</w:t>
      </w:r>
      <w:r>
        <w:rPr>
          <w:rFonts w:cs="Guttman Drogolin" w:hint="cs"/>
          <w:sz w:val="2"/>
          <w:szCs w:val="2"/>
          <w:rtl/>
        </w:rPr>
        <w:t>]</w:t>
      </w:r>
    </w:p>
    <w:p w:rsidR="00234194" w:rsidRDefault="00234194" w:rsidP="00234194">
      <w:pPr>
        <w:spacing w:after="40"/>
        <w:jc w:val="both"/>
        <w:rPr>
          <w:rFonts w:cs="Guttman Drogolin"/>
          <w:sz w:val="28"/>
          <w:szCs w:val="28"/>
          <w:rtl/>
        </w:rPr>
      </w:pPr>
      <w:r w:rsidRPr="004A4A51">
        <w:rPr>
          <w:rFonts w:cs="Guttman Vilna" w:hint="cs"/>
          <w:sz w:val="28"/>
          <w:szCs w:val="28"/>
          <w:rtl/>
        </w:rPr>
        <w:t>"</w:t>
      </w:r>
      <w:r w:rsidRPr="004A4A51">
        <w:rPr>
          <w:rFonts w:cs="Guttman Vilna"/>
          <w:sz w:val="28"/>
          <w:szCs w:val="28"/>
          <w:rtl/>
        </w:rPr>
        <w:t>בְּהַעֲלֹתְךָ אֶת הַנֵּרֹת</w:t>
      </w:r>
      <w:r w:rsidRPr="004A4A51">
        <w:rPr>
          <w:rFonts w:cs="Guttman Vilna" w:hint="cs"/>
          <w:sz w:val="28"/>
          <w:szCs w:val="28"/>
          <w:rtl/>
        </w:rPr>
        <w:t>"</w:t>
      </w:r>
      <w:r w:rsidRPr="004A4A51">
        <w:rPr>
          <w:rFonts w:cs="Guttman Vilna"/>
          <w:sz w:val="28"/>
          <w:szCs w:val="28"/>
          <w:vertAlign w:val="superscript"/>
          <w:rtl/>
        </w:rPr>
        <w:footnoteReference w:id="10"/>
      </w:r>
      <w:r w:rsidRPr="004A4A51">
        <w:rPr>
          <w:rFonts w:cs="Guttman Drogolin"/>
          <w:sz w:val="36"/>
          <w:szCs w:val="36"/>
          <w:vertAlign w:val="superscript"/>
          <w:rtl/>
        </w:rPr>
        <w:t xml:space="preserve"> </w:t>
      </w:r>
    </w:p>
    <w:p w:rsidR="00234194" w:rsidRDefault="00234194" w:rsidP="00234194">
      <w:pPr>
        <w:spacing w:after="40"/>
        <w:jc w:val="both"/>
        <w:rPr>
          <w:rFonts w:cs="Guttman Drogolin"/>
          <w:sz w:val="28"/>
          <w:szCs w:val="28"/>
          <w:rtl/>
        </w:rPr>
      </w:pPr>
      <w:r w:rsidRPr="004A4A51">
        <w:rPr>
          <w:rFonts w:cs="Guttman Drogolin"/>
          <w:sz w:val="28"/>
          <w:szCs w:val="28"/>
          <w:rtl/>
        </w:rPr>
        <w:t xml:space="preserve">שואל רש''י: למה נסמכה פרשת </w:t>
      </w:r>
      <w:r>
        <w:rPr>
          <w:rFonts w:cs="Guttman Drogolin"/>
          <w:sz w:val="28"/>
          <w:szCs w:val="28"/>
          <w:rtl/>
        </w:rPr>
        <w:t>המנורה לפרשת הנשיאים? ומשיב</w:t>
      </w:r>
      <w:r w:rsidRPr="004A4A51">
        <w:rPr>
          <w:rFonts w:cs="Guttman Drogolin"/>
          <w:sz w:val="28"/>
          <w:szCs w:val="28"/>
          <w:rtl/>
        </w:rPr>
        <w:t xml:space="preserve"> רש''י: לפי שכשראה אהרן חנוכת הנשיאים חלשה אז דעתו </w:t>
      </w:r>
      <w:r>
        <w:rPr>
          <w:rFonts w:cs="Guttman Drogolin" w:hint="cs"/>
          <w:sz w:val="28"/>
          <w:szCs w:val="28"/>
          <w:rtl/>
        </w:rPr>
        <w:t>(</w:t>
      </w:r>
      <w:r w:rsidRPr="004A4A51">
        <w:rPr>
          <w:rFonts w:cs="Guttman Drogolin"/>
          <w:sz w:val="28"/>
          <w:szCs w:val="28"/>
          <w:rtl/>
        </w:rPr>
        <w:t>הצטער מאוד</w:t>
      </w:r>
      <w:r>
        <w:rPr>
          <w:rFonts w:cs="Guttman Drogolin" w:hint="cs"/>
          <w:sz w:val="28"/>
          <w:szCs w:val="28"/>
          <w:rtl/>
        </w:rPr>
        <w:t>)</w:t>
      </w:r>
      <w:r w:rsidRPr="004A4A51">
        <w:rPr>
          <w:rFonts w:cs="Guttman Drogolin"/>
          <w:sz w:val="28"/>
          <w:szCs w:val="28"/>
          <w:rtl/>
        </w:rPr>
        <w:t xml:space="preserve">, שלא היה עמהם בחנוכה לא הוא ולא שבטו. אמר לו הקב''ה: חייך </w:t>
      </w:r>
      <w:r>
        <w:rPr>
          <w:rFonts w:cs="Guttman Drogolin" w:hint="cs"/>
          <w:sz w:val="28"/>
          <w:szCs w:val="28"/>
          <w:rtl/>
        </w:rPr>
        <w:t>(</w:t>
      </w:r>
      <w:r w:rsidRPr="004A4A51">
        <w:rPr>
          <w:rFonts w:cs="Guttman Drogolin"/>
          <w:sz w:val="28"/>
          <w:szCs w:val="28"/>
          <w:rtl/>
        </w:rPr>
        <w:t>לשון שבועה</w:t>
      </w:r>
      <w:r>
        <w:rPr>
          <w:rFonts w:cs="Guttman Drogolin" w:hint="cs"/>
          <w:sz w:val="28"/>
          <w:szCs w:val="28"/>
          <w:rtl/>
        </w:rPr>
        <w:t>)</w:t>
      </w:r>
      <w:r w:rsidRPr="004A4A51">
        <w:rPr>
          <w:rFonts w:cs="Guttman Drogolin"/>
          <w:sz w:val="28"/>
          <w:szCs w:val="28"/>
          <w:rtl/>
        </w:rPr>
        <w:t xml:space="preserve">, שלך גדולה משלהם, שאתה מדליק ומטיב את הנרות. </w:t>
      </w:r>
    </w:p>
    <w:p w:rsidR="00234194" w:rsidRPr="004A4A51" w:rsidRDefault="00234194" w:rsidP="00234194">
      <w:pPr>
        <w:spacing w:after="40"/>
        <w:jc w:val="both"/>
        <w:rPr>
          <w:rFonts w:cs="Guttman Drogolin"/>
          <w:sz w:val="28"/>
          <w:szCs w:val="28"/>
          <w:rtl/>
        </w:rPr>
      </w:pPr>
      <w:r>
        <w:rPr>
          <w:rFonts w:cs="Guttman Drogolin" w:hint="cs"/>
          <w:sz w:val="28"/>
          <w:szCs w:val="28"/>
          <w:rtl/>
        </w:rPr>
        <w:t>וכתב בספר "באר יעקב"</w:t>
      </w:r>
      <w:r>
        <w:rPr>
          <w:rStyle w:val="a9"/>
          <w:rFonts w:cs="Guttman Drogolin"/>
          <w:sz w:val="28"/>
          <w:szCs w:val="28"/>
          <w:rtl/>
        </w:rPr>
        <w:footnoteReference w:id="11"/>
      </w:r>
      <w:r>
        <w:rPr>
          <w:rFonts w:cs="Guttman Drogolin" w:hint="cs"/>
          <w:sz w:val="28"/>
          <w:szCs w:val="28"/>
          <w:rtl/>
        </w:rPr>
        <w:t>:</w:t>
      </w:r>
    </w:p>
    <w:p w:rsidR="00234194" w:rsidRPr="005E0B28" w:rsidRDefault="00234194" w:rsidP="00234194">
      <w:pPr>
        <w:spacing w:after="40"/>
        <w:ind w:left="720"/>
        <w:jc w:val="both"/>
        <w:rPr>
          <w:rFonts w:cs="Guttman Vilna"/>
          <w:sz w:val="28"/>
          <w:szCs w:val="28"/>
          <w:rtl/>
        </w:rPr>
      </w:pPr>
      <w:r w:rsidRPr="005E0B28">
        <w:rPr>
          <w:rFonts w:cs="Guttman Vilna"/>
          <w:sz w:val="28"/>
          <w:szCs w:val="28"/>
          <w:rtl/>
        </w:rPr>
        <w:t>במדרש רבה נאמר על כך: הקרבנות - כל זמן שבית המקדש קיים היו נוהגין, אבל הנרות לעולם קיימין, אך עם זה עדיין קשה להבין, הלא בזמן שבית המקדש אינו קיים ואין הקרבנות נוהגין הרי גם המנורה אינה קיימת? אלא</w:t>
      </w:r>
      <w:r w:rsidRPr="005E0B28">
        <w:rPr>
          <w:rFonts w:cs="Guttman Vilna" w:hint="cs"/>
          <w:sz w:val="28"/>
          <w:szCs w:val="28"/>
          <w:rtl/>
        </w:rPr>
        <w:t xml:space="preserve"> -</w:t>
      </w:r>
      <w:r w:rsidRPr="005E0B28">
        <w:rPr>
          <w:rFonts w:cs="Guttman Vilna"/>
          <w:sz w:val="28"/>
          <w:szCs w:val="28"/>
          <w:rtl/>
        </w:rPr>
        <w:t xml:space="preserve"> לפי דברי הרמב''ן הדברים מתבארים היטב. </w:t>
      </w:r>
    </w:p>
    <w:p w:rsidR="00234194" w:rsidRPr="005E0B28" w:rsidRDefault="00234194" w:rsidP="00234194">
      <w:pPr>
        <w:spacing w:after="40"/>
        <w:ind w:left="720"/>
        <w:jc w:val="both"/>
        <w:rPr>
          <w:rFonts w:cs="Guttman Vilna"/>
          <w:sz w:val="28"/>
          <w:szCs w:val="28"/>
          <w:rtl/>
        </w:rPr>
      </w:pPr>
      <w:r w:rsidRPr="005E0B28">
        <w:rPr>
          <w:rFonts w:cs="Guttman Vilna"/>
          <w:sz w:val="28"/>
          <w:szCs w:val="28"/>
          <w:rtl/>
        </w:rPr>
        <w:t xml:space="preserve">שואל הרמב''ן על דברי רש''י: מדוע ניחם הקב''ה את אהרן בהדלקת הנרות דווקא ולא ניחמו במעשה הקטורת בוקר וערב ששבחו הכתוב: </w:t>
      </w:r>
      <w:r w:rsidRPr="005E0B28">
        <w:rPr>
          <w:rFonts w:cs="Guttman Vilna" w:hint="cs"/>
          <w:sz w:val="28"/>
          <w:szCs w:val="28"/>
          <w:rtl/>
        </w:rPr>
        <w:t>"</w:t>
      </w:r>
      <w:r w:rsidRPr="005E0B28">
        <w:rPr>
          <w:rFonts w:cs="Guttman Vilna"/>
          <w:sz w:val="28"/>
          <w:szCs w:val="28"/>
          <w:rtl/>
        </w:rPr>
        <w:t>יָשִׂימוּ קְטוֹרָה בְּאַפֶּךָ</w:t>
      </w:r>
      <w:r w:rsidRPr="005E0B28">
        <w:rPr>
          <w:rFonts w:cs="Guttman Vilna" w:hint="cs"/>
          <w:sz w:val="28"/>
          <w:szCs w:val="28"/>
          <w:rtl/>
        </w:rPr>
        <w:t>"</w:t>
      </w:r>
      <w:r w:rsidRPr="005E0B28">
        <w:rPr>
          <w:rStyle w:val="a9"/>
          <w:rFonts w:cs="Guttman Vilna"/>
          <w:sz w:val="28"/>
          <w:szCs w:val="28"/>
          <w:rtl/>
        </w:rPr>
        <w:footnoteReference w:id="12"/>
      </w:r>
      <w:r>
        <w:rPr>
          <w:rFonts w:ascii="Aharoni Bold" w:hAnsi="Aharoni Bold" w:cs="Guttman Vilna" w:hint="cs"/>
          <w:color w:val="000000"/>
          <w:sz w:val="28"/>
          <w:szCs w:val="28"/>
          <w:rtl/>
        </w:rPr>
        <w:t>.</w:t>
      </w:r>
      <w:r w:rsidRPr="005E0B28">
        <w:rPr>
          <w:rFonts w:ascii="Aharoni Bold" w:hAnsi="Aharoni Bold" w:cs="Guttman Vilna"/>
          <w:color w:val="000000"/>
          <w:sz w:val="28"/>
          <w:szCs w:val="28"/>
          <w:rtl/>
        </w:rPr>
        <w:t xml:space="preserve"> </w:t>
      </w:r>
      <w:r w:rsidRPr="005E0B28">
        <w:rPr>
          <w:rFonts w:cs="Guttman Vilna"/>
          <w:sz w:val="28"/>
          <w:szCs w:val="28"/>
          <w:rtl/>
        </w:rPr>
        <w:t xml:space="preserve">ובכל הקרבנות ובמנחת חביתין ובעבודת יוה''כ שאינה כשרה אלא בו, ונכנס לפני ולפנים, ושהוא קדוש ה' עומד בהיכלו לשרתו ולברך בשמו? </w:t>
      </w:r>
    </w:p>
    <w:p w:rsidR="00234194" w:rsidRPr="005E0B28" w:rsidRDefault="00234194" w:rsidP="00234194">
      <w:pPr>
        <w:spacing w:after="40"/>
        <w:ind w:left="720"/>
        <w:jc w:val="both"/>
        <w:rPr>
          <w:rFonts w:cs="Guttman Vilna"/>
          <w:sz w:val="28"/>
          <w:szCs w:val="28"/>
          <w:rtl/>
        </w:rPr>
      </w:pPr>
      <w:r w:rsidRPr="005E0B28">
        <w:rPr>
          <w:rFonts w:cs="Guttman Vilna"/>
          <w:sz w:val="28"/>
          <w:szCs w:val="28"/>
          <w:rtl/>
        </w:rPr>
        <w:t>עונה הרמב''ן: שהכוונה כאן להדלקת נרות חנוכה ע''י החשמונאים שהיו מצאצאי אהרן הכהן שעל ידם יתרחשו נסים ונפלאות בחנוכה כאשר ידליקו את המנורה שמונה ימים בפך שמן שהיה בו כדי להדליק יום אחד בלבד ונעשה בו נס והדליקו ממנו שמונה ימים,</w:t>
      </w:r>
      <w:r>
        <w:rPr>
          <w:rFonts w:cs="Guttman Vilna"/>
          <w:sz w:val="28"/>
          <w:szCs w:val="28"/>
          <w:rtl/>
        </w:rPr>
        <w:t xml:space="preserve"> ותשאר לדורות מצות החנוכיה אפי</w:t>
      </w:r>
      <w:r>
        <w:rPr>
          <w:rFonts w:cs="Guttman Vilna" w:hint="cs"/>
          <w:sz w:val="28"/>
          <w:szCs w:val="28"/>
          <w:rtl/>
        </w:rPr>
        <w:t xml:space="preserve">לו </w:t>
      </w:r>
      <w:r w:rsidRPr="005E0B28">
        <w:rPr>
          <w:rFonts w:cs="Guttman Vilna"/>
          <w:sz w:val="28"/>
          <w:szCs w:val="28"/>
          <w:rtl/>
        </w:rPr>
        <w:t>היום שבעוונותינו הרבים חרב בית המקדש, באומרו: ''אבל הנרות לעולם קיימין''. ונרות חנוכה לא בטלים לעולם וזכרם לא יסוף מזרעם</w:t>
      </w:r>
      <w:r>
        <w:rPr>
          <w:rStyle w:val="a9"/>
          <w:rFonts w:cs="Guttman Vilna"/>
          <w:sz w:val="28"/>
          <w:szCs w:val="28"/>
          <w:rtl/>
        </w:rPr>
        <w:footnoteReference w:id="13"/>
      </w:r>
      <w:r w:rsidRPr="005E0B28">
        <w:rPr>
          <w:rFonts w:cs="Guttman Vilna"/>
          <w:sz w:val="28"/>
          <w:szCs w:val="28"/>
          <w:rtl/>
        </w:rPr>
        <w:t xml:space="preserve"> אפי' בימות המשיח וזה רמוז במלה משיח מ</w:t>
      </w:r>
      <w:r>
        <w:rPr>
          <w:rFonts w:cs="Guttman Vilna" w:hint="cs"/>
          <w:sz w:val="28"/>
          <w:szCs w:val="28"/>
          <w:rtl/>
        </w:rPr>
        <w:t>'</w:t>
      </w:r>
      <w:r w:rsidRPr="005E0B28">
        <w:rPr>
          <w:rFonts w:cs="Guttman Vilna"/>
          <w:sz w:val="28"/>
          <w:szCs w:val="28"/>
          <w:rtl/>
        </w:rPr>
        <w:t>דליקים ש</w:t>
      </w:r>
      <w:r>
        <w:rPr>
          <w:rFonts w:cs="Guttman Vilna" w:hint="cs"/>
          <w:sz w:val="28"/>
          <w:szCs w:val="28"/>
          <w:rtl/>
        </w:rPr>
        <w:t>'</w:t>
      </w:r>
      <w:r w:rsidRPr="005E0B28">
        <w:rPr>
          <w:rFonts w:cs="Guttman Vilna"/>
          <w:sz w:val="28"/>
          <w:szCs w:val="28"/>
          <w:rtl/>
        </w:rPr>
        <w:t>מונת י</w:t>
      </w:r>
      <w:r>
        <w:rPr>
          <w:rFonts w:cs="Guttman Vilna" w:hint="cs"/>
          <w:sz w:val="28"/>
          <w:szCs w:val="28"/>
          <w:rtl/>
        </w:rPr>
        <w:t>'</w:t>
      </w:r>
      <w:r w:rsidRPr="005E0B28">
        <w:rPr>
          <w:rFonts w:cs="Guttman Vilna"/>
          <w:sz w:val="28"/>
          <w:szCs w:val="28"/>
          <w:rtl/>
        </w:rPr>
        <w:t>מי ח</w:t>
      </w:r>
      <w:r>
        <w:rPr>
          <w:rFonts w:cs="Guttman Vilna" w:hint="cs"/>
          <w:sz w:val="28"/>
          <w:szCs w:val="28"/>
          <w:rtl/>
        </w:rPr>
        <w:t>'</w:t>
      </w:r>
      <w:r w:rsidRPr="005E0B28">
        <w:rPr>
          <w:rFonts w:cs="Guttman Vilna"/>
          <w:sz w:val="28"/>
          <w:szCs w:val="28"/>
          <w:rtl/>
        </w:rPr>
        <w:t xml:space="preserve">נוכה. </w:t>
      </w:r>
    </w:p>
    <w:p w:rsidR="00234194" w:rsidRPr="005E0B28" w:rsidRDefault="00234194" w:rsidP="00234194">
      <w:pPr>
        <w:spacing w:after="40"/>
        <w:ind w:left="720"/>
        <w:jc w:val="both"/>
        <w:rPr>
          <w:rFonts w:cs="Guttman Vilna"/>
          <w:sz w:val="28"/>
          <w:szCs w:val="28"/>
          <w:rtl/>
        </w:rPr>
      </w:pPr>
      <w:r>
        <w:rPr>
          <w:rFonts w:cs="Guttman Vilna"/>
          <w:sz w:val="28"/>
          <w:szCs w:val="28"/>
          <w:rtl/>
        </w:rPr>
        <w:t>כמובא במדרש רבה</w:t>
      </w:r>
      <w:r>
        <w:rPr>
          <w:rStyle w:val="a9"/>
          <w:rFonts w:cs="Guttman Vilna"/>
          <w:sz w:val="28"/>
          <w:szCs w:val="28"/>
          <w:rtl/>
        </w:rPr>
        <w:footnoteReference w:id="14"/>
      </w:r>
      <w:r w:rsidRPr="005E0B28">
        <w:rPr>
          <w:rFonts w:cs="Guttman Vilna"/>
          <w:sz w:val="28"/>
          <w:szCs w:val="28"/>
          <w:rtl/>
        </w:rPr>
        <w:t xml:space="preserve">: אמר לו הקב''ה למשה: לך אמור לאהרן, אל תתיירא! לגדולה מזאת אתה מתוקן - מיועד. הקרבנות - כל זמן שביהמ''ק קיים, הם נוהגים. אבל הנרות - נרות חנוכה, קיימים לעולם. וכל הברכות שנתתי לך לברך את בני - ברכת כהנים, אינן בטלים לעולם. </w:t>
      </w:r>
    </w:p>
    <w:p w:rsidR="00234194" w:rsidRDefault="00234194" w:rsidP="00234194">
      <w:pPr>
        <w:spacing w:after="40"/>
        <w:ind w:left="720"/>
        <w:jc w:val="both"/>
        <w:rPr>
          <w:rFonts w:cs="Guttman Vilna"/>
          <w:sz w:val="28"/>
          <w:szCs w:val="28"/>
          <w:rtl/>
        </w:rPr>
      </w:pPr>
      <w:r w:rsidRPr="005E0B28">
        <w:rPr>
          <w:rFonts w:cs="Guttman Vilna"/>
          <w:sz w:val="28"/>
          <w:szCs w:val="28"/>
          <w:rtl/>
        </w:rPr>
        <w:t>ויש להתעורר: המעט מ</w:t>
      </w:r>
      <w:r>
        <w:rPr>
          <w:rFonts w:cs="Guttman Vilna"/>
          <w:sz w:val="28"/>
          <w:szCs w:val="28"/>
          <w:rtl/>
        </w:rPr>
        <w:t>ה שזכו שבט לוי ואהרן הכהן בראשם</w:t>
      </w:r>
      <w:r>
        <w:rPr>
          <w:rFonts w:cs="Guttman Vilna" w:hint="cs"/>
          <w:sz w:val="28"/>
          <w:szCs w:val="28"/>
          <w:rtl/>
        </w:rPr>
        <w:t>?</w:t>
      </w:r>
      <w:r w:rsidRPr="005E0B28">
        <w:rPr>
          <w:rFonts w:cs="Guttman Vilna"/>
          <w:sz w:val="28"/>
          <w:szCs w:val="28"/>
          <w:rtl/>
        </w:rPr>
        <w:t xml:space="preserve"> שנאמר עליהם: </w:t>
      </w:r>
      <w:r w:rsidRPr="006F0A1C">
        <w:rPr>
          <w:rFonts w:cs="Guttman Vilna" w:hint="cs"/>
          <w:sz w:val="28"/>
          <w:szCs w:val="28"/>
          <w:rtl/>
        </w:rPr>
        <w:t>"</w:t>
      </w:r>
      <w:r w:rsidRPr="006F0A1C">
        <w:rPr>
          <w:rFonts w:cs="Guttman Vilna"/>
          <w:sz w:val="28"/>
          <w:szCs w:val="28"/>
          <w:rtl/>
        </w:rPr>
        <w:t>וְהָיוּ לִי הַלְוִיִּם</w:t>
      </w:r>
      <w:r w:rsidRPr="006F0A1C">
        <w:rPr>
          <w:rFonts w:cs="Guttman Vilna" w:hint="cs"/>
          <w:sz w:val="28"/>
          <w:szCs w:val="28"/>
          <w:rtl/>
        </w:rPr>
        <w:t>"</w:t>
      </w:r>
      <w:r w:rsidRPr="006F0A1C">
        <w:rPr>
          <w:vertAlign w:val="superscript"/>
          <w:rtl/>
        </w:rPr>
        <w:footnoteReference w:id="15"/>
      </w:r>
      <w:r w:rsidRPr="006F0A1C">
        <w:rPr>
          <w:rtl/>
        </w:rPr>
        <w:t>,</w:t>
      </w:r>
      <w:r w:rsidRPr="005E0B28">
        <w:rPr>
          <w:rFonts w:cs="Guttman Vilna"/>
          <w:sz w:val="28"/>
          <w:szCs w:val="28"/>
          <w:rtl/>
        </w:rPr>
        <w:t xml:space="preserve"> והיא מעלה מיוחדת שרק שבט לוי זכו לה יותר משאר </w:t>
      </w:r>
      <w:r w:rsidRPr="005E0B28">
        <w:rPr>
          <w:rFonts w:cs="Guttman Vilna"/>
          <w:sz w:val="28"/>
          <w:szCs w:val="28"/>
          <w:rtl/>
        </w:rPr>
        <w:lastRenderedPageBreak/>
        <w:t>השבטים, וביותר אהרן הכהן הגדול מאחיו הרי קדושתו היתה למע</w:t>
      </w:r>
      <w:r>
        <w:rPr>
          <w:rFonts w:cs="Guttman Vilna"/>
          <w:sz w:val="28"/>
          <w:szCs w:val="28"/>
          <w:rtl/>
        </w:rPr>
        <w:t>לה מכלל ישראל ואף משה רבינו לא זכה להיות כ</w:t>
      </w:r>
      <w:r>
        <w:rPr>
          <w:rFonts w:cs="Guttman Vilna" w:hint="cs"/>
          <w:sz w:val="28"/>
          <w:szCs w:val="28"/>
          <w:rtl/>
        </w:rPr>
        <w:t>הן גדול כמו אהרון</w:t>
      </w:r>
      <w:r w:rsidRPr="005E0B28">
        <w:rPr>
          <w:rFonts w:cs="Guttman Vilna"/>
          <w:sz w:val="28"/>
          <w:szCs w:val="28"/>
          <w:rtl/>
        </w:rPr>
        <w:t xml:space="preserve">. </w:t>
      </w:r>
    </w:p>
    <w:p w:rsidR="00234194" w:rsidRDefault="00234194" w:rsidP="00234194">
      <w:pPr>
        <w:spacing w:after="40"/>
        <w:ind w:left="720"/>
        <w:jc w:val="both"/>
        <w:rPr>
          <w:rFonts w:cs="Guttman Vilna"/>
          <w:sz w:val="28"/>
          <w:szCs w:val="28"/>
          <w:rtl/>
        </w:rPr>
      </w:pPr>
      <w:r w:rsidRPr="005E0B28">
        <w:rPr>
          <w:rFonts w:cs="Guttman Vilna"/>
          <w:sz w:val="28"/>
          <w:szCs w:val="28"/>
          <w:rtl/>
        </w:rPr>
        <w:t xml:space="preserve">לכאורה מה מקום לחלישות דעתו של אהרן? הרי דרגתו של אהרן היתה נעלה ויתירה על זו של הנשיאים, בהיותו זה אשר נבחר לשרת בקודש לפני ולפנים. ואם כן, מה חסר לו שהיה צריך לקנא בקרבנות הנשיאים עד כדי כך שחלשה דעתו והקב''ה היה צריך לפייסו: שלך גדולה משלהם?! </w:t>
      </w:r>
    </w:p>
    <w:p w:rsidR="00234194" w:rsidRDefault="00234194" w:rsidP="00234194">
      <w:pPr>
        <w:spacing w:after="40"/>
        <w:ind w:left="720"/>
        <w:jc w:val="both"/>
        <w:rPr>
          <w:rFonts w:cs="Guttman Vilna"/>
          <w:sz w:val="28"/>
          <w:szCs w:val="28"/>
          <w:rtl/>
        </w:rPr>
      </w:pPr>
      <w:r w:rsidRPr="005E0B28">
        <w:rPr>
          <w:rFonts w:cs="Guttman Vilna"/>
          <w:sz w:val="28"/>
          <w:szCs w:val="28"/>
          <w:rtl/>
        </w:rPr>
        <w:t xml:space="preserve">אלא רואים מכאן שברוחניות </w:t>
      </w:r>
      <w:r w:rsidRPr="00BA26CB">
        <w:rPr>
          <w:rFonts w:cs="Guttman Vilna" w:hint="cs"/>
          <w:sz w:val="28"/>
          <w:szCs w:val="28"/>
          <w:rtl/>
        </w:rPr>
        <w:t>"</w:t>
      </w:r>
      <w:r w:rsidRPr="00BA26CB">
        <w:rPr>
          <w:rFonts w:cs="Guttman Vilna"/>
          <w:sz w:val="28"/>
          <w:szCs w:val="28"/>
          <w:rtl/>
        </w:rPr>
        <w:t>וְגַם הַנֶּפֶשׁ לֹא תִמָּלֵא</w:t>
      </w:r>
      <w:r w:rsidRPr="00BA26CB">
        <w:rPr>
          <w:rFonts w:cs="Guttman Vilna" w:hint="cs"/>
          <w:sz w:val="28"/>
          <w:szCs w:val="28"/>
          <w:rtl/>
        </w:rPr>
        <w:t>"</w:t>
      </w:r>
      <w:r w:rsidRPr="00BA26CB">
        <w:rPr>
          <w:vertAlign w:val="superscript"/>
          <w:rtl/>
        </w:rPr>
        <w:footnoteReference w:id="16"/>
      </w:r>
      <w:r w:rsidRPr="005E0B28">
        <w:rPr>
          <w:rFonts w:cs="Guttman Vilna"/>
          <w:sz w:val="28"/>
          <w:szCs w:val="28"/>
          <w:rtl/>
        </w:rPr>
        <w:t xml:space="preserve">. אין קץ ואין גבול לתאות הנפש, כי הנפש היא חלק אלוה ממעל, ככל שנפשו מתמלאה כך היא מרגישה תשוקה להוסיף ולמלאה, בגדר: </w:t>
      </w:r>
      <w:r w:rsidRPr="00BA26CB">
        <w:rPr>
          <w:rFonts w:cs="Guttman Vilna" w:hint="cs"/>
          <w:sz w:val="28"/>
          <w:szCs w:val="28"/>
          <w:rtl/>
        </w:rPr>
        <w:t>"</w:t>
      </w:r>
      <w:r w:rsidRPr="00BA26CB">
        <w:rPr>
          <w:rFonts w:cs="Guttman Vilna"/>
          <w:sz w:val="28"/>
          <w:szCs w:val="28"/>
          <w:rtl/>
        </w:rPr>
        <w:t>יֵלְכוּ מֵחַיִל אֶל חָיִל</w:t>
      </w:r>
      <w:r w:rsidRPr="00BA26CB">
        <w:rPr>
          <w:rFonts w:cs="Guttman Vilna" w:hint="cs"/>
          <w:sz w:val="28"/>
          <w:szCs w:val="28"/>
          <w:rtl/>
        </w:rPr>
        <w:t>"</w:t>
      </w:r>
      <w:r>
        <w:rPr>
          <w:rStyle w:val="a9"/>
          <w:rFonts w:cs="Guttman Vilna"/>
          <w:sz w:val="28"/>
          <w:szCs w:val="28"/>
          <w:rtl/>
        </w:rPr>
        <w:footnoteReference w:id="17"/>
      </w:r>
      <w:r w:rsidRPr="005E0B28">
        <w:rPr>
          <w:rFonts w:cs="Guttman Vilna"/>
          <w:sz w:val="28"/>
          <w:szCs w:val="28"/>
          <w:rtl/>
        </w:rPr>
        <w:t xml:space="preserve">. </w:t>
      </w:r>
    </w:p>
    <w:p w:rsidR="00234194" w:rsidRDefault="00234194" w:rsidP="00234194">
      <w:pPr>
        <w:spacing w:after="40"/>
        <w:ind w:left="720"/>
        <w:jc w:val="both"/>
        <w:rPr>
          <w:rFonts w:ascii="Aharoni Bold" w:hAnsi="Aharoni Bold"/>
          <w:color w:val="000000"/>
          <w:sz w:val="39"/>
          <w:szCs w:val="39"/>
          <w:rtl/>
        </w:rPr>
      </w:pPr>
      <w:r>
        <w:rPr>
          <w:rFonts w:cs="Guttman Vilna"/>
          <w:sz w:val="28"/>
          <w:szCs w:val="28"/>
          <w:rtl/>
        </w:rPr>
        <w:t>כך אהרן הכהן א</w:t>
      </w:r>
      <w:r>
        <w:rPr>
          <w:rFonts w:cs="Guttman Vilna" w:hint="cs"/>
          <w:sz w:val="28"/>
          <w:szCs w:val="28"/>
          <w:rtl/>
        </w:rPr>
        <w:t>ף על פי</w:t>
      </w:r>
      <w:r>
        <w:rPr>
          <w:rFonts w:cs="Guttman Vilna"/>
          <w:sz w:val="28"/>
          <w:szCs w:val="28"/>
          <w:rtl/>
        </w:rPr>
        <w:t xml:space="preserve"> שזכה במעלות נעלות ומרוממות, מ</w:t>
      </w:r>
      <w:r>
        <w:rPr>
          <w:rFonts w:cs="Guttman Vilna" w:hint="cs"/>
          <w:sz w:val="28"/>
          <w:szCs w:val="28"/>
          <w:rtl/>
        </w:rPr>
        <w:t>כל מקום</w:t>
      </w:r>
      <w:r w:rsidRPr="005E0B28">
        <w:rPr>
          <w:rFonts w:cs="Guttman Vilna"/>
          <w:sz w:val="28"/>
          <w:szCs w:val="28"/>
          <w:rtl/>
        </w:rPr>
        <w:t xml:space="preserve"> עדי</w:t>
      </w:r>
      <w:r>
        <w:rPr>
          <w:rFonts w:cs="Guttman Vilna"/>
          <w:sz w:val="28"/>
          <w:szCs w:val="28"/>
          <w:rtl/>
        </w:rPr>
        <w:t>ין לא ידע</w:t>
      </w:r>
      <w:r w:rsidRPr="005E0B28">
        <w:rPr>
          <w:rFonts w:cs="Guttman Vilna"/>
          <w:sz w:val="28"/>
          <w:szCs w:val="28"/>
          <w:rtl/>
        </w:rPr>
        <w:t xml:space="preserve"> שבעה ולא נחה דעתו, אלא שאף והשתוקק להתעלות ולזכות בעוד ועוד מעלות. </w:t>
      </w:r>
    </w:p>
    <w:p w:rsidR="00234194" w:rsidRDefault="00234194" w:rsidP="00C76479">
      <w:pPr>
        <w:spacing w:after="40"/>
        <w:jc w:val="center"/>
        <w:rPr>
          <w:rFonts w:cs="Guttman Drogolin"/>
          <w:sz w:val="28"/>
          <w:szCs w:val="28"/>
          <w:rtl/>
        </w:rPr>
      </w:pPr>
    </w:p>
    <w:p w:rsidR="00227787" w:rsidRDefault="00227787" w:rsidP="00C76479">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58BFFE08" wp14:editId="58814BDA">
            <wp:extent cx="1229360" cy="219075"/>
            <wp:effectExtent l="0" t="0" r="8890" b="9525"/>
            <wp:docPr id="3" name="תמונה 3"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227787" w:rsidRPr="00227787" w:rsidRDefault="00227787" w:rsidP="00C76479">
      <w:pPr>
        <w:spacing w:after="40"/>
        <w:jc w:val="center"/>
        <w:rPr>
          <w:rFonts w:cs="Guttman Drogolin"/>
          <w:sz w:val="2"/>
          <w:szCs w:val="2"/>
          <w:rtl/>
        </w:rPr>
      </w:pPr>
      <w:r>
        <w:rPr>
          <w:rFonts w:cs="Guttman Drogolin" w:hint="cs"/>
          <w:sz w:val="2"/>
          <w:szCs w:val="2"/>
          <w:rtl/>
        </w:rPr>
        <w:t>]</w:t>
      </w:r>
      <w:bookmarkStart w:id="0" w:name="_GoBack"/>
      <w:bookmarkEnd w:id="0"/>
    </w:p>
    <w:p w:rsidR="00FF299A" w:rsidRDefault="00E92D08" w:rsidP="00C76479">
      <w:pPr>
        <w:spacing w:after="40"/>
        <w:jc w:val="center"/>
        <w:rPr>
          <w:rFonts w:cs="Guttman Drogolin"/>
          <w:sz w:val="30"/>
          <w:szCs w:val="30"/>
          <w:rtl/>
        </w:rPr>
      </w:pPr>
      <w:r w:rsidRPr="00E92D08">
        <w:rPr>
          <w:rFonts w:cs="Guttman Drogolin" w:hint="cs"/>
          <w:sz w:val="30"/>
          <w:szCs w:val="30"/>
          <w:rtl/>
        </w:rPr>
        <w:t>שבת שלום ומבורך!</w:t>
      </w:r>
    </w:p>
    <w:p w:rsidR="00F8608A" w:rsidRDefault="00F8608A" w:rsidP="00C76479">
      <w:pPr>
        <w:spacing w:after="40"/>
        <w:ind w:left="720"/>
        <w:jc w:val="both"/>
        <w:rPr>
          <w:rFonts w:ascii="Aharoni Bold" w:hAnsi="Aharoni Bold"/>
          <w:color w:val="000000"/>
          <w:sz w:val="39"/>
          <w:szCs w:val="39"/>
          <w:rtl/>
        </w:rPr>
      </w:pPr>
    </w:p>
    <w:p w:rsidR="00F8608A" w:rsidRPr="00E92D08" w:rsidRDefault="00F8608A" w:rsidP="00C76479">
      <w:pPr>
        <w:spacing w:after="40"/>
        <w:jc w:val="center"/>
        <w:rPr>
          <w:rFonts w:cs="Guttman Drogolin"/>
          <w:sz w:val="30"/>
          <w:szCs w:val="30"/>
        </w:rPr>
      </w:pPr>
    </w:p>
    <w:sectPr w:rsidR="00F8608A" w:rsidRPr="00E92D08" w:rsidSect="00B800A0">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A8" w:rsidRDefault="004623A8" w:rsidP="00B5068F">
      <w:pPr>
        <w:spacing w:after="0" w:line="240" w:lineRule="auto"/>
      </w:pPr>
      <w:r>
        <w:separator/>
      </w:r>
    </w:p>
  </w:endnote>
  <w:endnote w:type="continuationSeparator" w:id="0">
    <w:p w:rsidR="004623A8" w:rsidRDefault="004623A8" w:rsidP="00B5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Drogolin">
    <w:panose1 w:val="02010401010101010101"/>
    <w:charset w:val="B1"/>
    <w:family w:val="auto"/>
    <w:pitch w:val="variable"/>
    <w:sig w:usb0="00000801" w:usb1="4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Aharoni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A8" w:rsidRDefault="004623A8" w:rsidP="00B5068F">
      <w:pPr>
        <w:spacing w:after="0" w:line="240" w:lineRule="auto"/>
      </w:pPr>
      <w:r>
        <w:separator/>
      </w:r>
    </w:p>
  </w:footnote>
  <w:footnote w:type="continuationSeparator" w:id="0">
    <w:p w:rsidR="004623A8" w:rsidRDefault="004623A8" w:rsidP="00B5068F">
      <w:pPr>
        <w:spacing w:after="0" w:line="240" w:lineRule="auto"/>
      </w:pPr>
      <w:r>
        <w:continuationSeparator/>
      </w:r>
    </w:p>
  </w:footnote>
  <w:footnote w:id="1">
    <w:p w:rsidR="000915DE" w:rsidRPr="00227787" w:rsidRDefault="000915DE">
      <w:pPr>
        <w:pStyle w:val="a7"/>
        <w:rPr>
          <w:rFonts w:cs="Guttman Drogolin"/>
          <w:rtl/>
        </w:rPr>
      </w:pPr>
      <w:r w:rsidRPr="00227787">
        <w:rPr>
          <w:rStyle w:val="a9"/>
          <w:rFonts w:cs="Guttman Drogolin"/>
        </w:rPr>
        <w:footnoteRef/>
      </w:r>
      <w:r w:rsidRPr="00227787">
        <w:rPr>
          <w:rFonts w:cs="Guttman Drogolin"/>
          <w:rtl/>
        </w:rPr>
        <w:t xml:space="preserve"> </w:t>
      </w:r>
      <w:r w:rsidRPr="00227787">
        <w:rPr>
          <w:rFonts w:cs="Guttman Drogolin" w:hint="cs"/>
          <w:rtl/>
        </w:rPr>
        <w:t>במדבר יא, ד.</w:t>
      </w:r>
    </w:p>
  </w:footnote>
  <w:footnote w:id="2">
    <w:p w:rsidR="00920D87" w:rsidRPr="00227787" w:rsidRDefault="00920D87">
      <w:pPr>
        <w:pStyle w:val="a7"/>
        <w:rPr>
          <w:rFonts w:cs="Guttman Drogolin"/>
        </w:rPr>
      </w:pPr>
      <w:r w:rsidRPr="00227787">
        <w:rPr>
          <w:rStyle w:val="a9"/>
          <w:rFonts w:cs="Guttman Drogolin"/>
        </w:rPr>
        <w:footnoteRef/>
      </w:r>
      <w:r w:rsidRPr="00227787">
        <w:rPr>
          <w:rFonts w:cs="Guttman Drogolin"/>
          <w:rtl/>
        </w:rPr>
        <w:t xml:space="preserve"> </w:t>
      </w:r>
      <w:r w:rsidRPr="00227787">
        <w:rPr>
          <w:rFonts w:cs="Guttman Drogolin" w:hint="cs"/>
          <w:rtl/>
        </w:rPr>
        <w:t>מובא בספר "אור החמה" על פרשת בהעלותך.</w:t>
      </w:r>
    </w:p>
  </w:footnote>
  <w:footnote w:id="3">
    <w:p w:rsidR="00334214" w:rsidRPr="00227787" w:rsidRDefault="00334214">
      <w:pPr>
        <w:pStyle w:val="a7"/>
        <w:rPr>
          <w:rFonts w:cs="Guttman Drogolin"/>
          <w:rtl/>
        </w:rPr>
      </w:pPr>
      <w:r w:rsidRPr="00227787">
        <w:rPr>
          <w:rStyle w:val="a9"/>
          <w:rFonts w:cs="Guttman Drogolin"/>
        </w:rPr>
        <w:footnoteRef/>
      </w:r>
      <w:r w:rsidRPr="00227787">
        <w:rPr>
          <w:rFonts w:cs="Guttman Drogolin"/>
          <w:rtl/>
        </w:rPr>
        <w:t xml:space="preserve"> </w:t>
      </w:r>
      <w:r w:rsidRPr="00227787">
        <w:rPr>
          <w:rFonts w:cs="Guttman Drogolin" w:hint="cs"/>
          <w:rtl/>
        </w:rPr>
        <w:t>במדבר יא, ו.</w:t>
      </w:r>
    </w:p>
  </w:footnote>
  <w:footnote w:id="4">
    <w:p w:rsidR="005F09C0" w:rsidRPr="00227787" w:rsidRDefault="00353ACB" w:rsidP="005F09C0">
      <w:pPr>
        <w:pStyle w:val="a7"/>
        <w:rPr>
          <w:rFonts w:cs="Guttman Drogolin"/>
          <w:rtl/>
        </w:rPr>
      </w:pPr>
      <w:r w:rsidRPr="00227787">
        <w:rPr>
          <w:rStyle w:val="a9"/>
          <w:rFonts w:cs="Guttman Drogolin"/>
        </w:rPr>
        <w:footnoteRef/>
      </w:r>
      <w:r w:rsidRPr="00227787">
        <w:rPr>
          <w:rFonts w:cs="Guttman Drogolin"/>
          <w:rtl/>
        </w:rPr>
        <w:t xml:space="preserve"> </w:t>
      </w:r>
      <w:r w:rsidRPr="00227787">
        <w:rPr>
          <w:rFonts w:cs="Guttman Drogolin" w:hint="cs"/>
          <w:rtl/>
        </w:rPr>
        <w:t>במדבר ח, ד.</w:t>
      </w:r>
    </w:p>
  </w:footnote>
  <w:footnote w:id="5">
    <w:p w:rsidR="005F09C0" w:rsidRPr="00227787" w:rsidRDefault="005F09C0">
      <w:pPr>
        <w:pStyle w:val="a7"/>
        <w:rPr>
          <w:rFonts w:cs="Guttman Drogolin"/>
        </w:rPr>
      </w:pPr>
      <w:r w:rsidRPr="00227787">
        <w:rPr>
          <w:rStyle w:val="a9"/>
          <w:rFonts w:cs="Guttman Drogolin"/>
        </w:rPr>
        <w:footnoteRef/>
      </w:r>
      <w:r w:rsidRPr="00227787">
        <w:rPr>
          <w:rFonts w:cs="Guttman Drogolin"/>
          <w:rtl/>
        </w:rPr>
        <w:t xml:space="preserve"> </w:t>
      </w:r>
      <w:r w:rsidRPr="00227787">
        <w:rPr>
          <w:rFonts w:cs="Guttman Drogolin" w:hint="cs"/>
          <w:rtl/>
        </w:rPr>
        <w:t>מובא בספר "פנינים משולחן גבוה".</w:t>
      </w:r>
    </w:p>
  </w:footnote>
  <w:footnote w:id="6">
    <w:p w:rsidR="002807FD" w:rsidRPr="00227787" w:rsidRDefault="002807FD">
      <w:pPr>
        <w:pStyle w:val="a7"/>
        <w:rPr>
          <w:rFonts w:cs="Guttman Drogolin" w:hint="cs"/>
          <w:rtl/>
        </w:rPr>
      </w:pPr>
      <w:r w:rsidRPr="00227787">
        <w:rPr>
          <w:rStyle w:val="a9"/>
          <w:rFonts w:cs="Guttman Drogolin"/>
        </w:rPr>
        <w:footnoteRef/>
      </w:r>
      <w:r w:rsidRPr="00227787">
        <w:rPr>
          <w:rFonts w:cs="Guttman Drogolin"/>
          <w:rtl/>
        </w:rPr>
        <w:t xml:space="preserve"> </w:t>
      </w:r>
      <w:r w:rsidRPr="00227787">
        <w:rPr>
          <w:rFonts w:cs="Guttman Drogolin" w:hint="cs"/>
          <w:rtl/>
        </w:rPr>
        <w:t>תענית ט, א.</w:t>
      </w:r>
    </w:p>
  </w:footnote>
  <w:footnote w:id="7">
    <w:p w:rsidR="00A20BFB" w:rsidRPr="00227787" w:rsidRDefault="00A20BFB">
      <w:pPr>
        <w:pStyle w:val="a7"/>
        <w:rPr>
          <w:rFonts w:cs="Guttman Drogolin"/>
        </w:rPr>
      </w:pPr>
      <w:r w:rsidRPr="00227787">
        <w:rPr>
          <w:rStyle w:val="a9"/>
          <w:rFonts w:cs="Guttman Drogolin"/>
        </w:rPr>
        <w:footnoteRef/>
      </w:r>
      <w:r w:rsidRPr="00227787">
        <w:rPr>
          <w:rFonts w:cs="Guttman Drogolin"/>
          <w:rtl/>
        </w:rPr>
        <w:t xml:space="preserve"> </w:t>
      </w:r>
      <w:r w:rsidRPr="00227787">
        <w:rPr>
          <w:rFonts w:cs="Guttman Drogolin" w:hint="cs"/>
          <w:rtl/>
        </w:rPr>
        <w:t xml:space="preserve">במדבר </w:t>
      </w:r>
      <w:r w:rsidR="00834E06" w:rsidRPr="00227787">
        <w:rPr>
          <w:rFonts w:cs="Guttman Drogolin" w:hint="cs"/>
          <w:rtl/>
        </w:rPr>
        <w:t>שם שם.</w:t>
      </w:r>
    </w:p>
  </w:footnote>
  <w:footnote w:id="8">
    <w:p w:rsidR="007062D6" w:rsidRPr="00227787" w:rsidRDefault="007062D6">
      <w:pPr>
        <w:pStyle w:val="a7"/>
        <w:rPr>
          <w:rFonts w:cs="Guttman Drogolin"/>
          <w:rtl/>
        </w:rPr>
      </w:pPr>
      <w:r w:rsidRPr="00227787">
        <w:rPr>
          <w:rStyle w:val="a9"/>
          <w:rFonts w:cs="Guttman Drogolin"/>
        </w:rPr>
        <w:footnoteRef/>
      </w:r>
      <w:r w:rsidRPr="00227787">
        <w:rPr>
          <w:rFonts w:cs="Guttman Drogolin"/>
          <w:rtl/>
        </w:rPr>
        <w:t xml:space="preserve"> </w:t>
      </w:r>
      <w:r w:rsidRPr="00227787">
        <w:rPr>
          <w:rFonts w:cs="Guttman Drogolin" w:hint="cs"/>
          <w:rtl/>
        </w:rPr>
        <w:t>במדבר יב, ז.</w:t>
      </w:r>
    </w:p>
  </w:footnote>
  <w:footnote w:id="9">
    <w:p w:rsidR="005A56AF" w:rsidRPr="00227787" w:rsidRDefault="005A56AF">
      <w:pPr>
        <w:pStyle w:val="a7"/>
        <w:rPr>
          <w:rFonts w:cs="Guttman Drogolin"/>
          <w:rtl/>
        </w:rPr>
      </w:pPr>
      <w:r w:rsidRPr="00227787">
        <w:rPr>
          <w:rStyle w:val="a9"/>
          <w:rFonts w:cs="Guttman Drogolin"/>
        </w:rPr>
        <w:footnoteRef/>
      </w:r>
      <w:r w:rsidRPr="00227787">
        <w:rPr>
          <w:rFonts w:cs="Guttman Drogolin"/>
          <w:rtl/>
        </w:rPr>
        <w:t xml:space="preserve"> </w:t>
      </w:r>
      <w:r w:rsidRPr="00227787">
        <w:rPr>
          <w:rFonts w:cs="Guttman Drogolin" w:hint="cs"/>
          <w:rtl/>
        </w:rPr>
        <w:t>מובא בספר "פנינים משולחן גבוה".</w:t>
      </w:r>
    </w:p>
  </w:footnote>
  <w:footnote w:id="10">
    <w:p w:rsidR="00234194" w:rsidRPr="00227787" w:rsidRDefault="00234194" w:rsidP="00234194">
      <w:pPr>
        <w:pStyle w:val="a7"/>
        <w:rPr>
          <w:rFonts w:cs="Guttman Drogolin"/>
          <w:rtl/>
        </w:rPr>
      </w:pPr>
      <w:r w:rsidRPr="00227787">
        <w:rPr>
          <w:rStyle w:val="a9"/>
          <w:rFonts w:cs="Guttman Drogolin"/>
        </w:rPr>
        <w:footnoteRef/>
      </w:r>
      <w:r w:rsidRPr="00227787">
        <w:rPr>
          <w:rFonts w:cs="Guttman Drogolin"/>
          <w:rtl/>
        </w:rPr>
        <w:t xml:space="preserve"> </w:t>
      </w:r>
      <w:r w:rsidRPr="00227787">
        <w:rPr>
          <w:rFonts w:cs="Guttman Drogolin" w:hint="cs"/>
          <w:rtl/>
        </w:rPr>
        <w:t>במדבר ח, ב.</w:t>
      </w:r>
    </w:p>
  </w:footnote>
  <w:footnote w:id="11">
    <w:p w:rsidR="00234194" w:rsidRPr="00227787" w:rsidRDefault="00234194" w:rsidP="00234194">
      <w:pPr>
        <w:pStyle w:val="a7"/>
        <w:rPr>
          <w:rFonts w:cs="Guttman Drogolin"/>
        </w:rPr>
      </w:pPr>
      <w:r w:rsidRPr="00227787">
        <w:rPr>
          <w:rStyle w:val="a9"/>
          <w:rFonts w:cs="Guttman Drogolin"/>
        </w:rPr>
        <w:footnoteRef/>
      </w:r>
      <w:r w:rsidRPr="00227787">
        <w:rPr>
          <w:rFonts w:cs="Guttman Drogolin"/>
          <w:rtl/>
        </w:rPr>
        <w:t xml:space="preserve"> </w:t>
      </w:r>
      <w:r w:rsidRPr="00227787">
        <w:rPr>
          <w:rFonts w:cs="Guttman Drogolin" w:hint="cs"/>
          <w:rtl/>
        </w:rPr>
        <w:t>באר יעקב על פרשת בהעלותך.</w:t>
      </w:r>
    </w:p>
  </w:footnote>
  <w:footnote w:id="12">
    <w:p w:rsidR="00234194" w:rsidRPr="00227787" w:rsidRDefault="00234194" w:rsidP="00234194">
      <w:pPr>
        <w:pStyle w:val="a7"/>
        <w:rPr>
          <w:rFonts w:cs="Guttman Drogolin"/>
        </w:rPr>
      </w:pPr>
      <w:r w:rsidRPr="00227787">
        <w:rPr>
          <w:rStyle w:val="a9"/>
          <w:rFonts w:cs="Guttman Drogolin"/>
        </w:rPr>
        <w:footnoteRef/>
      </w:r>
      <w:r w:rsidRPr="00227787">
        <w:rPr>
          <w:rFonts w:cs="Guttman Drogolin"/>
          <w:rtl/>
        </w:rPr>
        <w:t xml:space="preserve"> </w:t>
      </w:r>
      <w:r w:rsidRPr="00227787">
        <w:rPr>
          <w:rFonts w:cs="Guttman Drogolin" w:hint="cs"/>
          <w:rtl/>
        </w:rPr>
        <w:t>דברים לג, י.</w:t>
      </w:r>
    </w:p>
  </w:footnote>
  <w:footnote w:id="13">
    <w:p w:rsidR="00234194" w:rsidRPr="00227787" w:rsidRDefault="00234194" w:rsidP="00234194">
      <w:pPr>
        <w:pStyle w:val="a7"/>
        <w:rPr>
          <w:rFonts w:cs="Guttman Drogolin" w:hint="cs"/>
          <w:rtl/>
        </w:rPr>
      </w:pPr>
      <w:r w:rsidRPr="00227787">
        <w:rPr>
          <w:rStyle w:val="a9"/>
          <w:rFonts w:cs="Guttman Drogolin"/>
        </w:rPr>
        <w:footnoteRef/>
      </w:r>
      <w:r w:rsidRPr="00227787">
        <w:rPr>
          <w:rFonts w:cs="Guttman Drogolin"/>
          <w:rtl/>
        </w:rPr>
        <w:t xml:space="preserve"> </w:t>
      </w:r>
      <w:r w:rsidRPr="00227787">
        <w:rPr>
          <w:rFonts w:cs="Guttman Drogolin" w:hint="cs"/>
          <w:rtl/>
        </w:rPr>
        <w:t>ע"פ מגילת אסתר ט, כח</w:t>
      </w:r>
    </w:p>
  </w:footnote>
  <w:footnote w:id="14">
    <w:p w:rsidR="00234194" w:rsidRPr="00227787" w:rsidRDefault="00234194" w:rsidP="00234194">
      <w:pPr>
        <w:pStyle w:val="a7"/>
        <w:rPr>
          <w:rFonts w:cs="Guttman Drogolin"/>
        </w:rPr>
      </w:pPr>
      <w:r w:rsidRPr="00227787">
        <w:rPr>
          <w:rStyle w:val="a9"/>
          <w:rFonts w:cs="Guttman Drogolin"/>
        </w:rPr>
        <w:footnoteRef/>
      </w:r>
      <w:r w:rsidRPr="00227787">
        <w:rPr>
          <w:rFonts w:cs="Guttman Drogolin"/>
          <w:rtl/>
        </w:rPr>
        <w:t xml:space="preserve"> </w:t>
      </w:r>
      <w:r w:rsidRPr="00227787">
        <w:rPr>
          <w:rFonts w:cs="Guttman Drogolin" w:hint="cs"/>
          <w:rtl/>
        </w:rPr>
        <w:t xml:space="preserve">מדרש רבה במדבר </w:t>
      </w:r>
      <w:r w:rsidRPr="00227787">
        <w:rPr>
          <w:rFonts w:cs="Guttman Drogolin"/>
          <w:rtl/>
        </w:rPr>
        <w:t>טו</w:t>
      </w:r>
      <w:r w:rsidRPr="00227787">
        <w:rPr>
          <w:rFonts w:cs="Guttman Drogolin" w:hint="cs"/>
          <w:rtl/>
        </w:rPr>
        <w:t>,</w:t>
      </w:r>
      <w:r w:rsidRPr="00227787">
        <w:rPr>
          <w:rFonts w:cs="Guttman Drogolin"/>
          <w:rtl/>
        </w:rPr>
        <w:t xml:space="preserve"> ו</w:t>
      </w:r>
      <w:r w:rsidRPr="00227787">
        <w:rPr>
          <w:rFonts w:cs="Guttman Drogolin" w:hint="cs"/>
          <w:rtl/>
        </w:rPr>
        <w:t>.</w:t>
      </w:r>
    </w:p>
  </w:footnote>
  <w:footnote w:id="15">
    <w:p w:rsidR="00234194" w:rsidRPr="00227787" w:rsidRDefault="00234194" w:rsidP="00234194">
      <w:pPr>
        <w:pStyle w:val="a7"/>
        <w:rPr>
          <w:rFonts w:cs="Guttman Drogolin"/>
        </w:rPr>
      </w:pPr>
      <w:r w:rsidRPr="00227787">
        <w:rPr>
          <w:rStyle w:val="a9"/>
          <w:rFonts w:cs="Guttman Drogolin"/>
        </w:rPr>
        <w:footnoteRef/>
      </w:r>
      <w:r w:rsidRPr="00227787">
        <w:rPr>
          <w:rFonts w:cs="Guttman Drogolin"/>
          <w:rtl/>
        </w:rPr>
        <w:t xml:space="preserve"> </w:t>
      </w:r>
      <w:r w:rsidRPr="00227787">
        <w:rPr>
          <w:rFonts w:cs="Guttman Drogolin" w:hint="cs"/>
          <w:rtl/>
        </w:rPr>
        <w:t>במדבר ג, יב.</w:t>
      </w:r>
    </w:p>
  </w:footnote>
  <w:footnote w:id="16">
    <w:p w:rsidR="00234194" w:rsidRPr="00227787" w:rsidRDefault="00234194" w:rsidP="00234194">
      <w:pPr>
        <w:pStyle w:val="a7"/>
        <w:rPr>
          <w:rFonts w:cs="Guttman Drogolin" w:hint="cs"/>
          <w:rtl/>
        </w:rPr>
      </w:pPr>
      <w:r w:rsidRPr="00227787">
        <w:rPr>
          <w:rStyle w:val="a9"/>
          <w:rFonts w:cs="Guttman Drogolin"/>
        </w:rPr>
        <w:footnoteRef/>
      </w:r>
      <w:r w:rsidRPr="00227787">
        <w:rPr>
          <w:rFonts w:cs="Guttman Drogolin"/>
          <w:rtl/>
        </w:rPr>
        <w:t xml:space="preserve"> </w:t>
      </w:r>
      <w:r w:rsidRPr="00227787">
        <w:rPr>
          <w:rFonts w:cs="Guttman Drogolin" w:hint="cs"/>
          <w:rtl/>
        </w:rPr>
        <w:t xml:space="preserve">קהלת ו, ז. וכן כתוב בקהלת </w:t>
      </w:r>
      <w:r w:rsidR="00227787" w:rsidRPr="00227787">
        <w:rPr>
          <w:rFonts w:cs="Guttman Drogolin" w:hint="cs"/>
          <w:rtl/>
        </w:rPr>
        <w:t>רבה ו, א</w:t>
      </w:r>
      <w:r w:rsidRPr="00227787">
        <w:rPr>
          <w:rFonts w:cs="Guttman Drogolin" w:hint="cs"/>
          <w:rtl/>
        </w:rPr>
        <w:t xml:space="preserve"> :</w:t>
      </w:r>
      <w:r w:rsidRPr="00227787">
        <w:rPr>
          <w:rFonts w:ascii="Aharoni Bold" w:hAnsi="Aharoni Bold" w:cs="Guttman Drogolin" w:hint="cs"/>
          <w:color w:val="000000"/>
          <w:rtl/>
        </w:rPr>
        <w:t>"ו</w:t>
      </w:r>
      <w:r w:rsidRPr="00227787">
        <w:rPr>
          <w:rFonts w:ascii="Aharoni Bold" w:hAnsi="Aharoni Bold" w:cs="Guttman Drogolin"/>
          <w:color w:val="000000"/>
          <w:rtl/>
        </w:rPr>
        <w:t>ְגַם הַנֶּפֶשׁ לֹא תִמָּלֵא, שֶׁהַנֶּפֶשׁ יוֹדַעַת כָּל מַה שֶּׁהִיא עֲמֵלָה, לְעַצְמָהּ הִיא עֲמֵלָה, לְכָךְ אֵינָהּ שְׂבֵעָה לֹא תוֹרָה וְלֹא מַעֲשִׂים טוֹבִים. מָשָׁל לְמָה הַדָּבָר דּוֹמֶה לְעִירוֹנִי שֶׁנָּשָׂא בַּת מְלָכִים, אִם יָבִיא לָהּ כָּל מַה שֶּׁבָּעוֹלָם אֵינָן חֲשׁוּבִין לָהּ כְּלוּם, לָמָּה, שֶׁהִיא בַּת מֶלֶךְ. כָּךְ הַנֶּפֶשׁ אִלּוּ הֵבֵאתָ לָהּ כָּל מַעֲדַנֵּי עוֹלָם אֵינָם כְּלוּם לָהּ, לָמָּה, שֶׁהִיא מִן הָעֶלְיוֹנִים.</w:t>
      </w:r>
      <w:r w:rsidRPr="00227787">
        <w:rPr>
          <w:rFonts w:ascii="Aharoni Bold" w:hAnsi="Aharoni Bold" w:cs="Guttman Drogolin" w:hint="cs"/>
          <w:color w:val="000000"/>
          <w:rtl/>
        </w:rPr>
        <w:t>"</w:t>
      </w:r>
    </w:p>
  </w:footnote>
  <w:footnote w:id="17">
    <w:p w:rsidR="00234194" w:rsidRPr="00227787" w:rsidRDefault="00234194" w:rsidP="00234194">
      <w:pPr>
        <w:pStyle w:val="a7"/>
        <w:rPr>
          <w:rFonts w:cs="Guttman Drogolin"/>
        </w:rPr>
      </w:pPr>
      <w:r w:rsidRPr="00227787">
        <w:rPr>
          <w:rStyle w:val="a9"/>
          <w:rFonts w:cs="Guttman Drogolin"/>
        </w:rPr>
        <w:footnoteRef/>
      </w:r>
      <w:r w:rsidRPr="00227787">
        <w:rPr>
          <w:rFonts w:cs="Guttman Drogolin"/>
          <w:rtl/>
        </w:rPr>
        <w:t xml:space="preserve"> </w:t>
      </w:r>
      <w:r w:rsidRPr="00227787">
        <w:rPr>
          <w:rFonts w:cs="Guttman Drogolin" w:hint="cs"/>
          <w:rtl/>
        </w:rPr>
        <w:t>תהילים פד, 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68F" w:rsidRDefault="00B5068F">
    <w:pPr>
      <w:pStyle w:val="a3"/>
    </w:pPr>
    <w:r>
      <w:rPr>
        <w:rFonts w:hint="cs"/>
        <w:rtl/>
      </w:rPr>
      <w:t>בס"ד ובהשתדלות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8F"/>
    <w:rsid w:val="000701CD"/>
    <w:rsid w:val="00073EA5"/>
    <w:rsid w:val="000915DE"/>
    <w:rsid w:val="000F6B81"/>
    <w:rsid w:val="00112157"/>
    <w:rsid w:val="00127C72"/>
    <w:rsid w:val="00142D38"/>
    <w:rsid w:val="001A5011"/>
    <w:rsid w:val="001C445D"/>
    <w:rsid w:val="001D6251"/>
    <w:rsid w:val="001F6B92"/>
    <w:rsid w:val="00227787"/>
    <w:rsid w:val="00234194"/>
    <w:rsid w:val="00250347"/>
    <w:rsid w:val="002807FD"/>
    <w:rsid w:val="0029104C"/>
    <w:rsid w:val="002B0851"/>
    <w:rsid w:val="002F185B"/>
    <w:rsid w:val="00334214"/>
    <w:rsid w:val="00353ACB"/>
    <w:rsid w:val="003A3FCC"/>
    <w:rsid w:val="003D7C40"/>
    <w:rsid w:val="003F6521"/>
    <w:rsid w:val="00412925"/>
    <w:rsid w:val="004466FA"/>
    <w:rsid w:val="004623A8"/>
    <w:rsid w:val="00481DED"/>
    <w:rsid w:val="004A4A51"/>
    <w:rsid w:val="004A6284"/>
    <w:rsid w:val="004E1992"/>
    <w:rsid w:val="00515074"/>
    <w:rsid w:val="005A56AF"/>
    <w:rsid w:val="005E0B28"/>
    <w:rsid w:val="005F09C0"/>
    <w:rsid w:val="00623C8E"/>
    <w:rsid w:val="006332D2"/>
    <w:rsid w:val="00652A24"/>
    <w:rsid w:val="00663649"/>
    <w:rsid w:val="00683668"/>
    <w:rsid w:val="006F0A1C"/>
    <w:rsid w:val="006F5447"/>
    <w:rsid w:val="007062D6"/>
    <w:rsid w:val="00741883"/>
    <w:rsid w:val="00760316"/>
    <w:rsid w:val="00771C6F"/>
    <w:rsid w:val="00773049"/>
    <w:rsid w:val="00834E06"/>
    <w:rsid w:val="00845796"/>
    <w:rsid w:val="008721E0"/>
    <w:rsid w:val="00881B48"/>
    <w:rsid w:val="008C3CAA"/>
    <w:rsid w:val="008D4D7E"/>
    <w:rsid w:val="009148F6"/>
    <w:rsid w:val="00920D87"/>
    <w:rsid w:val="00983AF6"/>
    <w:rsid w:val="009E46ED"/>
    <w:rsid w:val="00A00BDD"/>
    <w:rsid w:val="00A10A78"/>
    <w:rsid w:val="00A20BFB"/>
    <w:rsid w:val="00A32822"/>
    <w:rsid w:val="00AC644A"/>
    <w:rsid w:val="00B31EA8"/>
    <w:rsid w:val="00B5068F"/>
    <w:rsid w:val="00B800A0"/>
    <w:rsid w:val="00B97EA1"/>
    <w:rsid w:val="00BA26CB"/>
    <w:rsid w:val="00BE3510"/>
    <w:rsid w:val="00C151EB"/>
    <w:rsid w:val="00C262D6"/>
    <w:rsid w:val="00C76479"/>
    <w:rsid w:val="00CC0647"/>
    <w:rsid w:val="00CE1564"/>
    <w:rsid w:val="00CE54AA"/>
    <w:rsid w:val="00D1342C"/>
    <w:rsid w:val="00DA112C"/>
    <w:rsid w:val="00DA2DFE"/>
    <w:rsid w:val="00DC2E39"/>
    <w:rsid w:val="00E5708D"/>
    <w:rsid w:val="00E901AF"/>
    <w:rsid w:val="00E92D08"/>
    <w:rsid w:val="00EA5333"/>
    <w:rsid w:val="00ED3D16"/>
    <w:rsid w:val="00F069D3"/>
    <w:rsid w:val="00F07D4C"/>
    <w:rsid w:val="00F370FB"/>
    <w:rsid w:val="00F744D8"/>
    <w:rsid w:val="00F8608A"/>
    <w:rsid w:val="00FD1820"/>
    <w:rsid w:val="00FD2125"/>
    <w:rsid w:val="00FF29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BBEA9-3256-4F40-A754-B5B760F8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68F"/>
    <w:pPr>
      <w:tabs>
        <w:tab w:val="center" w:pos="4513"/>
        <w:tab w:val="right" w:pos="9026"/>
      </w:tabs>
      <w:spacing w:after="0" w:line="240" w:lineRule="auto"/>
    </w:pPr>
  </w:style>
  <w:style w:type="character" w:customStyle="1" w:styleId="a4">
    <w:name w:val="כותרת עליונה תו"/>
    <w:basedOn w:val="a0"/>
    <w:link w:val="a3"/>
    <w:uiPriority w:val="99"/>
    <w:rsid w:val="00B5068F"/>
  </w:style>
  <w:style w:type="paragraph" w:styleId="a5">
    <w:name w:val="footer"/>
    <w:basedOn w:val="a"/>
    <w:link w:val="a6"/>
    <w:uiPriority w:val="99"/>
    <w:unhideWhenUsed/>
    <w:rsid w:val="00B5068F"/>
    <w:pPr>
      <w:tabs>
        <w:tab w:val="center" w:pos="4513"/>
        <w:tab w:val="right" w:pos="9026"/>
      </w:tabs>
      <w:spacing w:after="0" w:line="240" w:lineRule="auto"/>
    </w:pPr>
  </w:style>
  <w:style w:type="character" w:customStyle="1" w:styleId="a6">
    <w:name w:val="כותרת תחתונה תו"/>
    <w:basedOn w:val="a0"/>
    <w:link w:val="a5"/>
    <w:uiPriority w:val="99"/>
    <w:rsid w:val="00B5068F"/>
  </w:style>
  <w:style w:type="paragraph" w:styleId="a7">
    <w:name w:val="footnote text"/>
    <w:basedOn w:val="a"/>
    <w:link w:val="a8"/>
    <w:uiPriority w:val="99"/>
    <w:semiHidden/>
    <w:unhideWhenUsed/>
    <w:rsid w:val="000915DE"/>
    <w:pPr>
      <w:spacing w:after="0" w:line="240" w:lineRule="auto"/>
    </w:pPr>
    <w:rPr>
      <w:sz w:val="20"/>
      <w:szCs w:val="20"/>
    </w:rPr>
  </w:style>
  <w:style w:type="character" w:customStyle="1" w:styleId="a8">
    <w:name w:val="טקסט הערת שוליים תו"/>
    <w:basedOn w:val="a0"/>
    <w:link w:val="a7"/>
    <w:uiPriority w:val="99"/>
    <w:semiHidden/>
    <w:rsid w:val="000915DE"/>
    <w:rPr>
      <w:sz w:val="20"/>
      <w:szCs w:val="20"/>
    </w:rPr>
  </w:style>
  <w:style w:type="character" w:styleId="a9">
    <w:name w:val="footnote reference"/>
    <w:basedOn w:val="a0"/>
    <w:uiPriority w:val="99"/>
    <w:semiHidden/>
    <w:unhideWhenUsed/>
    <w:rsid w:val="000915DE"/>
    <w:rPr>
      <w:vertAlign w:val="superscript"/>
    </w:rPr>
  </w:style>
  <w:style w:type="paragraph" w:styleId="NormalWeb">
    <w:name w:val="Normal (Web)"/>
    <w:basedOn w:val="a"/>
    <w:uiPriority w:val="99"/>
    <w:semiHidden/>
    <w:unhideWhenUsed/>
    <w:rsid w:val="004A4A5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4A6284"/>
    <w:rPr>
      <w:color w:val="2F6DB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255144">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607615088">
          <w:marLeft w:val="0"/>
          <w:marRight w:val="0"/>
          <w:marTop w:val="0"/>
          <w:marBottom w:val="0"/>
          <w:divBdr>
            <w:top w:val="none" w:sz="0" w:space="0" w:color="auto"/>
            <w:left w:val="none" w:sz="0" w:space="0" w:color="auto"/>
            <w:bottom w:val="none" w:sz="0" w:space="0" w:color="auto"/>
            <w:right w:val="none" w:sz="0" w:space="0" w:color="auto"/>
          </w:divBdr>
          <w:divsChild>
            <w:div w:id="629358902">
              <w:marLeft w:val="0"/>
              <w:marRight w:val="0"/>
              <w:marTop w:val="0"/>
              <w:marBottom w:val="0"/>
              <w:divBdr>
                <w:top w:val="none" w:sz="0" w:space="0" w:color="auto"/>
                <w:left w:val="none" w:sz="0" w:space="0" w:color="auto"/>
                <w:bottom w:val="none" w:sz="0" w:space="0" w:color="auto"/>
                <w:right w:val="none" w:sz="0" w:space="0" w:color="auto"/>
              </w:divBdr>
              <w:divsChild>
                <w:div w:id="1149055297">
                  <w:marLeft w:val="240"/>
                  <w:marRight w:val="240"/>
                  <w:marTop w:val="0"/>
                  <w:marBottom w:val="0"/>
                  <w:divBdr>
                    <w:top w:val="single" w:sz="6" w:space="12" w:color="auto"/>
                    <w:left w:val="single" w:sz="6" w:space="12" w:color="auto"/>
                    <w:bottom w:val="single" w:sz="6" w:space="12" w:color="auto"/>
                    <w:right w:val="single" w:sz="6" w:space="12" w:color="auto"/>
                  </w:divBdr>
                </w:div>
              </w:divsChild>
            </w:div>
          </w:divsChild>
        </w:div>
      </w:divsChild>
    </w:div>
    <w:div w:id="1977562073">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37321806">
          <w:marLeft w:val="0"/>
          <w:marRight w:val="0"/>
          <w:marTop w:val="0"/>
          <w:marBottom w:val="0"/>
          <w:divBdr>
            <w:top w:val="none" w:sz="0" w:space="0" w:color="auto"/>
            <w:left w:val="none" w:sz="0" w:space="0" w:color="auto"/>
            <w:bottom w:val="none" w:sz="0" w:space="0" w:color="auto"/>
            <w:right w:val="none" w:sz="0" w:space="0" w:color="auto"/>
          </w:divBdr>
          <w:divsChild>
            <w:div w:id="17721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TotalTime>
  <Pages>4</Pages>
  <Words>854</Words>
  <Characters>4270</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ינון</dc:creator>
  <cp:keywords/>
  <dc:description/>
  <cp:lastModifiedBy>ינון</cp:lastModifiedBy>
  <cp:revision>7</cp:revision>
  <dcterms:created xsi:type="dcterms:W3CDTF">2017-06-06T10:50:00Z</dcterms:created>
  <dcterms:modified xsi:type="dcterms:W3CDTF">2017-06-08T10:46:00Z</dcterms:modified>
</cp:coreProperties>
</file>