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99" w:rsidRDefault="007B6B3D" w:rsidP="00572198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>
        <w:rPr>
          <w:rFonts w:cs="Guttman Drogolin" w:hint="cs"/>
          <w:b/>
          <w:bCs/>
          <w:sz w:val="40"/>
          <w:szCs w:val="40"/>
          <w:rtl/>
        </w:rPr>
        <w:t>פרשת האזינו</w:t>
      </w:r>
    </w:p>
    <w:p w:rsidR="007B6B3D" w:rsidRDefault="007B6B3D" w:rsidP="00572198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רפאנו</w:t>
      </w:r>
      <w:r w:rsidR="00417FC2">
        <w:rPr>
          <w:rFonts w:cs="Guttman Drogolin" w:hint="cs"/>
          <w:b/>
          <w:bCs/>
          <w:sz w:val="32"/>
          <w:szCs w:val="32"/>
          <w:rtl/>
        </w:rPr>
        <w:t xml:space="preserve"> </w:t>
      </w:r>
      <w:r w:rsidR="00417FC2">
        <w:rPr>
          <w:rFonts w:cs="Guttman Drogolin"/>
          <w:b/>
          <w:bCs/>
          <w:sz w:val="32"/>
          <w:szCs w:val="32"/>
          <w:rtl/>
        </w:rPr>
        <w:t>–</w:t>
      </w:r>
      <w:r w:rsidR="00417FC2">
        <w:rPr>
          <w:rFonts w:cs="Guttman Drogolin" w:hint="cs"/>
          <w:b/>
          <w:bCs/>
          <w:sz w:val="32"/>
          <w:szCs w:val="32"/>
          <w:rtl/>
        </w:rPr>
        <w:t xml:space="preserve"> ה' הוא המרפא</w:t>
      </w:r>
    </w:p>
    <w:p w:rsidR="007B6B3D" w:rsidRDefault="00406E12" w:rsidP="00572198">
      <w:pPr>
        <w:spacing w:after="40"/>
        <w:jc w:val="both"/>
        <w:rPr>
          <w:rFonts w:cs="Guttman Drogolin"/>
          <w:sz w:val="28"/>
          <w:szCs w:val="28"/>
          <w:rtl/>
        </w:rPr>
      </w:pPr>
      <w:r w:rsidRPr="00EF74CD">
        <w:rPr>
          <w:rFonts w:cs="Guttman Drogolin" w:hint="cs"/>
          <w:sz w:val="28"/>
          <w:szCs w:val="28"/>
          <w:rtl/>
        </w:rPr>
        <w:t>"</w:t>
      </w:r>
      <w:r w:rsidRPr="00EF74CD">
        <w:rPr>
          <w:rFonts w:cs="Guttman Drogolin"/>
          <w:sz w:val="28"/>
          <w:szCs w:val="28"/>
          <w:rtl/>
        </w:rPr>
        <w:t>אֲנִי אָמִית וַאֲחַיֶּה מָחַצְתִּי וַאֲנִי אֶרְפָּא</w:t>
      </w:r>
      <w:r w:rsidR="008B7BFB">
        <w:rPr>
          <w:rFonts w:cs="Guttman Drogolin" w:hint="cs"/>
          <w:sz w:val="28"/>
          <w:szCs w:val="28"/>
          <w:rtl/>
        </w:rPr>
        <w:t>..</w:t>
      </w:r>
      <w:r w:rsidRPr="00EF74CD">
        <w:rPr>
          <w:rFonts w:cs="Guttman Drogolin" w:hint="cs"/>
          <w:sz w:val="28"/>
          <w:szCs w:val="28"/>
          <w:rtl/>
        </w:rPr>
        <w:t>"</w:t>
      </w:r>
      <w:r w:rsidR="00EF74CD" w:rsidRPr="00EF74CD">
        <w:rPr>
          <w:rFonts w:cs="Guttman Drogolin"/>
          <w:sz w:val="28"/>
          <w:szCs w:val="28"/>
          <w:vertAlign w:val="superscript"/>
        </w:rPr>
        <w:footnoteReference w:id="1"/>
      </w:r>
    </w:p>
    <w:p w:rsidR="00EF74CD" w:rsidRDefault="00EF74CD" w:rsidP="00572198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</w:t>
      </w:r>
      <w:r w:rsidRPr="00EF74CD">
        <w:rPr>
          <w:rFonts w:cs="Guttman Drogolin"/>
          <w:sz w:val="28"/>
          <w:szCs w:val="28"/>
          <w:rtl/>
        </w:rPr>
        <w:t>וַאֲנִי אֶרְפָּא</w:t>
      </w:r>
      <w:r>
        <w:rPr>
          <w:rFonts w:cs="Guttman Drogolin" w:hint="cs"/>
          <w:sz w:val="28"/>
          <w:szCs w:val="28"/>
          <w:rtl/>
        </w:rPr>
        <w:t xml:space="preserve">", רבי יחזקאל </w:t>
      </w:r>
      <w:proofErr w:type="spellStart"/>
      <w:r>
        <w:rPr>
          <w:rFonts w:cs="Guttman Drogolin" w:hint="cs"/>
          <w:sz w:val="28"/>
          <w:szCs w:val="28"/>
          <w:rtl/>
        </w:rPr>
        <w:t>אברמסקי</w:t>
      </w:r>
      <w:proofErr w:type="spellEnd"/>
      <w:r w:rsidR="008B7BFB">
        <w:rPr>
          <w:rStyle w:val="a9"/>
          <w:rFonts w:cs="Guttman Drogolin"/>
          <w:sz w:val="28"/>
          <w:szCs w:val="28"/>
          <w:rtl/>
        </w:rPr>
        <w:footnoteReference w:id="2"/>
      </w:r>
      <w:r>
        <w:rPr>
          <w:rFonts w:cs="Guttman Drogolin" w:hint="cs"/>
          <w:sz w:val="28"/>
          <w:szCs w:val="28"/>
          <w:rtl/>
        </w:rPr>
        <w:t xml:space="preserve"> היה מבאר בברכת "רפאנו ה' ונרפא" מדוע רק בברכה זו נאמר הלשון "כי תהילתנו אתה", ולא נזכר שבח כזה בשאר הברכות:</w:t>
      </w:r>
    </w:p>
    <w:p w:rsidR="008B7BFB" w:rsidRDefault="009345C3" w:rsidP="00572198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ברפואה יש מקום לטעות ו</w:t>
      </w:r>
      <w:r w:rsidR="00417FC2">
        <w:rPr>
          <w:rFonts w:cs="Guttman Drogolin" w:hint="cs"/>
          <w:sz w:val="28"/>
          <w:szCs w:val="28"/>
          <w:rtl/>
        </w:rPr>
        <w:t>לחשוב כאילו ביד רופא בשר ודם לר</w:t>
      </w:r>
      <w:r w:rsidR="008B7BFB">
        <w:rPr>
          <w:rFonts w:cs="Guttman Drogolin" w:hint="cs"/>
          <w:sz w:val="28"/>
          <w:szCs w:val="28"/>
          <w:rtl/>
        </w:rPr>
        <w:t>פ</w:t>
      </w:r>
      <w:r w:rsidR="00E4670B">
        <w:rPr>
          <w:rFonts w:cs="Guttman Drogolin" w:hint="cs"/>
          <w:sz w:val="28"/>
          <w:szCs w:val="28"/>
          <w:rtl/>
        </w:rPr>
        <w:t>א</w:t>
      </w:r>
      <w:r w:rsidR="00417FC2">
        <w:rPr>
          <w:rFonts w:cs="Guttman Drogolin" w:hint="cs"/>
          <w:sz w:val="28"/>
          <w:szCs w:val="28"/>
          <w:rtl/>
        </w:rPr>
        <w:t xml:space="preserve"> את האדם. </w:t>
      </w:r>
    </w:p>
    <w:p w:rsidR="009345C3" w:rsidRDefault="00E4670B" w:rsidP="00572198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לכך מוסיפים ומדגישים "</w:t>
      </w:r>
      <w:r w:rsidR="00417FC2">
        <w:rPr>
          <w:rFonts w:cs="Guttman Drogolin" w:hint="cs"/>
          <w:sz w:val="28"/>
          <w:szCs w:val="28"/>
          <w:rtl/>
        </w:rPr>
        <w:t>כי תהילתנו אתה", להודיע שהרפואה אינה כי</w:t>
      </w:r>
      <w:r>
        <w:rPr>
          <w:rFonts w:cs="Guttman Drogolin" w:hint="cs"/>
          <w:sz w:val="28"/>
          <w:szCs w:val="28"/>
          <w:rtl/>
        </w:rPr>
        <w:t xml:space="preserve"> אם ממנו יתברך שמו, ו</w:t>
      </w:r>
      <w:r w:rsidR="00417FC2">
        <w:rPr>
          <w:rFonts w:cs="Guttman Drogolin" w:hint="cs"/>
          <w:sz w:val="28"/>
          <w:szCs w:val="28"/>
          <w:rtl/>
        </w:rPr>
        <w:t>לו בלבד התהילה, ואילו הרופא הוא רק שליחו של המקום.</w:t>
      </w:r>
      <w:r w:rsidR="00BD0D94">
        <w:rPr>
          <w:rStyle w:val="a9"/>
          <w:rFonts w:cs="Guttman Drogolin"/>
          <w:sz w:val="28"/>
          <w:szCs w:val="28"/>
          <w:rtl/>
        </w:rPr>
        <w:footnoteReference w:id="3"/>
      </w:r>
    </w:p>
    <w:p w:rsidR="00D6219E" w:rsidRDefault="00D6219E" w:rsidP="00572198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D6219E" w:rsidRDefault="00D6219E" w:rsidP="00572198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768CFEBC" wp14:editId="1A156B3C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94E" w:rsidRPr="00F1694E" w:rsidRDefault="00F1694E" w:rsidP="00572198">
      <w:pPr>
        <w:spacing w:after="40"/>
        <w:rPr>
          <w:rFonts w:cs="Guttman Drogolin"/>
          <w:b/>
          <w:bCs/>
          <w:sz w:val="32"/>
          <w:szCs w:val="32"/>
          <w:rtl/>
        </w:rPr>
      </w:pPr>
      <w:r w:rsidRPr="00F1694E">
        <w:rPr>
          <w:rFonts w:cs="Guttman Drogolin" w:hint="cs"/>
          <w:b/>
          <w:bCs/>
          <w:sz w:val="32"/>
          <w:szCs w:val="32"/>
          <w:rtl/>
        </w:rPr>
        <w:t>"</w:t>
      </w:r>
      <w:r w:rsidRPr="00F1694E">
        <w:rPr>
          <w:rFonts w:cs="Guttman Drogolin"/>
          <w:b/>
          <w:bCs/>
          <w:sz w:val="32"/>
          <w:szCs w:val="32"/>
          <w:rtl/>
        </w:rPr>
        <w:t>יָבִינוּ לְאַחֲרִיתָם</w:t>
      </w:r>
      <w:r w:rsidRPr="00F1694E">
        <w:rPr>
          <w:rFonts w:cs="Guttman Drogolin" w:hint="cs"/>
          <w:b/>
          <w:bCs/>
          <w:sz w:val="32"/>
          <w:szCs w:val="32"/>
          <w:rtl/>
        </w:rPr>
        <w:t>"</w:t>
      </w:r>
    </w:p>
    <w:p w:rsidR="00D6219E" w:rsidRPr="002E208F" w:rsidRDefault="002E208F" w:rsidP="00572198">
      <w:pPr>
        <w:spacing w:after="40"/>
        <w:rPr>
          <w:rFonts w:cs="Guttman Drogolin"/>
          <w:sz w:val="28"/>
          <w:szCs w:val="28"/>
        </w:rPr>
      </w:pPr>
      <w:r w:rsidRPr="002E208F">
        <w:rPr>
          <w:rFonts w:cs="Guttman Drogolin" w:hint="cs"/>
          <w:sz w:val="28"/>
          <w:szCs w:val="28"/>
          <w:rtl/>
        </w:rPr>
        <w:t>"</w:t>
      </w:r>
      <w:r w:rsidRPr="002E208F">
        <w:rPr>
          <w:rFonts w:cs="Guttman Drogolin"/>
          <w:sz w:val="28"/>
          <w:szCs w:val="28"/>
          <w:rtl/>
        </w:rPr>
        <w:t>כִּי גוֹי אֹבַד עֵצוֹת הֵמָּה וְאֵין בָּהֶם תְּבוּנָה</w:t>
      </w:r>
      <w:bookmarkStart w:id="0" w:name="דבריםBפרק-לב-{כט}"/>
      <w:bookmarkEnd w:id="0"/>
      <w:r w:rsidR="00A83604">
        <w:rPr>
          <w:rFonts w:cs="Guttman Drogolin" w:hint="cs"/>
          <w:sz w:val="28"/>
          <w:szCs w:val="28"/>
          <w:rtl/>
        </w:rPr>
        <w:t>:</w:t>
      </w:r>
      <w:r w:rsidRPr="002E208F">
        <w:rPr>
          <w:rFonts w:cs="Guttman Drogolin"/>
          <w:sz w:val="28"/>
          <w:szCs w:val="28"/>
          <w:rtl/>
        </w:rPr>
        <w:t> לוּ חָכְמוּ יַשְׂכִּילוּ זֹאת יָבִינוּ לְאַחֲרִיתָם</w:t>
      </w:r>
      <w:r w:rsidRPr="002E208F">
        <w:rPr>
          <w:rFonts w:cs="Guttman Drogolin" w:hint="cs"/>
          <w:sz w:val="28"/>
          <w:szCs w:val="28"/>
          <w:rtl/>
        </w:rPr>
        <w:t>..."</w:t>
      </w:r>
      <w:r w:rsidRPr="002E208F">
        <w:rPr>
          <w:rFonts w:cs="Guttman Drogolin"/>
          <w:sz w:val="28"/>
          <w:szCs w:val="28"/>
          <w:vertAlign w:val="superscript"/>
          <w:rtl/>
        </w:rPr>
        <w:footnoteReference w:id="4"/>
      </w:r>
    </w:p>
    <w:p w:rsidR="00EF74CD" w:rsidRDefault="00315219" w:rsidP="00572198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במהלך חיי האדם יש לאדם התלבטויות רבות</w:t>
      </w:r>
      <w:r w:rsidR="00CE20B0">
        <w:rPr>
          <w:rFonts w:cs="Guttman Drogolin" w:hint="cs"/>
          <w:sz w:val="28"/>
          <w:szCs w:val="28"/>
          <w:rtl/>
        </w:rPr>
        <w:t xml:space="preserve"> והוא איננו יודע מה לעשות: הוא רוצה לעשות דבר כלשהו והוא אינו יודע האם דבר זה הינו דבר חיובי והוא מגיע מצד ה"יצר הטוב" שלו או שזהו דבר </w:t>
      </w:r>
      <w:r w:rsidR="00E2710E">
        <w:rPr>
          <w:rFonts w:cs="Guttman Drogolin" w:hint="cs"/>
          <w:sz w:val="28"/>
          <w:szCs w:val="28"/>
          <w:rtl/>
        </w:rPr>
        <w:t>רע וזה מגיע מצד ה"יצר הרע" שלו</w:t>
      </w:r>
      <w:r w:rsidR="008E51C8">
        <w:rPr>
          <w:rFonts w:cs="Guttman Drogolin" w:hint="cs"/>
          <w:sz w:val="28"/>
          <w:szCs w:val="28"/>
          <w:rtl/>
        </w:rPr>
        <w:t xml:space="preserve"> שמפתה אותו לעשות כך</w:t>
      </w:r>
      <w:r w:rsidR="00E2710E">
        <w:rPr>
          <w:rFonts w:cs="Guttman Drogolin" w:hint="cs"/>
          <w:sz w:val="28"/>
          <w:szCs w:val="28"/>
          <w:rtl/>
        </w:rPr>
        <w:t xml:space="preserve">? </w:t>
      </w:r>
    </w:p>
    <w:p w:rsidR="00D6525E" w:rsidRDefault="00D6525E" w:rsidP="00572198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בספר "פניני הבן</w:t>
      </w:r>
      <w:r w:rsidR="00094BE4">
        <w:rPr>
          <w:rFonts w:cs="Guttman Drogolin" w:hint="cs"/>
          <w:sz w:val="28"/>
          <w:szCs w:val="28"/>
          <w:rtl/>
        </w:rPr>
        <w:t xml:space="preserve"> איש חי" על פ</w:t>
      </w:r>
      <w:r w:rsidR="001F48A0">
        <w:rPr>
          <w:rFonts w:cs="Guttman Drogolin" w:hint="cs"/>
          <w:sz w:val="28"/>
          <w:szCs w:val="28"/>
          <w:rtl/>
        </w:rPr>
        <w:t xml:space="preserve">רשתנו מובא </w:t>
      </w:r>
      <w:proofErr w:type="spellStart"/>
      <w:r w:rsidR="001F48A0">
        <w:rPr>
          <w:rFonts w:cs="Guttman Drogolin" w:hint="cs"/>
          <w:sz w:val="28"/>
          <w:szCs w:val="28"/>
          <w:rtl/>
        </w:rPr>
        <w:t>האלשיך</w:t>
      </w:r>
      <w:proofErr w:type="spellEnd"/>
      <w:r w:rsidR="001F48A0">
        <w:rPr>
          <w:rFonts w:cs="Guttman Drogolin" w:hint="cs"/>
          <w:sz w:val="28"/>
          <w:szCs w:val="28"/>
          <w:rtl/>
        </w:rPr>
        <w:t xml:space="preserve"> הקדוש שמבאר שההתלבטויות והספקות הללו יפתרו לאחר שיצא הדבר לפועל </w:t>
      </w:r>
      <w:r w:rsidR="001F48A0">
        <w:rPr>
          <w:rFonts w:cs="Guttman Drogolin"/>
          <w:sz w:val="28"/>
          <w:szCs w:val="28"/>
          <w:rtl/>
        </w:rPr>
        <w:t>–</w:t>
      </w:r>
      <w:r w:rsidR="001F48A0">
        <w:rPr>
          <w:rFonts w:cs="Guttman Drogolin" w:hint="cs"/>
          <w:sz w:val="28"/>
          <w:szCs w:val="28"/>
          <w:rtl/>
        </w:rPr>
        <w:t xml:space="preserve"> אז יכיר האדם האם מחשבתו הייתה באמת ממקור טהור</w:t>
      </w:r>
      <w:r w:rsidR="00572198">
        <w:rPr>
          <w:rFonts w:cs="Guttman Drogolin" w:hint="cs"/>
          <w:sz w:val="28"/>
          <w:szCs w:val="28"/>
          <w:rtl/>
        </w:rPr>
        <w:t xml:space="preserve"> או לא. וזה מבחן התוצאה:</w:t>
      </w:r>
    </w:p>
    <w:p w:rsidR="002B34AC" w:rsidRDefault="002B34AC" w:rsidP="00572198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אם</w:t>
      </w:r>
      <w:r w:rsidR="00572198">
        <w:rPr>
          <w:rFonts w:cs="Guttman Drogolin" w:hint="cs"/>
          <w:sz w:val="28"/>
          <w:szCs w:val="28"/>
          <w:rtl/>
        </w:rPr>
        <w:t xml:space="preserve"> לאחר עשיית המעשה ממלאים את האדם רגשות חרטה ואשמה, זהו סימן לכך שה"יצר ה</w:t>
      </w:r>
      <w:r w:rsidR="00D16977">
        <w:rPr>
          <w:rFonts w:cs="Guttman Drogolin" w:hint="cs"/>
          <w:sz w:val="28"/>
          <w:szCs w:val="28"/>
          <w:rtl/>
        </w:rPr>
        <w:t xml:space="preserve">רע" הוא זה שדחף לעשיית דבר זה. </w:t>
      </w:r>
    </w:p>
    <w:p w:rsidR="00572198" w:rsidRDefault="00D16977" w:rsidP="00572198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אבל אם האדם מרגיש לאחר המעשה הרגשת סיפוק ושלימות בנפשו ועדיין רואה שעשה מעשה טוב אז ידע כי ה"יצר הטוב" בלבד היה עימו במחשבה ובעצה.</w:t>
      </w:r>
    </w:p>
    <w:p w:rsidR="00D15990" w:rsidRDefault="00D15990" w:rsidP="00D15990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בהתאם לדברים הללו פירש אחיו של ה"בן איש חי" </w:t>
      </w:r>
      <w:r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רבי משה חיים זצ"ל את הפסוק שלנו:</w:t>
      </w:r>
    </w:p>
    <w:p w:rsidR="00D15990" w:rsidRDefault="003D0D3F" w:rsidP="008D7D5E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</w:t>
      </w:r>
      <w:r w:rsidRPr="002E208F">
        <w:rPr>
          <w:rFonts w:cs="Guttman Drogolin"/>
          <w:sz w:val="28"/>
          <w:szCs w:val="28"/>
          <w:rtl/>
        </w:rPr>
        <w:t>כִּי גוֹי אֹבַד עֵצוֹת הֵמָּה</w:t>
      </w:r>
      <w:r>
        <w:rPr>
          <w:rFonts w:cs="Guttman Drogolin" w:hint="cs"/>
          <w:sz w:val="28"/>
          <w:szCs w:val="28"/>
          <w:rtl/>
        </w:rPr>
        <w:t xml:space="preserve">" </w:t>
      </w:r>
      <w:r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כאשר היצר הרע</w:t>
      </w:r>
      <w:r w:rsidR="00D14875">
        <w:rPr>
          <w:rFonts w:cs="Guttman Drogolin" w:hint="cs"/>
          <w:sz w:val="28"/>
          <w:szCs w:val="28"/>
          <w:rtl/>
        </w:rPr>
        <w:t xml:space="preserve"> מעלה על מחשבותינו לעשות מעשים רעים, ומנסה לשכנע </w:t>
      </w:r>
      <w:r w:rsidR="00A83604">
        <w:rPr>
          <w:rFonts w:cs="Guttman Drogolin" w:hint="cs"/>
          <w:sz w:val="28"/>
          <w:szCs w:val="28"/>
          <w:rtl/>
        </w:rPr>
        <w:t>אותנו כאילו יש בהם תועלת חיובית, "</w:t>
      </w:r>
      <w:r w:rsidR="00A83604" w:rsidRPr="002E208F">
        <w:rPr>
          <w:rFonts w:cs="Guttman Drogolin"/>
          <w:sz w:val="28"/>
          <w:szCs w:val="28"/>
          <w:rtl/>
        </w:rPr>
        <w:t>וְאֵין בָּהֶם תְּבוּנָה</w:t>
      </w:r>
      <w:r w:rsidR="00A83604">
        <w:rPr>
          <w:rFonts w:cs="Guttman Drogolin" w:hint="cs"/>
          <w:sz w:val="28"/>
          <w:szCs w:val="28"/>
          <w:rtl/>
        </w:rPr>
        <w:t>"</w:t>
      </w:r>
      <w:r w:rsidR="00684189">
        <w:rPr>
          <w:rFonts w:cs="Guttman Drogolin" w:hint="cs"/>
          <w:sz w:val="28"/>
          <w:szCs w:val="28"/>
          <w:rtl/>
        </w:rPr>
        <w:t xml:space="preserve"> להכיר ששור</w:t>
      </w:r>
      <w:r w:rsidR="00E17621">
        <w:rPr>
          <w:rFonts w:cs="Guttman Drogolin" w:hint="cs"/>
          <w:sz w:val="28"/>
          <w:szCs w:val="28"/>
          <w:rtl/>
        </w:rPr>
        <w:t>ש הרעיונות הללו הועלו על ידי</w:t>
      </w:r>
      <w:r w:rsidR="00684189">
        <w:rPr>
          <w:rFonts w:cs="Guttman Drogolin" w:hint="cs"/>
          <w:sz w:val="28"/>
          <w:szCs w:val="28"/>
          <w:rtl/>
        </w:rPr>
        <w:t xml:space="preserve"> הרצונות החומריים.</w:t>
      </w:r>
      <w:r w:rsidR="008D7D5E">
        <w:rPr>
          <w:rFonts w:cs="Guttman Drogolin" w:hint="cs"/>
          <w:sz w:val="28"/>
          <w:szCs w:val="28"/>
          <w:rtl/>
        </w:rPr>
        <w:t xml:space="preserve"> או אז "</w:t>
      </w:r>
      <w:r w:rsidR="008D7D5E" w:rsidRPr="002E208F">
        <w:rPr>
          <w:rFonts w:cs="Guttman Drogolin"/>
          <w:sz w:val="28"/>
          <w:szCs w:val="28"/>
          <w:rtl/>
        </w:rPr>
        <w:t>לוּ חָכְמוּ יַשְׂכִּילוּ זֹאת</w:t>
      </w:r>
      <w:r w:rsidR="008D7D5E">
        <w:rPr>
          <w:rFonts w:cs="Guttman Drogolin" w:hint="cs"/>
          <w:sz w:val="28"/>
          <w:szCs w:val="28"/>
          <w:rtl/>
        </w:rPr>
        <w:t>", אם היו חכמים היו יכולים להשכיל בדבר זה, כיצד? "</w:t>
      </w:r>
      <w:r w:rsidR="008D7D5E" w:rsidRPr="002E208F">
        <w:rPr>
          <w:rFonts w:cs="Guttman Drogolin"/>
          <w:sz w:val="28"/>
          <w:szCs w:val="28"/>
          <w:rtl/>
        </w:rPr>
        <w:t>יָבִינוּ לְאַחֲרִיתָם</w:t>
      </w:r>
      <w:r w:rsidR="008D7D5E">
        <w:rPr>
          <w:rFonts w:cs="Guttman Drogolin" w:hint="cs"/>
          <w:sz w:val="28"/>
          <w:szCs w:val="28"/>
          <w:rtl/>
        </w:rPr>
        <w:t>"</w:t>
      </w:r>
      <w:r w:rsidR="001529DA">
        <w:rPr>
          <w:rFonts w:cs="Guttman Drogolin" w:hint="cs"/>
          <w:sz w:val="28"/>
          <w:szCs w:val="28"/>
          <w:rtl/>
        </w:rPr>
        <w:t xml:space="preserve"> לאחר </w:t>
      </w:r>
      <w:r w:rsidR="001529DA">
        <w:rPr>
          <w:rFonts w:cs="Guttman Drogolin" w:hint="cs"/>
          <w:sz w:val="28"/>
          <w:szCs w:val="28"/>
          <w:rtl/>
        </w:rPr>
        <w:lastRenderedPageBreak/>
        <w:t>עשו מה עשו, יתבוננו ויבחנו את עצמם</w:t>
      </w:r>
      <w:r w:rsidR="00E17621">
        <w:rPr>
          <w:rFonts w:cs="Guttman Drogolin" w:hint="cs"/>
          <w:sz w:val="28"/>
          <w:szCs w:val="28"/>
          <w:rtl/>
        </w:rPr>
        <w:t>, האם ליבם מתחרט על המעשים, כך יוכלו להסיק בוודאות, כי הלכו שבי אחר יצר הרע.</w:t>
      </w:r>
    </w:p>
    <w:p w:rsidR="008D7D5E" w:rsidRDefault="008D7D5E" w:rsidP="008D7D5E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8D7D5E" w:rsidRDefault="0045766D" w:rsidP="0045766D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3208C180" wp14:editId="14F40A38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66D" w:rsidRDefault="0045766D" w:rsidP="0045766D">
      <w:pPr>
        <w:spacing w:after="40"/>
        <w:jc w:val="center"/>
        <w:rPr>
          <w:rFonts w:cs="Guttman Drogolin"/>
          <w:b/>
          <w:bCs/>
          <w:sz w:val="30"/>
          <w:szCs w:val="30"/>
          <w:rtl/>
        </w:rPr>
      </w:pPr>
      <w:r>
        <w:rPr>
          <w:rFonts w:cs="Guttman Drogolin" w:hint="cs"/>
          <w:b/>
          <w:bCs/>
          <w:sz w:val="30"/>
          <w:szCs w:val="30"/>
          <w:rtl/>
        </w:rPr>
        <w:t>שבת שלום ומבורך!</w:t>
      </w:r>
    </w:p>
    <w:p w:rsidR="00E9159E" w:rsidRDefault="00E9159E" w:rsidP="0045766D">
      <w:pPr>
        <w:spacing w:after="40"/>
        <w:jc w:val="center"/>
        <w:rPr>
          <w:rFonts w:cs="Guttman Drogolin"/>
          <w:b/>
          <w:bCs/>
          <w:sz w:val="30"/>
          <w:szCs w:val="30"/>
          <w:rtl/>
        </w:rPr>
      </w:pPr>
    </w:p>
    <w:p w:rsidR="00E9159E" w:rsidRDefault="00E9159E" w:rsidP="0045766D">
      <w:pPr>
        <w:spacing w:after="40"/>
        <w:jc w:val="center"/>
        <w:rPr>
          <w:rFonts w:cs="Guttman Drogolin"/>
          <w:b/>
          <w:bCs/>
          <w:sz w:val="30"/>
          <w:szCs w:val="30"/>
          <w:rtl/>
        </w:rPr>
      </w:pPr>
      <w:r>
        <w:rPr>
          <w:rFonts w:cs="Guttman Drogolin" w:hint="cs"/>
          <w:b/>
          <w:bCs/>
          <w:sz w:val="30"/>
          <w:szCs w:val="30"/>
          <w:rtl/>
        </w:rPr>
        <w:t>יהי רצון שנזכה לשנת התחדשות, שנת התקדמות, שנת שמחה, שנת עבודת ה'!</w:t>
      </w:r>
    </w:p>
    <w:p w:rsidR="00E9159E" w:rsidRDefault="00E9159E" w:rsidP="00E9159E">
      <w:pPr>
        <w:spacing w:after="40"/>
        <w:jc w:val="center"/>
        <w:rPr>
          <w:rFonts w:cs="Guttman Drogolin"/>
          <w:b/>
          <w:bCs/>
          <w:sz w:val="30"/>
          <w:szCs w:val="30"/>
          <w:rtl/>
        </w:rPr>
      </w:pPr>
      <w:r>
        <w:rPr>
          <w:rFonts w:cs="Guttman Drogolin" w:hint="cs"/>
          <w:b/>
          <w:bCs/>
          <w:sz w:val="30"/>
          <w:szCs w:val="30"/>
          <w:rtl/>
        </w:rPr>
        <w:t>שה' ימלא כל משאלות ליבנו לטובה!</w:t>
      </w:r>
    </w:p>
    <w:p w:rsidR="00E9159E" w:rsidRPr="0045766D" w:rsidRDefault="00E9159E" w:rsidP="00E9159E">
      <w:pPr>
        <w:spacing w:after="40"/>
        <w:jc w:val="center"/>
        <w:rPr>
          <w:b/>
          <w:bCs/>
          <w:sz w:val="30"/>
          <w:szCs w:val="30"/>
          <w:rtl/>
        </w:rPr>
      </w:pPr>
      <w:r>
        <w:rPr>
          <w:rFonts w:cs="Guttman Drogolin" w:hint="cs"/>
          <w:b/>
          <w:bCs/>
          <w:sz w:val="30"/>
          <w:szCs w:val="30"/>
          <w:rtl/>
        </w:rPr>
        <w:t xml:space="preserve">שנה טובה ומתוקה! </w:t>
      </w:r>
      <w:r w:rsidRPr="00E9159E">
        <w:rPr>
          <w:rFonts w:cs="Guttman Drogolin"/>
          <w:b/>
          <w:bCs/>
          <w:sz w:val="30"/>
          <w:szCs w:val="30"/>
        </w:rPr>
        <w:sym w:font="Wingdings" w:char="F04A"/>
      </w:r>
      <w:r>
        <w:rPr>
          <w:rFonts w:cs="Guttman Drogolin" w:hint="cs"/>
          <w:b/>
          <w:bCs/>
          <w:sz w:val="30"/>
          <w:szCs w:val="30"/>
          <w:rtl/>
        </w:rPr>
        <w:t xml:space="preserve"> </w:t>
      </w:r>
      <w:bookmarkStart w:id="1" w:name="_GoBack"/>
      <w:bookmarkEnd w:id="1"/>
    </w:p>
    <w:p w:rsidR="008D7D5E" w:rsidRDefault="008D7D5E" w:rsidP="008D7D5E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8D7D5E" w:rsidRPr="00EF74CD" w:rsidRDefault="008D7D5E" w:rsidP="008D7D5E">
      <w:pPr>
        <w:spacing w:after="40"/>
        <w:jc w:val="both"/>
        <w:rPr>
          <w:rFonts w:cs="Guttman Drogolin"/>
          <w:sz w:val="28"/>
          <w:szCs w:val="28"/>
        </w:rPr>
      </w:pPr>
    </w:p>
    <w:sectPr w:rsidR="008D7D5E" w:rsidRPr="00EF74CD" w:rsidSect="00B800A0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5FA" w:rsidRDefault="000675FA" w:rsidP="00EA6F92">
      <w:pPr>
        <w:spacing w:after="0" w:line="240" w:lineRule="auto"/>
      </w:pPr>
      <w:r>
        <w:separator/>
      </w:r>
    </w:p>
  </w:endnote>
  <w:endnote w:type="continuationSeparator" w:id="0">
    <w:p w:rsidR="000675FA" w:rsidRDefault="000675FA" w:rsidP="00EA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5FA" w:rsidRDefault="000675FA" w:rsidP="00EA6F92">
      <w:pPr>
        <w:spacing w:after="0" w:line="240" w:lineRule="auto"/>
      </w:pPr>
      <w:r>
        <w:separator/>
      </w:r>
    </w:p>
  </w:footnote>
  <w:footnote w:type="continuationSeparator" w:id="0">
    <w:p w:rsidR="000675FA" w:rsidRDefault="000675FA" w:rsidP="00EA6F92">
      <w:pPr>
        <w:spacing w:after="0" w:line="240" w:lineRule="auto"/>
      </w:pPr>
      <w:r>
        <w:continuationSeparator/>
      </w:r>
    </w:p>
  </w:footnote>
  <w:footnote w:id="1">
    <w:p w:rsidR="00EF74CD" w:rsidRDefault="00EF74CD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דברים לב, לט.</w:t>
      </w:r>
    </w:p>
  </w:footnote>
  <w:footnote w:id="2">
    <w:p w:rsidR="008B7BFB" w:rsidRDefault="008B7BFB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מובא בספר "פנינים משולחן גבוה" על פרשת האזינו.</w:t>
      </w:r>
    </w:p>
  </w:footnote>
  <w:footnote w:id="3">
    <w:p w:rsidR="00BD0D94" w:rsidRPr="00BD0D94" w:rsidRDefault="00BD0D94" w:rsidP="00BD0D94">
      <w:pPr>
        <w:pStyle w:val="a7"/>
        <w:rPr>
          <w:color w:val="0D0D0D" w:themeColor="text1" w:themeTint="F2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ברכות ס, א:</w:t>
      </w:r>
      <w:r w:rsidRPr="00BD0D94">
        <w:rPr>
          <w:rFonts w:hint="cs"/>
          <w:color w:val="0D0D0D" w:themeColor="text1" w:themeTint="F2"/>
          <w:rtl/>
        </w:rPr>
        <w:t>"</w:t>
      </w:r>
      <w:r w:rsidRPr="00BD0D94">
        <w:rPr>
          <w:color w:val="0D0D0D" w:themeColor="text1" w:themeTint="F2"/>
          <w:rtl/>
        </w:rPr>
        <w:t xml:space="preserve"> </w:t>
      </w:r>
      <w:proofErr w:type="spellStart"/>
      <w:r w:rsidRPr="00BD0D94">
        <w:rPr>
          <w:color w:val="0D0D0D" w:themeColor="text1" w:themeTint="F2"/>
          <w:rtl/>
        </w:rPr>
        <w:t>דתני</w:t>
      </w:r>
      <w:proofErr w:type="spellEnd"/>
      <w:r w:rsidRPr="00BD0D94">
        <w:rPr>
          <w:color w:val="0D0D0D" w:themeColor="text1" w:themeTint="F2"/>
          <w:rtl/>
        </w:rPr>
        <w:t xml:space="preserve"> דבי רבי ישמעאל</w:t>
      </w:r>
      <w:r>
        <w:rPr>
          <w:rFonts w:hint="cs"/>
          <w:color w:val="0D0D0D" w:themeColor="text1" w:themeTint="F2"/>
          <w:rtl/>
        </w:rPr>
        <w:t>:</w:t>
      </w:r>
      <w:r w:rsidRPr="00BD0D94">
        <w:rPr>
          <w:color w:val="0D0D0D" w:themeColor="text1" w:themeTint="F2"/>
          <w:rtl/>
        </w:rPr>
        <w:t xml:space="preserve"> </w:t>
      </w:r>
      <w:r>
        <w:rPr>
          <w:rFonts w:hint="cs"/>
          <w:color w:val="0D0D0D" w:themeColor="text1" w:themeTint="F2"/>
          <w:rtl/>
        </w:rPr>
        <w:t>"</w:t>
      </w:r>
      <w:r w:rsidRPr="00BD0D94">
        <w:rPr>
          <w:color w:val="0D0D0D" w:themeColor="text1" w:themeTint="F2"/>
          <w:rtl/>
        </w:rPr>
        <w:t>ורפא ירפא</w:t>
      </w:r>
      <w:r>
        <w:rPr>
          <w:rFonts w:hint="cs"/>
          <w:color w:val="0D0D0D" w:themeColor="text1" w:themeTint="F2"/>
          <w:rtl/>
        </w:rPr>
        <w:t>"</w:t>
      </w:r>
      <w:r w:rsidRPr="00BD0D94">
        <w:rPr>
          <w:color w:val="0D0D0D" w:themeColor="text1" w:themeTint="F2"/>
          <w:rtl/>
        </w:rPr>
        <w:t xml:space="preserve"> מכאן שניתנה רשות לרופא לרפאות</w:t>
      </w:r>
      <w:r>
        <w:rPr>
          <w:rFonts w:hint="cs"/>
          <w:color w:val="0D0D0D" w:themeColor="text1" w:themeTint="F2"/>
          <w:rtl/>
        </w:rPr>
        <w:t>...</w:t>
      </w:r>
      <w:r w:rsidRPr="00BD0D94">
        <w:rPr>
          <w:rFonts w:hint="cs"/>
          <w:color w:val="0D0D0D" w:themeColor="text1" w:themeTint="F2"/>
          <w:rtl/>
        </w:rPr>
        <w:t>"</w:t>
      </w:r>
      <w:r>
        <w:rPr>
          <w:rFonts w:hint="cs"/>
          <w:color w:val="0D0D0D" w:themeColor="text1" w:themeTint="F2"/>
          <w:rtl/>
        </w:rPr>
        <w:t>.</w:t>
      </w:r>
    </w:p>
  </w:footnote>
  <w:footnote w:id="4">
    <w:p w:rsidR="002E208F" w:rsidRDefault="002E208F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דברים לב,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כט</w:t>
      </w:r>
      <w:proofErr w:type="spellEnd"/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92" w:rsidRDefault="00EA6F92">
    <w:pPr>
      <w:pStyle w:val="a3"/>
    </w:pPr>
    <w:r>
      <w:rPr>
        <w:rFonts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92"/>
    <w:rsid w:val="000675FA"/>
    <w:rsid w:val="00094BE4"/>
    <w:rsid w:val="001529DA"/>
    <w:rsid w:val="001E157D"/>
    <w:rsid w:val="001F48A0"/>
    <w:rsid w:val="002B34AC"/>
    <w:rsid w:val="002E208F"/>
    <w:rsid w:val="00315219"/>
    <w:rsid w:val="003D0D3F"/>
    <w:rsid w:val="00406E12"/>
    <w:rsid w:val="00417FC2"/>
    <w:rsid w:val="0045766D"/>
    <w:rsid w:val="004F6599"/>
    <w:rsid w:val="00572198"/>
    <w:rsid w:val="00684189"/>
    <w:rsid w:val="006B6C4F"/>
    <w:rsid w:val="007B6B3D"/>
    <w:rsid w:val="008B7BFB"/>
    <w:rsid w:val="008D7D5E"/>
    <w:rsid w:val="008E51C8"/>
    <w:rsid w:val="009345C3"/>
    <w:rsid w:val="00A83604"/>
    <w:rsid w:val="00B7651C"/>
    <w:rsid w:val="00B800A0"/>
    <w:rsid w:val="00BD0D94"/>
    <w:rsid w:val="00CE20B0"/>
    <w:rsid w:val="00D14875"/>
    <w:rsid w:val="00D15990"/>
    <w:rsid w:val="00D16977"/>
    <w:rsid w:val="00D6219E"/>
    <w:rsid w:val="00D6525E"/>
    <w:rsid w:val="00E17621"/>
    <w:rsid w:val="00E2710E"/>
    <w:rsid w:val="00E4670B"/>
    <w:rsid w:val="00E9159E"/>
    <w:rsid w:val="00EA6F92"/>
    <w:rsid w:val="00EF74CD"/>
    <w:rsid w:val="00F1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13DC9-5B23-4573-B605-3BDD5A03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A6F92"/>
  </w:style>
  <w:style w:type="paragraph" w:styleId="a5">
    <w:name w:val="footer"/>
    <w:basedOn w:val="a"/>
    <w:link w:val="a6"/>
    <w:uiPriority w:val="99"/>
    <w:unhideWhenUsed/>
    <w:rsid w:val="00EA6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A6F92"/>
  </w:style>
  <w:style w:type="paragraph" w:styleId="a7">
    <w:name w:val="footnote text"/>
    <w:basedOn w:val="a"/>
    <w:link w:val="a8"/>
    <w:uiPriority w:val="99"/>
    <w:semiHidden/>
    <w:unhideWhenUsed/>
    <w:rsid w:val="00EF74CD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EF74C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F74CD"/>
    <w:rPr>
      <w:vertAlign w:val="superscript"/>
    </w:rPr>
  </w:style>
  <w:style w:type="character" w:styleId="Hyperlink">
    <w:name w:val="Hyperlink"/>
    <w:basedOn w:val="a0"/>
    <w:uiPriority w:val="99"/>
    <w:unhideWhenUsed/>
    <w:rsid w:val="002E208F"/>
    <w:rPr>
      <w:color w:val="2F6D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313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4</cp:revision>
  <dcterms:created xsi:type="dcterms:W3CDTF">2017-09-17T12:17:00Z</dcterms:created>
  <dcterms:modified xsi:type="dcterms:W3CDTF">2017-09-20T08:22:00Z</dcterms:modified>
</cp:coreProperties>
</file>