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4"/>
        <w:bidiVisual/>
        <w:tblW w:w="8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108"/>
        <w:gridCol w:w="5284"/>
      </w:tblGrid>
      <w:tr w:rsidR="007A04DC" w:rsidTr="00FB1591">
        <w:tc>
          <w:tcPr>
            <w:tcW w:w="8820" w:type="dxa"/>
            <w:gridSpan w:val="2"/>
          </w:tcPr>
          <w:p w:rsidR="00373B46" w:rsidRDefault="004E14DF" w:rsidP="00373B46">
            <w:pPr>
              <w:jc w:val="left"/>
              <w:rPr>
                <w:rFonts w:ascii="Arial (W1)" w:hAnsi="Arial (W1)" w:cs="David"/>
                <w:b/>
                <w:bCs/>
                <w:sz w:val="26"/>
                <w:szCs w:val="26"/>
                <w:rtl/>
              </w:rPr>
            </w:pPr>
            <w:r>
              <w:rPr>
                <w:rFonts w:ascii="Arial (W1)" w:hAnsi="Arial (W1)" w:cs="David" w:hint="cs"/>
                <w:b/>
                <w:bCs/>
                <w:sz w:val="26"/>
                <w:szCs w:val="26"/>
                <w:rtl/>
              </w:rPr>
              <w:t>בפני הרכב כב' השופטים:</w:t>
            </w:r>
          </w:p>
          <w:p w:rsidR="00373B46" w:rsidRDefault="004E14DF" w:rsidP="00373B46">
            <w:pPr>
              <w:jc w:val="left"/>
              <w:rPr>
                <w:rFonts w:ascii="Arial (W1)" w:hAnsi="Arial (W1)" w:cs="David"/>
                <w:b/>
                <w:bCs/>
                <w:sz w:val="26"/>
                <w:szCs w:val="26"/>
                <w:rtl/>
              </w:rPr>
            </w:pPr>
            <w:r>
              <w:rPr>
                <w:rFonts w:ascii="Arial (W1)" w:hAnsi="Arial (W1)" w:cs="David" w:hint="cs"/>
                <w:b/>
                <w:bCs/>
                <w:sz w:val="26"/>
                <w:szCs w:val="26"/>
                <w:rtl/>
              </w:rPr>
              <w:t>כב' השופטת עמיתה מרים דיסקין - אב"ד</w:t>
            </w:r>
          </w:p>
          <w:p w:rsidR="00373B46" w:rsidRDefault="004E14DF" w:rsidP="00373B46">
            <w:pPr>
              <w:jc w:val="left"/>
              <w:rPr>
                <w:rFonts w:ascii="Arial (W1)" w:hAnsi="Arial (W1)" w:cs="David"/>
                <w:b/>
                <w:bCs/>
                <w:sz w:val="26"/>
                <w:szCs w:val="26"/>
                <w:rtl/>
              </w:rPr>
            </w:pPr>
            <w:r>
              <w:rPr>
                <w:rFonts w:ascii="Arial (W1)" w:hAnsi="Arial (W1)" w:cs="David" w:hint="cs"/>
                <w:b/>
                <w:bCs/>
                <w:sz w:val="26"/>
                <w:szCs w:val="26"/>
                <w:rtl/>
              </w:rPr>
              <w:t>כב' השופט מרדכי לוי</w:t>
            </w:r>
          </w:p>
          <w:p w:rsidR="00373B46" w:rsidRPr="00373B46" w:rsidRDefault="004E14DF" w:rsidP="00373B46">
            <w:pPr>
              <w:jc w:val="left"/>
              <w:rPr>
                <w:rFonts w:ascii="Arial (W1)" w:hAnsi="Arial (W1)" w:cs="David"/>
                <w:b/>
                <w:bCs/>
                <w:sz w:val="26"/>
                <w:szCs w:val="26"/>
              </w:rPr>
            </w:pPr>
            <w:r>
              <w:rPr>
                <w:rFonts w:ascii="Arial (W1)" w:hAnsi="Arial (W1)" w:cs="David" w:hint="cs"/>
                <w:b/>
                <w:bCs/>
                <w:sz w:val="26"/>
                <w:szCs w:val="26"/>
                <w:rtl/>
              </w:rPr>
              <w:t>כב' השופטת גיליה רביד</w:t>
            </w:r>
          </w:p>
        </w:tc>
      </w:tr>
      <w:tr w:rsidR="007A04DC" w:rsidTr="00FB1591">
        <w:tc>
          <w:tcPr>
            <w:tcW w:w="3249" w:type="dxa"/>
          </w:tcPr>
          <w:p w:rsidR="002479F4" w:rsidRPr="00373B46" w:rsidRDefault="002479F4">
            <w:pPr>
              <w:rPr>
                <w:rFonts w:cs="David"/>
                <w:sz w:val="26"/>
                <w:szCs w:val="26"/>
                <w:rtl/>
              </w:rPr>
            </w:pPr>
          </w:p>
          <w:p w:rsidR="002479F4" w:rsidRPr="00373B46" w:rsidRDefault="004E14DF">
            <w:pPr>
              <w:jc w:val="left"/>
              <w:rPr>
                <w:rFonts w:ascii="Arial (W1)" w:hAnsi="Arial (W1)" w:cs="David"/>
                <w:b/>
                <w:bCs/>
                <w:sz w:val="26"/>
                <w:szCs w:val="26"/>
                <w:u w:val="single"/>
              </w:rPr>
            </w:pPr>
            <w:r w:rsidRPr="00373B46">
              <w:rPr>
                <w:rFonts w:ascii="Arial (W1)" w:hAnsi="Arial (W1)" w:cs="David"/>
                <w:b/>
                <w:bCs/>
                <w:sz w:val="26"/>
                <w:szCs w:val="26"/>
                <w:u w:val="single"/>
                <w:rtl/>
              </w:rPr>
              <w:t>המערערת בע"פ 23260-01-09</w:t>
            </w:r>
          </w:p>
          <w:p w:rsidR="002479F4" w:rsidRPr="00373B46" w:rsidRDefault="004E14DF">
            <w:pPr>
              <w:jc w:val="left"/>
              <w:rPr>
                <w:rFonts w:ascii="Arial (W1)" w:hAnsi="Arial (W1)" w:cs="David"/>
                <w:b/>
                <w:bCs/>
                <w:sz w:val="26"/>
                <w:szCs w:val="26"/>
                <w:rtl/>
              </w:rPr>
            </w:pPr>
            <w:r w:rsidRPr="00373B46">
              <w:rPr>
                <w:rFonts w:ascii="Arial (W1)" w:hAnsi="Arial (W1)" w:cs="David"/>
                <w:b/>
                <w:bCs/>
                <w:sz w:val="26"/>
                <w:szCs w:val="26"/>
                <w:rtl/>
              </w:rPr>
              <w:t>המשיבה בע"פ 61564-01-19</w:t>
            </w:r>
          </w:p>
        </w:tc>
        <w:tc>
          <w:tcPr>
            <w:tcW w:w="5571" w:type="dxa"/>
          </w:tcPr>
          <w:p w:rsidR="002479F4" w:rsidRPr="00373B46" w:rsidRDefault="002479F4">
            <w:pPr>
              <w:rPr>
                <w:rFonts w:ascii="Arial (W1)" w:hAnsi="Arial (W1)" w:cs="David"/>
                <w:b/>
                <w:bCs/>
                <w:sz w:val="26"/>
                <w:szCs w:val="26"/>
              </w:rPr>
            </w:pPr>
          </w:p>
          <w:p w:rsidR="002479F4" w:rsidRPr="00373B46" w:rsidRDefault="00C02046" w:rsidP="00373B46">
            <w:pPr>
              <w:jc w:val="left"/>
              <w:rPr>
                <w:rFonts w:cs="David"/>
                <w:noProof/>
                <w:sz w:val="26"/>
                <w:szCs w:val="26"/>
                <w:rtl/>
              </w:rPr>
            </w:pPr>
            <w:sdt>
              <w:sdtPr>
                <w:rPr>
                  <w:rFonts w:cs="David"/>
                  <w:sz w:val="26"/>
                  <w:szCs w:val="26"/>
                  <w:rtl/>
                </w:rPr>
                <w:alias w:val="1478"/>
                <w:tag w:val="1478"/>
                <w:id w:val="160126198"/>
                <w:text w:multiLine="1"/>
              </w:sdtPr>
              <w:sdtEndPr/>
              <w:sdtContent>
                <w:r w:rsidR="004E14DF" w:rsidRPr="00373B46">
                  <w:rPr>
                    <w:rFonts w:cs="David"/>
                    <w:b/>
                    <w:bCs/>
                    <w:sz w:val="26"/>
                    <w:szCs w:val="26"/>
                    <w:rtl/>
                  </w:rPr>
                  <w:t>מדינת ישראל</w:t>
                </w:r>
              </w:sdtContent>
            </w:sdt>
          </w:p>
          <w:p w:rsidR="00287B2E" w:rsidRDefault="004E14DF">
            <w:pPr>
              <w:jc w:val="left"/>
              <w:rPr>
                <w:rFonts w:ascii="Arial (W1)" w:hAnsi="Arial (W1)" w:cs="David"/>
                <w:sz w:val="26"/>
                <w:szCs w:val="26"/>
                <w:rtl/>
              </w:rPr>
            </w:pPr>
            <w:r w:rsidRPr="00373B46">
              <w:rPr>
                <w:rFonts w:cs="David"/>
                <w:sz w:val="26"/>
                <w:szCs w:val="26"/>
                <w:rtl/>
              </w:rPr>
              <w:t>ע"י ב"כ עו"ד</w:t>
            </w:r>
            <w:r w:rsidRPr="00373B46">
              <w:rPr>
                <w:rFonts w:ascii="Arial (W1)" w:hAnsi="Arial (W1)" w:cs="David"/>
                <w:sz w:val="26"/>
                <w:szCs w:val="26"/>
                <w:rtl/>
              </w:rPr>
              <w:t xml:space="preserve"> נעמי גרנות, עו"ד נילי פינקלשטיין</w:t>
            </w:r>
          </w:p>
          <w:p w:rsidR="002479F4" w:rsidRPr="00373B46" w:rsidRDefault="004E14DF">
            <w:pPr>
              <w:jc w:val="left"/>
              <w:rPr>
                <w:rFonts w:ascii="Arial (W1)" w:hAnsi="Arial (W1)" w:cs="David"/>
                <w:sz w:val="26"/>
                <w:szCs w:val="26"/>
                <w:rtl/>
              </w:rPr>
            </w:pPr>
            <w:r w:rsidRPr="00373B46">
              <w:rPr>
                <w:rFonts w:ascii="Arial (W1)" w:hAnsi="Arial (W1)" w:cs="David"/>
                <w:sz w:val="26"/>
                <w:szCs w:val="26"/>
                <w:rtl/>
              </w:rPr>
              <w:t>ועו"ד רונן יצחק מפרקליטות המדינה</w:t>
            </w:r>
          </w:p>
        </w:tc>
      </w:tr>
      <w:tr w:rsidR="007A04DC" w:rsidTr="00FB1591">
        <w:tc>
          <w:tcPr>
            <w:tcW w:w="8820" w:type="dxa"/>
            <w:gridSpan w:val="2"/>
          </w:tcPr>
          <w:p w:rsidR="002479F4" w:rsidRPr="00287B2E" w:rsidRDefault="002479F4">
            <w:pPr>
              <w:rPr>
                <w:rFonts w:ascii="Arial (W1)" w:hAnsi="Arial (W1)" w:cs="David"/>
                <w:b/>
                <w:bCs/>
                <w:sz w:val="26"/>
                <w:szCs w:val="26"/>
              </w:rPr>
            </w:pPr>
          </w:p>
          <w:p w:rsidR="002479F4" w:rsidRPr="00373B46" w:rsidRDefault="004E14DF">
            <w:pPr>
              <w:jc w:val="center"/>
              <w:rPr>
                <w:rFonts w:ascii="Arial (W1)" w:hAnsi="Arial (W1)" w:cs="David"/>
                <w:b/>
                <w:bCs/>
                <w:sz w:val="26"/>
                <w:szCs w:val="26"/>
                <w:rtl/>
              </w:rPr>
            </w:pPr>
            <w:r w:rsidRPr="00373B46">
              <w:rPr>
                <w:rFonts w:cs="David"/>
                <w:b/>
                <w:bCs/>
                <w:sz w:val="26"/>
                <w:szCs w:val="26"/>
                <w:rtl/>
              </w:rPr>
              <w:t>נגד</w:t>
            </w:r>
          </w:p>
        </w:tc>
      </w:tr>
      <w:tr w:rsidR="007A04DC" w:rsidTr="00FB1591">
        <w:tc>
          <w:tcPr>
            <w:tcW w:w="3249" w:type="dxa"/>
          </w:tcPr>
          <w:p w:rsidR="002479F4" w:rsidRPr="00373B46" w:rsidRDefault="002479F4">
            <w:pPr>
              <w:rPr>
                <w:rFonts w:ascii="Arial (W1)" w:hAnsi="Arial (W1)" w:cs="David"/>
                <w:b/>
                <w:bCs/>
                <w:sz w:val="26"/>
                <w:szCs w:val="26"/>
              </w:rPr>
            </w:pPr>
          </w:p>
          <w:p w:rsidR="002479F4" w:rsidRPr="00373B46" w:rsidRDefault="00C02046" w:rsidP="00373B46">
            <w:pPr>
              <w:jc w:val="left"/>
              <w:rPr>
                <w:rFonts w:cs="David"/>
                <w:noProof/>
                <w:sz w:val="26"/>
                <w:szCs w:val="26"/>
                <w:u w:val="single"/>
                <w:rtl/>
              </w:rPr>
            </w:pPr>
            <w:sdt>
              <w:sdtPr>
                <w:rPr>
                  <w:rFonts w:cs="David"/>
                  <w:sz w:val="26"/>
                  <w:szCs w:val="26"/>
                  <w:u w:val="single"/>
                  <w:rtl/>
                </w:rPr>
                <w:alias w:val="1184"/>
                <w:tag w:val="1184"/>
                <w:id w:val="-910234160"/>
                <w:text w:multiLine="1"/>
              </w:sdtPr>
              <w:sdtEndPr/>
              <w:sdtContent>
                <w:r w:rsidR="004E14DF" w:rsidRPr="00373B46">
                  <w:rPr>
                    <w:rFonts w:cs="David"/>
                    <w:b/>
                    <w:bCs/>
                    <w:sz w:val="26"/>
                    <w:szCs w:val="26"/>
                    <w:u w:val="single"/>
                    <w:rtl/>
                  </w:rPr>
                  <w:t xml:space="preserve">המשיב </w:t>
                </w:r>
                <w:proofErr w:type="spellStart"/>
                <w:r w:rsidR="004E14DF" w:rsidRPr="00373B46">
                  <w:rPr>
                    <w:rFonts w:cs="David"/>
                    <w:b/>
                    <w:bCs/>
                    <w:sz w:val="26"/>
                    <w:szCs w:val="26"/>
                    <w:u w:val="single"/>
                    <w:rtl/>
                  </w:rPr>
                  <w:t>בת"פ</w:t>
                </w:r>
                <w:proofErr w:type="spellEnd"/>
                <w:r w:rsidR="004E14DF" w:rsidRPr="00373B46">
                  <w:rPr>
                    <w:rFonts w:cs="David"/>
                    <w:b/>
                    <w:bCs/>
                    <w:sz w:val="26"/>
                    <w:szCs w:val="26"/>
                    <w:u w:val="single"/>
                    <w:rtl/>
                  </w:rPr>
                  <w:t xml:space="preserve"> 23260-01-19</w:t>
                </w:r>
              </w:sdtContent>
            </w:sdt>
          </w:p>
          <w:p w:rsidR="002479F4" w:rsidRPr="00373B46" w:rsidRDefault="004E14DF">
            <w:pPr>
              <w:jc w:val="left"/>
              <w:rPr>
                <w:rFonts w:ascii="Arial (W1)" w:hAnsi="Arial (W1)" w:cs="David"/>
                <w:b/>
                <w:bCs/>
                <w:sz w:val="26"/>
                <w:szCs w:val="26"/>
                <w:rtl/>
              </w:rPr>
            </w:pPr>
            <w:r w:rsidRPr="00373B46">
              <w:rPr>
                <w:rFonts w:ascii="Arial (W1)" w:hAnsi="Arial (W1)" w:cs="David"/>
                <w:b/>
                <w:bCs/>
                <w:sz w:val="26"/>
                <w:szCs w:val="26"/>
                <w:rtl/>
              </w:rPr>
              <w:t xml:space="preserve">המערער </w:t>
            </w:r>
            <w:proofErr w:type="spellStart"/>
            <w:r w:rsidRPr="00373B46">
              <w:rPr>
                <w:rFonts w:ascii="Arial (W1)" w:hAnsi="Arial (W1)" w:cs="David"/>
                <w:b/>
                <w:bCs/>
                <w:sz w:val="26"/>
                <w:szCs w:val="26"/>
                <w:rtl/>
              </w:rPr>
              <w:t>בת"פ</w:t>
            </w:r>
            <w:proofErr w:type="spellEnd"/>
            <w:r w:rsidRPr="00373B46">
              <w:rPr>
                <w:rFonts w:ascii="Arial (W1)" w:hAnsi="Arial (W1)" w:cs="David"/>
                <w:b/>
                <w:bCs/>
                <w:sz w:val="26"/>
                <w:szCs w:val="26"/>
                <w:rtl/>
              </w:rPr>
              <w:t xml:space="preserve"> 61564-01-19</w:t>
            </w:r>
          </w:p>
        </w:tc>
        <w:tc>
          <w:tcPr>
            <w:tcW w:w="5571" w:type="dxa"/>
          </w:tcPr>
          <w:p w:rsidR="002479F4" w:rsidRPr="00373B46" w:rsidRDefault="002479F4">
            <w:pPr>
              <w:rPr>
                <w:rFonts w:ascii="Arial (W1)" w:hAnsi="Arial (W1)" w:cs="David"/>
                <w:b/>
                <w:bCs/>
                <w:sz w:val="26"/>
                <w:szCs w:val="26"/>
              </w:rPr>
            </w:pPr>
          </w:p>
          <w:p w:rsidR="002479F4" w:rsidRPr="00373B46" w:rsidRDefault="00C02046" w:rsidP="00373B46">
            <w:pPr>
              <w:jc w:val="left"/>
              <w:rPr>
                <w:rFonts w:cs="David"/>
                <w:noProof/>
                <w:sz w:val="26"/>
                <w:szCs w:val="26"/>
                <w:rtl/>
              </w:rPr>
            </w:pPr>
            <w:sdt>
              <w:sdtPr>
                <w:rPr>
                  <w:rFonts w:cs="David"/>
                  <w:sz w:val="26"/>
                  <w:szCs w:val="26"/>
                  <w:rtl/>
                </w:rPr>
                <w:alias w:val="1486"/>
                <w:tag w:val="1486"/>
                <w:id w:val="1487590763"/>
                <w:text w:multiLine="1"/>
              </w:sdtPr>
              <w:sdtEndPr/>
              <w:sdtContent>
                <w:r w:rsidR="004E14DF" w:rsidRPr="00373B46">
                  <w:rPr>
                    <w:rFonts w:cs="David"/>
                    <w:b/>
                    <w:bCs/>
                    <w:sz w:val="26"/>
                    <w:szCs w:val="26"/>
                    <w:rtl/>
                  </w:rPr>
                  <w:t>ניסו שחם</w:t>
                </w:r>
              </w:sdtContent>
            </w:sdt>
          </w:p>
          <w:p w:rsidR="002479F4" w:rsidRPr="00373B46" w:rsidRDefault="004E14DF">
            <w:pPr>
              <w:jc w:val="left"/>
              <w:rPr>
                <w:rFonts w:ascii="Arial (W1)" w:hAnsi="Arial (W1)" w:cs="David"/>
                <w:b/>
                <w:bCs/>
                <w:sz w:val="26"/>
                <w:szCs w:val="26"/>
                <w:rtl/>
              </w:rPr>
            </w:pPr>
            <w:r w:rsidRPr="00373B46">
              <w:rPr>
                <w:rFonts w:cs="David"/>
                <w:sz w:val="26"/>
                <w:szCs w:val="26"/>
                <w:rtl/>
              </w:rPr>
              <w:t xml:space="preserve">ע"י ב"כ עו"ד בעז בן צור ועו"ד </w:t>
            </w:r>
            <w:proofErr w:type="spellStart"/>
            <w:r w:rsidRPr="00373B46">
              <w:rPr>
                <w:rFonts w:cs="David"/>
                <w:sz w:val="26"/>
                <w:szCs w:val="26"/>
                <w:rtl/>
              </w:rPr>
              <w:t>דיקלה</w:t>
            </w:r>
            <w:proofErr w:type="spellEnd"/>
            <w:r w:rsidRPr="00373B46">
              <w:rPr>
                <w:rFonts w:cs="David"/>
                <w:sz w:val="26"/>
                <w:szCs w:val="26"/>
                <w:rtl/>
              </w:rPr>
              <w:t xml:space="preserve"> </w:t>
            </w:r>
            <w:proofErr w:type="spellStart"/>
            <w:r w:rsidRPr="00373B46">
              <w:rPr>
                <w:rFonts w:cs="David"/>
                <w:sz w:val="26"/>
                <w:szCs w:val="26"/>
                <w:rtl/>
              </w:rPr>
              <w:t>סירקיס</w:t>
            </w:r>
            <w:proofErr w:type="spellEnd"/>
          </w:p>
        </w:tc>
      </w:tr>
    </w:tbl>
    <w:p w:rsidR="002479F4" w:rsidRPr="00373B46" w:rsidRDefault="002479F4" w:rsidP="002479F4">
      <w:pPr>
        <w:suppressLineNumbers/>
        <w:rPr>
          <w:rFonts w:ascii="Times New Roman" w:hAnsi="Times New Roman" w:cs="David"/>
          <w:noProof/>
          <w:sz w:val="24"/>
          <w:szCs w:val="24"/>
        </w:rPr>
      </w:pPr>
    </w:p>
    <w:p w:rsidR="002479F4" w:rsidRPr="00373B46" w:rsidRDefault="002479F4" w:rsidP="002479F4">
      <w:pPr>
        <w:suppressLineNumbers/>
        <w:rPr>
          <w:rFonts w:cs="David"/>
          <w:rtl/>
        </w:rPr>
      </w:pPr>
    </w:p>
    <w:tbl>
      <w:tblPr>
        <w:tblStyle w:val="a4"/>
        <w:bidiVisual/>
        <w:tblW w:w="88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820"/>
      </w:tblGrid>
      <w:tr w:rsidR="007A04DC" w:rsidTr="002479F4">
        <w:trPr>
          <w:jc w:val="center"/>
        </w:trPr>
        <w:tc>
          <w:tcPr>
            <w:tcW w:w="8820" w:type="dxa"/>
            <w:hideMark/>
          </w:tcPr>
          <w:p w:rsidR="002479F4" w:rsidRPr="00373B46" w:rsidRDefault="004E14DF" w:rsidP="00373B46">
            <w:pPr>
              <w:jc w:val="center"/>
              <w:rPr>
                <w:rFonts w:ascii="Arial" w:hAnsi="Arial" w:cs="David"/>
                <w:b/>
                <w:bCs/>
                <w:sz w:val="32"/>
                <w:szCs w:val="32"/>
                <w:u w:val="single"/>
              </w:rPr>
            </w:pPr>
            <w:r w:rsidRPr="00373B46">
              <w:rPr>
                <w:rFonts w:ascii="Arial" w:hAnsi="Arial" w:cs="David"/>
                <w:b/>
                <w:bCs/>
                <w:sz w:val="36"/>
                <w:szCs w:val="36"/>
                <w:u w:val="single"/>
                <w:rtl/>
              </w:rPr>
              <w:t xml:space="preserve">פסק </w:t>
            </w:r>
            <w:r w:rsidR="000365CA">
              <w:rPr>
                <w:rFonts w:ascii="Arial" w:hAnsi="Arial" w:cs="David"/>
                <w:b/>
                <w:bCs/>
                <w:sz w:val="36"/>
                <w:szCs w:val="36"/>
                <w:u w:val="single"/>
                <w:rtl/>
              </w:rPr>
              <w:t>–</w:t>
            </w:r>
            <w:r w:rsidRPr="00373B46">
              <w:rPr>
                <w:rFonts w:ascii="Arial" w:hAnsi="Arial" w:cs="David"/>
                <w:b/>
                <w:bCs/>
                <w:sz w:val="36"/>
                <w:szCs w:val="36"/>
                <w:u w:val="single"/>
                <w:rtl/>
              </w:rPr>
              <w:t xml:space="preserve"> דין</w:t>
            </w:r>
            <w:r w:rsidR="000365CA">
              <w:rPr>
                <w:rFonts w:ascii="Arial" w:hAnsi="Arial" w:cs="David" w:hint="cs"/>
                <w:b/>
                <w:bCs/>
                <w:sz w:val="32"/>
                <w:szCs w:val="32"/>
                <w:u w:val="single"/>
                <w:rtl/>
              </w:rPr>
              <w:t xml:space="preserve"> </w:t>
            </w:r>
            <w:r w:rsidR="000365CA">
              <w:rPr>
                <w:rFonts w:ascii="Arial" w:hAnsi="Arial" w:cs="David" w:hint="cs"/>
                <w:b/>
                <w:bCs/>
                <w:sz w:val="32"/>
                <w:szCs w:val="32"/>
                <w:rtl/>
              </w:rPr>
              <w:t xml:space="preserve">  </w:t>
            </w:r>
            <w:r w:rsidR="000365CA" w:rsidRPr="000365CA">
              <w:rPr>
                <w:rFonts w:ascii="Arial" w:hAnsi="Arial" w:cs="David" w:hint="cs"/>
                <w:b/>
                <w:bCs/>
                <w:sz w:val="32"/>
                <w:szCs w:val="32"/>
                <w:rtl/>
              </w:rPr>
              <w:t>(תמצית)</w:t>
            </w:r>
          </w:p>
        </w:tc>
      </w:tr>
    </w:tbl>
    <w:p w:rsidR="002479F4" w:rsidRPr="00373B46" w:rsidRDefault="002479F4" w:rsidP="002479F4">
      <w:pPr>
        <w:spacing w:line="360" w:lineRule="auto"/>
        <w:jc w:val="both"/>
        <w:rPr>
          <w:rFonts w:ascii="Arial" w:hAnsi="Arial" w:cs="David"/>
          <w:sz w:val="24"/>
          <w:szCs w:val="24"/>
        </w:rPr>
      </w:pPr>
    </w:p>
    <w:p w:rsidR="002479F4" w:rsidRPr="00373B46" w:rsidRDefault="004E14DF" w:rsidP="002479F4">
      <w:pPr>
        <w:overflowPunct w:val="0"/>
        <w:autoSpaceDE w:val="0"/>
        <w:autoSpaceDN w:val="0"/>
        <w:adjustRightInd w:val="0"/>
        <w:spacing w:after="0" w:line="360" w:lineRule="auto"/>
        <w:jc w:val="both"/>
        <w:textAlignment w:val="baseline"/>
        <w:rPr>
          <w:rFonts w:ascii="David" w:eastAsia="Times New Roman" w:hAnsi="David" w:cs="David"/>
          <w:b/>
          <w:bCs/>
          <w:spacing w:val="10"/>
          <w:sz w:val="28"/>
          <w:szCs w:val="28"/>
          <w:u w:val="single"/>
          <w:rtl/>
        </w:rPr>
      </w:pPr>
      <w:r w:rsidRPr="00373B46">
        <w:rPr>
          <w:rFonts w:ascii="David" w:eastAsia="Times New Roman" w:hAnsi="David" w:cs="David" w:hint="cs"/>
          <w:b/>
          <w:bCs/>
          <w:spacing w:val="10"/>
          <w:sz w:val="28"/>
          <w:szCs w:val="28"/>
          <w:u w:val="single"/>
          <w:rtl/>
        </w:rPr>
        <w:t>השופטת מרים דיסקין - אב"ד:</w:t>
      </w:r>
    </w:p>
    <w:p w:rsidR="002479F4" w:rsidRPr="00373B46" w:rsidRDefault="002479F4" w:rsidP="00613546">
      <w:pPr>
        <w:overflowPunct w:val="0"/>
        <w:autoSpaceDE w:val="0"/>
        <w:autoSpaceDN w:val="0"/>
        <w:adjustRightInd w:val="0"/>
        <w:spacing w:after="0" w:line="360" w:lineRule="auto"/>
        <w:jc w:val="both"/>
        <w:textAlignment w:val="baseline"/>
        <w:rPr>
          <w:rFonts w:ascii="David" w:eastAsia="Times New Roman" w:hAnsi="David" w:cs="David"/>
          <w:spacing w:val="10"/>
          <w:sz w:val="24"/>
          <w:szCs w:val="24"/>
          <w:rtl/>
        </w:rPr>
      </w:pPr>
    </w:p>
    <w:p w:rsidR="00613546" w:rsidRPr="00373B46" w:rsidRDefault="004E14DF" w:rsidP="00613546">
      <w:pPr>
        <w:overflowPunct w:val="0"/>
        <w:autoSpaceDE w:val="0"/>
        <w:autoSpaceDN w:val="0"/>
        <w:adjustRightInd w:val="0"/>
        <w:spacing w:after="0" w:line="360" w:lineRule="auto"/>
        <w:jc w:val="both"/>
        <w:textAlignment w:val="baseline"/>
        <w:rPr>
          <w:rFonts w:ascii="David" w:eastAsia="Times New Roman" w:hAnsi="David" w:cs="David"/>
          <w:spacing w:val="10"/>
          <w:sz w:val="24"/>
          <w:szCs w:val="24"/>
          <w:rtl/>
        </w:rPr>
      </w:pPr>
      <w:r w:rsidRPr="00373B46">
        <w:rPr>
          <w:rFonts w:ascii="David" w:eastAsia="Times New Roman" w:hAnsi="David" w:cs="David" w:hint="cs"/>
          <w:spacing w:val="10"/>
          <w:sz w:val="24"/>
          <w:szCs w:val="24"/>
          <w:rtl/>
        </w:rPr>
        <w:t xml:space="preserve">לפנינו שני ערעורים על הכרעת דינו של בית משפט השלום בת"א (כב' השופט בני שגיא), (להלן: </w:t>
      </w:r>
      <w:r w:rsidRPr="00AE696A">
        <w:rPr>
          <w:rFonts w:ascii="David" w:eastAsia="Times New Roman" w:hAnsi="David" w:cs="David" w:hint="cs"/>
          <w:spacing w:val="10"/>
          <w:sz w:val="24"/>
          <w:szCs w:val="24"/>
          <w:rtl/>
        </w:rPr>
        <w:t>"</w:t>
      </w:r>
      <w:r w:rsidRPr="00373B46">
        <w:rPr>
          <w:rFonts w:ascii="David" w:eastAsia="Times New Roman" w:hAnsi="David" w:cs="David" w:hint="cs"/>
          <w:b/>
          <w:bCs/>
          <w:spacing w:val="10"/>
          <w:sz w:val="24"/>
          <w:szCs w:val="24"/>
          <w:rtl/>
        </w:rPr>
        <w:t>בית המשפט</w:t>
      </w:r>
      <w:r w:rsidRPr="00AE696A">
        <w:rPr>
          <w:rFonts w:ascii="David" w:eastAsia="Times New Roman" w:hAnsi="David" w:cs="David" w:hint="cs"/>
          <w:spacing w:val="10"/>
          <w:sz w:val="24"/>
          <w:szCs w:val="24"/>
          <w:rtl/>
        </w:rPr>
        <w:t>"</w:t>
      </w:r>
      <w:r w:rsidRPr="00373B46">
        <w:rPr>
          <w:rFonts w:ascii="David" w:eastAsia="Times New Roman" w:hAnsi="David" w:cs="David" w:hint="cs"/>
          <w:spacing w:val="10"/>
          <w:sz w:val="24"/>
          <w:szCs w:val="24"/>
          <w:rtl/>
        </w:rPr>
        <w:t xml:space="preserve">), אשר זיכה את המשיב/המערער (להלן: </w:t>
      </w:r>
      <w:r w:rsidRPr="00AE696A">
        <w:rPr>
          <w:rFonts w:ascii="David" w:eastAsia="Times New Roman" w:hAnsi="David" w:cs="David" w:hint="cs"/>
          <w:spacing w:val="10"/>
          <w:sz w:val="24"/>
          <w:szCs w:val="24"/>
          <w:rtl/>
        </w:rPr>
        <w:t>"</w:t>
      </w:r>
      <w:r w:rsidRPr="00373B46">
        <w:rPr>
          <w:rFonts w:ascii="David" w:eastAsia="Times New Roman" w:hAnsi="David" w:cs="David" w:hint="cs"/>
          <w:b/>
          <w:bCs/>
          <w:spacing w:val="10"/>
          <w:sz w:val="24"/>
          <w:szCs w:val="24"/>
          <w:rtl/>
        </w:rPr>
        <w:t>שחם</w:t>
      </w:r>
      <w:r w:rsidRPr="00AE696A">
        <w:rPr>
          <w:rFonts w:ascii="David" w:eastAsia="Times New Roman" w:hAnsi="David" w:cs="David" w:hint="cs"/>
          <w:spacing w:val="10"/>
          <w:sz w:val="24"/>
          <w:szCs w:val="24"/>
          <w:rtl/>
        </w:rPr>
        <w:t>"</w:t>
      </w:r>
      <w:r w:rsidRPr="00373B46">
        <w:rPr>
          <w:rFonts w:ascii="David" w:eastAsia="Times New Roman" w:hAnsi="David" w:cs="David" w:hint="cs"/>
          <w:spacing w:val="10"/>
          <w:sz w:val="24"/>
          <w:szCs w:val="24"/>
          <w:rtl/>
        </w:rPr>
        <w:t xml:space="preserve">) מכל העבירות שיוחסו לו בכתב האישום, למעט עבירה אחת, של מעשה מגונה, לפי סעיף 348(ג) לחוק העונשין התשל"ז-1977 (להלן: </w:t>
      </w:r>
      <w:r w:rsidRPr="00AE696A">
        <w:rPr>
          <w:rFonts w:ascii="David" w:eastAsia="Times New Roman" w:hAnsi="David" w:cs="David" w:hint="cs"/>
          <w:spacing w:val="10"/>
          <w:sz w:val="24"/>
          <w:szCs w:val="24"/>
          <w:rtl/>
        </w:rPr>
        <w:t>"</w:t>
      </w:r>
      <w:r w:rsidRPr="00373B46">
        <w:rPr>
          <w:rFonts w:ascii="David" w:eastAsia="Times New Roman" w:hAnsi="David" w:cs="David" w:hint="cs"/>
          <w:b/>
          <w:bCs/>
          <w:spacing w:val="10"/>
          <w:sz w:val="24"/>
          <w:szCs w:val="24"/>
          <w:rtl/>
        </w:rPr>
        <w:t>החוק</w:t>
      </w:r>
      <w:r w:rsidRPr="00AE696A">
        <w:rPr>
          <w:rFonts w:ascii="David" w:eastAsia="Times New Roman" w:hAnsi="David" w:cs="David" w:hint="cs"/>
          <w:spacing w:val="10"/>
          <w:sz w:val="24"/>
          <w:szCs w:val="24"/>
          <w:rtl/>
        </w:rPr>
        <w:t>"</w:t>
      </w:r>
      <w:r w:rsidRPr="00373B46">
        <w:rPr>
          <w:rFonts w:ascii="David" w:eastAsia="Times New Roman" w:hAnsi="David" w:cs="David" w:hint="cs"/>
          <w:spacing w:val="10"/>
          <w:sz w:val="24"/>
          <w:szCs w:val="24"/>
          <w:rtl/>
        </w:rPr>
        <w:t>), בה הורשע. האחד, (ע"פ 2326-01-19), הוא ערעור המדינה על הזיכוי, והשני, (ע"פ 61564-01-19), הוא ערעורו של שחם על הרשעתו.</w:t>
      </w:r>
    </w:p>
    <w:p w:rsidR="00613546" w:rsidRPr="00373B46" w:rsidRDefault="00613546" w:rsidP="00613546">
      <w:pPr>
        <w:overflowPunct w:val="0"/>
        <w:autoSpaceDE w:val="0"/>
        <w:autoSpaceDN w:val="0"/>
        <w:adjustRightInd w:val="0"/>
        <w:spacing w:after="0" w:line="360" w:lineRule="auto"/>
        <w:jc w:val="both"/>
        <w:textAlignment w:val="baseline"/>
        <w:rPr>
          <w:rFonts w:ascii="David" w:eastAsia="Times New Roman" w:hAnsi="David" w:cs="David"/>
          <w:spacing w:val="10"/>
          <w:sz w:val="24"/>
          <w:szCs w:val="24"/>
          <w:rtl/>
        </w:rPr>
      </w:pPr>
    </w:p>
    <w:p w:rsidR="002479F4" w:rsidRDefault="004E14DF" w:rsidP="000365CA">
      <w:pPr>
        <w:overflowPunct w:val="0"/>
        <w:autoSpaceDE w:val="0"/>
        <w:autoSpaceDN w:val="0"/>
        <w:adjustRightInd w:val="0"/>
        <w:spacing w:after="0" w:line="360" w:lineRule="auto"/>
        <w:jc w:val="both"/>
        <w:textAlignment w:val="baseline"/>
        <w:rPr>
          <w:rFonts w:ascii="David" w:eastAsia="Times New Roman" w:hAnsi="David" w:cs="David"/>
          <w:b/>
          <w:bCs/>
          <w:spacing w:val="10"/>
          <w:sz w:val="24"/>
          <w:szCs w:val="24"/>
          <w:u w:val="single"/>
          <w:rtl/>
        </w:rPr>
      </w:pPr>
      <w:r w:rsidRPr="00373B46">
        <w:rPr>
          <w:rFonts w:ascii="David" w:eastAsia="Times New Roman" w:hAnsi="David" w:cs="David" w:hint="cs"/>
          <w:b/>
          <w:bCs/>
          <w:spacing w:val="10"/>
          <w:sz w:val="24"/>
          <w:szCs w:val="24"/>
          <w:u w:val="single"/>
          <w:rtl/>
        </w:rPr>
        <w:t xml:space="preserve">רקע עובדתי </w:t>
      </w:r>
    </w:p>
    <w:p w:rsidR="0028754E" w:rsidRPr="00373B46" w:rsidRDefault="00FA59FB" w:rsidP="002479F4">
      <w:pPr>
        <w:overflowPunct w:val="0"/>
        <w:autoSpaceDE w:val="0"/>
        <w:autoSpaceDN w:val="0"/>
        <w:adjustRightInd w:val="0"/>
        <w:spacing w:after="0" w:line="360" w:lineRule="auto"/>
        <w:jc w:val="both"/>
        <w:textAlignment w:val="baseline"/>
        <w:rPr>
          <w:rFonts w:ascii="David" w:eastAsia="Times New Roman" w:hAnsi="David" w:cs="David"/>
          <w:b/>
          <w:bCs/>
          <w:spacing w:val="10"/>
          <w:sz w:val="24"/>
          <w:szCs w:val="24"/>
          <w:u w:val="single"/>
          <w:rtl/>
        </w:rPr>
      </w:pPr>
      <w:r>
        <w:rPr>
          <w:rFonts w:ascii="David" w:eastAsia="Times New Roman" w:hAnsi="David" w:cs="David" w:hint="cs"/>
          <w:b/>
          <w:bCs/>
          <w:spacing w:val="10"/>
          <w:sz w:val="24"/>
          <w:szCs w:val="24"/>
          <w:u w:val="single"/>
          <w:rtl/>
        </w:rPr>
        <w:t>עיקרי כתב האישום</w:t>
      </w:r>
    </w:p>
    <w:p w:rsidR="002479F4" w:rsidRPr="00373B46" w:rsidRDefault="002479F4" w:rsidP="002479F4">
      <w:pPr>
        <w:overflowPunct w:val="0"/>
        <w:autoSpaceDE w:val="0"/>
        <w:autoSpaceDN w:val="0"/>
        <w:adjustRightInd w:val="0"/>
        <w:spacing w:after="0" w:line="360" w:lineRule="auto"/>
        <w:jc w:val="both"/>
        <w:textAlignment w:val="baseline"/>
        <w:rPr>
          <w:rFonts w:ascii="David" w:eastAsia="Times New Roman" w:hAnsi="David" w:cs="David"/>
          <w:b/>
          <w:bCs/>
          <w:spacing w:val="10"/>
          <w:sz w:val="24"/>
          <w:szCs w:val="24"/>
          <w:u w:val="single"/>
          <w:rtl/>
        </w:rPr>
      </w:pPr>
    </w:p>
    <w:p w:rsidR="0028754E" w:rsidRPr="00373B46" w:rsidRDefault="004E14DF" w:rsidP="003B2B22">
      <w:pPr>
        <w:overflowPunct w:val="0"/>
        <w:autoSpaceDE w:val="0"/>
        <w:autoSpaceDN w:val="0"/>
        <w:adjustRightInd w:val="0"/>
        <w:spacing w:line="360" w:lineRule="auto"/>
        <w:jc w:val="both"/>
        <w:textAlignment w:val="baseline"/>
        <w:rPr>
          <w:rFonts w:ascii="David" w:eastAsia="Times New Roman" w:hAnsi="David" w:cs="David"/>
          <w:spacing w:val="10"/>
          <w:sz w:val="24"/>
          <w:szCs w:val="24"/>
          <w:rtl/>
        </w:rPr>
      </w:pPr>
      <w:r w:rsidRPr="00373B46">
        <w:rPr>
          <w:rFonts w:ascii="David" w:eastAsia="Times New Roman" w:hAnsi="David" w:cs="David"/>
          <w:spacing w:val="10"/>
          <w:sz w:val="24"/>
          <w:szCs w:val="24"/>
          <w:rtl/>
        </w:rPr>
        <w:t xml:space="preserve">שחם, קצין שנמנה על סגל הפיקוד הבכיר של משטרת ישראל ובתפקידו האחרון כיהן בדרגת ניצב, הואשם בעבירה של מרמה והפרת אמונים, לפי סעיף 284 לחוק, בגין התנהלותו ומכלול מעשיו במסגרת שמונה פרשות שונות המפורטות בכתב האישום, במהלך למעלה מחמש שנים בהן שימש, בין היתר, כסגן מפקד מחוז ירושלים וכמפקד מחוז ירושלים, בעיקר בין השנים </w:t>
      </w:r>
      <w:r w:rsidR="003B2B22">
        <w:rPr>
          <w:rFonts w:ascii="David" w:eastAsia="Times New Roman" w:hAnsi="David" w:cs="David" w:hint="cs"/>
          <w:spacing w:val="10"/>
          <w:sz w:val="24"/>
          <w:szCs w:val="24"/>
          <w:rtl/>
        </w:rPr>
        <w:t xml:space="preserve">2007 </w:t>
      </w:r>
      <w:r w:rsidR="003B2B22">
        <w:rPr>
          <w:rFonts w:ascii="David" w:eastAsia="Times New Roman" w:hAnsi="David" w:cs="David"/>
          <w:spacing w:val="10"/>
          <w:sz w:val="24"/>
          <w:szCs w:val="24"/>
          <w:rtl/>
        </w:rPr>
        <w:t>–</w:t>
      </w:r>
      <w:r w:rsidR="003B2B22">
        <w:rPr>
          <w:rFonts w:ascii="David" w:eastAsia="Times New Roman" w:hAnsi="David" w:cs="David" w:hint="cs"/>
          <w:spacing w:val="10"/>
          <w:sz w:val="24"/>
          <w:szCs w:val="24"/>
          <w:rtl/>
        </w:rPr>
        <w:t xml:space="preserve"> 2012 </w:t>
      </w:r>
      <w:r w:rsidRPr="00373B46">
        <w:rPr>
          <w:rFonts w:ascii="David" w:eastAsia="Times New Roman" w:hAnsi="David" w:cs="David"/>
          <w:spacing w:val="10"/>
          <w:sz w:val="24"/>
          <w:szCs w:val="24"/>
          <w:rtl/>
        </w:rPr>
        <w:t>במגוון תפקידים בעלי השפעה רבה בתוך המשטרה (להלן: "</w:t>
      </w:r>
      <w:r w:rsidRPr="00373B46">
        <w:rPr>
          <w:rFonts w:ascii="David" w:eastAsia="Times New Roman" w:hAnsi="David" w:cs="David"/>
          <w:b/>
          <w:bCs/>
          <w:spacing w:val="10"/>
          <w:sz w:val="24"/>
          <w:szCs w:val="24"/>
          <w:rtl/>
        </w:rPr>
        <w:t>התקופה הרלבנטית</w:t>
      </w:r>
      <w:r w:rsidRPr="00AE696A">
        <w:rPr>
          <w:rFonts w:ascii="David" w:eastAsia="Times New Roman" w:hAnsi="David" w:cs="David"/>
          <w:spacing w:val="10"/>
          <w:sz w:val="24"/>
          <w:szCs w:val="24"/>
          <w:rtl/>
        </w:rPr>
        <w:t>").</w:t>
      </w:r>
    </w:p>
    <w:p w:rsidR="0028754E" w:rsidRPr="00373B46" w:rsidRDefault="004E14DF" w:rsidP="009A5F29">
      <w:pPr>
        <w:overflowPunct w:val="0"/>
        <w:autoSpaceDE w:val="0"/>
        <w:autoSpaceDN w:val="0"/>
        <w:adjustRightInd w:val="0"/>
        <w:spacing w:line="360" w:lineRule="auto"/>
        <w:jc w:val="both"/>
        <w:textAlignment w:val="baseline"/>
        <w:rPr>
          <w:rFonts w:ascii="David" w:eastAsia="Times New Roman" w:hAnsi="David" w:cs="David"/>
          <w:spacing w:val="10"/>
          <w:sz w:val="24"/>
          <w:szCs w:val="24"/>
          <w:rtl/>
        </w:rPr>
      </w:pPr>
      <w:r w:rsidRPr="00373B46">
        <w:rPr>
          <w:rFonts w:ascii="David" w:eastAsia="Times New Roman" w:hAnsi="David" w:cs="David"/>
          <w:spacing w:val="10"/>
          <w:sz w:val="24"/>
          <w:szCs w:val="24"/>
          <w:rtl/>
        </w:rPr>
        <w:lastRenderedPageBreak/>
        <w:t xml:space="preserve">בכתב האישום נטען, כי בתקופה הרלבנטית, יצר שחם וניהל שלא כדין קשרים אינטימיים </w:t>
      </w:r>
      <w:r w:rsidR="00481C74">
        <w:rPr>
          <w:rFonts w:ascii="David" w:eastAsia="Times New Roman" w:hAnsi="David" w:cs="David"/>
          <w:spacing w:val="10"/>
          <w:sz w:val="24"/>
          <w:szCs w:val="24"/>
          <w:rtl/>
        </w:rPr>
        <w:t>בעלי אופי מיני עם שוטרות זוטרות</w:t>
      </w:r>
      <w:r w:rsidRPr="00373B46">
        <w:rPr>
          <w:rFonts w:ascii="David" w:eastAsia="Times New Roman" w:hAnsi="David" w:cs="David"/>
          <w:spacing w:val="10"/>
          <w:sz w:val="24"/>
          <w:szCs w:val="24"/>
          <w:rtl/>
        </w:rPr>
        <w:t xml:space="preserve"> שהיו כפופות אליו – במישרין או בעקיפין – (להלן: "</w:t>
      </w:r>
      <w:r w:rsidRPr="007A6B68">
        <w:rPr>
          <w:rFonts w:ascii="David" w:eastAsia="Times New Roman" w:hAnsi="David" w:cs="David"/>
          <w:b/>
          <w:bCs/>
          <w:spacing w:val="10"/>
          <w:sz w:val="24"/>
          <w:szCs w:val="24"/>
          <w:rtl/>
        </w:rPr>
        <w:t>השוטרות</w:t>
      </w:r>
      <w:r w:rsidRPr="00373B46">
        <w:rPr>
          <w:rFonts w:ascii="David" w:eastAsia="Times New Roman" w:hAnsi="David" w:cs="David"/>
          <w:spacing w:val="10"/>
          <w:sz w:val="24"/>
          <w:szCs w:val="24"/>
          <w:rtl/>
        </w:rPr>
        <w:t>"), תוך שמירת קיומם בסוד, בניגוד לדין ולכללים החלים עליו כעובד</w:t>
      </w:r>
      <w:r w:rsidR="00FA59FB">
        <w:rPr>
          <w:rFonts w:ascii="David" w:eastAsia="Times New Roman" w:hAnsi="David" w:cs="David"/>
          <w:spacing w:val="10"/>
          <w:sz w:val="24"/>
          <w:szCs w:val="24"/>
          <w:rtl/>
        </w:rPr>
        <w:t xml:space="preserve"> ציבור וכקצין משטרה בכיר (להלן:</w:t>
      </w:r>
      <w:r w:rsidR="00FA59FB">
        <w:rPr>
          <w:rFonts w:ascii="David" w:eastAsia="Times New Roman" w:hAnsi="David" w:cs="David" w:hint="cs"/>
          <w:spacing w:val="10"/>
          <w:sz w:val="24"/>
          <w:szCs w:val="24"/>
          <w:rtl/>
        </w:rPr>
        <w:t xml:space="preserve"> </w:t>
      </w:r>
      <w:r w:rsidRPr="00373B46">
        <w:rPr>
          <w:rFonts w:ascii="David" w:eastAsia="Times New Roman" w:hAnsi="David" w:cs="David"/>
          <w:spacing w:val="10"/>
          <w:sz w:val="24"/>
          <w:szCs w:val="24"/>
          <w:rtl/>
        </w:rPr>
        <w:t>"</w:t>
      </w:r>
      <w:r w:rsidRPr="007A6B68">
        <w:rPr>
          <w:rFonts w:ascii="David" w:eastAsia="Times New Roman" w:hAnsi="David" w:cs="David"/>
          <w:b/>
          <w:bCs/>
          <w:spacing w:val="10"/>
          <w:sz w:val="24"/>
          <w:szCs w:val="24"/>
          <w:rtl/>
        </w:rPr>
        <w:t>הקשרים החריגים</w:t>
      </w:r>
      <w:r w:rsidR="00481C74">
        <w:rPr>
          <w:rFonts w:ascii="David" w:eastAsia="Times New Roman" w:hAnsi="David" w:cs="David"/>
          <w:spacing w:val="10"/>
          <w:sz w:val="24"/>
          <w:szCs w:val="24"/>
          <w:rtl/>
        </w:rPr>
        <w:t>").</w:t>
      </w:r>
      <w:r w:rsidR="00481C74">
        <w:rPr>
          <w:rFonts w:ascii="David" w:eastAsia="Times New Roman" w:hAnsi="David" w:cs="David" w:hint="cs"/>
          <w:spacing w:val="10"/>
          <w:sz w:val="24"/>
          <w:szCs w:val="24"/>
          <w:rtl/>
        </w:rPr>
        <w:t xml:space="preserve"> </w:t>
      </w:r>
      <w:r w:rsidR="00481C74">
        <w:rPr>
          <w:rFonts w:ascii="David" w:eastAsia="Times New Roman" w:hAnsi="David" w:cs="David"/>
          <w:spacing w:val="10"/>
          <w:sz w:val="24"/>
          <w:szCs w:val="24"/>
          <w:rtl/>
        </w:rPr>
        <w:t>הקשרים החריגים,</w:t>
      </w:r>
      <w:r w:rsidR="00481C74">
        <w:rPr>
          <w:rFonts w:ascii="David" w:eastAsia="Times New Roman" w:hAnsi="David" w:cs="David" w:hint="cs"/>
          <w:spacing w:val="10"/>
          <w:sz w:val="24"/>
          <w:szCs w:val="24"/>
          <w:rtl/>
        </w:rPr>
        <w:t xml:space="preserve"> </w:t>
      </w:r>
      <w:r w:rsidRPr="00373B46">
        <w:rPr>
          <w:rFonts w:ascii="David" w:eastAsia="Times New Roman" w:hAnsi="David" w:cs="David"/>
          <w:spacing w:val="10"/>
          <w:sz w:val="24"/>
          <w:szCs w:val="24"/>
          <w:rtl/>
        </w:rPr>
        <w:t>שכללו התקשרויות טלפוניות אינטנסיביות, מפגשים מיניים מזדמנים וקשר אינטימי ממושך, התקיימו הן במהלך שגרת העבודה של שחם והשוטרות והן מחוצה לה. עוד נטען, כי את חלק מהשוטרות הכיר שחם לאחר שמתוקף תפקידו וסמכויותיו הגיעו להכרעתו, כדבר שבשגרה, בקשות שונות שלהן, ושעבורן היו בעלות משמעות רבה (להלן: "</w:t>
      </w:r>
      <w:r w:rsidRPr="0008665D">
        <w:rPr>
          <w:rFonts w:ascii="David" w:eastAsia="Times New Roman" w:hAnsi="David" w:cs="David"/>
          <w:b/>
          <w:bCs/>
          <w:spacing w:val="10"/>
          <w:sz w:val="24"/>
          <w:szCs w:val="24"/>
          <w:rtl/>
        </w:rPr>
        <w:t>הבקשות</w:t>
      </w:r>
      <w:r w:rsidRPr="0008665D">
        <w:rPr>
          <w:rFonts w:ascii="David" w:eastAsia="Times New Roman" w:hAnsi="David" w:cs="David"/>
          <w:spacing w:val="10"/>
          <w:sz w:val="24"/>
          <w:szCs w:val="24"/>
          <w:rtl/>
        </w:rPr>
        <w:t>"</w:t>
      </w:r>
      <w:r w:rsidRPr="00373B46">
        <w:rPr>
          <w:rFonts w:ascii="David" w:eastAsia="Times New Roman" w:hAnsi="David" w:cs="David"/>
          <w:spacing w:val="10"/>
          <w:sz w:val="24"/>
          <w:szCs w:val="24"/>
          <w:rtl/>
        </w:rPr>
        <w:t xml:space="preserve">), וכן יצר את הקשרים החריגים עמן, תוך שהוא עושה מעת לעת שימוש בסמכויותיו כדי לקדם את עניינו האישי בהן, לרבות יצירת התנאים שאפשרו קשר אינטימי עמן. עוד נטען, כי שחם עשה כל זאת למרות שידע כבר בעת יצירת הקשר, שהוא צפוי מתוקף תפקידו לקבל החלטות בעניינן של השוטרות, דבר שעלול לקלוע אותו, בבוא העת, למצב אינהרנטי של ניגוד עניינים. חרף הקשרים החריגים, שחם טיפל, מעת לעת, בעניינן ובבקשותיהן של השוטרות למרות שהיה נתון במצב של ניגוד עניינים חריף בין האינטרס הממלכתי והמקצועי עליו היה מופקד ובין זיקתו האישית לשוטרות ומאווייו האישיים, כל זאת בעוצמה שיש בה כדי לפגוע מהותית באמון הציבור, בטוהר המידות ובתקינות פעולות המשטרה. </w:t>
      </w:r>
    </w:p>
    <w:p w:rsidR="0028754E" w:rsidRPr="00373B46" w:rsidRDefault="004E14DF" w:rsidP="0028754E">
      <w:pPr>
        <w:overflowPunct w:val="0"/>
        <w:autoSpaceDE w:val="0"/>
        <w:autoSpaceDN w:val="0"/>
        <w:adjustRightInd w:val="0"/>
        <w:spacing w:line="360" w:lineRule="auto"/>
        <w:jc w:val="both"/>
        <w:textAlignment w:val="baseline"/>
        <w:rPr>
          <w:rFonts w:ascii="David" w:eastAsia="Times New Roman" w:hAnsi="David" w:cs="David"/>
          <w:spacing w:val="10"/>
          <w:sz w:val="24"/>
          <w:szCs w:val="24"/>
          <w:rtl/>
        </w:rPr>
      </w:pPr>
      <w:r w:rsidRPr="00373B46">
        <w:rPr>
          <w:rFonts w:ascii="David" w:eastAsia="Times New Roman" w:hAnsi="David" w:cs="David"/>
          <w:spacing w:val="10"/>
          <w:sz w:val="24"/>
          <w:szCs w:val="24"/>
          <w:rtl/>
        </w:rPr>
        <w:t>בנוסף לכך, בגין שלוש הפרשות האחרונות מתוך השמונה המפורטות להלן, הואשם שחם בשתי עבירות של מעשה מגונה בשתי שוטרות זוטרות – האחת, שלא בהסכמה (לפי סעיף 348(ג) לחוק), והשנייה, בהסכמה תוך ניצול יחסי מרות (לפי סעיף 348(ה) לחוק), וכן, בעבירה של הטרדה מינית של שוטרת נוספת תוך ניצול יחסי מרות.</w:t>
      </w:r>
    </w:p>
    <w:p w:rsidR="0028754E" w:rsidRPr="00373B46" w:rsidRDefault="004E14DF" w:rsidP="000365CA">
      <w:pPr>
        <w:overflowPunct w:val="0"/>
        <w:autoSpaceDE w:val="0"/>
        <w:autoSpaceDN w:val="0"/>
        <w:adjustRightInd w:val="0"/>
        <w:spacing w:line="360" w:lineRule="auto"/>
        <w:jc w:val="both"/>
        <w:textAlignment w:val="baseline"/>
        <w:rPr>
          <w:rFonts w:ascii="David" w:eastAsia="Times New Roman" w:hAnsi="David" w:cs="David"/>
          <w:spacing w:val="10"/>
          <w:sz w:val="24"/>
          <w:szCs w:val="24"/>
        </w:rPr>
      </w:pPr>
      <w:r w:rsidRPr="00373B46">
        <w:rPr>
          <w:rFonts w:ascii="David" w:eastAsia="Times New Roman" w:hAnsi="David" w:cs="David"/>
          <w:spacing w:val="10"/>
          <w:sz w:val="24"/>
          <w:szCs w:val="24"/>
          <w:rtl/>
        </w:rPr>
        <w:t>לגופן של העבירות, כתב האישום מפרט בהרחב</w:t>
      </w:r>
      <w:r w:rsidR="000365CA">
        <w:rPr>
          <w:rFonts w:ascii="David" w:eastAsia="Times New Roman" w:hAnsi="David" w:cs="David"/>
          <w:spacing w:val="10"/>
          <w:sz w:val="24"/>
          <w:szCs w:val="24"/>
          <w:rtl/>
        </w:rPr>
        <w:t>ה את העובדות והשתלשלות העניינים</w:t>
      </w:r>
      <w:r w:rsidR="000365CA">
        <w:rPr>
          <w:rFonts w:ascii="David" w:eastAsia="Times New Roman" w:hAnsi="David" w:cs="David" w:hint="cs"/>
          <w:spacing w:val="10"/>
          <w:sz w:val="24"/>
          <w:szCs w:val="24"/>
          <w:rtl/>
        </w:rPr>
        <w:t xml:space="preserve"> </w:t>
      </w:r>
      <w:r w:rsidRPr="00373B46">
        <w:rPr>
          <w:rFonts w:ascii="David" w:eastAsia="Times New Roman" w:hAnsi="David" w:cs="David"/>
          <w:spacing w:val="10"/>
          <w:sz w:val="24"/>
          <w:szCs w:val="24"/>
          <w:rtl/>
        </w:rPr>
        <w:t>בשמונה הפרשות השונות בגינן מיוחסות לשחם שורת העבירות</w:t>
      </w:r>
      <w:r w:rsidR="000365CA">
        <w:rPr>
          <w:rFonts w:ascii="David" w:eastAsia="Times New Roman" w:hAnsi="David" w:cs="David" w:hint="cs"/>
          <w:spacing w:val="10"/>
          <w:sz w:val="24"/>
          <w:szCs w:val="24"/>
          <w:rtl/>
        </w:rPr>
        <w:t>. להלן יובאו ע</w:t>
      </w:r>
      <w:r w:rsidR="00FE7B08">
        <w:rPr>
          <w:rFonts w:ascii="David" w:eastAsia="Times New Roman" w:hAnsi="David" w:cs="David" w:hint="cs"/>
          <w:spacing w:val="10"/>
          <w:sz w:val="24"/>
          <w:szCs w:val="24"/>
          <w:rtl/>
        </w:rPr>
        <w:t>י</w:t>
      </w:r>
      <w:r w:rsidR="000365CA">
        <w:rPr>
          <w:rFonts w:ascii="David" w:eastAsia="Times New Roman" w:hAnsi="David" w:cs="David" w:hint="cs"/>
          <w:spacing w:val="10"/>
          <w:sz w:val="24"/>
          <w:szCs w:val="24"/>
          <w:rtl/>
        </w:rPr>
        <w:t>קריו.</w:t>
      </w:r>
    </w:p>
    <w:p w:rsidR="000365CA" w:rsidRPr="000365CA" w:rsidRDefault="004E14DF" w:rsidP="00FE7B08">
      <w:pPr>
        <w:overflowPunct w:val="0"/>
        <w:autoSpaceDE w:val="0"/>
        <w:autoSpaceDN w:val="0"/>
        <w:adjustRightInd w:val="0"/>
        <w:spacing w:after="0" w:line="360" w:lineRule="auto"/>
        <w:jc w:val="both"/>
        <w:textAlignment w:val="baseline"/>
        <w:rPr>
          <w:rFonts w:ascii="David" w:eastAsia="Times New Roman" w:hAnsi="David" w:cs="David"/>
          <w:spacing w:val="10"/>
          <w:sz w:val="24"/>
          <w:szCs w:val="24"/>
          <w:rtl/>
        </w:rPr>
      </w:pPr>
      <w:r w:rsidRPr="000365CA">
        <w:rPr>
          <w:rFonts w:ascii="David" w:eastAsia="Times New Roman" w:hAnsi="David" w:cs="David" w:hint="eastAsia"/>
          <w:spacing w:val="10"/>
          <w:sz w:val="24"/>
          <w:szCs w:val="24"/>
          <w:u w:val="single"/>
          <w:rtl/>
        </w:rPr>
        <w:t>הפרשה</w:t>
      </w:r>
      <w:r w:rsidRPr="000365CA">
        <w:rPr>
          <w:rFonts w:ascii="David" w:eastAsia="Times New Roman" w:hAnsi="David" w:cs="David"/>
          <w:spacing w:val="10"/>
          <w:sz w:val="24"/>
          <w:szCs w:val="24"/>
          <w:u w:val="single"/>
          <w:rtl/>
        </w:rPr>
        <w:t xml:space="preserve"> </w:t>
      </w:r>
      <w:r w:rsidRPr="000365CA">
        <w:rPr>
          <w:rFonts w:ascii="David" w:eastAsia="Times New Roman" w:hAnsi="David" w:cs="David" w:hint="eastAsia"/>
          <w:spacing w:val="10"/>
          <w:sz w:val="24"/>
          <w:szCs w:val="24"/>
          <w:u w:val="single"/>
          <w:rtl/>
        </w:rPr>
        <w:t>הראשונה</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עניינה</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בקשר</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המיני</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שקיים</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שחם</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עם</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א</w:t>
      </w:r>
      <w:r w:rsidRPr="000365CA">
        <w:rPr>
          <w:rFonts w:ascii="David" w:eastAsia="Times New Roman" w:hAnsi="David" w:cs="David"/>
          <w:spacing w:val="10"/>
          <w:sz w:val="24"/>
          <w:szCs w:val="24"/>
          <w:rtl/>
        </w:rPr>
        <w:t>.</w:t>
      </w:r>
      <w:r w:rsidRPr="000365CA">
        <w:rPr>
          <w:rFonts w:ascii="David" w:eastAsia="Times New Roman" w:hAnsi="David" w:cs="David" w:hint="eastAsia"/>
          <w:spacing w:val="10"/>
          <w:sz w:val="24"/>
          <w:szCs w:val="24"/>
          <w:rtl/>
        </w:rPr>
        <w:t>א</w:t>
      </w:r>
      <w:r w:rsidR="00FE7B08">
        <w:rPr>
          <w:rFonts w:ascii="David" w:eastAsia="Times New Roman" w:hAnsi="David" w:cs="David" w:hint="cs"/>
          <w:spacing w:val="10"/>
          <w:sz w:val="24"/>
          <w:szCs w:val="24"/>
          <w:rtl/>
        </w:rPr>
        <w:t>,</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שוטרת</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בשירות</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חובה</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כבת</w:t>
      </w:r>
      <w:r w:rsidRPr="000365CA">
        <w:rPr>
          <w:rFonts w:ascii="David" w:eastAsia="Times New Roman" w:hAnsi="David" w:cs="David"/>
          <w:spacing w:val="10"/>
          <w:sz w:val="24"/>
          <w:szCs w:val="24"/>
          <w:rtl/>
        </w:rPr>
        <w:t xml:space="preserve"> 20, (</w:t>
      </w:r>
      <w:r w:rsidRPr="000365CA">
        <w:rPr>
          <w:rFonts w:ascii="David" w:eastAsia="Times New Roman" w:hAnsi="David" w:cs="David" w:hint="eastAsia"/>
          <w:spacing w:val="10"/>
          <w:sz w:val="24"/>
          <w:szCs w:val="24"/>
          <w:rtl/>
        </w:rPr>
        <w:t>להלן</w:t>
      </w:r>
      <w:r w:rsidRPr="000365CA">
        <w:rPr>
          <w:rFonts w:ascii="David" w:eastAsia="Times New Roman" w:hAnsi="David" w:cs="David"/>
          <w:spacing w:val="10"/>
          <w:sz w:val="24"/>
          <w:szCs w:val="24"/>
          <w:rtl/>
        </w:rPr>
        <w:t>: "</w:t>
      </w:r>
      <w:r w:rsidRPr="000365CA">
        <w:rPr>
          <w:rFonts w:ascii="David" w:eastAsia="Times New Roman" w:hAnsi="David" w:cs="David" w:hint="eastAsia"/>
          <w:b/>
          <w:bCs/>
          <w:spacing w:val="10"/>
          <w:sz w:val="24"/>
          <w:szCs w:val="24"/>
          <w:rtl/>
        </w:rPr>
        <w:t>השוטרת</w:t>
      </w:r>
      <w:r w:rsidRPr="000365CA">
        <w:rPr>
          <w:rFonts w:ascii="David" w:eastAsia="Times New Roman" w:hAnsi="David" w:cs="David"/>
          <w:b/>
          <w:bCs/>
          <w:spacing w:val="10"/>
          <w:sz w:val="24"/>
          <w:szCs w:val="24"/>
          <w:rtl/>
        </w:rPr>
        <w:t xml:space="preserve"> </w:t>
      </w:r>
      <w:r w:rsidRPr="000365CA">
        <w:rPr>
          <w:rFonts w:ascii="David" w:eastAsia="Times New Roman" w:hAnsi="David" w:cs="David" w:hint="eastAsia"/>
          <w:b/>
          <w:bCs/>
          <w:spacing w:val="10"/>
          <w:sz w:val="24"/>
          <w:szCs w:val="24"/>
          <w:rtl/>
        </w:rPr>
        <w:t>א</w:t>
      </w:r>
      <w:r w:rsidRPr="000365CA">
        <w:rPr>
          <w:rFonts w:ascii="David" w:eastAsia="Times New Roman" w:hAnsi="David" w:cs="David"/>
          <w:b/>
          <w:bCs/>
          <w:spacing w:val="10"/>
          <w:sz w:val="24"/>
          <w:szCs w:val="24"/>
          <w:rtl/>
        </w:rPr>
        <w:t>.</w:t>
      </w:r>
      <w:r w:rsidRPr="000365CA">
        <w:rPr>
          <w:rFonts w:ascii="David" w:eastAsia="Times New Roman" w:hAnsi="David" w:cs="David" w:hint="eastAsia"/>
          <w:b/>
          <w:bCs/>
          <w:spacing w:val="10"/>
          <w:sz w:val="24"/>
          <w:szCs w:val="24"/>
          <w:rtl/>
        </w:rPr>
        <w:t>א</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בעת</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שכיהן</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כמפקד</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יחידת</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המקומות</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הקדושים</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בדרגת</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סגן</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ניצב</w:t>
      </w:r>
      <w:r w:rsidRPr="000365CA">
        <w:rPr>
          <w:rFonts w:ascii="David" w:eastAsia="Times New Roman" w:hAnsi="David" w:cs="David"/>
          <w:spacing w:val="10"/>
          <w:sz w:val="24"/>
          <w:szCs w:val="24"/>
          <w:rtl/>
        </w:rPr>
        <w:t xml:space="preserve">. </w:t>
      </w:r>
      <w:r w:rsidR="00A22D90">
        <w:rPr>
          <w:rFonts w:ascii="David" w:eastAsia="Times New Roman" w:hAnsi="David" w:cs="David" w:hint="eastAsia"/>
          <w:spacing w:val="10"/>
          <w:sz w:val="24"/>
          <w:szCs w:val="24"/>
          <w:rtl/>
        </w:rPr>
        <w:t>תחילת</w:t>
      </w:r>
      <w:r w:rsidR="00A22D90">
        <w:rPr>
          <w:rFonts w:ascii="David" w:eastAsia="Times New Roman" w:hAnsi="David" w:cs="David" w:hint="cs"/>
          <w:spacing w:val="10"/>
          <w:sz w:val="24"/>
          <w:szCs w:val="24"/>
          <w:rtl/>
        </w:rPr>
        <w:t xml:space="preserve"> </w:t>
      </w:r>
      <w:r w:rsidRPr="000365CA">
        <w:rPr>
          <w:rFonts w:ascii="David" w:eastAsia="Times New Roman" w:hAnsi="David" w:cs="David" w:hint="eastAsia"/>
          <w:spacing w:val="10"/>
          <w:sz w:val="24"/>
          <w:szCs w:val="24"/>
          <w:rtl/>
        </w:rPr>
        <w:t>הקשר</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במפגש</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אקראי</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במהלך</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שנת</w:t>
      </w:r>
      <w:r w:rsidR="00FE7B08">
        <w:rPr>
          <w:rFonts w:ascii="David" w:eastAsia="Times New Roman" w:hAnsi="David" w:cs="David"/>
          <w:spacing w:val="10"/>
          <w:sz w:val="24"/>
          <w:szCs w:val="24"/>
          <w:rtl/>
        </w:rPr>
        <w:t xml:space="preserve"> 2000</w:t>
      </w:r>
      <w:r w:rsidR="00FE7B08">
        <w:rPr>
          <w:rFonts w:ascii="David" w:eastAsia="Times New Roman" w:hAnsi="David" w:cs="David" w:hint="cs"/>
          <w:spacing w:val="10"/>
          <w:sz w:val="24"/>
          <w:szCs w:val="24"/>
          <w:rtl/>
        </w:rPr>
        <w:t xml:space="preserve">. לאחריו </w:t>
      </w:r>
      <w:r w:rsidR="00E02E02">
        <w:rPr>
          <w:rFonts w:ascii="David" w:eastAsia="Times New Roman" w:hAnsi="David" w:cs="David" w:hint="cs"/>
          <w:spacing w:val="10"/>
          <w:sz w:val="24"/>
          <w:szCs w:val="24"/>
          <w:rtl/>
        </w:rPr>
        <w:t>יזם שחם קשר טלפוני עם א.א</w:t>
      </w:r>
      <w:r w:rsidR="00FE7B08">
        <w:rPr>
          <w:rFonts w:ascii="David" w:eastAsia="Times New Roman" w:hAnsi="David" w:cs="David" w:hint="cs"/>
          <w:spacing w:val="10"/>
          <w:sz w:val="24"/>
          <w:szCs w:val="24"/>
          <w:rtl/>
        </w:rPr>
        <w:t>,</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שהתפתח</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בהמשך</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לקשר</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מיני</w:t>
      </w:r>
      <w:r w:rsidR="00FE7B08">
        <w:rPr>
          <w:rFonts w:ascii="David" w:eastAsia="Times New Roman" w:hAnsi="David" w:cs="David" w:hint="cs"/>
          <w:spacing w:val="10"/>
          <w:sz w:val="24"/>
          <w:szCs w:val="24"/>
          <w:rtl/>
        </w:rPr>
        <w:t>, ש</w:t>
      </w:r>
      <w:r w:rsidRPr="000365CA">
        <w:rPr>
          <w:rFonts w:ascii="David" w:eastAsia="Times New Roman" w:hAnsi="David" w:cs="David" w:hint="eastAsia"/>
          <w:spacing w:val="10"/>
          <w:sz w:val="24"/>
          <w:szCs w:val="24"/>
          <w:rtl/>
        </w:rPr>
        <w:t>כלל</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קיום</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יחסי</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מין</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מלאים</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במספר</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הזדמנויות</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שונות</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ובמקומות</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שונים</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לרבות</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במשרדו</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ואף</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נמשך</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לאחר</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קידומו</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למפקד</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מרחב</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שבו</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שירתה</w:t>
      </w:r>
      <w:r w:rsidR="00A22D90">
        <w:rPr>
          <w:rFonts w:ascii="David" w:eastAsia="Times New Roman" w:hAnsi="David" w:cs="David" w:hint="cs"/>
          <w:spacing w:val="10"/>
          <w:sz w:val="24"/>
          <w:szCs w:val="24"/>
          <w:rtl/>
        </w:rPr>
        <w:t xml:space="preserve"> א.א</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במהלך</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תקופת</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הקשר</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המיני</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ביניהם</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שחם</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פעל</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בעניינה</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של</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א</w:t>
      </w:r>
      <w:r w:rsidRPr="000365CA">
        <w:rPr>
          <w:rFonts w:ascii="David" w:eastAsia="Times New Roman" w:hAnsi="David" w:cs="David"/>
          <w:spacing w:val="10"/>
          <w:sz w:val="24"/>
          <w:szCs w:val="24"/>
          <w:rtl/>
        </w:rPr>
        <w:t>.</w:t>
      </w:r>
      <w:r w:rsidRPr="000365CA">
        <w:rPr>
          <w:rFonts w:ascii="David" w:eastAsia="Times New Roman" w:hAnsi="David" w:cs="David" w:hint="eastAsia"/>
          <w:spacing w:val="10"/>
          <w:sz w:val="24"/>
          <w:szCs w:val="24"/>
          <w:rtl/>
        </w:rPr>
        <w:t>א</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ונמנע</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מלדווח</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לגורמי</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מקצוע</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אחרים</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במשטרה</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על</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מצב</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ניגוד</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העניינים</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שבו</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היה</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נתון</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פעולותיו</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כללו</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המלצה</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לאישור</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בקשת</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השוטרת</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לסיוע</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כספי</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במימון</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לימודים</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הוראה</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על</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הוצאת</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הערכה</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תקופתית</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lastRenderedPageBreak/>
        <w:t>נמוכה</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שניתנה</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לשוטרת</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מתיקה</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האישי</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הוראה</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לפקודו</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לכתוב</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מכתב</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התנצלות</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על</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הערכה</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נמוכה</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זו</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והוראה</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על</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עריכתה</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מחדש</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אף</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לאחר</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סיום</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תקופת</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הקשר</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המיני</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בשלהי</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שנת</w:t>
      </w:r>
      <w:r w:rsidRPr="000365CA">
        <w:rPr>
          <w:rFonts w:ascii="David" w:eastAsia="Times New Roman" w:hAnsi="David" w:cs="David"/>
          <w:spacing w:val="10"/>
          <w:sz w:val="24"/>
          <w:szCs w:val="24"/>
          <w:rtl/>
        </w:rPr>
        <w:t xml:space="preserve"> 2004 </w:t>
      </w:r>
      <w:r w:rsidRPr="000365CA">
        <w:rPr>
          <w:rFonts w:ascii="David" w:eastAsia="Times New Roman" w:hAnsi="David" w:cs="David" w:hint="eastAsia"/>
          <w:spacing w:val="10"/>
          <w:sz w:val="24"/>
          <w:szCs w:val="24"/>
          <w:rtl/>
        </w:rPr>
        <w:t>לערך</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שנמשך</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על</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בסיס</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טלפוני</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וחילופי</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מסרונים</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עד</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לשנת</w:t>
      </w:r>
      <w:r w:rsidRPr="000365CA">
        <w:rPr>
          <w:rFonts w:ascii="David" w:eastAsia="Times New Roman" w:hAnsi="David" w:cs="David"/>
          <w:spacing w:val="10"/>
          <w:sz w:val="24"/>
          <w:szCs w:val="24"/>
          <w:rtl/>
        </w:rPr>
        <w:t xml:space="preserve"> 2012, </w:t>
      </w:r>
      <w:r w:rsidRPr="000365CA">
        <w:rPr>
          <w:rFonts w:ascii="David" w:eastAsia="Times New Roman" w:hAnsi="David" w:cs="David" w:hint="eastAsia"/>
          <w:spacing w:val="10"/>
          <w:sz w:val="24"/>
          <w:szCs w:val="24"/>
          <w:rtl/>
        </w:rPr>
        <w:t>המשיך</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שחם</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לפעול</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בעניינה</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של</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השוטרת</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א</w:t>
      </w:r>
      <w:r w:rsidRPr="000365CA">
        <w:rPr>
          <w:rFonts w:ascii="David" w:eastAsia="Times New Roman" w:hAnsi="David" w:cs="David"/>
          <w:spacing w:val="10"/>
          <w:sz w:val="24"/>
          <w:szCs w:val="24"/>
          <w:rtl/>
        </w:rPr>
        <w:t>.</w:t>
      </w:r>
      <w:r w:rsidRPr="000365CA">
        <w:rPr>
          <w:rFonts w:ascii="David" w:eastAsia="Times New Roman" w:hAnsi="David" w:cs="David" w:hint="eastAsia"/>
          <w:spacing w:val="10"/>
          <w:sz w:val="24"/>
          <w:szCs w:val="24"/>
          <w:rtl/>
        </w:rPr>
        <w:t>א</w:t>
      </w:r>
      <w:r w:rsidRPr="000365CA">
        <w:rPr>
          <w:rFonts w:ascii="David" w:eastAsia="Times New Roman" w:hAnsi="David" w:cs="David"/>
          <w:spacing w:val="10"/>
          <w:sz w:val="24"/>
          <w:szCs w:val="24"/>
          <w:rtl/>
        </w:rPr>
        <w:t xml:space="preserve"> – </w:t>
      </w:r>
      <w:r w:rsidRPr="000365CA">
        <w:rPr>
          <w:rFonts w:ascii="David" w:eastAsia="Times New Roman" w:hAnsi="David" w:cs="David" w:hint="eastAsia"/>
          <w:spacing w:val="10"/>
          <w:sz w:val="24"/>
          <w:szCs w:val="24"/>
          <w:rtl/>
        </w:rPr>
        <w:t>לאחר</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שקיים</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עמה</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ראיון</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בעניין</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בקשתה</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לעבור</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תחנה</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ובניגוד</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לעמדת</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מפקדה</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הישיר</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הורה</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על</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בחינת</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הקלה</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בשיבוצה</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למבצעים</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מיוחדים</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במרחב</w:t>
      </w:r>
      <w:r w:rsidRPr="000365CA">
        <w:rPr>
          <w:rFonts w:ascii="David" w:eastAsia="Times New Roman" w:hAnsi="David" w:cs="David"/>
          <w:spacing w:val="10"/>
          <w:sz w:val="24"/>
          <w:szCs w:val="24"/>
          <w:rtl/>
        </w:rPr>
        <w:t>.</w:t>
      </w:r>
    </w:p>
    <w:p w:rsidR="000365CA" w:rsidRPr="000365CA" w:rsidRDefault="000365CA" w:rsidP="000365CA">
      <w:pPr>
        <w:overflowPunct w:val="0"/>
        <w:autoSpaceDE w:val="0"/>
        <w:autoSpaceDN w:val="0"/>
        <w:adjustRightInd w:val="0"/>
        <w:spacing w:after="0" w:line="360" w:lineRule="auto"/>
        <w:jc w:val="both"/>
        <w:textAlignment w:val="baseline"/>
        <w:rPr>
          <w:rFonts w:ascii="David" w:eastAsia="Times New Roman" w:hAnsi="David" w:cs="David"/>
          <w:spacing w:val="10"/>
          <w:sz w:val="24"/>
          <w:szCs w:val="24"/>
          <w:rtl/>
        </w:rPr>
      </w:pPr>
    </w:p>
    <w:p w:rsidR="000365CA" w:rsidRPr="000365CA" w:rsidRDefault="004E14DF" w:rsidP="00A22D90">
      <w:pPr>
        <w:overflowPunct w:val="0"/>
        <w:autoSpaceDE w:val="0"/>
        <w:autoSpaceDN w:val="0"/>
        <w:adjustRightInd w:val="0"/>
        <w:spacing w:after="0" w:line="360" w:lineRule="auto"/>
        <w:jc w:val="both"/>
        <w:textAlignment w:val="baseline"/>
        <w:rPr>
          <w:rFonts w:ascii="David" w:eastAsia="Times New Roman" w:hAnsi="David" w:cs="David"/>
          <w:spacing w:val="10"/>
          <w:sz w:val="24"/>
          <w:szCs w:val="24"/>
          <w:rtl/>
        </w:rPr>
      </w:pPr>
      <w:r w:rsidRPr="000365CA">
        <w:rPr>
          <w:rFonts w:ascii="David" w:eastAsia="Times New Roman" w:hAnsi="David" w:cs="David" w:hint="eastAsia"/>
          <w:spacing w:val="10"/>
          <w:sz w:val="24"/>
          <w:szCs w:val="24"/>
          <w:u w:val="single"/>
          <w:rtl/>
        </w:rPr>
        <w:t>הפרשה</w:t>
      </w:r>
      <w:r w:rsidRPr="000365CA">
        <w:rPr>
          <w:rFonts w:ascii="David" w:eastAsia="Times New Roman" w:hAnsi="David" w:cs="David"/>
          <w:spacing w:val="10"/>
          <w:sz w:val="24"/>
          <w:szCs w:val="24"/>
          <w:u w:val="single"/>
          <w:rtl/>
        </w:rPr>
        <w:t xml:space="preserve"> </w:t>
      </w:r>
      <w:r w:rsidRPr="000365CA">
        <w:rPr>
          <w:rFonts w:ascii="David" w:eastAsia="Times New Roman" w:hAnsi="David" w:cs="David" w:hint="eastAsia"/>
          <w:spacing w:val="10"/>
          <w:sz w:val="24"/>
          <w:szCs w:val="24"/>
          <w:u w:val="single"/>
          <w:rtl/>
        </w:rPr>
        <w:t>השנייה</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עניינה</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בקשר</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המיני</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שקיים</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שחם</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עם</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ב</w:t>
      </w:r>
      <w:r w:rsidRPr="000365CA">
        <w:rPr>
          <w:rFonts w:ascii="David" w:eastAsia="Times New Roman" w:hAnsi="David" w:cs="David"/>
          <w:spacing w:val="10"/>
          <w:sz w:val="24"/>
          <w:szCs w:val="24"/>
          <w:rtl/>
        </w:rPr>
        <w:t>.</w:t>
      </w:r>
      <w:r w:rsidRPr="000365CA">
        <w:rPr>
          <w:rFonts w:ascii="David" w:eastAsia="Times New Roman" w:hAnsi="David" w:cs="David" w:hint="eastAsia"/>
          <w:spacing w:val="10"/>
          <w:sz w:val="24"/>
          <w:szCs w:val="24"/>
          <w:rtl/>
        </w:rPr>
        <w:t>ב</w:t>
      </w:r>
      <w:r w:rsidR="00FE7B08">
        <w:rPr>
          <w:rFonts w:ascii="David" w:eastAsia="Times New Roman" w:hAnsi="David" w:cs="David"/>
          <w:spacing w:val="10"/>
          <w:sz w:val="24"/>
          <w:szCs w:val="24"/>
          <w:rtl/>
        </w:rPr>
        <w:t>,</w:t>
      </w:r>
      <w:r w:rsidRPr="000365CA">
        <w:rPr>
          <w:rFonts w:ascii="David" w:eastAsia="Times New Roman" w:hAnsi="David" w:cs="David"/>
          <w:spacing w:val="10"/>
          <w:sz w:val="24"/>
          <w:szCs w:val="24"/>
          <w:rtl/>
        </w:rPr>
        <w:t>(</w:t>
      </w:r>
      <w:r w:rsidRPr="000365CA">
        <w:rPr>
          <w:rFonts w:ascii="David" w:eastAsia="Times New Roman" w:hAnsi="David" w:cs="David" w:hint="eastAsia"/>
          <w:spacing w:val="10"/>
          <w:sz w:val="24"/>
          <w:szCs w:val="24"/>
          <w:rtl/>
        </w:rPr>
        <w:t>להלן</w:t>
      </w:r>
      <w:r w:rsidRPr="000365CA">
        <w:rPr>
          <w:rFonts w:ascii="David" w:eastAsia="Times New Roman" w:hAnsi="David" w:cs="David"/>
          <w:spacing w:val="10"/>
          <w:sz w:val="24"/>
          <w:szCs w:val="24"/>
          <w:rtl/>
        </w:rPr>
        <w:t>: "</w:t>
      </w:r>
      <w:r w:rsidRPr="000365CA">
        <w:rPr>
          <w:rFonts w:ascii="David" w:eastAsia="Times New Roman" w:hAnsi="David" w:cs="David" w:hint="eastAsia"/>
          <w:b/>
          <w:bCs/>
          <w:spacing w:val="10"/>
          <w:sz w:val="24"/>
          <w:szCs w:val="24"/>
          <w:rtl/>
        </w:rPr>
        <w:t>השוטרת</w:t>
      </w:r>
      <w:r w:rsidRPr="000365CA">
        <w:rPr>
          <w:rFonts w:ascii="David" w:eastAsia="Times New Roman" w:hAnsi="David" w:cs="David"/>
          <w:b/>
          <w:bCs/>
          <w:spacing w:val="10"/>
          <w:sz w:val="24"/>
          <w:szCs w:val="24"/>
          <w:rtl/>
        </w:rPr>
        <w:t xml:space="preserve"> </w:t>
      </w:r>
      <w:r w:rsidRPr="000365CA">
        <w:rPr>
          <w:rFonts w:ascii="David" w:eastAsia="Times New Roman" w:hAnsi="David" w:cs="David" w:hint="eastAsia"/>
          <w:b/>
          <w:bCs/>
          <w:spacing w:val="10"/>
          <w:sz w:val="24"/>
          <w:szCs w:val="24"/>
          <w:rtl/>
        </w:rPr>
        <w:t>ב</w:t>
      </w:r>
      <w:r w:rsidRPr="000365CA">
        <w:rPr>
          <w:rFonts w:ascii="David" w:eastAsia="Times New Roman" w:hAnsi="David" w:cs="David"/>
          <w:b/>
          <w:bCs/>
          <w:spacing w:val="10"/>
          <w:sz w:val="24"/>
          <w:szCs w:val="24"/>
          <w:rtl/>
        </w:rPr>
        <w:t>.</w:t>
      </w:r>
      <w:r w:rsidRPr="000365CA">
        <w:rPr>
          <w:rFonts w:ascii="David" w:eastAsia="Times New Roman" w:hAnsi="David" w:cs="David" w:hint="eastAsia"/>
          <w:b/>
          <w:bCs/>
          <w:spacing w:val="10"/>
          <w:sz w:val="24"/>
          <w:szCs w:val="24"/>
          <w:rtl/>
        </w:rPr>
        <w:t>ב</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בעת</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שכיהן</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במספר</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תפקידים</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בכירים</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במשטרה</w:t>
      </w:r>
      <w:r w:rsidRPr="000365CA">
        <w:rPr>
          <w:rFonts w:ascii="David" w:eastAsia="Times New Roman" w:hAnsi="David" w:cs="David"/>
          <w:spacing w:val="10"/>
          <w:sz w:val="24"/>
          <w:szCs w:val="24"/>
          <w:rtl/>
        </w:rPr>
        <w:t xml:space="preserve"> – </w:t>
      </w:r>
      <w:r w:rsidRPr="000365CA">
        <w:rPr>
          <w:rFonts w:ascii="David" w:eastAsia="Times New Roman" w:hAnsi="David" w:cs="David" w:hint="eastAsia"/>
          <w:spacing w:val="10"/>
          <w:sz w:val="24"/>
          <w:szCs w:val="24"/>
          <w:rtl/>
        </w:rPr>
        <w:t>החל</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משירותו</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כסגן</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מפקד</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מחוז</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ירושלים</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ועד</w:t>
      </w:r>
      <w:r w:rsidRPr="000365CA">
        <w:rPr>
          <w:rFonts w:ascii="David" w:eastAsia="Times New Roman" w:hAnsi="David" w:cs="David"/>
          <w:spacing w:val="10"/>
          <w:sz w:val="24"/>
          <w:szCs w:val="24"/>
          <w:rtl/>
        </w:rPr>
        <w:t xml:space="preserve"> </w:t>
      </w:r>
      <w:r w:rsidR="00FE7B08">
        <w:rPr>
          <w:rFonts w:ascii="David" w:eastAsia="Times New Roman" w:hAnsi="David" w:cs="David" w:hint="cs"/>
          <w:spacing w:val="10"/>
          <w:sz w:val="24"/>
          <w:szCs w:val="24"/>
          <w:rtl/>
        </w:rPr>
        <w:t>ש</w:t>
      </w:r>
      <w:r w:rsidRPr="000365CA">
        <w:rPr>
          <w:rFonts w:ascii="David" w:eastAsia="Times New Roman" w:hAnsi="David" w:cs="David" w:hint="eastAsia"/>
          <w:spacing w:val="10"/>
          <w:sz w:val="24"/>
          <w:szCs w:val="24"/>
          <w:rtl/>
        </w:rPr>
        <w:t>מונה</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למפקד</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מחוז</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ירושלים</w:t>
      </w:r>
      <w:r w:rsidRPr="000365CA">
        <w:rPr>
          <w:rFonts w:ascii="David" w:eastAsia="Times New Roman" w:hAnsi="David" w:cs="David"/>
          <w:spacing w:val="10"/>
          <w:sz w:val="24"/>
          <w:szCs w:val="24"/>
          <w:rtl/>
        </w:rPr>
        <w:t xml:space="preserve">. </w:t>
      </w:r>
      <w:r w:rsidR="00A22D90">
        <w:rPr>
          <w:rFonts w:ascii="David" w:eastAsia="Times New Roman" w:hAnsi="David" w:cs="David" w:hint="eastAsia"/>
          <w:spacing w:val="10"/>
          <w:sz w:val="24"/>
          <w:szCs w:val="24"/>
          <w:rtl/>
        </w:rPr>
        <w:t>תחילת</w:t>
      </w:r>
      <w:r w:rsidR="00A22D90">
        <w:rPr>
          <w:rFonts w:ascii="David" w:eastAsia="Times New Roman" w:hAnsi="David" w:cs="David" w:hint="cs"/>
          <w:spacing w:val="10"/>
          <w:sz w:val="24"/>
          <w:szCs w:val="24"/>
          <w:rtl/>
        </w:rPr>
        <w:t xml:space="preserve"> </w:t>
      </w:r>
      <w:r w:rsidRPr="000365CA">
        <w:rPr>
          <w:rFonts w:ascii="David" w:eastAsia="Times New Roman" w:hAnsi="David" w:cs="David" w:hint="eastAsia"/>
          <w:spacing w:val="10"/>
          <w:sz w:val="24"/>
          <w:szCs w:val="24"/>
          <w:rtl/>
        </w:rPr>
        <w:t>הקשר</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בבקשת</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השוטרת</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ב</w:t>
      </w:r>
      <w:r w:rsidRPr="000365CA">
        <w:rPr>
          <w:rFonts w:ascii="David" w:eastAsia="Times New Roman" w:hAnsi="David" w:cs="David"/>
          <w:spacing w:val="10"/>
          <w:sz w:val="24"/>
          <w:szCs w:val="24"/>
          <w:rtl/>
        </w:rPr>
        <w:t>.</w:t>
      </w:r>
      <w:r w:rsidRPr="000365CA">
        <w:rPr>
          <w:rFonts w:ascii="David" w:eastAsia="Times New Roman" w:hAnsi="David" w:cs="David" w:hint="eastAsia"/>
          <w:spacing w:val="10"/>
          <w:sz w:val="24"/>
          <w:szCs w:val="24"/>
          <w:rtl/>
        </w:rPr>
        <w:t>ב</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בשנת</w:t>
      </w:r>
      <w:r w:rsidRPr="000365CA">
        <w:rPr>
          <w:rFonts w:ascii="David" w:eastAsia="Times New Roman" w:hAnsi="David" w:cs="David"/>
          <w:spacing w:val="10"/>
          <w:sz w:val="24"/>
          <w:szCs w:val="24"/>
          <w:rtl/>
        </w:rPr>
        <w:t xml:space="preserve"> 2007 </w:t>
      </w:r>
      <w:r w:rsidRPr="000365CA">
        <w:rPr>
          <w:rFonts w:ascii="David" w:eastAsia="Times New Roman" w:hAnsi="David" w:cs="David" w:hint="eastAsia"/>
          <w:spacing w:val="10"/>
          <w:sz w:val="24"/>
          <w:szCs w:val="24"/>
          <w:rtl/>
        </w:rPr>
        <w:t>לקיים</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ראיון</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עם</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שחם</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בעניין</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אישי</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שהתברר</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מאוחר</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יותר</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כעניין</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הנוגע</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לשיבוצה</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בעקבות</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הבקשה</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יצר</w:t>
      </w:r>
      <w:r w:rsidRPr="000365CA">
        <w:rPr>
          <w:rFonts w:ascii="David" w:eastAsia="Times New Roman" w:hAnsi="David" w:cs="David"/>
          <w:spacing w:val="10"/>
          <w:sz w:val="24"/>
          <w:szCs w:val="24"/>
          <w:rtl/>
        </w:rPr>
        <w:t xml:space="preserve"> </w:t>
      </w:r>
      <w:r w:rsidR="00A22D90">
        <w:rPr>
          <w:rFonts w:ascii="David" w:eastAsia="Times New Roman" w:hAnsi="David" w:cs="David" w:hint="cs"/>
          <w:spacing w:val="10"/>
          <w:sz w:val="24"/>
          <w:szCs w:val="24"/>
          <w:rtl/>
        </w:rPr>
        <w:t xml:space="preserve">עמה </w:t>
      </w:r>
      <w:r w:rsidRPr="000365CA">
        <w:rPr>
          <w:rFonts w:ascii="David" w:eastAsia="Times New Roman" w:hAnsi="David" w:cs="David" w:hint="eastAsia"/>
          <w:spacing w:val="10"/>
          <w:sz w:val="24"/>
          <w:szCs w:val="24"/>
          <w:rtl/>
        </w:rPr>
        <w:t>שחם</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קשר</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טלפוני</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שהפך</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מאותו</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רגע</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ואילך</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לתכוף</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ובעל</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אופי</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מיני</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ואף</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התפתח</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בהמשך</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לקיום</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יחסי</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מין</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מלאים</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ברכבו</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בד</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בבד</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עם</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קיומו</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של</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הקשר</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הטלפוני</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ביניהם</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עליו</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שמרו</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במהלך</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השנים</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בין</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אם</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באופן</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רציף</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ותכוף</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ובין</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אם</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בתקופות</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מסוימות</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בתדירות</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מופחתת</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פעל</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שחם</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בעניינה</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של</w:t>
      </w:r>
      <w:r w:rsidR="00A22D90">
        <w:rPr>
          <w:rFonts w:ascii="David" w:eastAsia="Times New Roman" w:hAnsi="David" w:cs="David" w:hint="cs"/>
          <w:spacing w:val="10"/>
          <w:sz w:val="24"/>
          <w:szCs w:val="24"/>
          <w:rtl/>
        </w:rPr>
        <w:t xml:space="preserve"> </w:t>
      </w:r>
      <w:r w:rsidRPr="000365CA">
        <w:rPr>
          <w:rFonts w:ascii="David" w:eastAsia="Times New Roman" w:hAnsi="David" w:cs="David" w:hint="eastAsia"/>
          <w:spacing w:val="10"/>
          <w:sz w:val="24"/>
          <w:szCs w:val="24"/>
          <w:rtl/>
        </w:rPr>
        <w:t>ב</w:t>
      </w:r>
      <w:r w:rsidRPr="000365CA">
        <w:rPr>
          <w:rFonts w:ascii="David" w:eastAsia="Times New Roman" w:hAnsi="David" w:cs="David"/>
          <w:spacing w:val="10"/>
          <w:sz w:val="24"/>
          <w:szCs w:val="24"/>
          <w:rtl/>
        </w:rPr>
        <w:t>.</w:t>
      </w:r>
      <w:r w:rsidRPr="000365CA">
        <w:rPr>
          <w:rFonts w:ascii="David" w:eastAsia="Times New Roman" w:hAnsi="David" w:cs="David" w:hint="eastAsia"/>
          <w:spacing w:val="10"/>
          <w:sz w:val="24"/>
          <w:szCs w:val="24"/>
          <w:rtl/>
        </w:rPr>
        <w:t>ב</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תוך</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שהוא</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מסתיר</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את</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מצב</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ניגוד</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העניינים</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בו</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היה</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נתון</w:t>
      </w:r>
      <w:r w:rsidRPr="000365CA">
        <w:rPr>
          <w:rFonts w:ascii="David" w:eastAsia="Times New Roman" w:hAnsi="David" w:cs="David"/>
          <w:spacing w:val="10"/>
          <w:sz w:val="24"/>
          <w:szCs w:val="24"/>
          <w:rtl/>
        </w:rPr>
        <w:t xml:space="preserve">. </w:t>
      </w:r>
    </w:p>
    <w:p w:rsidR="000365CA" w:rsidRPr="000365CA" w:rsidRDefault="000365CA" w:rsidP="000365CA">
      <w:pPr>
        <w:overflowPunct w:val="0"/>
        <w:autoSpaceDE w:val="0"/>
        <w:autoSpaceDN w:val="0"/>
        <w:adjustRightInd w:val="0"/>
        <w:spacing w:after="0" w:line="360" w:lineRule="auto"/>
        <w:jc w:val="both"/>
        <w:textAlignment w:val="baseline"/>
        <w:rPr>
          <w:rFonts w:ascii="David" w:eastAsia="Times New Roman" w:hAnsi="David" w:cs="David"/>
          <w:spacing w:val="10"/>
          <w:sz w:val="24"/>
          <w:szCs w:val="24"/>
          <w:rtl/>
        </w:rPr>
      </w:pPr>
    </w:p>
    <w:p w:rsidR="000365CA" w:rsidRPr="000365CA" w:rsidRDefault="004E14DF" w:rsidP="000365CA">
      <w:pPr>
        <w:overflowPunct w:val="0"/>
        <w:autoSpaceDE w:val="0"/>
        <w:autoSpaceDN w:val="0"/>
        <w:adjustRightInd w:val="0"/>
        <w:spacing w:after="0" w:line="360" w:lineRule="auto"/>
        <w:jc w:val="both"/>
        <w:textAlignment w:val="baseline"/>
        <w:rPr>
          <w:rFonts w:ascii="David" w:eastAsia="Times New Roman" w:hAnsi="David" w:cs="David"/>
          <w:spacing w:val="10"/>
          <w:sz w:val="24"/>
          <w:szCs w:val="24"/>
          <w:rtl/>
        </w:rPr>
      </w:pPr>
      <w:r w:rsidRPr="000365CA">
        <w:rPr>
          <w:rFonts w:ascii="David" w:eastAsia="Times New Roman" w:hAnsi="David" w:cs="David" w:hint="eastAsia"/>
          <w:spacing w:val="10"/>
          <w:sz w:val="24"/>
          <w:szCs w:val="24"/>
          <w:rtl/>
        </w:rPr>
        <w:t>כתב</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האישום</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ייחס</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לשחם</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שלוש</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פעולות</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אותן</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ביצע</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בניגוד</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עניינים</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תוך</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השפעה</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על</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תהליכי</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קבלת</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ההחלטות</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של</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פקודיו</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בעניינה</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של</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השוטרת</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ב</w:t>
      </w:r>
      <w:r w:rsidRPr="000365CA">
        <w:rPr>
          <w:rFonts w:ascii="David" w:eastAsia="Times New Roman" w:hAnsi="David" w:cs="David"/>
          <w:spacing w:val="10"/>
          <w:sz w:val="24"/>
          <w:szCs w:val="24"/>
          <w:rtl/>
        </w:rPr>
        <w:t>.</w:t>
      </w:r>
      <w:r w:rsidRPr="000365CA">
        <w:rPr>
          <w:rFonts w:ascii="David" w:eastAsia="Times New Roman" w:hAnsi="David" w:cs="David" w:hint="eastAsia"/>
          <w:spacing w:val="10"/>
          <w:sz w:val="24"/>
          <w:szCs w:val="24"/>
          <w:rtl/>
        </w:rPr>
        <w:t>ב</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לאמור</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טיפול</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בבקשתה</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לשיבוץ</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כחוקרת</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שאושרה</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לאחר</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שהובאה</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לעיונו</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עריכת</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ראיון</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בלשכתו</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בנוגע</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לבקשתה</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לעבור</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לתפקיד</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מנהלי</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במטה</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הארצי</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ובסיומו</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מתן</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הוראה</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להעבירה</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בניגוד</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לעמדתם</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של</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מפקדה</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הישיר</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ומפקד</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המרחב</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שדחו</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בקשתה</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כל</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אחד</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בתורו</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והוראה</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לפקודו</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לקלוט</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אותה</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ביחידה</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עליה</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ממונה</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חרף</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התנגדותו</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שנסמכה</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בין</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היתר</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על</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בסיס</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עיון</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בהערכות</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נמוכות</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שקיבלה</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ממפקדיה</w:t>
      </w:r>
      <w:r w:rsidRPr="000365CA">
        <w:rPr>
          <w:rFonts w:ascii="David" w:eastAsia="Times New Roman" w:hAnsi="David" w:cs="David"/>
          <w:spacing w:val="10"/>
          <w:sz w:val="24"/>
          <w:szCs w:val="24"/>
          <w:rtl/>
        </w:rPr>
        <w:t>.</w:t>
      </w:r>
    </w:p>
    <w:p w:rsidR="000365CA" w:rsidRPr="000365CA" w:rsidRDefault="000365CA" w:rsidP="000365CA">
      <w:pPr>
        <w:overflowPunct w:val="0"/>
        <w:autoSpaceDE w:val="0"/>
        <w:autoSpaceDN w:val="0"/>
        <w:adjustRightInd w:val="0"/>
        <w:spacing w:after="0" w:line="360" w:lineRule="auto"/>
        <w:jc w:val="both"/>
        <w:textAlignment w:val="baseline"/>
        <w:rPr>
          <w:rFonts w:ascii="David" w:eastAsia="Times New Roman" w:hAnsi="David" w:cs="David"/>
          <w:spacing w:val="10"/>
          <w:sz w:val="24"/>
          <w:szCs w:val="24"/>
          <w:rtl/>
        </w:rPr>
      </w:pPr>
    </w:p>
    <w:p w:rsidR="000365CA" w:rsidRPr="000365CA" w:rsidRDefault="004E14DF" w:rsidP="00FE7B08">
      <w:pPr>
        <w:overflowPunct w:val="0"/>
        <w:autoSpaceDE w:val="0"/>
        <w:autoSpaceDN w:val="0"/>
        <w:adjustRightInd w:val="0"/>
        <w:spacing w:after="0" w:line="360" w:lineRule="auto"/>
        <w:jc w:val="both"/>
        <w:textAlignment w:val="baseline"/>
        <w:rPr>
          <w:rFonts w:ascii="David" w:eastAsia="Times New Roman" w:hAnsi="David" w:cs="David"/>
          <w:spacing w:val="10"/>
          <w:sz w:val="24"/>
          <w:szCs w:val="24"/>
          <w:rtl/>
        </w:rPr>
      </w:pPr>
      <w:r w:rsidRPr="000365CA">
        <w:rPr>
          <w:rFonts w:ascii="David" w:eastAsia="Times New Roman" w:hAnsi="David" w:cs="David" w:hint="eastAsia"/>
          <w:spacing w:val="10"/>
          <w:sz w:val="24"/>
          <w:szCs w:val="24"/>
          <w:u w:val="single"/>
          <w:rtl/>
        </w:rPr>
        <w:t>הפרשה</w:t>
      </w:r>
      <w:r w:rsidRPr="000365CA">
        <w:rPr>
          <w:rFonts w:ascii="David" w:eastAsia="Times New Roman" w:hAnsi="David" w:cs="David"/>
          <w:spacing w:val="10"/>
          <w:sz w:val="24"/>
          <w:szCs w:val="24"/>
          <w:u w:val="single"/>
          <w:rtl/>
        </w:rPr>
        <w:t xml:space="preserve"> </w:t>
      </w:r>
      <w:r w:rsidRPr="000365CA">
        <w:rPr>
          <w:rFonts w:ascii="David" w:eastAsia="Times New Roman" w:hAnsi="David" w:cs="David" w:hint="eastAsia"/>
          <w:spacing w:val="10"/>
          <w:sz w:val="24"/>
          <w:szCs w:val="24"/>
          <w:u w:val="single"/>
          <w:rtl/>
        </w:rPr>
        <w:t>השלישית</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עניינה</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הקשר</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המיני</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שקיים</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שחם</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עם</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ג</w:t>
      </w:r>
      <w:r w:rsidRPr="000365CA">
        <w:rPr>
          <w:rFonts w:ascii="David" w:eastAsia="Times New Roman" w:hAnsi="David" w:cs="David"/>
          <w:spacing w:val="10"/>
          <w:sz w:val="24"/>
          <w:szCs w:val="24"/>
          <w:rtl/>
        </w:rPr>
        <w:t>.</w:t>
      </w:r>
      <w:r w:rsidRPr="000365CA">
        <w:rPr>
          <w:rFonts w:ascii="David" w:eastAsia="Times New Roman" w:hAnsi="David" w:cs="David" w:hint="eastAsia"/>
          <w:spacing w:val="10"/>
          <w:sz w:val="24"/>
          <w:szCs w:val="24"/>
          <w:rtl/>
        </w:rPr>
        <w:t>ג</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שוטרת</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המשרתת</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במשטרה</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החל</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משירות</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החובה</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שלה</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להלן</w:t>
      </w:r>
      <w:r w:rsidRPr="000365CA">
        <w:rPr>
          <w:rFonts w:ascii="David" w:eastAsia="Times New Roman" w:hAnsi="David" w:cs="David"/>
          <w:spacing w:val="10"/>
          <w:sz w:val="24"/>
          <w:szCs w:val="24"/>
          <w:rtl/>
        </w:rPr>
        <w:t>: "</w:t>
      </w:r>
      <w:r w:rsidRPr="000365CA">
        <w:rPr>
          <w:rFonts w:ascii="David" w:eastAsia="Times New Roman" w:hAnsi="David" w:cs="David" w:hint="eastAsia"/>
          <w:b/>
          <w:bCs/>
          <w:spacing w:val="10"/>
          <w:sz w:val="24"/>
          <w:szCs w:val="24"/>
          <w:rtl/>
        </w:rPr>
        <w:t>השוטרת</w:t>
      </w:r>
      <w:r w:rsidRPr="000365CA">
        <w:rPr>
          <w:rFonts w:ascii="David" w:eastAsia="Times New Roman" w:hAnsi="David" w:cs="David"/>
          <w:b/>
          <w:bCs/>
          <w:spacing w:val="10"/>
          <w:sz w:val="24"/>
          <w:szCs w:val="24"/>
          <w:rtl/>
        </w:rPr>
        <w:t xml:space="preserve"> </w:t>
      </w:r>
      <w:r w:rsidRPr="000365CA">
        <w:rPr>
          <w:rFonts w:ascii="David" w:eastAsia="Times New Roman" w:hAnsi="David" w:cs="David" w:hint="eastAsia"/>
          <w:b/>
          <w:bCs/>
          <w:spacing w:val="10"/>
          <w:sz w:val="24"/>
          <w:szCs w:val="24"/>
          <w:rtl/>
        </w:rPr>
        <w:t>ג</w:t>
      </w:r>
      <w:r w:rsidRPr="000365CA">
        <w:rPr>
          <w:rFonts w:ascii="David" w:eastAsia="Times New Roman" w:hAnsi="David" w:cs="David"/>
          <w:b/>
          <w:bCs/>
          <w:spacing w:val="10"/>
          <w:sz w:val="24"/>
          <w:szCs w:val="24"/>
          <w:rtl/>
        </w:rPr>
        <w:t>.</w:t>
      </w:r>
      <w:r w:rsidRPr="000365CA">
        <w:rPr>
          <w:rFonts w:ascii="David" w:eastAsia="Times New Roman" w:hAnsi="David" w:cs="David" w:hint="eastAsia"/>
          <w:b/>
          <w:bCs/>
          <w:spacing w:val="10"/>
          <w:sz w:val="24"/>
          <w:szCs w:val="24"/>
          <w:rtl/>
        </w:rPr>
        <w:t>ג</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בעת</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שכיהן</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כסגן</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מפקד</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מחוז</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ירושלים</w:t>
      </w:r>
      <w:r w:rsidR="00FE7B08">
        <w:rPr>
          <w:rFonts w:ascii="David" w:eastAsia="Times New Roman" w:hAnsi="David" w:cs="David" w:hint="cs"/>
          <w:spacing w:val="10"/>
          <w:sz w:val="24"/>
          <w:szCs w:val="24"/>
          <w:rtl/>
        </w:rPr>
        <w:t xml:space="preserve">. </w:t>
      </w:r>
      <w:r w:rsidR="00FE7B08">
        <w:rPr>
          <w:rFonts w:ascii="David" w:eastAsia="Times New Roman" w:hAnsi="David" w:cs="David" w:hint="eastAsia"/>
          <w:spacing w:val="10"/>
          <w:sz w:val="24"/>
          <w:szCs w:val="24"/>
          <w:rtl/>
        </w:rPr>
        <w:t>תחילת</w:t>
      </w:r>
      <w:r w:rsidR="00FE7B08">
        <w:rPr>
          <w:rFonts w:ascii="David" w:eastAsia="Times New Roman" w:hAnsi="David" w:cs="David" w:hint="cs"/>
          <w:spacing w:val="10"/>
          <w:sz w:val="24"/>
          <w:szCs w:val="24"/>
          <w:rtl/>
        </w:rPr>
        <w:t xml:space="preserve"> הקשר</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במפגש</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אקראי</w:t>
      </w:r>
      <w:r w:rsidR="00A22D90">
        <w:rPr>
          <w:rFonts w:ascii="David" w:eastAsia="Times New Roman" w:hAnsi="David" w:cs="David" w:hint="cs"/>
          <w:spacing w:val="10"/>
          <w:sz w:val="24"/>
          <w:szCs w:val="24"/>
          <w:rtl/>
        </w:rPr>
        <w:t>, ש</w:t>
      </w:r>
      <w:r w:rsidRPr="000365CA">
        <w:rPr>
          <w:rFonts w:ascii="David" w:eastAsia="Times New Roman" w:hAnsi="David" w:cs="David" w:hint="eastAsia"/>
          <w:spacing w:val="10"/>
          <w:sz w:val="24"/>
          <w:szCs w:val="24"/>
          <w:rtl/>
        </w:rPr>
        <w:t>בעקבותיו</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יצר</w:t>
      </w:r>
      <w:r w:rsidRPr="000365CA">
        <w:rPr>
          <w:rFonts w:ascii="David" w:eastAsia="Times New Roman" w:hAnsi="David" w:cs="David"/>
          <w:spacing w:val="10"/>
          <w:sz w:val="24"/>
          <w:szCs w:val="24"/>
          <w:rtl/>
        </w:rPr>
        <w:t xml:space="preserve"> </w:t>
      </w:r>
      <w:r w:rsidR="00FE7B08">
        <w:rPr>
          <w:rFonts w:ascii="David" w:eastAsia="Times New Roman" w:hAnsi="David" w:cs="David" w:hint="cs"/>
          <w:spacing w:val="10"/>
          <w:sz w:val="24"/>
          <w:szCs w:val="24"/>
          <w:rtl/>
        </w:rPr>
        <w:t xml:space="preserve">עמה </w:t>
      </w:r>
      <w:r w:rsidRPr="000365CA">
        <w:rPr>
          <w:rFonts w:ascii="David" w:eastAsia="Times New Roman" w:hAnsi="David" w:cs="David" w:hint="eastAsia"/>
          <w:spacing w:val="10"/>
          <w:sz w:val="24"/>
          <w:szCs w:val="24"/>
          <w:rtl/>
        </w:rPr>
        <w:t>שחם</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קשר</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טלפוני</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החמיא</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לה</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על</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עבודתה</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והעניק</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לה</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אישור</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חד</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פעמי</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לקבלת</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רכב</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משטרתי</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למשך</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סוף</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השבוע</w:t>
      </w:r>
      <w:r w:rsidRPr="000365CA">
        <w:rPr>
          <w:rFonts w:ascii="David" w:eastAsia="Times New Roman" w:hAnsi="David" w:cs="David"/>
          <w:spacing w:val="10"/>
          <w:sz w:val="24"/>
          <w:szCs w:val="24"/>
          <w:rtl/>
        </w:rPr>
        <w:t xml:space="preserve">. </w:t>
      </w:r>
      <w:r w:rsidR="00FE7B08">
        <w:rPr>
          <w:rFonts w:ascii="David" w:eastAsia="Times New Roman" w:hAnsi="David" w:cs="David" w:hint="cs"/>
          <w:spacing w:val="10"/>
          <w:sz w:val="24"/>
          <w:szCs w:val="24"/>
          <w:rtl/>
        </w:rPr>
        <w:t>בהמשך התפתח ביניהם</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קשר</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טלפוני</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אינטנסיבי</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לעיתים</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בעל</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גוון</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מיני</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שהגיע</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לשיאו</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בקיום</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יחסי</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מין</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בבית</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אמו</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של</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שחם</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בעוד</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מתנהל</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ביניהם</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קשר</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טלפוני</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תכוף</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בעל</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אופי</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מיני</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ערך</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שחם</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ראיון</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לשוטרת</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ג</w:t>
      </w:r>
      <w:r w:rsidRPr="000365CA">
        <w:rPr>
          <w:rFonts w:ascii="David" w:eastAsia="Times New Roman" w:hAnsi="David" w:cs="David"/>
          <w:spacing w:val="10"/>
          <w:sz w:val="24"/>
          <w:szCs w:val="24"/>
          <w:rtl/>
        </w:rPr>
        <w:t>.</w:t>
      </w:r>
      <w:r w:rsidRPr="000365CA">
        <w:rPr>
          <w:rFonts w:ascii="David" w:eastAsia="Times New Roman" w:hAnsi="David" w:cs="David" w:hint="eastAsia"/>
          <w:spacing w:val="10"/>
          <w:sz w:val="24"/>
          <w:szCs w:val="24"/>
          <w:rtl/>
        </w:rPr>
        <w:t>ג</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בנוגע</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לבקשתה</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לעבור</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מתפקידה</w:t>
      </w:r>
      <w:r w:rsidRPr="000365CA">
        <w:rPr>
          <w:rFonts w:ascii="David" w:eastAsia="Times New Roman" w:hAnsi="David" w:cs="David"/>
          <w:spacing w:val="10"/>
          <w:sz w:val="24"/>
          <w:szCs w:val="24"/>
          <w:rtl/>
        </w:rPr>
        <w:t xml:space="preserve"> – </w:t>
      </w:r>
      <w:r w:rsidRPr="000365CA">
        <w:rPr>
          <w:rFonts w:ascii="David" w:eastAsia="Times New Roman" w:hAnsi="David" w:cs="David" w:hint="eastAsia"/>
          <w:spacing w:val="10"/>
          <w:sz w:val="24"/>
          <w:szCs w:val="24"/>
          <w:rtl/>
        </w:rPr>
        <w:t>בקשה</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שהוגשה</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על</w:t>
      </w:r>
      <w:r w:rsidRPr="000365CA">
        <w:rPr>
          <w:rFonts w:ascii="David" w:eastAsia="Times New Roman" w:hAnsi="David" w:cs="David"/>
          <w:spacing w:val="10"/>
          <w:sz w:val="24"/>
          <w:szCs w:val="24"/>
          <w:rtl/>
        </w:rPr>
        <w:t>-</w:t>
      </w:r>
      <w:r w:rsidRPr="000365CA">
        <w:rPr>
          <w:rFonts w:ascii="David" w:eastAsia="Times New Roman" w:hAnsi="David" w:cs="David" w:hint="eastAsia"/>
          <w:spacing w:val="10"/>
          <w:sz w:val="24"/>
          <w:szCs w:val="24"/>
          <w:rtl/>
        </w:rPr>
        <w:t>ידה</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מספר</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פעמים</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בעבר</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אך</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נדחתה</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בסופו</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של</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הריאיון</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אישר</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את</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בקשת</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המעבר</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וזאת</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מבלי</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שדיווח</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לאיש</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על</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קיומו</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של</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הקשר</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המיני</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שבינו</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ובינה</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כמתחייב</w:t>
      </w:r>
      <w:r w:rsidRPr="000365CA">
        <w:rPr>
          <w:rFonts w:ascii="David" w:eastAsia="Times New Roman" w:hAnsi="David" w:cs="David"/>
          <w:spacing w:val="10"/>
          <w:sz w:val="24"/>
          <w:szCs w:val="24"/>
          <w:rtl/>
        </w:rPr>
        <w:t>.</w:t>
      </w:r>
    </w:p>
    <w:p w:rsidR="000365CA" w:rsidRPr="000365CA" w:rsidRDefault="000365CA" w:rsidP="000365CA">
      <w:pPr>
        <w:overflowPunct w:val="0"/>
        <w:autoSpaceDE w:val="0"/>
        <w:autoSpaceDN w:val="0"/>
        <w:adjustRightInd w:val="0"/>
        <w:spacing w:after="0" w:line="360" w:lineRule="auto"/>
        <w:jc w:val="both"/>
        <w:textAlignment w:val="baseline"/>
        <w:rPr>
          <w:rFonts w:ascii="David" w:eastAsia="Times New Roman" w:hAnsi="David" w:cs="David"/>
          <w:spacing w:val="10"/>
          <w:sz w:val="24"/>
          <w:szCs w:val="24"/>
          <w:rtl/>
        </w:rPr>
      </w:pPr>
    </w:p>
    <w:p w:rsidR="000365CA" w:rsidRPr="000365CA" w:rsidRDefault="004E14DF" w:rsidP="000A5565">
      <w:pPr>
        <w:overflowPunct w:val="0"/>
        <w:autoSpaceDE w:val="0"/>
        <w:autoSpaceDN w:val="0"/>
        <w:adjustRightInd w:val="0"/>
        <w:spacing w:after="0" w:line="360" w:lineRule="auto"/>
        <w:jc w:val="both"/>
        <w:textAlignment w:val="baseline"/>
        <w:rPr>
          <w:rFonts w:ascii="David" w:eastAsia="Times New Roman" w:hAnsi="David" w:cs="David"/>
          <w:spacing w:val="10"/>
          <w:sz w:val="24"/>
          <w:szCs w:val="24"/>
          <w:rtl/>
        </w:rPr>
      </w:pPr>
      <w:r w:rsidRPr="000365CA">
        <w:rPr>
          <w:rFonts w:ascii="David" w:eastAsia="Times New Roman" w:hAnsi="David" w:cs="David" w:hint="eastAsia"/>
          <w:spacing w:val="10"/>
          <w:sz w:val="24"/>
          <w:szCs w:val="24"/>
          <w:u w:val="single"/>
          <w:rtl/>
        </w:rPr>
        <w:lastRenderedPageBreak/>
        <w:t>הפרשה</w:t>
      </w:r>
      <w:r w:rsidRPr="000365CA">
        <w:rPr>
          <w:rFonts w:ascii="David" w:eastAsia="Times New Roman" w:hAnsi="David" w:cs="David"/>
          <w:spacing w:val="10"/>
          <w:sz w:val="24"/>
          <w:szCs w:val="24"/>
          <w:u w:val="single"/>
          <w:rtl/>
        </w:rPr>
        <w:t xml:space="preserve"> </w:t>
      </w:r>
      <w:r w:rsidRPr="000365CA">
        <w:rPr>
          <w:rFonts w:ascii="David" w:eastAsia="Times New Roman" w:hAnsi="David" w:cs="David" w:hint="eastAsia"/>
          <w:spacing w:val="10"/>
          <w:sz w:val="24"/>
          <w:szCs w:val="24"/>
          <w:u w:val="single"/>
          <w:rtl/>
        </w:rPr>
        <w:t>הרביעית</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עניינה</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הקשר</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המיני</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שקיים</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שחם</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עם</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ד</w:t>
      </w:r>
      <w:r w:rsidRPr="000365CA">
        <w:rPr>
          <w:rFonts w:ascii="David" w:eastAsia="Times New Roman" w:hAnsi="David" w:cs="David"/>
          <w:spacing w:val="10"/>
          <w:sz w:val="24"/>
          <w:szCs w:val="24"/>
          <w:rtl/>
        </w:rPr>
        <w:t>.</w:t>
      </w:r>
      <w:r w:rsidRPr="000365CA">
        <w:rPr>
          <w:rFonts w:ascii="David" w:eastAsia="Times New Roman" w:hAnsi="David" w:cs="David" w:hint="eastAsia"/>
          <w:spacing w:val="10"/>
          <w:sz w:val="24"/>
          <w:szCs w:val="24"/>
          <w:rtl/>
        </w:rPr>
        <w:t>ד</w:t>
      </w:r>
      <w:r w:rsidR="00FE7B08">
        <w:rPr>
          <w:rFonts w:ascii="David" w:eastAsia="Times New Roman" w:hAnsi="David" w:cs="David" w:hint="cs"/>
          <w:spacing w:val="10"/>
          <w:sz w:val="24"/>
          <w:szCs w:val="24"/>
          <w:rtl/>
        </w:rPr>
        <w:t>,</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להלן</w:t>
      </w:r>
      <w:r w:rsidRPr="000365CA">
        <w:rPr>
          <w:rFonts w:ascii="David" w:eastAsia="Times New Roman" w:hAnsi="David" w:cs="David"/>
          <w:spacing w:val="10"/>
          <w:sz w:val="24"/>
          <w:szCs w:val="24"/>
          <w:rtl/>
        </w:rPr>
        <w:t>: "</w:t>
      </w:r>
      <w:r w:rsidRPr="000365CA">
        <w:rPr>
          <w:rFonts w:ascii="David" w:eastAsia="Times New Roman" w:hAnsi="David" w:cs="David" w:hint="eastAsia"/>
          <w:b/>
          <w:bCs/>
          <w:spacing w:val="10"/>
          <w:sz w:val="24"/>
          <w:szCs w:val="24"/>
          <w:rtl/>
        </w:rPr>
        <w:t>השוטרת</w:t>
      </w:r>
      <w:r w:rsidRPr="000365CA">
        <w:rPr>
          <w:rFonts w:ascii="David" w:eastAsia="Times New Roman" w:hAnsi="David" w:cs="David"/>
          <w:b/>
          <w:bCs/>
          <w:spacing w:val="10"/>
          <w:sz w:val="24"/>
          <w:szCs w:val="24"/>
          <w:rtl/>
        </w:rPr>
        <w:t xml:space="preserve"> </w:t>
      </w:r>
      <w:r w:rsidRPr="000365CA">
        <w:rPr>
          <w:rFonts w:ascii="David" w:eastAsia="Times New Roman" w:hAnsi="David" w:cs="David" w:hint="eastAsia"/>
          <w:b/>
          <w:bCs/>
          <w:spacing w:val="10"/>
          <w:sz w:val="24"/>
          <w:szCs w:val="24"/>
          <w:rtl/>
        </w:rPr>
        <w:t>ד</w:t>
      </w:r>
      <w:r w:rsidRPr="000365CA">
        <w:rPr>
          <w:rFonts w:ascii="David" w:eastAsia="Times New Roman" w:hAnsi="David" w:cs="David"/>
          <w:b/>
          <w:bCs/>
          <w:spacing w:val="10"/>
          <w:sz w:val="24"/>
          <w:szCs w:val="24"/>
          <w:rtl/>
        </w:rPr>
        <w:t>.</w:t>
      </w:r>
      <w:r w:rsidRPr="000365CA">
        <w:rPr>
          <w:rFonts w:ascii="David" w:eastAsia="Times New Roman" w:hAnsi="David" w:cs="David" w:hint="eastAsia"/>
          <w:b/>
          <w:bCs/>
          <w:spacing w:val="10"/>
          <w:sz w:val="24"/>
          <w:szCs w:val="24"/>
          <w:rtl/>
        </w:rPr>
        <w:t>ד</w:t>
      </w:r>
      <w:r w:rsidRPr="000365CA">
        <w:rPr>
          <w:rFonts w:ascii="David" w:eastAsia="Times New Roman" w:hAnsi="David" w:cs="David"/>
          <w:b/>
          <w:bCs/>
          <w:spacing w:val="10"/>
          <w:sz w:val="24"/>
          <w:szCs w:val="24"/>
          <w:rtl/>
        </w:rPr>
        <w:t>"</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עת</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כיהן</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כסגן</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מפקד</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מחוז</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ירושלים</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ושימש</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בן</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היתר</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כמפקדה</w:t>
      </w:r>
      <w:r w:rsidRPr="000365CA">
        <w:rPr>
          <w:rFonts w:ascii="David" w:eastAsia="Times New Roman" w:hAnsi="David" w:cs="David"/>
          <w:spacing w:val="10"/>
          <w:sz w:val="24"/>
          <w:szCs w:val="24"/>
          <w:rtl/>
        </w:rPr>
        <w:t xml:space="preserve">. </w:t>
      </w:r>
      <w:r w:rsidR="00FE7B08">
        <w:rPr>
          <w:rFonts w:ascii="David" w:eastAsia="Times New Roman" w:hAnsi="David" w:cs="David" w:hint="eastAsia"/>
          <w:spacing w:val="10"/>
          <w:sz w:val="24"/>
          <w:szCs w:val="24"/>
          <w:rtl/>
        </w:rPr>
        <w:t>תחילת</w:t>
      </w:r>
      <w:r w:rsidR="00FE7B08">
        <w:rPr>
          <w:rFonts w:ascii="David" w:eastAsia="Times New Roman" w:hAnsi="David" w:cs="David" w:hint="cs"/>
          <w:spacing w:val="10"/>
          <w:sz w:val="24"/>
          <w:szCs w:val="24"/>
          <w:rtl/>
        </w:rPr>
        <w:t xml:space="preserve">ו </w:t>
      </w:r>
      <w:r w:rsidRPr="000365CA">
        <w:rPr>
          <w:rFonts w:ascii="David" w:eastAsia="Times New Roman" w:hAnsi="David" w:cs="David" w:hint="eastAsia"/>
          <w:spacing w:val="10"/>
          <w:sz w:val="24"/>
          <w:szCs w:val="24"/>
          <w:rtl/>
        </w:rPr>
        <w:t>בראיון</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שערך</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שחם</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לשוטרת</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ד</w:t>
      </w:r>
      <w:r w:rsidRPr="000365CA">
        <w:rPr>
          <w:rFonts w:ascii="David" w:eastAsia="Times New Roman" w:hAnsi="David" w:cs="David"/>
          <w:spacing w:val="10"/>
          <w:sz w:val="24"/>
          <w:szCs w:val="24"/>
          <w:rtl/>
        </w:rPr>
        <w:t>.</w:t>
      </w:r>
      <w:r w:rsidRPr="000365CA">
        <w:rPr>
          <w:rFonts w:ascii="David" w:eastAsia="Times New Roman" w:hAnsi="David" w:cs="David" w:hint="eastAsia"/>
          <w:spacing w:val="10"/>
          <w:sz w:val="24"/>
          <w:szCs w:val="24"/>
          <w:rtl/>
        </w:rPr>
        <w:t>ד</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מתוקף</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תפקידו</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בנוגע</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לבקשתה</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לפרוש</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מן</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המשטרה</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שהוגשה</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עקב</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דחיית</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בקשה</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קודמת</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בעניינה</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למעבר</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למחוז</w:t>
      </w:r>
      <w:r w:rsidRPr="000365CA">
        <w:rPr>
          <w:rFonts w:ascii="David" w:eastAsia="Times New Roman" w:hAnsi="David" w:cs="David"/>
          <w:spacing w:val="10"/>
          <w:sz w:val="24"/>
          <w:szCs w:val="24"/>
          <w:rtl/>
        </w:rPr>
        <w:t xml:space="preserve"> </w:t>
      </w:r>
      <w:r w:rsidR="002306E5">
        <w:rPr>
          <w:rFonts w:ascii="David" w:eastAsia="Times New Roman" w:hAnsi="David" w:cs="David" w:hint="cs"/>
          <w:spacing w:val="10"/>
          <w:sz w:val="24"/>
          <w:szCs w:val="24"/>
          <w:rtl/>
        </w:rPr>
        <w:t xml:space="preserve">אחר </w:t>
      </w:r>
      <w:r w:rsidRPr="000365CA">
        <w:rPr>
          <w:rFonts w:ascii="David" w:eastAsia="Times New Roman" w:hAnsi="David" w:cs="David" w:hint="eastAsia"/>
          <w:spacing w:val="10"/>
          <w:sz w:val="24"/>
          <w:szCs w:val="24"/>
          <w:rtl/>
        </w:rPr>
        <w:t>על</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רקע</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מצוקה</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משפחתית</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עם</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תום</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הריאיון</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אישר</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שחם</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את</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בקשת</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המעבר</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של</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ד</w:t>
      </w:r>
      <w:r w:rsidRPr="000365CA">
        <w:rPr>
          <w:rFonts w:ascii="David" w:eastAsia="Times New Roman" w:hAnsi="David" w:cs="David"/>
          <w:spacing w:val="10"/>
          <w:sz w:val="24"/>
          <w:szCs w:val="24"/>
          <w:rtl/>
        </w:rPr>
        <w:t>.</w:t>
      </w:r>
      <w:r w:rsidRPr="000365CA">
        <w:rPr>
          <w:rFonts w:ascii="David" w:eastAsia="Times New Roman" w:hAnsi="David" w:cs="David" w:hint="eastAsia"/>
          <w:spacing w:val="10"/>
          <w:sz w:val="24"/>
          <w:szCs w:val="24"/>
          <w:rtl/>
        </w:rPr>
        <w:t>ד</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ובהמשך</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יצר</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עמה</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קשר</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טלפוני</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במהלכו</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נהג</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להחמיא</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לה</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על</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מראיה</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ולעודדה</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כי</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לבטח</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תצליח</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בתפקידה</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במשטרה</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כעבור</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כחודש</w:t>
      </w:r>
      <w:r w:rsidR="00FA59FB">
        <w:rPr>
          <w:rFonts w:ascii="David" w:eastAsia="Times New Roman" w:hAnsi="David" w:cs="David" w:hint="cs"/>
          <w:spacing w:val="10"/>
          <w:sz w:val="24"/>
          <w:szCs w:val="24"/>
          <w:rtl/>
        </w:rPr>
        <w:t>,</w:t>
      </w:r>
      <w:r w:rsidRPr="000365CA">
        <w:rPr>
          <w:rFonts w:ascii="David" w:eastAsia="Times New Roman" w:hAnsi="David" w:cs="David"/>
          <w:spacing w:val="10"/>
          <w:sz w:val="24"/>
          <w:szCs w:val="24"/>
          <w:rtl/>
        </w:rPr>
        <w:t xml:space="preserve"> </w:t>
      </w:r>
      <w:r w:rsidR="00FE7B08">
        <w:rPr>
          <w:rFonts w:ascii="David" w:eastAsia="Times New Roman" w:hAnsi="David" w:cs="David" w:hint="cs"/>
          <w:spacing w:val="10"/>
          <w:sz w:val="24"/>
          <w:szCs w:val="24"/>
          <w:rtl/>
        </w:rPr>
        <w:t>לאחר פגישה אקראית</w:t>
      </w:r>
      <w:r w:rsidR="00FA59FB">
        <w:rPr>
          <w:rFonts w:ascii="David" w:eastAsia="Times New Roman" w:hAnsi="David" w:cs="David" w:hint="cs"/>
          <w:spacing w:val="10"/>
          <w:sz w:val="24"/>
          <w:szCs w:val="24"/>
          <w:rtl/>
        </w:rPr>
        <w:t>,</w:t>
      </w:r>
      <w:r w:rsidRPr="000365CA">
        <w:rPr>
          <w:rFonts w:ascii="David" w:eastAsia="Times New Roman" w:hAnsi="David" w:cs="David"/>
          <w:spacing w:val="10"/>
          <w:sz w:val="24"/>
          <w:szCs w:val="24"/>
          <w:rtl/>
        </w:rPr>
        <w:t xml:space="preserve"> </w:t>
      </w:r>
      <w:r w:rsidR="002306E5">
        <w:rPr>
          <w:rFonts w:ascii="David" w:eastAsia="Times New Roman" w:hAnsi="David" w:cs="David" w:hint="cs"/>
          <w:spacing w:val="10"/>
          <w:sz w:val="24"/>
          <w:szCs w:val="24"/>
          <w:rtl/>
        </w:rPr>
        <w:t>הם נפגשו ו</w:t>
      </w:r>
      <w:r w:rsidRPr="000365CA">
        <w:rPr>
          <w:rFonts w:ascii="David" w:eastAsia="Times New Roman" w:hAnsi="David" w:cs="David" w:hint="eastAsia"/>
          <w:spacing w:val="10"/>
          <w:sz w:val="24"/>
          <w:szCs w:val="24"/>
          <w:rtl/>
        </w:rPr>
        <w:t>קיימו</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יחסי</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מין</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ברכבו</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של</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שחם</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שבועיים</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לאחר</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מכן</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ובעודם</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מקיימים</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קשר</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טלפוני</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תכוף</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וחריג</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שנסתר</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מעיניי</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הגורמים</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המוסמכים</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על</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רקע</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עיכוב</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שחל</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בהעברת</w:t>
      </w:r>
      <w:r w:rsidR="00E02E02">
        <w:rPr>
          <w:rFonts w:ascii="David" w:eastAsia="Times New Roman" w:hAnsi="David" w:cs="David" w:hint="cs"/>
          <w:spacing w:val="10"/>
          <w:sz w:val="24"/>
          <w:szCs w:val="24"/>
          <w:rtl/>
        </w:rPr>
        <w:t>ה</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למחוז</w:t>
      </w:r>
      <w:r w:rsidRPr="000365CA">
        <w:rPr>
          <w:rFonts w:ascii="David" w:eastAsia="Times New Roman" w:hAnsi="David" w:cs="David"/>
          <w:spacing w:val="10"/>
          <w:sz w:val="24"/>
          <w:szCs w:val="24"/>
          <w:rtl/>
        </w:rPr>
        <w:t xml:space="preserve"> </w:t>
      </w:r>
      <w:r w:rsidR="002306E5">
        <w:rPr>
          <w:rFonts w:ascii="David" w:eastAsia="Times New Roman" w:hAnsi="David" w:cs="David" w:hint="cs"/>
          <w:spacing w:val="10"/>
          <w:sz w:val="24"/>
          <w:szCs w:val="24"/>
          <w:rtl/>
        </w:rPr>
        <w:t>אחר</w:t>
      </w:r>
      <w:r w:rsidRPr="000365CA">
        <w:rPr>
          <w:rFonts w:ascii="David" w:eastAsia="Times New Roman" w:hAnsi="David" w:cs="David"/>
          <w:spacing w:val="10"/>
          <w:sz w:val="24"/>
          <w:szCs w:val="24"/>
          <w:rtl/>
        </w:rPr>
        <w:t xml:space="preserve"> – </w:t>
      </w:r>
      <w:r w:rsidRPr="000365CA">
        <w:rPr>
          <w:rFonts w:ascii="David" w:eastAsia="Times New Roman" w:hAnsi="David" w:cs="David" w:hint="eastAsia"/>
          <w:spacing w:val="10"/>
          <w:sz w:val="24"/>
          <w:szCs w:val="24"/>
          <w:rtl/>
        </w:rPr>
        <w:t>ביקש</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שחם</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מקצינת</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משאבי</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האנוש</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לקלוט</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אותה</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ללא</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דיחוי</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הקשר</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הטלפוני</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בין</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שחם</w:t>
      </w:r>
      <w:r w:rsidRPr="000365CA">
        <w:rPr>
          <w:rFonts w:ascii="David" w:eastAsia="Times New Roman" w:hAnsi="David" w:cs="David"/>
          <w:spacing w:val="10"/>
          <w:sz w:val="24"/>
          <w:szCs w:val="24"/>
          <w:rtl/>
        </w:rPr>
        <w:t xml:space="preserve"> </w:t>
      </w:r>
      <w:r w:rsidR="000A5565">
        <w:rPr>
          <w:rFonts w:ascii="David" w:eastAsia="Times New Roman" w:hAnsi="David" w:cs="David" w:hint="cs"/>
          <w:spacing w:val="10"/>
          <w:sz w:val="24"/>
          <w:szCs w:val="24"/>
          <w:rtl/>
        </w:rPr>
        <w:t xml:space="preserve">לשוטרת </w:t>
      </w:r>
      <w:r w:rsidRPr="000365CA">
        <w:rPr>
          <w:rFonts w:ascii="David" w:eastAsia="Times New Roman" w:hAnsi="David" w:cs="David" w:hint="eastAsia"/>
          <w:spacing w:val="10"/>
          <w:sz w:val="24"/>
          <w:szCs w:val="24"/>
          <w:rtl/>
        </w:rPr>
        <w:t>ד</w:t>
      </w:r>
      <w:r w:rsidRPr="000365CA">
        <w:rPr>
          <w:rFonts w:ascii="David" w:eastAsia="Times New Roman" w:hAnsi="David" w:cs="David"/>
          <w:spacing w:val="10"/>
          <w:sz w:val="24"/>
          <w:szCs w:val="24"/>
          <w:rtl/>
        </w:rPr>
        <w:t>.</w:t>
      </w:r>
      <w:r w:rsidRPr="000365CA">
        <w:rPr>
          <w:rFonts w:ascii="David" w:eastAsia="Times New Roman" w:hAnsi="David" w:cs="David" w:hint="eastAsia"/>
          <w:spacing w:val="10"/>
          <w:sz w:val="24"/>
          <w:szCs w:val="24"/>
          <w:rtl/>
        </w:rPr>
        <w:t>ד</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כמו</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גם</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הקשר</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המיני</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ביניהם</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נמשך</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אף</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לאחר</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מעברה</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למחוז</w:t>
      </w:r>
      <w:r w:rsidRPr="000365CA">
        <w:rPr>
          <w:rFonts w:ascii="David" w:eastAsia="Times New Roman" w:hAnsi="David" w:cs="David"/>
          <w:spacing w:val="10"/>
          <w:sz w:val="24"/>
          <w:szCs w:val="24"/>
          <w:rtl/>
        </w:rPr>
        <w:t xml:space="preserve"> </w:t>
      </w:r>
      <w:r w:rsidR="002306E5">
        <w:rPr>
          <w:rFonts w:ascii="David" w:eastAsia="Times New Roman" w:hAnsi="David" w:cs="David" w:hint="eastAsia"/>
          <w:spacing w:val="10"/>
          <w:sz w:val="24"/>
          <w:szCs w:val="24"/>
          <w:rtl/>
        </w:rPr>
        <w:t>ה</w:t>
      </w:r>
      <w:r w:rsidR="002306E5">
        <w:rPr>
          <w:rFonts w:ascii="David" w:eastAsia="Times New Roman" w:hAnsi="David" w:cs="David" w:hint="cs"/>
          <w:spacing w:val="10"/>
          <w:sz w:val="24"/>
          <w:szCs w:val="24"/>
          <w:rtl/>
        </w:rPr>
        <w:t>אחר</w:t>
      </w:r>
      <w:r w:rsidRPr="000365CA">
        <w:rPr>
          <w:rFonts w:ascii="David" w:eastAsia="Times New Roman" w:hAnsi="David" w:cs="David"/>
          <w:spacing w:val="10"/>
          <w:sz w:val="24"/>
          <w:szCs w:val="24"/>
          <w:rtl/>
        </w:rPr>
        <w:t xml:space="preserve">. </w:t>
      </w:r>
    </w:p>
    <w:p w:rsidR="000365CA" w:rsidRPr="000365CA" w:rsidRDefault="000365CA" w:rsidP="000365CA">
      <w:pPr>
        <w:overflowPunct w:val="0"/>
        <w:autoSpaceDE w:val="0"/>
        <w:autoSpaceDN w:val="0"/>
        <w:adjustRightInd w:val="0"/>
        <w:spacing w:after="0" w:line="360" w:lineRule="auto"/>
        <w:jc w:val="both"/>
        <w:textAlignment w:val="baseline"/>
        <w:rPr>
          <w:rFonts w:ascii="David" w:eastAsia="Times New Roman" w:hAnsi="David" w:cs="David"/>
          <w:spacing w:val="10"/>
          <w:sz w:val="24"/>
          <w:szCs w:val="24"/>
          <w:rtl/>
        </w:rPr>
      </w:pPr>
    </w:p>
    <w:p w:rsidR="000365CA" w:rsidRDefault="004E14DF" w:rsidP="00A24606">
      <w:pPr>
        <w:overflowPunct w:val="0"/>
        <w:autoSpaceDE w:val="0"/>
        <w:autoSpaceDN w:val="0"/>
        <w:adjustRightInd w:val="0"/>
        <w:spacing w:after="0" w:line="360" w:lineRule="auto"/>
        <w:jc w:val="both"/>
        <w:textAlignment w:val="baseline"/>
        <w:rPr>
          <w:rFonts w:ascii="David" w:eastAsia="Times New Roman" w:hAnsi="David" w:cs="David"/>
          <w:spacing w:val="10"/>
          <w:sz w:val="24"/>
          <w:szCs w:val="24"/>
          <w:rtl/>
        </w:rPr>
      </w:pPr>
      <w:r w:rsidRPr="000365CA">
        <w:rPr>
          <w:rFonts w:ascii="David" w:eastAsia="Times New Roman" w:hAnsi="David" w:cs="David" w:hint="eastAsia"/>
          <w:spacing w:val="10"/>
          <w:sz w:val="24"/>
          <w:szCs w:val="24"/>
          <w:u w:val="single"/>
          <w:rtl/>
        </w:rPr>
        <w:t>הפרשה</w:t>
      </w:r>
      <w:r w:rsidRPr="000365CA">
        <w:rPr>
          <w:rFonts w:ascii="David" w:eastAsia="Times New Roman" w:hAnsi="David" w:cs="David"/>
          <w:spacing w:val="10"/>
          <w:sz w:val="24"/>
          <w:szCs w:val="24"/>
          <w:u w:val="single"/>
          <w:rtl/>
        </w:rPr>
        <w:t xml:space="preserve"> </w:t>
      </w:r>
      <w:r w:rsidRPr="000365CA">
        <w:rPr>
          <w:rFonts w:ascii="David" w:eastAsia="Times New Roman" w:hAnsi="David" w:cs="David" w:hint="eastAsia"/>
          <w:spacing w:val="10"/>
          <w:sz w:val="24"/>
          <w:szCs w:val="24"/>
          <w:u w:val="single"/>
          <w:rtl/>
        </w:rPr>
        <w:t>החמישית</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עניינה</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הקשר</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המיני</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שקיים</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שחם</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עם</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ה</w:t>
      </w:r>
      <w:r w:rsidRPr="000365CA">
        <w:rPr>
          <w:rFonts w:ascii="David" w:eastAsia="Times New Roman" w:hAnsi="David" w:cs="David"/>
          <w:spacing w:val="10"/>
          <w:sz w:val="24"/>
          <w:szCs w:val="24"/>
          <w:rtl/>
        </w:rPr>
        <w:t>.</w:t>
      </w:r>
      <w:r w:rsidRPr="000365CA">
        <w:rPr>
          <w:rFonts w:ascii="David" w:eastAsia="Times New Roman" w:hAnsi="David" w:cs="David" w:hint="eastAsia"/>
          <w:spacing w:val="10"/>
          <w:sz w:val="24"/>
          <w:szCs w:val="24"/>
          <w:rtl/>
        </w:rPr>
        <w:t>ה</w:t>
      </w:r>
      <w:r w:rsidR="00A22D90">
        <w:rPr>
          <w:rFonts w:ascii="David" w:eastAsia="Times New Roman" w:hAnsi="David" w:cs="David" w:hint="cs"/>
          <w:spacing w:val="10"/>
          <w:sz w:val="24"/>
          <w:szCs w:val="24"/>
          <w:rtl/>
        </w:rPr>
        <w:t xml:space="preserve">, </w:t>
      </w:r>
      <w:r w:rsidRPr="000365CA">
        <w:rPr>
          <w:rFonts w:ascii="David" w:eastAsia="Times New Roman" w:hAnsi="David" w:cs="David" w:hint="eastAsia"/>
          <w:spacing w:val="10"/>
          <w:sz w:val="24"/>
          <w:szCs w:val="24"/>
          <w:rtl/>
        </w:rPr>
        <w:t>שוטרת</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שבמועד</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הרלוונטי</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לכתב</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האישום</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סיימה</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את</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שירות</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החובה</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שלה</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ועמדה</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לפני</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שירות</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קבע</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במשטרה</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להלן</w:t>
      </w:r>
      <w:r w:rsidRPr="000365CA">
        <w:rPr>
          <w:rFonts w:ascii="David" w:eastAsia="Times New Roman" w:hAnsi="David" w:cs="David"/>
          <w:spacing w:val="10"/>
          <w:sz w:val="24"/>
          <w:szCs w:val="24"/>
          <w:rtl/>
        </w:rPr>
        <w:t>: "</w:t>
      </w:r>
      <w:r w:rsidRPr="000365CA">
        <w:rPr>
          <w:rFonts w:ascii="David" w:eastAsia="Times New Roman" w:hAnsi="David" w:cs="David" w:hint="eastAsia"/>
          <w:b/>
          <w:bCs/>
          <w:spacing w:val="10"/>
          <w:sz w:val="24"/>
          <w:szCs w:val="24"/>
          <w:rtl/>
        </w:rPr>
        <w:t>השוטרת</w:t>
      </w:r>
      <w:r w:rsidRPr="000365CA">
        <w:rPr>
          <w:rFonts w:ascii="David" w:eastAsia="Times New Roman" w:hAnsi="David" w:cs="David"/>
          <w:b/>
          <w:bCs/>
          <w:spacing w:val="10"/>
          <w:sz w:val="24"/>
          <w:szCs w:val="24"/>
          <w:rtl/>
        </w:rPr>
        <w:t xml:space="preserve"> </w:t>
      </w:r>
      <w:r w:rsidRPr="000365CA">
        <w:rPr>
          <w:rFonts w:ascii="David" w:eastAsia="Times New Roman" w:hAnsi="David" w:cs="David" w:hint="eastAsia"/>
          <w:b/>
          <w:bCs/>
          <w:spacing w:val="10"/>
          <w:sz w:val="24"/>
          <w:szCs w:val="24"/>
          <w:rtl/>
        </w:rPr>
        <w:t>ה</w:t>
      </w:r>
      <w:r w:rsidRPr="000365CA">
        <w:rPr>
          <w:rFonts w:ascii="David" w:eastAsia="Times New Roman" w:hAnsi="David" w:cs="David"/>
          <w:b/>
          <w:bCs/>
          <w:spacing w:val="10"/>
          <w:sz w:val="24"/>
          <w:szCs w:val="24"/>
          <w:rtl/>
        </w:rPr>
        <w:t>.</w:t>
      </w:r>
      <w:r w:rsidRPr="000365CA">
        <w:rPr>
          <w:rFonts w:ascii="David" w:eastAsia="Times New Roman" w:hAnsi="David" w:cs="David" w:hint="eastAsia"/>
          <w:b/>
          <w:bCs/>
          <w:spacing w:val="10"/>
          <w:sz w:val="24"/>
          <w:szCs w:val="24"/>
          <w:rtl/>
        </w:rPr>
        <w:t>ה</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בעת</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שכיהן</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כמפקד</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מרחב</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דוד</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ולפיכך</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כמפקדה</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של</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השוטרת</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ובהמשך</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כמפקד</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מרחב</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נגב</w:t>
      </w:r>
      <w:r w:rsidRPr="000365CA">
        <w:rPr>
          <w:rFonts w:ascii="David" w:eastAsia="Times New Roman" w:hAnsi="David" w:cs="David"/>
          <w:spacing w:val="10"/>
          <w:sz w:val="24"/>
          <w:szCs w:val="24"/>
          <w:rtl/>
        </w:rPr>
        <w:t xml:space="preserve">. </w:t>
      </w:r>
      <w:r w:rsidR="002306E5">
        <w:rPr>
          <w:rFonts w:ascii="David" w:eastAsia="Times New Roman" w:hAnsi="David" w:cs="David" w:hint="eastAsia"/>
          <w:spacing w:val="10"/>
          <w:sz w:val="24"/>
          <w:szCs w:val="24"/>
          <w:rtl/>
        </w:rPr>
        <w:t>תחילת</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הקשר</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בראיון</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שערך</w:t>
      </w:r>
      <w:r w:rsidRPr="000365CA">
        <w:rPr>
          <w:rFonts w:ascii="David" w:eastAsia="Times New Roman" w:hAnsi="David" w:cs="David"/>
          <w:spacing w:val="10"/>
          <w:sz w:val="24"/>
          <w:szCs w:val="24"/>
          <w:rtl/>
        </w:rPr>
        <w:t xml:space="preserve"> </w:t>
      </w:r>
      <w:r w:rsidR="0007500B">
        <w:rPr>
          <w:rFonts w:ascii="David" w:eastAsia="Times New Roman" w:hAnsi="David" w:cs="David" w:hint="cs"/>
          <w:spacing w:val="10"/>
          <w:sz w:val="24"/>
          <w:szCs w:val="24"/>
          <w:rtl/>
        </w:rPr>
        <w:t xml:space="preserve">עמה </w:t>
      </w:r>
      <w:r w:rsidRPr="000365CA">
        <w:rPr>
          <w:rFonts w:ascii="David" w:eastAsia="Times New Roman" w:hAnsi="David" w:cs="David" w:hint="eastAsia"/>
          <w:spacing w:val="10"/>
          <w:sz w:val="24"/>
          <w:szCs w:val="24"/>
          <w:rtl/>
        </w:rPr>
        <w:t>שחם</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בנוגע</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לבקשתה</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להתגייס</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לשירות</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קבע</w:t>
      </w:r>
      <w:r w:rsidR="0007500B">
        <w:rPr>
          <w:rFonts w:ascii="David" w:eastAsia="Times New Roman" w:hAnsi="David" w:cs="David" w:hint="cs"/>
          <w:spacing w:val="10"/>
          <w:sz w:val="24"/>
          <w:szCs w:val="24"/>
          <w:rtl/>
        </w:rPr>
        <w:t>,</w:t>
      </w:r>
      <w:r w:rsidR="00B67372">
        <w:rPr>
          <w:rFonts w:ascii="David" w:eastAsia="Times New Roman" w:hAnsi="David" w:cs="David" w:hint="cs"/>
          <w:spacing w:val="10"/>
          <w:sz w:val="24"/>
          <w:szCs w:val="24"/>
          <w:rtl/>
        </w:rPr>
        <w:t xml:space="preserve"> ו</w:t>
      </w:r>
      <w:r w:rsidRPr="000365CA">
        <w:rPr>
          <w:rFonts w:ascii="David" w:eastAsia="Times New Roman" w:hAnsi="David" w:cs="David" w:hint="eastAsia"/>
          <w:spacing w:val="10"/>
          <w:sz w:val="24"/>
          <w:szCs w:val="24"/>
          <w:rtl/>
        </w:rPr>
        <w:t>בעקבות</w:t>
      </w:r>
      <w:r w:rsidR="00B67372">
        <w:rPr>
          <w:rFonts w:ascii="David" w:eastAsia="Times New Roman" w:hAnsi="David" w:cs="David" w:hint="cs"/>
          <w:spacing w:val="10"/>
          <w:sz w:val="24"/>
          <w:szCs w:val="24"/>
          <w:rtl/>
        </w:rPr>
        <w:t>יו</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יצר</w:t>
      </w:r>
      <w:r w:rsidRPr="000365CA">
        <w:rPr>
          <w:rFonts w:ascii="David" w:eastAsia="Times New Roman" w:hAnsi="David" w:cs="David"/>
          <w:spacing w:val="10"/>
          <w:sz w:val="24"/>
          <w:szCs w:val="24"/>
          <w:rtl/>
        </w:rPr>
        <w:t xml:space="preserve"> </w:t>
      </w:r>
      <w:r w:rsidR="00B67372">
        <w:rPr>
          <w:rFonts w:ascii="David" w:eastAsia="Times New Roman" w:hAnsi="David" w:cs="David" w:hint="cs"/>
          <w:spacing w:val="10"/>
          <w:sz w:val="24"/>
          <w:szCs w:val="24"/>
          <w:rtl/>
        </w:rPr>
        <w:t>עמה</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קשר</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וביקש</w:t>
      </w:r>
      <w:r w:rsidRPr="000365CA">
        <w:rPr>
          <w:rFonts w:ascii="David" w:eastAsia="Times New Roman" w:hAnsi="David" w:cs="David"/>
          <w:spacing w:val="10"/>
          <w:sz w:val="24"/>
          <w:szCs w:val="24"/>
          <w:rtl/>
        </w:rPr>
        <w:t xml:space="preserve"> </w:t>
      </w:r>
      <w:r w:rsidR="00B67372">
        <w:rPr>
          <w:rFonts w:ascii="David" w:eastAsia="Times New Roman" w:hAnsi="David" w:cs="David" w:hint="cs"/>
          <w:spacing w:val="10"/>
          <w:sz w:val="24"/>
          <w:szCs w:val="24"/>
          <w:rtl/>
        </w:rPr>
        <w:t xml:space="preserve">שתגיע </w:t>
      </w:r>
      <w:r w:rsidR="0007500B">
        <w:rPr>
          <w:rFonts w:ascii="David" w:eastAsia="Times New Roman" w:hAnsi="David" w:cs="David" w:hint="cs"/>
          <w:spacing w:val="10"/>
          <w:sz w:val="24"/>
          <w:szCs w:val="24"/>
          <w:rtl/>
        </w:rPr>
        <w:t xml:space="preserve">אליו, </w:t>
      </w:r>
      <w:r w:rsidRPr="000365CA">
        <w:rPr>
          <w:rFonts w:ascii="David" w:eastAsia="Times New Roman" w:hAnsi="David" w:cs="David" w:hint="eastAsia"/>
          <w:spacing w:val="10"/>
          <w:sz w:val="24"/>
          <w:szCs w:val="24"/>
          <w:rtl/>
        </w:rPr>
        <w:t>ובהגיעה</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נישק</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אותה</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על</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שפתיה</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מפגש</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זה</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התפתח</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לקשר</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מיני</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תדיר</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ביניהם</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שכלל</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קיום</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יחסי</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מין</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בין</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היתר</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בלשכתו</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של</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שחם</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במהלך</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תקופת</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הקשר</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ובעודו</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נמנע</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מלדווח</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על</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קיומו</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פעל</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שחם</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בעניינה</w:t>
      </w:r>
      <w:r w:rsidRPr="000365CA">
        <w:rPr>
          <w:rFonts w:ascii="David" w:eastAsia="Times New Roman" w:hAnsi="David" w:cs="David"/>
          <w:spacing w:val="10"/>
          <w:sz w:val="24"/>
          <w:szCs w:val="24"/>
          <w:rtl/>
        </w:rPr>
        <w:t xml:space="preserve"> </w:t>
      </w:r>
      <w:r w:rsidR="00E02E02">
        <w:rPr>
          <w:rFonts w:ascii="David" w:eastAsia="Times New Roman" w:hAnsi="David" w:cs="David" w:hint="cs"/>
          <w:spacing w:val="10"/>
          <w:sz w:val="24"/>
          <w:szCs w:val="24"/>
          <w:rtl/>
        </w:rPr>
        <w:t xml:space="preserve">של </w:t>
      </w:r>
      <w:r w:rsidRPr="000365CA">
        <w:rPr>
          <w:rFonts w:ascii="David" w:eastAsia="Times New Roman" w:hAnsi="David" w:cs="David" w:hint="eastAsia"/>
          <w:spacing w:val="10"/>
          <w:sz w:val="24"/>
          <w:szCs w:val="24"/>
          <w:rtl/>
        </w:rPr>
        <w:t>ה</w:t>
      </w:r>
      <w:r w:rsidRPr="000365CA">
        <w:rPr>
          <w:rFonts w:ascii="David" w:eastAsia="Times New Roman" w:hAnsi="David" w:cs="David"/>
          <w:spacing w:val="10"/>
          <w:sz w:val="24"/>
          <w:szCs w:val="24"/>
          <w:rtl/>
        </w:rPr>
        <w:t>.</w:t>
      </w:r>
      <w:r w:rsidRPr="000365CA">
        <w:rPr>
          <w:rFonts w:ascii="David" w:eastAsia="Times New Roman" w:hAnsi="David" w:cs="David" w:hint="eastAsia"/>
          <w:spacing w:val="10"/>
          <w:sz w:val="24"/>
          <w:szCs w:val="24"/>
          <w:rtl/>
        </w:rPr>
        <w:t>ה</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ובכלל</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זה</w:t>
      </w:r>
      <w:r w:rsidRPr="000365CA">
        <w:rPr>
          <w:rFonts w:ascii="David" w:eastAsia="Times New Roman" w:hAnsi="David" w:cs="David"/>
          <w:spacing w:val="10"/>
          <w:sz w:val="24"/>
          <w:szCs w:val="24"/>
          <w:rtl/>
        </w:rPr>
        <w:t xml:space="preserve"> – </w:t>
      </w:r>
      <w:r w:rsidRPr="000365CA">
        <w:rPr>
          <w:rFonts w:ascii="David" w:eastAsia="Times New Roman" w:hAnsi="David" w:cs="David" w:hint="eastAsia"/>
          <w:spacing w:val="10"/>
          <w:sz w:val="24"/>
          <w:szCs w:val="24"/>
          <w:rtl/>
        </w:rPr>
        <w:t>אישר</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העלאתה</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בדרגה</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אישר</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המלצה</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להארכת</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שירותה</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אישר</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בקשתה</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לסיוע</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כספי</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למימון</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לימודי</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השכלה</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גבוהה</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אישר</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בקשתה</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לדחיית</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מועד</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יציאה</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לקורס</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אליו</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זומנה</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לאחר</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שערך</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עמה</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ראיון</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טיפל</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בבקשתה</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לביצוע</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עבודה</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בשכר</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וערך</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עמה</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ראיון</w:t>
      </w:r>
      <w:r w:rsidRPr="000365CA">
        <w:rPr>
          <w:rFonts w:ascii="David" w:eastAsia="Times New Roman" w:hAnsi="David" w:cs="David"/>
          <w:spacing w:val="10"/>
          <w:sz w:val="24"/>
          <w:szCs w:val="24"/>
          <w:rtl/>
        </w:rPr>
        <w:t xml:space="preserve"> </w:t>
      </w:r>
      <w:r w:rsidR="0007500B">
        <w:rPr>
          <w:rFonts w:ascii="David" w:eastAsia="Times New Roman" w:hAnsi="David" w:cs="David" w:hint="eastAsia"/>
          <w:spacing w:val="10"/>
          <w:sz w:val="24"/>
          <w:szCs w:val="24"/>
          <w:rtl/>
        </w:rPr>
        <w:t>ב</w:t>
      </w:r>
      <w:r w:rsidRPr="000365CA">
        <w:rPr>
          <w:rFonts w:ascii="David" w:eastAsia="Times New Roman" w:hAnsi="David" w:cs="David" w:hint="eastAsia"/>
          <w:spacing w:val="10"/>
          <w:sz w:val="24"/>
          <w:szCs w:val="24"/>
          <w:rtl/>
        </w:rPr>
        <w:t>בקשתה</w:t>
      </w:r>
      <w:r w:rsidRPr="000365CA">
        <w:rPr>
          <w:rFonts w:ascii="David" w:eastAsia="Times New Roman" w:hAnsi="David" w:cs="David"/>
          <w:spacing w:val="10"/>
          <w:sz w:val="24"/>
          <w:szCs w:val="24"/>
          <w:rtl/>
        </w:rPr>
        <w:t xml:space="preserve"> </w:t>
      </w:r>
      <w:r w:rsidR="0007500B">
        <w:rPr>
          <w:rFonts w:ascii="David" w:eastAsia="Times New Roman" w:hAnsi="David" w:cs="David" w:hint="eastAsia"/>
          <w:spacing w:val="10"/>
          <w:sz w:val="24"/>
          <w:szCs w:val="24"/>
          <w:rtl/>
        </w:rPr>
        <w:t>ל</w:t>
      </w:r>
      <w:r w:rsidR="0007500B">
        <w:rPr>
          <w:rFonts w:ascii="David" w:eastAsia="Times New Roman" w:hAnsi="David" w:cs="David" w:hint="cs"/>
          <w:spacing w:val="10"/>
          <w:sz w:val="24"/>
          <w:szCs w:val="24"/>
          <w:rtl/>
        </w:rPr>
        <w:t>צאת</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לקורס</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אף</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לאחר</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סיום</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הקשר</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המיני</w:t>
      </w:r>
      <w:r w:rsidRPr="000365CA">
        <w:rPr>
          <w:rFonts w:ascii="David" w:eastAsia="Times New Roman" w:hAnsi="David" w:cs="David"/>
          <w:spacing w:val="10"/>
          <w:sz w:val="24"/>
          <w:szCs w:val="24"/>
          <w:rtl/>
        </w:rPr>
        <w:t xml:space="preserve"> - </w:t>
      </w:r>
      <w:r w:rsidRPr="000365CA">
        <w:rPr>
          <w:rFonts w:ascii="David" w:eastAsia="Times New Roman" w:hAnsi="David" w:cs="David" w:hint="eastAsia"/>
          <w:spacing w:val="10"/>
          <w:sz w:val="24"/>
          <w:szCs w:val="24"/>
          <w:rtl/>
        </w:rPr>
        <w:t>בתקופה</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שכיהן</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כסגן</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מפקד</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מחוז</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ירושלים</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ובהמשך</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כמפקד</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המחוז</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בו</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שירתה</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השוטרת</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המשיך</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שחם</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לפעול</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בעניינה</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של</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ה</w:t>
      </w:r>
      <w:r w:rsidRPr="000365CA">
        <w:rPr>
          <w:rFonts w:ascii="David" w:eastAsia="Times New Roman" w:hAnsi="David" w:cs="David"/>
          <w:spacing w:val="10"/>
          <w:sz w:val="24"/>
          <w:szCs w:val="24"/>
          <w:rtl/>
        </w:rPr>
        <w:t>.</w:t>
      </w:r>
      <w:r w:rsidRPr="000365CA">
        <w:rPr>
          <w:rFonts w:ascii="David" w:eastAsia="Times New Roman" w:hAnsi="David" w:cs="David" w:hint="eastAsia"/>
          <w:spacing w:val="10"/>
          <w:sz w:val="24"/>
          <w:szCs w:val="24"/>
          <w:rtl/>
        </w:rPr>
        <w:t>ה</w:t>
      </w:r>
      <w:r w:rsidRPr="000365CA">
        <w:rPr>
          <w:rFonts w:ascii="David" w:eastAsia="Times New Roman" w:hAnsi="David" w:cs="David"/>
          <w:spacing w:val="10"/>
          <w:sz w:val="24"/>
          <w:szCs w:val="24"/>
          <w:rtl/>
        </w:rPr>
        <w:t xml:space="preserve">, – </w:t>
      </w:r>
      <w:r w:rsidRPr="000365CA">
        <w:rPr>
          <w:rFonts w:ascii="David" w:eastAsia="Times New Roman" w:hAnsi="David" w:cs="David" w:hint="eastAsia"/>
          <w:spacing w:val="10"/>
          <w:sz w:val="24"/>
          <w:szCs w:val="24"/>
          <w:rtl/>
        </w:rPr>
        <w:t>אישר</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בקשתה</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לסיוע</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כספי</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למימון</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לימודי</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השכלה</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גבוהה</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וערך</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עמה</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שיחת</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חתך</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מקצועית</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שבמהלכה</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נישק</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אותה</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על</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שפתיה</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תוך</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החדרת</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לשונו</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לפיה</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מבלי</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לתת</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דעתו</w:t>
      </w:r>
      <w:r w:rsidRPr="000365CA">
        <w:rPr>
          <w:rFonts w:ascii="David" w:eastAsia="Times New Roman" w:hAnsi="David" w:cs="David"/>
          <w:spacing w:val="10"/>
          <w:sz w:val="24"/>
          <w:szCs w:val="24"/>
          <w:rtl/>
        </w:rPr>
        <w:t xml:space="preserve">  </w:t>
      </w:r>
      <w:r w:rsidR="00FA59FB">
        <w:rPr>
          <w:rFonts w:ascii="David" w:eastAsia="Times New Roman" w:hAnsi="David" w:cs="David" w:hint="cs"/>
          <w:spacing w:val="10"/>
          <w:sz w:val="24"/>
          <w:szCs w:val="24"/>
          <w:rtl/>
        </w:rPr>
        <w:t xml:space="preserve">לשאלת </w:t>
      </w:r>
      <w:r w:rsidRPr="000365CA">
        <w:rPr>
          <w:rFonts w:ascii="David" w:eastAsia="Times New Roman" w:hAnsi="David" w:cs="David" w:hint="eastAsia"/>
          <w:spacing w:val="10"/>
          <w:sz w:val="24"/>
          <w:szCs w:val="24"/>
          <w:rtl/>
        </w:rPr>
        <w:t>רצונה</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בדבר</w:t>
      </w:r>
      <w:r w:rsidRPr="000365CA">
        <w:rPr>
          <w:rFonts w:ascii="David" w:eastAsia="Times New Roman" w:hAnsi="David" w:cs="David"/>
          <w:spacing w:val="10"/>
          <w:sz w:val="24"/>
          <w:szCs w:val="24"/>
          <w:rtl/>
        </w:rPr>
        <w:t xml:space="preserve">. </w:t>
      </w:r>
      <w:r w:rsidR="00FA59FB">
        <w:rPr>
          <w:rFonts w:ascii="David" w:eastAsia="Times New Roman" w:hAnsi="David" w:cs="David" w:hint="cs"/>
          <w:spacing w:val="10"/>
          <w:sz w:val="24"/>
          <w:szCs w:val="24"/>
          <w:rtl/>
        </w:rPr>
        <w:t>ה.ה</w:t>
      </w:r>
      <w:r w:rsidRPr="000365CA">
        <w:rPr>
          <w:rFonts w:ascii="David" w:eastAsia="Times New Roman" w:hAnsi="David" w:cs="David"/>
          <w:spacing w:val="10"/>
          <w:sz w:val="24"/>
          <w:szCs w:val="24"/>
          <w:rtl/>
        </w:rPr>
        <w:t xml:space="preserve"> </w:t>
      </w:r>
      <w:r w:rsidR="00E02E02">
        <w:rPr>
          <w:rFonts w:ascii="David" w:eastAsia="Times New Roman" w:hAnsi="David" w:cs="David" w:hint="cs"/>
          <w:spacing w:val="10"/>
          <w:sz w:val="24"/>
          <w:szCs w:val="24"/>
          <w:rtl/>
        </w:rPr>
        <w:t>ש</w:t>
      </w:r>
      <w:r w:rsidRPr="000365CA">
        <w:rPr>
          <w:rFonts w:ascii="David" w:eastAsia="Times New Roman" w:hAnsi="David" w:cs="David" w:hint="eastAsia"/>
          <w:spacing w:val="10"/>
          <w:sz w:val="24"/>
          <w:szCs w:val="24"/>
          <w:rtl/>
        </w:rPr>
        <w:t>לא</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חפצה</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במגעו</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נרתעה</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בתגובה</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לאחור</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ועזבה</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את</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המשרד</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בבכי</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ובסערה</w:t>
      </w:r>
      <w:r w:rsidRPr="000365CA">
        <w:rPr>
          <w:rFonts w:ascii="David" w:eastAsia="Times New Roman" w:hAnsi="David" w:cs="David"/>
          <w:spacing w:val="10"/>
          <w:sz w:val="24"/>
          <w:szCs w:val="24"/>
          <w:rtl/>
        </w:rPr>
        <w:t>.</w:t>
      </w:r>
    </w:p>
    <w:p w:rsidR="0007500B" w:rsidRPr="000365CA" w:rsidRDefault="0007500B" w:rsidP="0007500B">
      <w:pPr>
        <w:overflowPunct w:val="0"/>
        <w:autoSpaceDE w:val="0"/>
        <w:autoSpaceDN w:val="0"/>
        <w:adjustRightInd w:val="0"/>
        <w:spacing w:after="0" w:line="360" w:lineRule="auto"/>
        <w:jc w:val="both"/>
        <w:textAlignment w:val="baseline"/>
        <w:rPr>
          <w:rFonts w:ascii="David" w:eastAsia="Times New Roman" w:hAnsi="David" w:cs="David"/>
          <w:spacing w:val="10"/>
          <w:sz w:val="24"/>
          <w:szCs w:val="24"/>
          <w:rtl/>
        </w:rPr>
      </w:pPr>
    </w:p>
    <w:p w:rsidR="000365CA" w:rsidRPr="000365CA" w:rsidRDefault="004E14DF" w:rsidP="00A24606">
      <w:pPr>
        <w:overflowPunct w:val="0"/>
        <w:autoSpaceDE w:val="0"/>
        <w:autoSpaceDN w:val="0"/>
        <w:adjustRightInd w:val="0"/>
        <w:spacing w:after="0" w:line="360" w:lineRule="auto"/>
        <w:jc w:val="both"/>
        <w:textAlignment w:val="baseline"/>
        <w:rPr>
          <w:rFonts w:ascii="David" w:eastAsia="Times New Roman" w:hAnsi="David" w:cs="David"/>
          <w:spacing w:val="10"/>
          <w:sz w:val="24"/>
          <w:szCs w:val="24"/>
          <w:rtl/>
        </w:rPr>
      </w:pPr>
      <w:r w:rsidRPr="000365CA">
        <w:rPr>
          <w:rFonts w:ascii="David" w:eastAsia="Times New Roman" w:hAnsi="David" w:cs="David" w:hint="eastAsia"/>
          <w:spacing w:val="10"/>
          <w:sz w:val="24"/>
          <w:szCs w:val="24"/>
          <w:rtl/>
        </w:rPr>
        <w:t>ברקע</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u w:val="single"/>
          <w:rtl/>
        </w:rPr>
        <w:t>הפרשה</w:t>
      </w:r>
      <w:r w:rsidRPr="000365CA">
        <w:rPr>
          <w:rFonts w:ascii="David" w:eastAsia="Times New Roman" w:hAnsi="David" w:cs="David"/>
          <w:spacing w:val="10"/>
          <w:sz w:val="24"/>
          <w:szCs w:val="24"/>
          <w:u w:val="single"/>
          <w:rtl/>
        </w:rPr>
        <w:t xml:space="preserve"> </w:t>
      </w:r>
      <w:r w:rsidRPr="000365CA">
        <w:rPr>
          <w:rFonts w:ascii="David" w:eastAsia="Times New Roman" w:hAnsi="David" w:cs="David" w:hint="eastAsia"/>
          <w:spacing w:val="10"/>
          <w:sz w:val="24"/>
          <w:szCs w:val="24"/>
          <w:u w:val="single"/>
          <w:rtl/>
        </w:rPr>
        <w:t>השישית</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שבעניינה</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הואשם</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שחם</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גם</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בעבירה</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של</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מעשה</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מגונה</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ללא</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הסכמה</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בקשה</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שהגישה</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ו</w:t>
      </w:r>
      <w:r w:rsidRPr="000365CA">
        <w:rPr>
          <w:rFonts w:ascii="David" w:eastAsia="Times New Roman" w:hAnsi="David" w:cs="David"/>
          <w:spacing w:val="10"/>
          <w:sz w:val="24"/>
          <w:szCs w:val="24"/>
          <w:rtl/>
        </w:rPr>
        <w:t>.</w:t>
      </w:r>
      <w:r w:rsidRPr="000365CA">
        <w:rPr>
          <w:rFonts w:ascii="David" w:eastAsia="Times New Roman" w:hAnsi="David" w:cs="David" w:hint="eastAsia"/>
          <w:spacing w:val="10"/>
          <w:sz w:val="24"/>
          <w:szCs w:val="24"/>
          <w:rtl/>
        </w:rPr>
        <w:t>ו</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שוטרת</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ששירתה</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במשטרת</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ישראל</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במספר</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תפקידים</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לעבור</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מתפקיד</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מבצעי</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לתפקיד</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מנהלי</w:t>
      </w:r>
      <w:r w:rsidRPr="000365CA">
        <w:rPr>
          <w:rFonts w:ascii="David" w:eastAsia="Times New Roman" w:hAnsi="David" w:cs="David"/>
          <w:spacing w:val="10"/>
          <w:sz w:val="24"/>
          <w:szCs w:val="24"/>
          <w:rtl/>
        </w:rPr>
        <w:t>" (</w:t>
      </w:r>
      <w:r w:rsidRPr="000365CA">
        <w:rPr>
          <w:rFonts w:ascii="David" w:eastAsia="Times New Roman" w:hAnsi="David" w:cs="David" w:hint="eastAsia"/>
          <w:spacing w:val="10"/>
          <w:sz w:val="24"/>
          <w:szCs w:val="24"/>
          <w:rtl/>
        </w:rPr>
        <w:t>להלן</w:t>
      </w:r>
      <w:r w:rsidRPr="000365CA">
        <w:rPr>
          <w:rFonts w:ascii="David" w:eastAsia="Times New Roman" w:hAnsi="David" w:cs="David"/>
          <w:spacing w:val="10"/>
          <w:sz w:val="24"/>
          <w:szCs w:val="24"/>
          <w:rtl/>
        </w:rPr>
        <w:t>: "</w:t>
      </w:r>
      <w:r w:rsidRPr="000365CA">
        <w:rPr>
          <w:rFonts w:ascii="David" w:eastAsia="Times New Roman" w:hAnsi="David" w:cs="David" w:hint="eastAsia"/>
          <w:b/>
          <w:bCs/>
          <w:spacing w:val="10"/>
          <w:sz w:val="24"/>
          <w:szCs w:val="24"/>
          <w:rtl/>
        </w:rPr>
        <w:t>בקשת</w:t>
      </w:r>
      <w:r w:rsidRPr="000365CA">
        <w:rPr>
          <w:rFonts w:ascii="David" w:eastAsia="Times New Roman" w:hAnsi="David" w:cs="David"/>
          <w:b/>
          <w:bCs/>
          <w:spacing w:val="10"/>
          <w:sz w:val="24"/>
          <w:szCs w:val="24"/>
          <w:rtl/>
        </w:rPr>
        <w:t xml:space="preserve"> </w:t>
      </w:r>
      <w:r w:rsidRPr="000365CA">
        <w:rPr>
          <w:rFonts w:ascii="David" w:eastAsia="Times New Roman" w:hAnsi="David" w:cs="David" w:hint="eastAsia"/>
          <w:b/>
          <w:bCs/>
          <w:spacing w:val="10"/>
          <w:sz w:val="24"/>
          <w:szCs w:val="24"/>
          <w:rtl/>
        </w:rPr>
        <w:t>ההעברה</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משסורבה</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על</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ידי</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מפקדה</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בקשה</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לקיים</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ראיון</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עם</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שחם</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עובר</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לקיומו</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במהלך</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מפגש</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אקראי</w:t>
      </w:r>
      <w:r w:rsidRPr="000365CA">
        <w:rPr>
          <w:rFonts w:ascii="David" w:eastAsia="Times New Roman" w:hAnsi="David" w:cs="David"/>
          <w:spacing w:val="10"/>
          <w:sz w:val="24"/>
          <w:szCs w:val="24"/>
          <w:rtl/>
        </w:rPr>
        <w:t xml:space="preserve">, </w:t>
      </w:r>
      <w:r w:rsidR="00A22D90">
        <w:rPr>
          <w:rFonts w:ascii="David" w:eastAsia="Times New Roman" w:hAnsi="David" w:cs="David" w:hint="cs"/>
          <w:spacing w:val="10"/>
          <w:sz w:val="24"/>
          <w:szCs w:val="24"/>
          <w:rtl/>
        </w:rPr>
        <w:t xml:space="preserve">היא </w:t>
      </w:r>
      <w:r w:rsidRPr="000365CA">
        <w:rPr>
          <w:rFonts w:ascii="David" w:eastAsia="Times New Roman" w:hAnsi="David" w:cs="David" w:hint="eastAsia"/>
          <w:spacing w:val="10"/>
          <w:sz w:val="24"/>
          <w:szCs w:val="24"/>
          <w:rtl/>
        </w:rPr>
        <w:t>פנתה</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לשחם</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שכיהן</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lastRenderedPageBreak/>
        <w:t>באותה</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העת</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כסגן</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מפקד</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מחוז</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ירושלים</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וכחלק</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מתפקידו</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אמון</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היה</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על</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שיבוצי</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כוח</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האדם</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וציינה</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שהגישה</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בקשה</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להיפגש</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עמו</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בעניין</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בקשתה</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בסמוך</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לאחר</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מכן</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נערכה</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ביניהם</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שיחת</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טלפון</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במהלכה</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שטחה</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ו</w:t>
      </w:r>
      <w:r w:rsidRPr="000365CA">
        <w:rPr>
          <w:rFonts w:ascii="David" w:eastAsia="Times New Roman" w:hAnsi="David" w:cs="David"/>
          <w:spacing w:val="10"/>
          <w:sz w:val="24"/>
          <w:szCs w:val="24"/>
          <w:rtl/>
        </w:rPr>
        <w:t>.</w:t>
      </w:r>
      <w:r w:rsidRPr="000365CA">
        <w:rPr>
          <w:rFonts w:ascii="David" w:eastAsia="Times New Roman" w:hAnsi="David" w:cs="David" w:hint="eastAsia"/>
          <w:spacing w:val="10"/>
          <w:sz w:val="24"/>
          <w:szCs w:val="24"/>
          <w:rtl/>
        </w:rPr>
        <w:t>ו</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בפניו</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את</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קשייה</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האישיים</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והמשפחתיים</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והרקע</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להגשת</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הבקשה</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ואף</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פרצה</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בבכי</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לאחר</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מספר</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ימים</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ובאותו</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היום</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בו</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שוחחו</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מספר</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פעמים</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טלפונית</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ערך</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עמה</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שחם</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ראיון</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בנושא</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בקשת</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ההעברה</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ובסופו</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נעתר</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אליה</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כהמלצת</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מפקדה</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בסמוך</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לאחר</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הריאיון</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החל</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שחם</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ליצור</w:t>
      </w:r>
      <w:r w:rsidRPr="000365CA">
        <w:rPr>
          <w:rFonts w:ascii="David" w:eastAsia="Times New Roman" w:hAnsi="David" w:cs="David"/>
          <w:spacing w:val="10"/>
          <w:sz w:val="24"/>
          <w:szCs w:val="24"/>
          <w:rtl/>
        </w:rPr>
        <w:t xml:space="preserve"> </w:t>
      </w:r>
      <w:r w:rsidR="002306E5">
        <w:rPr>
          <w:rFonts w:ascii="David" w:eastAsia="Times New Roman" w:hAnsi="David" w:cs="David" w:hint="cs"/>
          <w:spacing w:val="10"/>
          <w:sz w:val="24"/>
          <w:szCs w:val="24"/>
          <w:rtl/>
        </w:rPr>
        <w:t>עמה</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קשר</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באופן</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תכוף</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לעיתים</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מדי</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יום</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בין</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היתר</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בעת</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שכיהן</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כמפקד</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מחוז</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ירושלים</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תחילה</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נסובו</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השיחות</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על</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בקשת</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ההעברה</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ובהמשך</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הפך</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לבעל</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גוון</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אישי</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במהלכו</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החמיא</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לה</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על</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יופייה</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וביקש</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ממנה</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להיפגש</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עמו</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אך</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היא</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סירבה</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לימים</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המשיך</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שחם</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חרף</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התחמקותה</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להפציר</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בשוטרת</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להיפגש</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עמו</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עד</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שבאחת</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השיחות</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נעתרה</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לו</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חרף</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אי</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הנוחות</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שחשה</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והם</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נפגשו</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באותו</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יום</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בשעות</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הערב</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במהלך</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הפגישה</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ברכבו</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של</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שחם</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חזרה</w:t>
      </w:r>
      <w:r w:rsidR="00FA59FB">
        <w:rPr>
          <w:rFonts w:ascii="David" w:eastAsia="Times New Roman" w:hAnsi="David" w:cs="David" w:hint="cs"/>
          <w:spacing w:val="10"/>
          <w:sz w:val="24"/>
          <w:szCs w:val="24"/>
          <w:rtl/>
        </w:rPr>
        <w:t xml:space="preserve"> ו.ו</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ושתפה</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אותו</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ברצונה</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לעזוב</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את</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המשטרה</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ובתגובה</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אמר</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בין</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היתר</w:t>
      </w:r>
      <w:r w:rsidRPr="000365CA">
        <w:rPr>
          <w:rFonts w:ascii="David" w:eastAsia="Times New Roman" w:hAnsi="David" w:cs="David"/>
          <w:spacing w:val="10"/>
          <w:sz w:val="24"/>
          <w:szCs w:val="24"/>
          <w:rtl/>
        </w:rPr>
        <w:t>, "</w:t>
      </w:r>
      <w:r w:rsidRPr="000365CA">
        <w:rPr>
          <w:rFonts w:ascii="David" w:eastAsia="Times New Roman" w:hAnsi="David" w:cs="David" w:hint="eastAsia"/>
          <w:spacing w:val="10"/>
          <w:sz w:val="24"/>
          <w:szCs w:val="24"/>
          <w:rtl/>
        </w:rPr>
        <w:t>יהיה</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בסדר</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אל</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תדאגי</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נמצא</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לך</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תפקיד</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טוב</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בהמשך</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רכן</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שחם</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לפתע</w:t>
      </w:r>
      <w:r w:rsidRPr="000365CA">
        <w:rPr>
          <w:rFonts w:ascii="David" w:eastAsia="Times New Roman" w:hAnsi="David" w:cs="David"/>
          <w:spacing w:val="10"/>
          <w:sz w:val="24"/>
          <w:szCs w:val="24"/>
          <w:rtl/>
        </w:rPr>
        <w:t xml:space="preserve"> </w:t>
      </w:r>
      <w:r w:rsidR="00E02E02">
        <w:rPr>
          <w:rFonts w:ascii="David" w:eastAsia="Times New Roman" w:hAnsi="David" w:cs="David" w:hint="eastAsia"/>
          <w:spacing w:val="10"/>
          <w:sz w:val="24"/>
          <w:szCs w:val="24"/>
          <w:rtl/>
        </w:rPr>
        <w:t>לעב</w:t>
      </w:r>
      <w:r w:rsidR="00E02E02">
        <w:rPr>
          <w:rFonts w:ascii="David" w:eastAsia="Times New Roman" w:hAnsi="David" w:cs="David" w:hint="cs"/>
          <w:spacing w:val="10"/>
          <w:sz w:val="24"/>
          <w:szCs w:val="24"/>
          <w:rtl/>
        </w:rPr>
        <w:t>רה</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ונישק</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אותה</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על</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שפתיה</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תוך</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שהוא</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מחדיר</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את</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לשונו</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לפיה</w:t>
      </w:r>
      <w:r w:rsidRPr="000365CA">
        <w:rPr>
          <w:rFonts w:ascii="David" w:eastAsia="Times New Roman" w:hAnsi="David" w:cs="David"/>
          <w:spacing w:val="10"/>
          <w:sz w:val="24"/>
          <w:szCs w:val="24"/>
          <w:rtl/>
        </w:rPr>
        <w:t xml:space="preserve"> – </w:t>
      </w:r>
      <w:r w:rsidRPr="000365CA">
        <w:rPr>
          <w:rFonts w:ascii="David" w:eastAsia="Times New Roman" w:hAnsi="David" w:cs="David" w:hint="eastAsia"/>
          <w:spacing w:val="10"/>
          <w:sz w:val="24"/>
          <w:szCs w:val="24"/>
          <w:rtl/>
        </w:rPr>
        <w:t>בניגוד</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לרצונה</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אף</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כי</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בתגובה</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לכך</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היא</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הדפה</w:t>
      </w:r>
      <w:r w:rsidRPr="000365CA">
        <w:rPr>
          <w:rFonts w:ascii="David" w:eastAsia="Times New Roman" w:hAnsi="David" w:cs="David"/>
          <w:spacing w:val="10"/>
          <w:sz w:val="24"/>
          <w:szCs w:val="24"/>
          <w:rtl/>
        </w:rPr>
        <w:t xml:space="preserve"> </w:t>
      </w:r>
      <w:r w:rsidR="00E02E02">
        <w:rPr>
          <w:rFonts w:ascii="David" w:eastAsia="Times New Roman" w:hAnsi="David" w:cs="David" w:hint="cs"/>
          <w:spacing w:val="10"/>
          <w:sz w:val="24"/>
          <w:szCs w:val="24"/>
          <w:rtl/>
        </w:rPr>
        <w:t>אותו,</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המשיך</w:t>
      </w:r>
      <w:r w:rsidRPr="000365CA">
        <w:rPr>
          <w:rFonts w:ascii="David" w:eastAsia="Times New Roman" w:hAnsi="David" w:cs="David"/>
          <w:spacing w:val="10"/>
          <w:sz w:val="24"/>
          <w:szCs w:val="24"/>
          <w:rtl/>
        </w:rPr>
        <w:t xml:space="preserve"> </w:t>
      </w:r>
      <w:r w:rsidR="00E02E02">
        <w:rPr>
          <w:rFonts w:ascii="David" w:eastAsia="Times New Roman" w:hAnsi="David" w:cs="David" w:hint="cs"/>
          <w:spacing w:val="10"/>
          <w:sz w:val="24"/>
          <w:szCs w:val="24"/>
          <w:rtl/>
        </w:rPr>
        <w:t xml:space="preserve">שח </w:t>
      </w:r>
      <w:r w:rsidRPr="000365CA">
        <w:rPr>
          <w:rFonts w:ascii="David" w:eastAsia="Times New Roman" w:hAnsi="David" w:cs="David" w:hint="eastAsia"/>
          <w:spacing w:val="10"/>
          <w:sz w:val="24"/>
          <w:szCs w:val="24"/>
          <w:rtl/>
        </w:rPr>
        <w:t>במעשיו</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ושב</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ורכן</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לעברה</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אך</w:t>
      </w:r>
      <w:r w:rsidRPr="000365CA">
        <w:rPr>
          <w:rFonts w:ascii="David" w:eastAsia="Times New Roman" w:hAnsi="David" w:cs="David"/>
          <w:spacing w:val="10"/>
          <w:sz w:val="24"/>
          <w:szCs w:val="24"/>
          <w:rtl/>
        </w:rPr>
        <w:t xml:space="preserve"> </w:t>
      </w:r>
      <w:r w:rsidR="005338C1">
        <w:rPr>
          <w:rFonts w:ascii="David" w:eastAsia="Times New Roman" w:hAnsi="David" w:cs="David" w:hint="cs"/>
          <w:spacing w:val="10"/>
          <w:sz w:val="24"/>
          <w:szCs w:val="24"/>
          <w:rtl/>
        </w:rPr>
        <w:t>היא ח</w:t>
      </w:r>
      <w:r w:rsidRPr="000365CA">
        <w:rPr>
          <w:rFonts w:ascii="David" w:eastAsia="Times New Roman" w:hAnsi="David" w:cs="David" w:hint="eastAsia"/>
          <w:spacing w:val="10"/>
          <w:sz w:val="24"/>
          <w:szCs w:val="24"/>
          <w:rtl/>
        </w:rPr>
        <w:t>מקה</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ממנו</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ויצאה</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מהרכב</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נסערת</w:t>
      </w:r>
      <w:r w:rsidRPr="000365CA">
        <w:rPr>
          <w:rFonts w:ascii="David" w:eastAsia="Times New Roman" w:hAnsi="David" w:cs="David"/>
          <w:spacing w:val="10"/>
          <w:sz w:val="24"/>
          <w:szCs w:val="24"/>
          <w:rtl/>
        </w:rPr>
        <w:t xml:space="preserve">. </w:t>
      </w:r>
    </w:p>
    <w:p w:rsidR="000365CA" w:rsidRPr="000365CA" w:rsidRDefault="004E14DF" w:rsidP="002306E5">
      <w:pPr>
        <w:overflowPunct w:val="0"/>
        <w:autoSpaceDE w:val="0"/>
        <w:autoSpaceDN w:val="0"/>
        <w:adjustRightInd w:val="0"/>
        <w:spacing w:after="0" w:line="360" w:lineRule="auto"/>
        <w:jc w:val="both"/>
        <w:textAlignment w:val="baseline"/>
        <w:rPr>
          <w:rFonts w:ascii="David" w:eastAsia="Times New Roman" w:hAnsi="David" w:cs="David"/>
          <w:spacing w:val="10"/>
          <w:sz w:val="24"/>
          <w:szCs w:val="24"/>
          <w:rtl/>
        </w:rPr>
      </w:pPr>
      <w:r w:rsidRPr="000365CA">
        <w:rPr>
          <w:rFonts w:ascii="David" w:eastAsia="Times New Roman" w:hAnsi="David" w:cs="David" w:hint="eastAsia"/>
          <w:spacing w:val="10"/>
          <w:sz w:val="24"/>
          <w:szCs w:val="24"/>
          <w:rtl/>
        </w:rPr>
        <w:t>לאחר</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האירוע</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המתואר</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ניסה</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שחם</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בהזדמנויות</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שונות</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ליצור</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עם</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השוטרת</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ו</w:t>
      </w:r>
      <w:r w:rsidRPr="000365CA">
        <w:rPr>
          <w:rFonts w:ascii="David" w:eastAsia="Times New Roman" w:hAnsi="David" w:cs="David"/>
          <w:spacing w:val="10"/>
          <w:sz w:val="24"/>
          <w:szCs w:val="24"/>
          <w:rtl/>
        </w:rPr>
        <w:t>.</w:t>
      </w:r>
      <w:r w:rsidRPr="000365CA">
        <w:rPr>
          <w:rFonts w:ascii="David" w:eastAsia="Times New Roman" w:hAnsi="David" w:cs="David" w:hint="eastAsia"/>
          <w:spacing w:val="10"/>
          <w:sz w:val="24"/>
          <w:szCs w:val="24"/>
          <w:rtl/>
        </w:rPr>
        <w:t>ו</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קשר</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טלפוני</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ומשלא</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ענתה</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לשיחותיו</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התקשר</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אליה</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ממספר</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לא</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מזוהה</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וכשענתה</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שאל</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לשלומה</w:t>
      </w:r>
      <w:r w:rsidRPr="000365CA">
        <w:rPr>
          <w:rFonts w:ascii="David" w:eastAsia="Times New Roman" w:hAnsi="David" w:cs="David"/>
          <w:spacing w:val="10"/>
          <w:sz w:val="24"/>
          <w:szCs w:val="24"/>
          <w:rtl/>
        </w:rPr>
        <w:t>.</w:t>
      </w:r>
    </w:p>
    <w:p w:rsidR="000365CA" w:rsidRPr="000365CA" w:rsidRDefault="000365CA" w:rsidP="000365CA">
      <w:pPr>
        <w:overflowPunct w:val="0"/>
        <w:autoSpaceDE w:val="0"/>
        <w:autoSpaceDN w:val="0"/>
        <w:adjustRightInd w:val="0"/>
        <w:spacing w:after="0" w:line="360" w:lineRule="auto"/>
        <w:jc w:val="both"/>
        <w:textAlignment w:val="baseline"/>
        <w:rPr>
          <w:rFonts w:ascii="David" w:eastAsia="Times New Roman" w:hAnsi="David" w:cs="David"/>
          <w:spacing w:val="10"/>
          <w:sz w:val="24"/>
          <w:szCs w:val="24"/>
          <w:rtl/>
        </w:rPr>
      </w:pPr>
    </w:p>
    <w:p w:rsidR="000365CA" w:rsidRPr="000365CA" w:rsidRDefault="004E14DF" w:rsidP="00A24606">
      <w:pPr>
        <w:overflowPunct w:val="0"/>
        <w:autoSpaceDE w:val="0"/>
        <w:autoSpaceDN w:val="0"/>
        <w:adjustRightInd w:val="0"/>
        <w:spacing w:after="0" w:line="360" w:lineRule="auto"/>
        <w:jc w:val="both"/>
        <w:textAlignment w:val="baseline"/>
        <w:rPr>
          <w:rFonts w:ascii="David" w:eastAsia="Times New Roman" w:hAnsi="David" w:cs="David"/>
          <w:spacing w:val="10"/>
          <w:sz w:val="24"/>
          <w:szCs w:val="24"/>
          <w:rtl/>
        </w:rPr>
      </w:pPr>
      <w:r w:rsidRPr="000365CA">
        <w:rPr>
          <w:rFonts w:ascii="David" w:eastAsia="Times New Roman" w:hAnsi="David" w:cs="David" w:hint="eastAsia"/>
          <w:spacing w:val="10"/>
          <w:sz w:val="24"/>
          <w:szCs w:val="24"/>
          <w:u w:val="single"/>
          <w:rtl/>
        </w:rPr>
        <w:t>בפרשה</w:t>
      </w:r>
      <w:r w:rsidRPr="000365CA">
        <w:rPr>
          <w:rFonts w:ascii="David" w:eastAsia="Times New Roman" w:hAnsi="David" w:cs="David"/>
          <w:spacing w:val="10"/>
          <w:sz w:val="24"/>
          <w:szCs w:val="24"/>
          <w:u w:val="single"/>
          <w:rtl/>
        </w:rPr>
        <w:t xml:space="preserve"> </w:t>
      </w:r>
      <w:r w:rsidRPr="000365CA">
        <w:rPr>
          <w:rFonts w:ascii="David" w:eastAsia="Times New Roman" w:hAnsi="David" w:cs="David" w:hint="eastAsia"/>
          <w:spacing w:val="10"/>
          <w:sz w:val="24"/>
          <w:szCs w:val="24"/>
          <w:u w:val="single"/>
          <w:rtl/>
        </w:rPr>
        <w:t>השביעית</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הואשם</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שחם</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בנוסף</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בעבירה</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של</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הטרדה</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מינית</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תוך</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ניצול</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יחסי</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מרות</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בגין</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מעשים</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שביצע</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כלפי</w:t>
      </w:r>
      <w:r w:rsidRPr="000365CA">
        <w:rPr>
          <w:rFonts w:ascii="David" w:eastAsia="Times New Roman" w:hAnsi="David" w:cs="David"/>
          <w:spacing w:val="10"/>
          <w:sz w:val="24"/>
          <w:szCs w:val="24"/>
          <w:rtl/>
        </w:rPr>
        <w:t xml:space="preserve"> </w:t>
      </w:r>
      <w:r w:rsidR="00A24606">
        <w:rPr>
          <w:rFonts w:ascii="David" w:eastAsia="Times New Roman" w:hAnsi="David" w:cs="David" w:hint="cs"/>
          <w:spacing w:val="10"/>
          <w:sz w:val="24"/>
          <w:szCs w:val="24"/>
          <w:rtl/>
        </w:rPr>
        <w:t>השוטרת</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ז</w:t>
      </w:r>
      <w:r w:rsidRPr="000365CA">
        <w:rPr>
          <w:rFonts w:ascii="David" w:eastAsia="Times New Roman" w:hAnsi="David" w:cs="David"/>
          <w:spacing w:val="10"/>
          <w:sz w:val="24"/>
          <w:szCs w:val="24"/>
          <w:rtl/>
        </w:rPr>
        <w:t>.</w:t>
      </w:r>
      <w:r w:rsidRPr="000365CA">
        <w:rPr>
          <w:rFonts w:ascii="David" w:eastAsia="Times New Roman" w:hAnsi="David" w:cs="David" w:hint="eastAsia"/>
          <w:spacing w:val="10"/>
          <w:sz w:val="24"/>
          <w:szCs w:val="24"/>
          <w:rtl/>
        </w:rPr>
        <w:t>ז</w:t>
      </w:r>
      <w:r w:rsidRPr="000365CA">
        <w:rPr>
          <w:rFonts w:ascii="David" w:eastAsia="Times New Roman" w:hAnsi="David" w:cs="David"/>
          <w:spacing w:val="10"/>
          <w:sz w:val="24"/>
          <w:szCs w:val="24"/>
          <w:rtl/>
        </w:rPr>
        <w:t>. (</w:t>
      </w:r>
      <w:r w:rsidRPr="000365CA">
        <w:rPr>
          <w:rFonts w:ascii="David" w:eastAsia="Times New Roman" w:hAnsi="David" w:cs="David" w:hint="eastAsia"/>
          <w:spacing w:val="10"/>
          <w:sz w:val="24"/>
          <w:szCs w:val="24"/>
          <w:rtl/>
        </w:rPr>
        <w:t>להלן</w:t>
      </w:r>
      <w:r w:rsidRPr="000365CA">
        <w:rPr>
          <w:rFonts w:ascii="David" w:eastAsia="Times New Roman" w:hAnsi="David" w:cs="David"/>
          <w:spacing w:val="10"/>
          <w:sz w:val="24"/>
          <w:szCs w:val="24"/>
          <w:rtl/>
        </w:rPr>
        <w:t>: "</w:t>
      </w:r>
      <w:r w:rsidR="00A24606" w:rsidRPr="00A24606">
        <w:rPr>
          <w:rFonts w:ascii="David" w:eastAsia="Times New Roman" w:hAnsi="David" w:cs="David" w:hint="cs"/>
          <w:b/>
          <w:bCs/>
          <w:spacing w:val="10"/>
          <w:sz w:val="24"/>
          <w:szCs w:val="24"/>
          <w:rtl/>
        </w:rPr>
        <w:t xml:space="preserve">השוטרת </w:t>
      </w:r>
      <w:r w:rsidRPr="000365CA">
        <w:rPr>
          <w:rFonts w:ascii="David" w:eastAsia="Times New Roman" w:hAnsi="David" w:cs="David" w:hint="eastAsia"/>
          <w:b/>
          <w:bCs/>
          <w:spacing w:val="10"/>
          <w:sz w:val="24"/>
          <w:szCs w:val="24"/>
          <w:rtl/>
        </w:rPr>
        <w:t>ז</w:t>
      </w:r>
      <w:r w:rsidRPr="000365CA">
        <w:rPr>
          <w:rFonts w:ascii="David" w:eastAsia="Times New Roman" w:hAnsi="David" w:cs="David"/>
          <w:b/>
          <w:bCs/>
          <w:spacing w:val="10"/>
          <w:sz w:val="24"/>
          <w:szCs w:val="24"/>
          <w:rtl/>
        </w:rPr>
        <w:t>.</w:t>
      </w:r>
      <w:r w:rsidRPr="000365CA">
        <w:rPr>
          <w:rFonts w:ascii="David" w:eastAsia="Times New Roman" w:hAnsi="David" w:cs="David" w:hint="eastAsia"/>
          <w:b/>
          <w:bCs/>
          <w:spacing w:val="10"/>
          <w:sz w:val="24"/>
          <w:szCs w:val="24"/>
          <w:rtl/>
        </w:rPr>
        <w:t>ז</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בעת</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שכיהן</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כסגן</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מפקד</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מחוז</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ירושלים</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תחילתה</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של</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הפרשה</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בברכת</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שנה</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טובה</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ששלחה</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ז</w:t>
      </w:r>
      <w:r w:rsidRPr="000365CA">
        <w:rPr>
          <w:rFonts w:ascii="David" w:eastAsia="Times New Roman" w:hAnsi="David" w:cs="David"/>
          <w:spacing w:val="10"/>
          <w:sz w:val="24"/>
          <w:szCs w:val="24"/>
          <w:rtl/>
        </w:rPr>
        <w:t>.</w:t>
      </w:r>
      <w:r w:rsidRPr="000365CA">
        <w:rPr>
          <w:rFonts w:ascii="David" w:eastAsia="Times New Roman" w:hAnsi="David" w:cs="David" w:hint="eastAsia"/>
          <w:spacing w:val="10"/>
          <w:sz w:val="24"/>
          <w:szCs w:val="24"/>
          <w:rtl/>
        </w:rPr>
        <w:t>ז</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לשחם</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בעקבותיה</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מזכירתו</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יצרה</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עמה</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קשר</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בהוראתו</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וציינה</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שהוא</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מבקש</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את</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מספר</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הנייד</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שלה</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לאחר</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שעשתה</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כפי</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נתבקשה</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החל</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בינה</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לבין</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שחם</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קשר</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טלפוני</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שמהלכו</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נהג</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מעת</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לעת</w:t>
      </w:r>
      <w:r w:rsidRPr="000365CA">
        <w:rPr>
          <w:rFonts w:ascii="David" w:eastAsia="Times New Roman" w:hAnsi="David" w:cs="David"/>
          <w:spacing w:val="10"/>
          <w:sz w:val="24"/>
          <w:szCs w:val="24"/>
          <w:rtl/>
        </w:rPr>
        <w:t>, "</w:t>
      </w:r>
      <w:r w:rsidRPr="000365CA">
        <w:rPr>
          <w:rFonts w:ascii="David" w:eastAsia="Times New Roman" w:hAnsi="David" w:cs="David" w:hint="eastAsia"/>
          <w:spacing w:val="10"/>
          <w:sz w:val="24"/>
          <w:szCs w:val="24"/>
          <w:rtl/>
        </w:rPr>
        <w:t>להציע</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למתלוננת</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הצעות</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חוזרות</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בעלות</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אופי</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מיני</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ולהתמקד</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במיניותה</w:t>
      </w:r>
      <w:r w:rsidRPr="000365CA">
        <w:rPr>
          <w:rFonts w:ascii="David" w:eastAsia="Times New Roman" w:hAnsi="David" w:cs="David"/>
          <w:spacing w:val="10"/>
          <w:sz w:val="24"/>
          <w:szCs w:val="24"/>
          <w:rtl/>
        </w:rPr>
        <w:t xml:space="preserve">" – </w:t>
      </w:r>
      <w:r w:rsidRPr="000365CA">
        <w:rPr>
          <w:rFonts w:ascii="David" w:eastAsia="Times New Roman" w:hAnsi="David" w:cs="David" w:hint="eastAsia"/>
          <w:spacing w:val="10"/>
          <w:sz w:val="24"/>
          <w:szCs w:val="24"/>
          <w:rtl/>
        </w:rPr>
        <w:t>דוגמת</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שאלות</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בדבר</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צבע</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בגדי</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ההלבשה</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התחתונה</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שלה</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והבעת</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רצונו</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להיפגש</w:t>
      </w:r>
      <w:r w:rsidRPr="000365CA">
        <w:rPr>
          <w:rFonts w:ascii="David" w:eastAsia="Times New Roman" w:hAnsi="David" w:cs="David"/>
          <w:spacing w:val="10"/>
          <w:sz w:val="24"/>
          <w:szCs w:val="24"/>
          <w:rtl/>
        </w:rPr>
        <w:t xml:space="preserve"> </w:t>
      </w:r>
      <w:proofErr w:type="spellStart"/>
      <w:r w:rsidRPr="000365CA">
        <w:rPr>
          <w:rFonts w:ascii="David" w:eastAsia="Times New Roman" w:hAnsi="David" w:cs="David" w:hint="eastAsia"/>
          <w:spacing w:val="10"/>
          <w:sz w:val="24"/>
          <w:szCs w:val="24"/>
          <w:rtl/>
        </w:rPr>
        <w:t>איתה</w:t>
      </w:r>
      <w:proofErr w:type="spellEnd"/>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ולהיות</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עמה</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שחם</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המשיך</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בהתקשרויות</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בעלות</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תוכן</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מיני</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לאורך</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זמן</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ולמרות</w:t>
      </w:r>
      <w:r w:rsidRPr="000365CA">
        <w:rPr>
          <w:rFonts w:ascii="David" w:eastAsia="Times New Roman" w:hAnsi="David" w:cs="David"/>
          <w:spacing w:val="10"/>
          <w:sz w:val="24"/>
          <w:szCs w:val="24"/>
          <w:rtl/>
        </w:rPr>
        <w:t xml:space="preserve"> </w:t>
      </w:r>
      <w:r w:rsidR="00E02E02">
        <w:rPr>
          <w:rFonts w:ascii="David" w:eastAsia="Times New Roman" w:hAnsi="David" w:cs="David" w:hint="eastAsia"/>
          <w:spacing w:val="10"/>
          <w:sz w:val="24"/>
          <w:szCs w:val="24"/>
          <w:rtl/>
        </w:rPr>
        <w:t>ש</w:t>
      </w:r>
      <w:r w:rsidRPr="000365CA">
        <w:rPr>
          <w:rFonts w:ascii="David" w:eastAsia="Times New Roman" w:hAnsi="David" w:cs="David" w:hint="eastAsia"/>
          <w:spacing w:val="10"/>
          <w:sz w:val="24"/>
          <w:szCs w:val="24"/>
          <w:rtl/>
        </w:rPr>
        <w:t>לא</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הייתה</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מעוניינת</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בהן</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היא</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נמנעה</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מלשים</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להן</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קץ</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לאחר</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מספר</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חדשים</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היא</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פנתה</w:t>
      </w:r>
      <w:r w:rsidRPr="000365CA">
        <w:rPr>
          <w:rFonts w:ascii="David" w:eastAsia="Times New Roman" w:hAnsi="David" w:cs="David"/>
          <w:spacing w:val="10"/>
          <w:sz w:val="24"/>
          <w:szCs w:val="24"/>
          <w:rtl/>
        </w:rPr>
        <w:t xml:space="preserve"> </w:t>
      </w:r>
      <w:r w:rsidR="00E02E02">
        <w:rPr>
          <w:rFonts w:ascii="David" w:eastAsia="Times New Roman" w:hAnsi="David" w:cs="David" w:hint="cs"/>
          <w:spacing w:val="10"/>
          <w:sz w:val="24"/>
          <w:szCs w:val="24"/>
          <w:rtl/>
        </w:rPr>
        <w:t xml:space="preserve">ז.ז </w:t>
      </w:r>
      <w:r w:rsidRPr="000365CA">
        <w:rPr>
          <w:rFonts w:ascii="David" w:eastAsia="Times New Roman" w:hAnsi="David" w:cs="David" w:hint="eastAsia"/>
          <w:spacing w:val="10"/>
          <w:sz w:val="24"/>
          <w:szCs w:val="24"/>
          <w:rtl/>
        </w:rPr>
        <w:t>אליו</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ודרשה</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במפגיע</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שיחדל</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ממעשיו</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ובתגובה</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הוא</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הפסיק</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ממנהגו</w:t>
      </w:r>
      <w:r w:rsidRPr="000365CA">
        <w:rPr>
          <w:rFonts w:ascii="David" w:eastAsia="Times New Roman" w:hAnsi="David" w:cs="David"/>
          <w:spacing w:val="10"/>
          <w:sz w:val="24"/>
          <w:szCs w:val="24"/>
          <w:rtl/>
        </w:rPr>
        <w:t>.</w:t>
      </w:r>
    </w:p>
    <w:p w:rsidR="000365CA" w:rsidRPr="000365CA" w:rsidRDefault="000365CA" w:rsidP="000365CA">
      <w:pPr>
        <w:overflowPunct w:val="0"/>
        <w:autoSpaceDE w:val="0"/>
        <w:autoSpaceDN w:val="0"/>
        <w:adjustRightInd w:val="0"/>
        <w:spacing w:after="0" w:line="360" w:lineRule="auto"/>
        <w:jc w:val="both"/>
        <w:textAlignment w:val="baseline"/>
        <w:rPr>
          <w:rFonts w:ascii="David" w:eastAsia="Times New Roman" w:hAnsi="David" w:cs="David"/>
          <w:spacing w:val="10"/>
          <w:sz w:val="24"/>
          <w:szCs w:val="24"/>
          <w:rtl/>
        </w:rPr>
      </w:pPr>
    </w:p>
    <w:p w:rsidR="000365CA" w:rsidRPr="000365CA" w:rsidRDefault="004E14DF" w:rsidP="00A24606">
      <w:pPr>
        <w:overflowPunct w:val="0"/>
        <w:autoSpaceDE w:val="0"/>
        <w:autoSpaceDN w:val="0"/>
        <w:adjustRightInd w:val="0"/>
        <w:spacing w:after="0" w:line="360" w:lineRule="auto"/>
        <w:jc w:val="both"/>
        <w:textAlignment w:val="baseline"/>
        <w:rPr>
          <w:rFonts w:ascii="David" w:eastAsia="Times New Roman" w:hAnsi="David" w:cs="David"/>
          <w:spacing w:val="10"/>
          <w:sz w:val="24"/>
          <w:szCs w:val="24"/>
          <w:rtl/>
        </w:rPr>
      </w:pPr>
      <w:r w:rsidRPr="000365CA">
        <w:rPr>
          <w:rFonts w:ascii="David" w:eastAsia="Times New Roman" w:hAnsi="David" w:cs="David" w:hint="eastAsia"/>
          <w:spacing w:val="10"/>
          <w:sz w:val="24"/>
          <w:szCs w:val="24"/>
          <w:u w:val="single"/>
          <w:rtl/>
        </w:rPr>
        <w:t>הפרשה</w:t>
      </w:r>
      <w:r w:rsidRPr="000365CA">
        <w:rPr>
          <w:rFonts w:ascii="David" w:eastAsia="Times New Roman" w:hAnsi="David" w:cs="David"/>
          <w:spacing w:val="10"/>
          <w:sz w:val="24"/>
          <w:szCs w:val="24"/>
          <w:u w:val="single"/>
          <w:rtl/>
        </w:rPr>
        <w:t xml:space="preserve"> </w:t>
      </w:r>
      <w:r w:rsidRPr="000365CA">
        <w:rPr>
          <w:rFonts w:ascii="David" w:eastAsia="Times New Roman" w:hAnsi="David" w:cs="David" w:hint="eastAsia"/>
          <w:spacing w:val="10"/>
          <w:sz w:val="24"/>
          <w:szCs w:val="24"/>
          <w:u w:val="single"/>
          <w:rtl/>
        </w:rPr>
        <w:t>השמינית</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עניינה</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באישום</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נוסף</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נגד</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שחם</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בעבירה</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של</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מעשה</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מגונה</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תוך</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ניצול</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ביחסי</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עבודה</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שעל</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פי</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הנטען</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בצע</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ב</w:t>
      </w:r>
      <w:r w:rsidR="00B67372">
        <w:rPr>
          <w:rFonts w:ascii="David" w:eastAsia="Times New Roman" w:hAnsi="David" w:cs="David" w:hint="cs"/>
          <w:spacing w:val="10"/>
          <w:sz w:val="24"/>
          <w:szCs w:val="24"/>
          <w:rtl/>
        </w:rPr>
        <w:t xml:space="preserve">שוטרת </w:t>
      </w:r>
      <w:r w:rsidRPr="000365CA">
        <w:rPr>
          <w:rFonts w:ascii="David" w:eastAsia="Times New Roman" w:hAnsi="David" w:cs="David" w:hint="eastAsia"/>
          <w:spacing w:val="10"/>
          <w:sz w:val="24"/>
          <w:szCs w:val="24"/>
          <w:rtl/>
        </w:rPr>
        <w:t>ח</w:t>
      </w:r>
      <w:r w:rsidRPr="000365CA">
        <w:rPr>
          <w:rFonts w:ascii="David" w:eastAsia="Times New Roman" w:hAnsi="David" w:cs="David"/>
          <w:spacing w:val="10"/>
          <w:sz w:val="24"/>
          <w:szCs w:val="24"/>
          <w:rtl/>
        </w:rPr>
        <w:t>.</w:t>
      </w:r>
      <w:r w:rsidRPr="000365CA">
        <w:rPr>
          <w:rFonts w:ascii="David" w:eastAsia="Times New Roman" w:hAnsi="David" w:cs="David" w:hint="eastAsia"/>
          <w:spacing w:val="10"/>
          <w:sz w:val="24"/>
          <w:szCs w:val="24"/>
          <w:rtl/>
        </w:rPr>
        <w:t>ח</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בעת</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שכיהן</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כסגן</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מפקד</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מחוז</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ירושלים</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וכפועל</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יוצא</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מכך</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היה</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אחראי</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על</w:t>
      </w:r>
      <w:r w:rsidRPr="000365CA">
        <w:rPr>
          <w:rFonts w:ascii="David" w:eastAsia="Times New Roman" w:hAnsi="David" w:cs="David"/>
          <w:spacing w:val="10"/>
          <w:sz w:val="24"/>
          <w:szCs w:val="24"/>
          <w:rtl/>
        </w:rPr>
        <w:t xml:space="preserve"> </w:t>
      </w:r>
      <w:r w:rsidR="00A24606">
        <w:rPr>
          <w:rFonts w:ascii="David" w:eastAsia="Times New Roman" w:hAnsi="David" w:cs="David" w:hint="cs"/>
          <w:spacing w:val="10"/>
          <w:sz w:val="24"/>
          <w:szCs w:val="24"/>
          <w:rtl/>
        </w:rPr>
        <w:t>תחומי עבודתה</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ההיכרות</w:t>
      </w:r>
      <w:r w:rsidRPr="000365CA">
        <w:rPr>
          <w:rFonts w:ascii="David" w:eastAsia="Times New Roman" w:hAnsi="David" w:cs="David"/>
          <w:spacing w:val="10"/>
          <w:sz w:val="24"/>
          <w:szCs w:val="24"/>
          <w:rtl/>
        </w:rPr>
        <w:t xml:space="preserve"> </w:t>
      </w:r>
      <w:r w:rsidR="00B67372">
        <w:rPr>
          <w:rFonts w:ascii="David" w:eastAsia="Times New Roman" w:hAnsi="David" w:cs="David" w:hint="cs"/>
          <w:spacing w:val="10"/>
          <w:sz w:val="24"/>
          <w:szCs w:val="24"/>
          <w:rtl/>
        </w:rPr>
        <w:t>ביניהם</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החלה</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במהלך</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עבודתם</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המשותפת</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והקשר</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ביניהם</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נמשך</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גם</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בעת</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שכיהן</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כראש</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אגף</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תמיכה</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לוגיסטית</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ואף</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כמפקד</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lastRenderedPageBreak/>
        <w:t>מחוז</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ירושלים</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לפי</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המתואר</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בכתב</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האישום</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מעשיו</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של</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שחם</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כלפי</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ח</w:t>
      </w:r>
      <w:r w:rsidRPr="000365CA">
        <w:rPr>
          <w:rFonts w:ascii="David" w:eastAsia="Times New Roman" w:hAnsi="David" w:cs="David"/>
          <w:spacing w:val="10"/>
          <w:sz w:val="24"/>
          <w:szCs w:val="24"/>
          <w:rtl/>
        </w:rPr>
        <w:t>.</w:t>
      </w:r>
      <w:r w:rsidRPr="000365CA">
        <w:rPr>
          <w:rFonts w:ascii="David" w:eastAsia="Times New Roman" w:hAnsi="David" w:cs="David" w:hint="eastAsia"/>
          <w:spacing w:val="10"/>
          <w:sz w:val="24"/>
          <w:szCs w:val="24"/>
          <w:rtl/>
        </w:rPr>
        <w:t>ח</w:t>
      </w:r>
      <w:r w:rsidR="00E02E02">
        <w:rPr>
          <w:rFonts w:ascii="David" w:eastAsia="Times New Roman" w:hAnsi="David" w:cs="David" w:hint="cs"/>
          <w:spacing w:val="10"/>
          <w:sz w:val="24"/>
          <w:szCs w:val="24"/>
          <w:rtl/>
        </w:rPr>
        <w:t>,</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כללו</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נשיקה</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על</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שפתיה</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במהלך</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סיור</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עבודה</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מבלי</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שחפצה</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בכך</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ובלא</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ששיתפה</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עמו</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בפעולה</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ניסיונות</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במסגרת</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הקשר</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הטלפוני</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האינטנסיבי</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והמיני</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ביניהם</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לשכנעה</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להיפגש</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עמו</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לשם</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קיום</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יחסי</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מין</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ובתגובה</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התחמקה</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בתואנות</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שונות</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בהזדמנויות</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שונות</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במהלך</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עבודתם</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המשותפת</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ניסה</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לנשקה</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על</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שפתיה</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אך</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היא</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הסיטה</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את</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ראשה</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כדי</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לחמוק</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מנשיקתו</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וכתוצאה</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מכך</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הוא</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נישק</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אותה</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בסמוך</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לשפתיה</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בהזדמנות</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אחרת</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בשעת</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ערב</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מאוחרת</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כשהגיע</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למשרדה</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בענייני</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עבודה</w:t>
      </w:r>
      <w:r w:rsidRPr="000365CA">
        <w:rPr>
          <w:rFonts w:ascii="David" w:eastAsia="Times New Roman" w:hAnsi="David" w:cs="David"/>
          <w:spacing w:val="10"/>
          <w:sz w:val="24"/>
          <w:szCs w:val="24"/>
          <w:rtl/>
        </w:rPr>
        <w:t xml:space="preserve"> – </w:t>
      </w:r>
      <w:r w:rsidRPr="000365CA">
        <w:rPr>
          <w:rFonts w:ascii="David" w:eastAsia="Times New Roman" w:hAnsi="David" w:cs="David" w:hint="eastAsia"/>
          <w:spacing w:val="10"/>
          <w:sz w:val="24"/>
          <w:szCs w:val="24"/>
          <w:rtl/>
        </w:rPr>
        <w:t>נטל</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שחם</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את</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כף</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ידה</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והניחה</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על</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איבר</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מינו</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תוך</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שהוא</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מחבק</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אותה</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ונגע</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באיבר</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מינה</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ובהמשך</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נישק</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אותה</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סמוך</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לשפתיה</w:t>
      </w:r>
      <w:r w:rsidRPr="000365CA">
        <w:rPr>
          <w:rFonts w:ascii="David" w:eastAsia="Times New Roman" w:hAnsi="David" w:cs="David"/>
          <w:spacing w:val="10"/>
          <w:sz w:val="24"/>
          <w:szCs w:val="24"/>
          <w:rtl/>
        </w:rPr>
        <w:t xml:space="preserve"> – </w:t>
      </w:r>
      <w:r w:rsidRPr="000365CA">
        <w:rPr>
          <w:rFonts w:ascii="David" w:eastAsia="Times New Roman" w:hAnsi="David" w:cs="David" w:hint="eastAsia"/>
          <w:spacing w:val="10"/>
          <w:sz w:val="24"/>
          <w:szCs w:val="24"/>
          <w:rtl/>
        </w:rPr>
        <w:t>כל</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זאת</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בניגוד</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לרצונה</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על</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רקע</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המתואר</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לעיל</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במועד</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שאינו</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ידוע</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לתביעה</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פנתה</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השוטרת</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ח</w:t>
      </w:r>
      <w:r w:rsidRPr="000365CA">
        <w:rPr>
          <w:rFonts w:ascii="David" w:eastAsia="Times New Roman" w:hAnsi="David" w:cs="David"/>
          <w:spacing w:val="10"/>
          <w:sz w:val="24"/>
          <w:szCs w:val="24"/>
          <w:rtl/>
        </w:rPr>
        <w:t>.</w:t>
      </w:r>
      <w:r w:rsidRPr="000365CA">
        <w:rPr>
          <w:rFonts w:ascii="David" w:eastAsia="Times New Roman" w:hAnsi="David" w:cs="David" w:hint="eastAsia"/>
          <w:spacing w:val="10"/>
          <w:sz w:val="24"/>
          <w:szCs w:val="24"/>
          <w:rtl/>
        </w:rPr>
        <w:t>ח</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לשחם</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וביקשה</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את</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סיועו</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בקיצור</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תקופת</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שירותו</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של</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בעלה</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שאף</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הוא</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שירת</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כשוטר</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במטרה</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לקדם</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את</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מעברו</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לתפקיד</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חדש</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הקרוב</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לביתם</w:t>
      </w:r>
      <w:r w:rsidRPr="000365CA">
        <w:rPr>
          <w:rFonts w:ascii="David" w:eastAsia="Times New Roman" w:hAnsi="David" w:cs="David"/>
          <w:spacing w:val="10"/>
          <w:sz w:val="24"/>
          <w:szCs w:val="24"/>
          <w:rtl/>
        </w:rPr>
        <w:t xml:space="preserve"> – </w:t>
      </w:r>
      <w:r w:rsidRPr="000365CA">
        <w:rPr>
          <w:rFonts w:ascii="David" w:eastAsia="Times New Roman" w:hAnsi="David" w:cs="David" w:hint="eastAsia"/>
          <w:spacing w:val="10"/>
          <w:sz w:val="24"/>
          <w:szCs w:val="24"/>
          <w:rtl/>
        </w:rPr>
        <w:t>זאת</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לאחר</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שפניותיו</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למפקדיו</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בנושא</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לא</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הועילו</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שחם</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נעתר</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לבקשה</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זו</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פנה</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אל</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הגורם</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הרלוונטי</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בבקשה</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לקצר</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את</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תקופת</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השירות</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של</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הבעל</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ובסמוך</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לאחר</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מכן</w:t>
      </w:r>
      <w:r w:rsidRPr="000365CA">
        <w:rPr>
          <w:rFonts w:ascii="David" w:eastAsia="Times New Roman" w:hAnsi="David" w:cs="David"/>
          <w:spacing w:val="10"/>
          <w:sz w:val="24"/>
          <w:szCs w:val="24"/>
          <w:rtl/>
        </w:rPr>
        <w:t xml:space="preserve"> – </w:t>
      </w:r>
      <w:r w:rsidRPr="000365CA">
        <w:rPr>
          <w:rFonts w:ascii="David" w:eastAsia="Times New Roman" w:hAnsi="David" w:cs="David" w:hint="eastAsia"/>
          <w:spacing w:val="10"/>
          <w:sz w:val="24"/>
          <w:szCs w:val="24"/>
          <w:rtl/>
        </w:rPr>
        <w:t>העברתו</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אושרה</w:t>
      </w:r>
      <w:r w:rsidRPr="000365CA">
        <w:rPr>
          <w:rFonts w:ascii="David" w:eastAsia="Times New Roman" w:hAnsi="David" w:cs="David"/>
          <w:spacing w:val="10"/>
          <w:sz w:val="24"/>
          <w:szCs w:val="24"/>
          <w:rtl/>
        </w:rPr>
        <w:t xml:space="preserve">. </w:t>
      </w:r>
    </w:p>
    <w:p w:rsidR="000365CA" w:rsidRPr="000365CA" w:rsidRDefault="000365CA" w:rsidP="000365CA">
      <w:pPr>
        <w:overflowPunct w:val="0"/>
        <w:autoSpaceDE w:val="0"/>
        <w:autoSpaceDN w:val="0"/>
        <w:adjustRightInd w:val="0"/>
        <w:spacing w:after="0" w:line="360" w:lineRule="auto"/>
        <w:jc w:val="both"/>
        <w:textAlignment w:val="baseline"/>
        <w:rPr>
          <w:rFonts w:ascii="David" w:eastAsia="Times New Roman" w:hAnsi="David" w:cs="David"/>
          <w:spacing w:val="10"/>
          <w:sz w:val="24"/>
          <w:szCs w:val="24"/>
          <w:rtl/>
        </w:rPr>
      </w:pPr>
    </w:p>
    <w:p w:rsidR="000365CA" w:rsidRDefault="004E14DF" w:rsidP="000365CA">
      <w:pPr>
        <w:overflowPunct w:val="0"/>
        <w:autoSpaceDE w:val="0"/>
        <w:autoSpaceDN w:val="0"/>
        <w:adjustRightInd w:val="0"/>
        <w:spacing w:after="0" w:line="360" w:lineRule="auto"/>
        <w:jc w:val="both"/>
        <w:textAlignment w:val="baseline"/>
        <w:rPr>
          <w:rFonts w:ascii="David" w:eastAsia="Times New Roman" w:hAnsi="David" w:cs="David"/>
          <w:b/>
          <w:bCs/>
          <w:spacing w:val="10"/>
          <w:sz w:val="24"/>
          <w:szCs w:val="24"/>
          <w:u w:val="single"/>
          <w:rtl/>
        </w:rPr>
      </w:pPr>
      <w:r w:rsidRPr="000365CA">
        <w:rPr>
          <w:rFonts w:ascii="David" w:eastAsia="Times New Roman" w:hAnsi="David" w:cs="David" w:hint="eastAsia"/>
          <w:spacing w:val="10"/>
          <w:sz w:val="24"/>
          <w:szCs w:val="24"/>
          <w:rtl/>
        </w:rPr>
        <w:t>בכתב</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האישום</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נטען</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כי</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מעשיו</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של</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שחם</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בתפקידיו</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כסגן</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מפקד</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מחוז</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ירושלים</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וכמפקד</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מחוז</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ירושלים</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כמפורט</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בסדרת</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שמונה</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הפרשות</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שתוארו</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לעיל</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הצטברו</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לכדי</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התנהלות</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כוללת</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שהיא</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בגדר</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מעשה</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הפרת</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אמונים</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הפוגע</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בציבור</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בנוסף</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לכך</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במעשיו</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המתוארים</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בפרשות</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השישית</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השביעית</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והשמינית</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ניצל</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שחם</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את</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תפקידו</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מעמדו</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ונסיבות</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היכרותו</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עם</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השוטרות</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כמנוף</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ליצירת</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סיטואציה</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אישית</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ואינטימית</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במהלכה</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ביצע</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גם</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עבירות</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מין</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של</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מעשה</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מגונה</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בשוטרת</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בלא</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הסכמה</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הפרשה</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השישית</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מעשה</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מגונה</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בשוטרת</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נוספת</w:t>
      </w:r>
    </w:p>
    <w:p w:rsidR="000365CA" w:rsidRDefault="004E14DF" w:rsidP="002306E5">
      <w:pPr>
        <w:overflowPunct w:val="0"/>
        <w:autoSpaceDE w:val="0"/>
        <w:autoSpaceDN w:val="0"/>
        <w:adjustRightInd w:val="0"/>
        <w:spacing w:after="0" w:line="360" w:lineRule="auto"/>
        <w:jc w:val="both"/>
        <w:textAlignment w:val="baseline"/>
        <w:rPr>
          <w:rFonts w:ascii="David" w:eastAsia="Times New Roman" w:hAnsi="David" w:cs="David"/>
          <w:spacing w:val="10"/>
          <w:sz w:val="24"/>
          <w:szCs w:val="24"/>
          <w:rtl/>
        </w:rPr>
      </w:pPr>
      <w:r w:rsidRPr="000365CA">
        <w:rPr>
          <w:rFonts w:ascii="David" w:eastAsia="Times New Roman" w:hAnsi="David" w:cs="David" w:hint="eastAsia"/>
          <w:spacing w:val="10"/>
          <w:sz w:val="24"/>
          <w:szCs w:val="24"/>
          <w:rtl/>
        </w:rPr>
        <w:t>וכן</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הטריד</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מינית</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שוטרת</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בהציעו</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לה</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הצעות</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בעלות</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אופי</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מיני</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התייחס</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התייחסויות</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חוזרות</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המופנות</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כלפיה</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והתמקד</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במיניותה</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וזאת</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תוך</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ניצול</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מרות</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ביחסי</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עבודה</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או</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בשירות</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הפרשה</w:t>
      </w:r>
      <w:r w:rsidRPr="000365CA">
        <w:rPr>
          <w:rFonts w:ascii="David" w:eastAsia="Times New Roman" w:hAnsi="David" w:cs="David"/>
          <w:spacing w:val="10"/>
          <w:sz w:val="24"/>
          <w:szCs w:val="24"/>
          <w:rtl/>
        </w:rPr>
        <w:t xml:space="preserve"> </w:t>
      </w:r>
      <w:r w:rsidRPr="000365CA">
        <w:rPr>
          <w:rFonts w:ascii="David" w:eastAsia="Times New Roman" w:hAnsi="David" w:cs="David" w:hint="eastAsia"/>
          <w:spacing w:val="10"/>
          <w:sz w:val="24"/>
          <w:szCs w:val="24"/>
          <w:rtl/>
        </w:rPr>
        <w:t>השביעית</w:t>
      </w:r>
      <w:r w:rsidRPr="000365CA">
        <w:rPr>
          <w:rFonts w:ascii="David" w:eastAsia="Times New Roman" w:hAnsi="David" w:cs="David"/>
          <w:spacing w:val="10"/>
          <w:sz w:val="24"/>
          <w:szCs w:val="24"/>
          <w:rtl/>
        </w:rPr>
        <w:t>).</w:t>
      </w:r>
    </w:p>
    <w:p w:rsidR="000365CA" w:rsidRDefault="000365CA" w:rsidP="00613546">
      <w:pPr>
        <w:overflowPunct w:val="0"/>
        <w:autoSpaceDE w:val="0"/>
        <w:autoSpaceDN w:val="0"/>
        <w:adjustRightInd w:val="0"/>
        <w:spacing w:after="0" w:line="360" w:lineRule="auto"/>
        <w:jc w:val="both"/>
        <w:textAlignment w:val="baseline"/>
        <w:rPr>
          <w:rFonts w:ascii="David" w:eastAsia="Times New Roman" w:hAnsi="David" w:cs="David"/>
          <w:b/>
          <w:bCs/>
          <w:spacing w:val="10"/>
          <w:sz w:val="24"/>
          <w:szCs w:val="24"/>
          <w:u w:val="single"/>
          <w:rtl/>
        </w:rPr>
      </w:pPr>
    </w:p>
    <w:p w:rsidR="00613546" w:rsidRPr="00373B46" w:rsidRDefault="004E14DF" w:rsidP="00613546">
      <w:pPr>
        <w:overflowPunct w:val="0"/>
        <w:autoSpaceDE w:val="0"/>
        <w:autoSpaceDN w:val="0"/>
        <w:adjustRightInd w:val="0"/>
        <w:spacing w:after="0" w:line="360" w:lineRule="auto"/>
        <w:jc w:val="both"/>
        <w:textAlignment w:val="baseline"/>
        <w:rPr>
          <w:rFonts w:ascii="David" w:eastAsia="Times New Roman" w:hAnsi="David" w:cs="David"/>
          <w:b/>
          <w:bCs/>
          <w:spacing w:val="10"/>
          <w:sz w:val="24"/>
          <w:szCs w:val="24"/>
          <w:u w:val="single"/>
          <w:rtl/>
        </w:rPr>
      </w:pPr>
      <w:r w:rsidRPr="00373B46">
        <w:rPr>
          <w:rFonts w:ascii="David" w:eastAsia="Times New Roman" w:hAnsi="David" w:cs="David" w:hint="cs"/>
          <w:b/>
          <w:bCs/>
          <w:spacing w:val="10"/>
          <w:sz w:val="24"/>
          <w:szCs w:val="24"/>
          <w:u w:val="single"/>
          <w:rtl/>
        </w:rPr>
        <w:t xml:space="preserve">פסק הדין </w:t>
      </w:r>
    </w:p>
    <w:p w:rsidR="00613546" w:rsidRPr="00373B46" w:rsidRDefault="00613546" w:rsidP="00613546">
      <w:pPr>
        <w:overflowPunct w:val="0"/>
        <w:autoSpaceDE w:val="0"/>
        <w:autoSpaceDN w:val="0"/>
        <w:adjustRightInd w:val="0"/>
        <w:spacing w:after="0" w:line="360" w:lineRule="auto"/>
        <w:jc w:val="both"/>
        <w:textAlignment w:val="baseline"/>
        <w:rPr>
          <w:rFonts w:ascii="David" w:eastAsia="Times New Roman" w:hAnsi="David" w:cs="David"/>
          <w:spacing w:val="10"/>
          <w:sz w:val="24"/>
          <w:szCs w:val="24"/>
          <w:rtl/>
        </w:rPr>
      </w:pPr>
    </w:p>
    <w:p w:rsidR="00613546" w:rsidRPr="00373B46" w:rsidRDefault="004E14DF" w:rsidP="00613546">
      <w:pPr>
        <w:overflowPunct w:val="0"/>
        <w:autoSpaceDE w:val="0"/>
        <w:autoSpaceDN w:val="0"/>
        <w:adjustRightInd w:val="0"/>
        <w:spacing w:after="0" w:line="360" w:lineRule="auto"/>
        <w:jc w:val="both"/>
        <w:textAlignment w:val="baseline"/>
        <w:rPr>
          <w:rFonts w:ascii="David" w:eastAsia="Times New Roman" w:hAnsi="David" w:cs="David"/>
          <w:spacing w:val="10"/>
          <w:sz w:val="24"/>
          <w:szCs w:val="24"/>
          <w:rtl/>
        </w:rPr>
      </w:pPr>
      <w:r w:rsidRPr="00373B46">
        <w:rPr>
          <w:rFonts w:ascii="David" w:eastAsia="Times New Roman" w:hAnsi="David" w:cs="David" w:hint="cs"/>
          <w:spacing w:val="10"/>
          <w:sz w:val="24"/>
          <w:szCs w:val="24"/>
          <w:rtl/>
        </w:rPr>
        <w:t xml:space="preserve">כאמור, ביום 20.4.2018 הרשיע בית משפט את שחם בעבירה אחת של מעשה מגונה, לפי סעיף 348(ג) לחוק בגין מעשיו בפרשה השישית, וזיכה אותו מכול יתר העבירות שיוחסו לו בכתב האישום במסגרת שמונה הפרשות השונות (להלן: </w:t>
      </w:r>
      <w:r w:rsidRPr="007A6B68">
        <w:rPr>
          <w:rFonts w:ascii="David" w:eastAsia="Times New Roman" w:hAnsi="David" w:cs="David" w:hint="cs"/>
          <w:spacing w:val="10"/>
          <w:sz w:val="24"/>
          <w:szCs w:val="24"/>
          <w:rtl/>
        </w:rPr>
        <w:t>"</w:t>
      </w:r>
      <w:r w:rsidRPr="00373B46">
        <w:rPr>
          <w:rFonts w:ascii="David" w:eastAsia="Times New Roman" w:hAnsi="David" w:cs="David" w:hint="cs"/>
          <w:b/>
          <w:bCs/>
          <w:spacing w:val="10"/>
          <w:sz w:val="24"/>
          <w:szCs w:val="24"/>
          <w:rtl/>
        </w:rPr>
        <w:t>הכרעת הדין</w:t>
      </w:r>
      <w:r w:rsidRPr="007A6B68">
        <w:rPr>
          <w:rFonts w:ascii="David" w:eastAsia="Times New Roman" w:hAnsi="David" w:cs="David" w:hint="cs"/>
          <w:spacing w:val="10"/>
          <w:sz w:val="24"/>
          <w:szCs w:val="24"/>
          <w:rtl/>
        </w:rPr>
        <w:t>"</w:t>
      </w:r>
      <w:r w:rsidRPr="00373B46">
        <w:rPr>
          <w:rFonts w:ascii="David" w:eastAsia="Times New Roman" w:hAnsi="David" w:cs="David" w:hint="cs"/>
          <w:spacing w:val="10"/>
          <w:sz w:val="24"/>
          <w:szCs w:val="24"/>
          <w:rtl/>
        </w:rPr>
        <w:t xml:space="preserve">). </w:t>
      </w:r>
    </w:p>
    <w:p w:rsidR="00613546" w:rsidRPr="00373B46" w:rsidRDefault="00613546" w:rsidP="00613546">
      <w:pPr>
        <w:overflowPunct w:val="0"/>
        <w:autoSpaceDE w:val="0"/>
        <w:autoSpaceDN w:val="0"/>
        <w:adjustRightInd w:val="0"/>
        <w:spacing w:after="0" w:line="360" w:lineRule="auto"/>
        <w:jc w:val="both"/>
        <w:textAlignment w:val="baseline"/>
        <w:rPr>
          <w:rFonts w:ascii="David" w:eastAsia="Times New Roman" w:hAnsi="David" w:cs="David"/>
          <w:spacing w:val="10"/>
          <w:sz w:val="24"/>
          <w:szCs w:val="24"/>
          <w:rtl/>
        </w:rPr>
      </w:pPr>
    </w:p>
    <w:p w:rsidR="00613546" w:rsidRPr="00373B46" w:rsidRDefault="004E14DF" w:rsidP="009A5F29">
      <w:pPr>
        <w:overflowPunct w:val="0"/>
        <w:autoSpaceDE w:val="0"/>
        <w:autoSpaceDN w:val="0"/>
        <w:adjustRightInd w:val="0"/>
        <w:spacing w:after="0" w:line="360" w:lineRule="auto"/>
        <w:jc w:val="both"/>
        <w:textAlignment w:val="baseline"/>
        <w:rPr>
          <w:rFonts w:ascii="David" w:eastAsia="Times New Roman" w:hAnsi="David" w:cs="David"/>
          <w:spacing w:val="10"/>
          <w:sz w:val="24"/>
          <w:szCs w:val="24"/>
          <w:rtl/>
        </w:rPr>
      </w:pPr>
      <w:r w:rsidRPr="00373B46">
        <w:rPr>
          <w:rFonts w:ascii="David" w:eastAsia="Times New Roman" w:hAnsi="David" w:cs="David" w:hint="cs"/>
          <w:spacing w:val="10"/>
          <w:sz w:val="24"/>
          <w:szCs w:val="24"/>
          <w:rtl/>
        </w:rPr>
        <w:t xml:space="preserve">ביום 10.12.2018 גזר בית המשפט על שחם שישה חודשי מאסר על תנאי, והטיל עליו 240 שעות שירות לתועלת הציבור (להלן: </w:t>
      </w:r>
      <w:r w:rsidRPr="007A6B68">
        <w:rPr>
          <w:rFonts w:ascii="David" w:eastAsia="Times New Roman" w:hAnsi="David" w:cs="David" w:hint="cs"/>
          <w:spacing w:val="10"/>
          <w:sz w:val="24"/>
          <w:szCs w:val="24"/>
          <w:rtl/>
        </w:rPr>
        <w:t>"</w:t>
      </w:r>
      <w:r w:rsidRPr="00373B46">
        <w:rPr>
          <w:rFonts w:ascii="David" w:eastAsia="Times New Roman" w:hAnsi="David" w:cs="David" w:hint="cs"/>
          <w:b/>
          <w:bCs/>
          <w:spacing w:val="10"/>
          <w:sz w:val="24"/>
          <w:szCs w:val="24"/>
          <w:rtl/>
        </w:rPr>
        <w:t>גזר הדין</w:t>
      </w:r>
      <w:r w:rsidRPr="007A6B68">
        <w:rPr>
          <w:rFonts w:ascii="David" w:eastAsia="Times New Roman" w:hAnsi="David" w:cs="David" w:hint="cs"/>
          <w:spacing w:val="10"/>
          <w:sz w:val="24"/>
          <w:szCs w:val="24"/>
          <w:rtl/>
        </w:rPr>
        <w:t>"</w:t>
      </w:r>
      <w:r w:rsidRPr="00373B46">
        <w:rPr>
          <w:rFonts w:ascii="David" w:eastAsia="Times New Roman" w:hAnsi="David" w:cs="David" w:hint="cs"/>
          <w:spacing w:val="10"/>
          <w:sz w:val="24"/>
          <w:szCs w:val="24"/>
          <w:rtl/>
        </w:rPr>
        <w:t>).</w:t>
      </w:r>
    </w:p>
    <w:p w:rsidR="00613546" w:rsidRPr="00373B46" w:rsidRDefault="00613546" w:rsidP="00613546">
      <w:pPr>
        <w:overflowPunct w:val="0"/>
        <w:autoSpaceDE w:val="0"/>
        <w:autoSpaceDN w:val="0"/>
        <w:adjustRightInd w:val="0"/>
        <w:spacing w:after="0" w:line="360" w:lineRule="auto"/>
        <w:jc w:val="both"/>
        <w:textAlignment w:val="baseline"/>
        <w:rPr>
          <w:rFonts w:ascii="David" w:eastAsia="Times New Roman" w:hAnsi="David" w:cs="David"/>
          <w:spacing w:val="10"/>
          <w:sz w:val="24"/>
          <w:szCs w:val="24"/>
          <w:rtl/>
        </w:rPr>
      </w:pPr>
    </w:p>
    <w:p w:rsidR="00613546" w:rsidRPr="00373B46" w:rsidRDefault="004E14DF" w:rsidP="00613546">
      <w:pPr>
        <w:overflowPunct w:val="0"/>
        <w:autoSpaceDE w:val="0"/>
        <w:autoSpaceDN w:val="0"/>
        <w:adjustRightInd w:val="0"/>
        <w:spacing w:after="0" w:line="360" w:lineRule="auto"/>
        <w:jc w:val="both"/>
        <w:textAlignment w:val="baseline"/>
        <w:rPr>
          <w:rFonts w:ascii="David" w:eastAsia="Times New Roman" w:hAnsi="David" w:cs="David"/>
          <w:b/>
          <w:bCs/>
          <w:spacing w:val="10"/>
          <w:sz w:val="24"/>
          <w:szCs w:val="24"/>
          <w:u w:val="single"/>
          <w:rtl/>
        </w:rPr>
      </w:pPr>
      <w:r w:rsidRPr="00373B46">
        <w:rPr>
          <w:rFonts w:ascii="David" w:eastAsia="Times New Roman" w:hAnsi="David" w:cs="David" w:hint="cs"/>
          <w:b/>
          <w:bCs/>
          <w:spacing w:val="10"/>
          <w:sz w:val="24"/>
          <w:szCs w:val="24"/>
          <w:u w:val="single"/>
          <w:rtl/>
        </w:rPr>
        <w:lastRenderedPageBreak/>
        <w:t>הכרעת הדין</w:t>
      </w:r>
    </w:p>
    <w:p w:rsidR="00613546" w:rsidRPr="00373B46" w:rsidRDefault="00613546" w:rsidP="00613546">
      <w:pPr>
        <w:overflowPunct w:val="0"/>
        <w:autoSpaceDE w:val="0"/>
        <w:autoSpaceDN w:val="0"/>
        <w:adjustRightInd w:val="0"/>
        <w:spacing w:after="0" w:line="360" w:lineRule="auto"/>
        <w:jc w:val="both"/>
        <w:textAlignment w:val="baseline"/>
        <w:rPr>
          <w:rFonts w:ascii="David" w:eastAsia="Times New Roman" w:hAnsi="David" w:cs="David"/>
          <w:spacing w:val="10"/>
          <w:sz w:val="24"/>
          <w:szCs w:val="24"/>
          <w:rtl/>
        </w:rPr>
      </w:pPr>
    </w:p>
    <w:p w:rsidR="00613546" w:rsidRDefault="004E14DF" w:rsidP="00613546">
      <w:pPr>
        <w:overflowPunct w:val="0"/>
        <w:autoSpaceDE w:val="0"/>
        <w:autoSpaceDN w:val="0"/>
        <w:adjustRightInd w:val="0"/>
        <w:spacing w:after="0" w:line="360" w:lineRule="auto"/>
        <w:jc w:val="both"/>
        <w:textAlignment w:val="baseline"/>
        <w:rPr>
          <w:rFonts w:ascii="David" w:eastAsia="Times New Roman" w:hAnsi="David" w:cs="David"/>
          <w:spacing w:val="10"/>
          <w:sz w:val="24"/>
          <w:szCs w:val="24"/>
          <w:rtl/>
        </w:rPr>
      </w:pPr>
      <w:r w:rsidRPr="00373B46">
        <w:rPr>
          <w:rFonts w:ascii="David" w:eastAsia="Times New Roman" w:hAnsi="David" w:cs="David" w:hint="cs"/>
          <w:spacing w:val="10"/>
          <w:sz w:val="24"/>
          <w:szCs w:val="24"/>
          <w:rtl/>
        </w:rPr>
        <w:t>להלן יובא תקציר הכרעת הדין. לא מצאתי להרחיב בתיאור העובדות שנקבעו על ידי בית המשפט ומוסכמות על הצדדים, והפירוט המלא והמחייב נמצא בפסק הדין עצמו.</w:t>
      </w:r>
    </w:p>
    <w:p w:rsidR="00662584" w:rsidRDefault="00662584" w:rsidP="00613546">
      <w:pPr>
        <w:overflowPunct w:val="0"/>
        <w:autoSpaceDE w:val="0"/>
        <w:autoSpaceDN w:val="0"/>
        <w:adjustRightInd w:val="0"/>
        <w:spacing w:after="0" w:line="360" w:lineRule="auto"/>
        <w:jc w:val="both"/>
        <w:textAlignment w:val="baseline"/>
        <w:rPr>
          <w:rFonts w:ascii="David" w:eastAsia="Times New Roman" w:hAnsi="David" w:cs="David"/>
          <w:spacing w:val="10"/>
          <w:sz w:val="24"/>
          <w:szCs w:val="24"/>
          <w:rtl/>
        </w:rPr>
      </w:pPr>
    </w:p>
    <w:p w:rsidR="00662584" w:rsidRDefault="004E14DF" w:rsidP="00E02E02">
      <w:pPr>
        <w:overflowPunct w:val="0"/>
        <w:autoSpaceDE w:val="0"/>
        <w:autoSpaceDN w:val="0"/>
        <w:adjustRightInd w:val="0"/>
        <w:spacing w:after="0" w:line="360" w:lineRule="auto"/>
        <w:jc w:val="both"/>
        <w:textAlignment w:val="baseline"/>
        <w:rPr>
          <w:rFonts w:ascii="David" w:eastAsia="Times New Roman" w:hAnsi="David" w:cs="David"/>
          <w:spacing w:val="10"/>
          <w:sz w:val="24"/>
          <w:szCs w:val="24"/>
          <w:rtl/>
        </w:rPr>
      </w:pPr>
      <w:r w:rsidRPr="00C15932">
        <w:rPr>
          <w:rFonts w:ascii="David" w:eastAsia="Times New Roman" w:hAnsi="David" w:cs="David" w:hint="cs"/>
          <w:spacing w:val="10"/>
          <w:sz w:val="24"/>
          <w:szCs w:val="24"/>
          <w:rtl/>
        </w:rPr>
        <w:t xml:space="preserve">בית המשפט חילק את הכרעת דינו לשתי חטיבות: האחת </w:t>
      </w:r>
      <w:r w:rsidRPr="00C15932">
        <w:rPr>
          <w:rFonts w:ascii="David" w:eastAsia="Times New Roman" w:hAnsi="David" w:cs="David"/>
          <w:spacing w:val="10"/>
          <w:sz w:val="24"/>
          <w:szCs w:val="24"/>
          <w:rtl/>
        </w:rPr>
        <w:t>–</w:t>
      </w:r>
      <w:r w:rsidRPr="00C15932">
        <w:rPr>
          <w:rFonts w:ascii="David" w:eastAsia="Times New Roman" w:hAnsi="David" w:cs="David" w:hint="cs"/>
          <w:spacing w:val="10"/>
          <w:sz w:val="24"/>
          <w:szCs w:val="24"/>
          <w:rtl/>
        </w:rPr>
        <w:t xml:space="preserve"> "חטיבת ניגוד העניינים", שבמסגרתה נכללות פרשות 1-5 וחלק מפרשה 8, השנייה </w:t>
      </w:r>
      <w:r w:rsidRPr="00C15932">
        <w:rPr>
          <w:rFonts w:ascii="David" w:eastAsia="Times New Roman" w:hAnsi="David" w:cs="David"/>
          <w:spacing w:val="10"/>
          <w:sz w:val="24"/>
          <w:szCs w:val="24"/>
          <w:rtl/>
        </w:rPr>
        <w:t>–</w:t>
      </w:r>
      <w:r w:rsidRPr="00C15932">
        <w:rPr>
          <w:rFonts w:ascii="David" w:eastAsia="Times New Roman" w:hAnsi="David" w:cs="David" w:hint="cs"/>
          <w:spacing w:val="10"/>
          <w:sz w:val="24"/>
          <w:szCs w:val="24"/>
          <w:rtl/>
        </w:rPr>
        <w:t xml:space="preserve"> "חטיבת עבירות המין", שבמסגרתה נכללות פרשות 6-8. במסגרת החלק המסכם של ההכרעה, הכריע בית משפט קמא בשאלה האם ניתן "לצבור" אסופה של "ניגודי עניינים שאינם פליליים" לכדי עבירה פלילית אחת (להלן: </w:t>
      </w:r>
      <w:r w:rsidRPr="00C15932">
        <w:rPr>
          <w:rFonts w:ascii="David" w:eastAsia="Times New Roman" w:hAnsi="David" w:cs="David" w:hint="cs"/>
          <w:b/>
          <w:bCs/>
          <w:spacing w:val="10"/>
          <w:sz w:val="24"/>
          <w:szCs w:val="24"/>
          <w:rtl/>
        </w:rPr>
        <w:t>"תזת הצבירה"</w:t>
      </w:r>
      <w:r w:rsidRPr="00C15932">
        <w:rPr>
          <w:rFonts w:ascii="David" w:eastAsia="Times New Roman" w:hAnsi="David" w:cs="David" w:hint="cs"/>
          <w:spacing w:val="10"/>
          <w:sz w:val="24"/>
          <w:szCs w:val="24"/>
          <w:rtl/>
        </w:rPr>
        <w:t>).</w:t>
      </w:r>
    </w:p>
    <w:p w:rsidR="00E02E02" w:rsidRDefault="00E02E02" w:rsidP="00E02E02">
      <w:pPr>
        <w:overflowPunct w:val="0"/>
        <w:autoSpaceDE w:val="0"/>
        <w:autoSpaceDN w:val="0"/>
        <w:adjustRightInd w:val="0"/>
        <w:spacing w:after="0" w:line="360" w:lineRule="auto"/>
        <w:jc w:val="both"/>
        <w:textAlignment w:val="baseline"/>
        <w:rPr>
          <w:rFonts w:ascii="David" w:eastAsia="Times New Roman" w:hAnsi="David" w:cs="David"/>
          <w:spacing w:val="10"/>
          <w:sz w:val="24"/>
          <w:szCs w:val="24"/>
          <w:rtl/>
        </w:rPr>
      </w:pPr>
    </w:p>
    <w:p w:rsidR="00481C74" w:rsidRPr="00C15932" w:rsidRDefault="004E14DF" w:rsidP="00E02E02">
      <w:pPr>
        <w:overflowPunct w:val="0"/>
        <w:autoSpaceDE w:val="0"/>
        <w:autoSpaceDN w:val="0"/>
        <w:adjustRightInd w:val="0"/>
        <w:spacing w:after="0" w:line="360" w:lineRule="auto"/>
        <w:jc w:val="both"/>
        <w:textAlignment w:val="baseline"/>
        <w:rPr>
          <w:rFonts w:ascii="David" w:eastAsia="Times New Roman" w:hAnsi="David" w:cs="David"/>
          <w:spacing w:val="10"/>
          <w:sz w:val="24"/>
          <w:szCs w:val="24"/>
          <w:u w:val="single"/>
          <w:rtl/>
        </w:rPr>
      </w:pPr>
      <w:r w:rsidRPr="00C15932">
        <w:rPr>
          <w:rFonts w:ascii="David" w:eastAsia="Times New Roman" w:hAnsi="David" w:cs="David" w:hint="cs"/>
          <w:spacing w:val="10"/>
          <w:sz w:val="24"/>
          <w:szCs w:val="24"/>
          <w:u w:val="single"/>
          <w:rtl/>
        </w:rPr>
        <w:t>חטיבת ניגוד העניינים</w:t>
      </w:r>
    </w:p>
    <w:p w:rsidR="0051525C" w:rsidRPr="00C15932" w:rsidRDefault="004E14DF" w:rsidP="00E02E02">
      <w:pPr>
        <w:overflowPunct w:val="0"/>
        <w:autoSpaceDE w:val="0"/>
        <w:autoSpaceDN w:val="0"/>
        <w:adjustRightInd w:val="0"/>
        <w:spacing w:after="0" w:line="360" w:lineRule="auto"/>
        <w:jc w:val="both"/>
        <w:textAlignment w:val="baseline"/>
        <w:rPr>
          <w:rFonts w:ascii="David" w:eastAsia="Times New Roman" w:hAnsi="David" w:cs="David"/>
          <w:spacing w:val="10"/>
          <w:sz w:val="24"/>
          <w:szCs w:val="24"/>
          <w:rtl/>
        </w:rPr>
      </w:pPr>
      <w:r w:rsidRPr="00C15932">
        <w:rPr>
          <w:rFonts w:ascii="David" w:eastAsia="Times New Roman" w:hAnsi="David" w:cs="David" w:hint="cs"/>
          <w:spacing w:val="10"/>
          <w:sz w:val="24"/>
          <w:szCs w:val="24"/>
          <w:u w:val="single"/>
          <w:rtl/>
        </w:rPr>
        <w:t>בפרשה הראשונה</w:t>
      </w:r>
      <w:r w:rsidRPr="00C15932">
        <w:rPr>
          <w:rFonts w:ascii="David" w:eastAsia="Times New Roman" w:hAnsi="David" w:cs="David" w:hint="cs"/>
          <w:spacing w:val="10"/>
          <w:sz w:val="24"/>
          <w:szCs w:val="24"/>
          <w:rtl/>
        </w:rPr>
        <w:t xml:space="preserve">, כפי שתוארה בכתב האישום שעיקריו פורטו לעיל, יוחסו לשחם מספר פעולות לגביהן נטען שבוצעו על-ידו בהיותו נתון במצב של ניגוד עניינים. חרף זאת, בית המשפט נמנע מלהכריע בפעולות שבוצעו במהלך הקשר המיני </w:t>
      </w:r>
      <w:r w:rsidRPr="00C15932">
        <w:rPr>
          <w:rFonts w:ascii="David" w:eastAsia="Times New Roman" w:hAnsi="David" w:cs="David"/>
          <w:spacing w:val="10"/>
          <w:sz w:val="24"/>
          <w:szCs w:val="24"/>
          <w:rtl/>
        </w:rPr>
        <w:t>–</w:t>
      </w:r>
      <w:r w:rsidRPr="00C15932">
        <w:rPr>
          <w:rFonts w:ascii="David" w:eastAsia="Times New Roman" w:hAnsi="David" w:cs="David" w:hint="cs"/>
          <w:spacing w:val="10"/>
          <w:sz w:val="24"/>
          <w:szCs w:val="24"/>
          <w:rtl/>
        </w:rPr>
        <w:t xml:space="preserve"> עד סוף שנת 2004 בשל התיישנותן ולכן נמנע מלהתייחס אליהן כחלק ממכלול ההתנהגות המיוחסת לשחם כהתנהגות המגבשת עבירה של מרמה והפרת אמונים.</w:t>
      </w:r>
      <w:r>
        <w:rPr>
          <w:rFonts w:ascii="David" w:eastAsia="Times New Roman" w:hAnsi="David" w:cs="David" w:hint="cs"/>
          <w:spacing w:val="10"/>
          <w:sz w:val="24"/>
          <w:szCs w:val="24"/>
          <w:rtl/>
        </w:rPr>
        <w:t xml:space="preserve"> </w:t>
      </w:r>
      <w:r w:rsidRPr="00C15932">
        <w:rPr>
          <w:rFonts w:ascii="David" w:eastAsia="Times New Roman" w:hAnsi="David" w:cs="David" w:hint="cs"/>
          <w:spacing w:val="10"/>
          <w:sz w:val="24"/>
          <w:szCs w:val="24"/>
          <w:rtl/>
        </w:rPr>
        <w:t xml:space="preserve">לאור זאת, בית המשפט נדרש אך ורק לפעולה אחת שביצע שחם </w:t>
      </w:r>
      <w:r w:rsidRPr="00C15932">
        <w:rPr>
          <w:rFonts w:ascii="David" w:eastAsia="Times New Roman" w:hAnsi="David" w:cs="David"/>
          <w:spacing w:val="10"/>
          <w:sz w:val="24"/>
          <w:szCs w:val="24"/>
          <w:rtl/>
        </w:rPr>
        <w:t>–</w:t>
      </w:r>
      <w:r w:rsidRPr="00C15932">
        <w:rPr>
          <w:rFonts w:ascii="David" w:eastAsia="Times New Roman" w:hAnsi="David" w:cs="David" w:hint="cs"/>
          <w:spacing w:val="10"/>
          <w:sz w:val="24"/>
          <w:szCs w:val="24"/>
          <w:rtl/>
        </w:rPr>
        <w:t xml:space="preserve"> עריכת הריאיון לשוטרת א.א בשנת 2007 לאור בקשתה לעבור תחנה ולהשתבץ בתפקיד אחר. בשים לב לכך, שהריאיון בוצע 3 שנים לאחר מועד סיום הקשר המיני, במסגרת מטלות הקבועות והמוגדרות של תפקידו, זאת מבלי שהוקצו משאבים מיוחדים לעריכתו ומבלי שניתן להצביע על ניסיון להשפיע על אחרים, ולמעשה, דחה עניינית את הבקשה, הגיע בית המשפט למסקנה שפעולה זו הייתה </w:t>
      </w:r>
      <w:r w:rsidRPr="00C15932">
        <w:rPr>
          <w:rFonts w:ascii="David" w:eastAsia="Times New Roman" w:hAnsi="David" w:cs="David" w:hint="cs"/>
          <w:b/>
          <w:bCs/>
          <w:spacing w:val="10"/>
          <w:sz w:val="24"/>
          <w:szCs w:val="24"/>
          <w:rtl/>
        </w:rPr>
        <w:t>"בעוצמת ניגוד עניינים חלשה ביותר, הרחוקה מרחק ניכר מאוד מן המתחם הפלילי"</w:t>
      </w:r>
      <w:r w:rsidR="000A5565">
        <w:rPr>
          <w:rFonts w:ascii="David" w:eastAsia="Times New Roman" w:hAnsi="David" w:cs="David" w:hint="cs"/>
          <w:spacing w:val="10"/>
          <w:sz w:val="24"/>
          <w:szCs w:val="24"/>
          <w:rtl/>
        </w:rPr>
        <w:t xml:space="preserve"> (עמ' 27 להכרעת ה</w:t>
      </w:r>
      <w:r w:rsidR="006D7022">
        <w:rPr>
          <w:rFonts w:ascii="David" w:eastAsia="Times New Roman" w:hAnsi="David" w:cs="David" w:hint="cs"/>
          <w:spacing w:val="10"/>
          <w:sz w:val="24"/>
          <w:szCs w:val="24"/>
          <w:rtl/>
        </w:rPr>
        <w:t>ד</w:t>
      </w:r>
      <w:r w:rsidR="000A5565">
        <w:rPr>
          <w:rFonts w:ascii="David" w:eastAsia="Times New Roman" w:hAnsi="David" w:cs="David" w:hint="cs"/>
          <w:spacing w:val="10"/>
          <w:sz w:val="24"/>
          <w:szCs w:val="24"/>
          <w:rtl/>
        </w:rPr>
        <w:t>ין</w:t>
      </w:r>
      <w:r w:rsidR="006D7022">
        <w:rPr>
          <w:rFonts w:ascii="David" w:eastAsia="Times New Roman" w:hAnsi="David" w:cs="David" w:hint="cs"/>
          <w:spacing w:val="10"/>
          <w:sz w:val="24"/>
          <w:szCs w:val="24"/>
          <w:rtl/>
        </w:rPr>
        <w:t>).</w:t>
      </w:r>
    </w:p>
    <w:p w:rsidR="00662584" w:rsidRDefault="00662584" w:rsidP="00662584">
      <w:pPr>
        <w:overflowPunct w:val="0"/>
        <w:autoSpaceDE w:val="0"/>
        <w:autoSpaceDN w:val="0"/>
        <w:adjustRightInd w:val="0"/>
        <w:spacing w:after="0" w:line="360" w:lineRule="auto"/>
        <w:jc w:val="both"/>
        <w:textAlignment w:val="baseline"/>
        <w:rPr>
          <w:rFonts w:ascii="David" w:eastAsia="Times New Roman" w:hAnsi="David" w:cs="David"/>
          <w:spacing w:val="10"/>
          <w:sz w:val="24"/>
          <w:szCs w:val="24"/>
          <w:rtl/>
        </w:rPr>
      </w:pPr>
    </w:p>
    <w:p w:rsidR="0051525C" w:rsidRPr="00C15932" w:rsidRDefault="004E14DF" w:rsidP="006D7022">
      <w:pPr>
        <w:overflowPunct w:val="0"/>
        <w:autoSpaceDE w:val="0"/>
        <w:autoSpaceDN w:val="0"/>
        <w:adjustRightInd w:val="0"/>
        <w:spacing w:after="0" w:line="360" w:lineRule="auto"/>
        <w:jc w:val="both"/>
        <w:textAlignment w:val="baseline"/>
        <w:rPr>
          <w:rFonts w:ascii="David" w:eastAsia="Times New Roman" w:hAnsi="David" w:cs="David"/>
          <w:spacing w:val="10"/>
          <w:sz w:val="24"/>
          <w:szCs w:val="24"/>
          <w:rtl/>
        </w:rPr>
      </w:pPr>
      <w:r w:rsidRPr="00C15932">
        <w:rPr>
          <w:rFonts w:ascii="David" w:eastAsia="Times New Roman" w:hAnsi="David" w:cs="David" w:hint="cs"/>
          <w:spacing w:val="10"/>
          <w:sz w:val="24"/>
          <w:szCs w:val="24"/>
          <w:u w:val="single"/>
          <w:rtl/>
        </w:rPr>
        <w:t>בפרשה השנייה</w:t>
      </w:r>
      <w:r w:rsidRPr="00C15932">
        <w:rPr>
          <w:rFonts w:ascii="David" w:eastAsia="Times New Roman" w:hAnsi="David" w:cs="David" w:hint="cs"/>
          <w:spacing w:val="10"/>
          <w:sz w:val="24"/>
          <w:szCs w:val="24"/>
          <w:rtl/>
        </w:rPr>
        <w:t xml:space="preserve"> הכריע בית המשפט בנפרד ביחס לכל אחת משלושת הפעולות שנטען שבוצעו על-ידי שחם, כדלקמן: לגבי הפעולה הראשונה, לא הוכחה מעורבותו בבקשת המעבר של השוטרת ב.ב לתפקיד חוקרת; הפעולה השנייה - החלטתו בנוגע לשיבוצה לאחר שקיים עמה ראיון אינה מהווה "סטייה מן השורה"</w:t>
      </w:r>
      <w:r w:rsidR="00481C74">
        <w:rPr>
          <w:rFonts w:ascii="David" w:eastAsia="Times New Roman" w:hAnsi="David" w:cs="David" w:hint="cs"/>
          <w:spacing w:val="10"/>
          <w:sz w:val="24"/>
          <w:szCs w:val="24"/>
          <w:rtl/>
        </w:rPr>
        <w:t>,</w:t>
      </w:r>
      <w:r w:rsidRPr="00C15932">
        <w:rPr>
          <w:rFonts w:ascii="David" w:eastAsia="Times New Roman" w:hAnsi="David" w:cs="David" w:hint="cs"/>
          <w:spacing w:val="10"/>
          <w:sz w:val="24"/>
          <w:szCs w:val="24"/>
          <w:rtl/>
        </w:rPr>
        <w:t xml:space="preserve"> או כהחלטה החורגת ממדיניותו הרגילה ועל פניה היא נראית כהחלטה עניינית, העומדת במתחם הסבירות ומתיישבת עם מדיני</w:t>
      </w:r>
      <w:r w:rsidR="00481C74">
        <w:rPr>
          <w:rFonts w:ascii="David" w:eastAsia="Times New Roman" w:hAnsi="David" w:cs="David" w:hint="cs"/>
          <w:spacing w:val="10"/>
          <w:sz w:val="24"/>
          <w:szCs w:val="24"/>
          <w:rtl/>
        </w:rPr>
        <w:t xml:space="preserve">ותו העקבית בנושא העברות שוטרים. </w:t>
      </w:r>
      <w:r w:rsidRPr="00C15932">
        <w:rPr>
          <w:rFonts w:ascii="David" w:eastAsia="Times New Roman" w:hAnsi="David" w:cs="David" w:hint="cs"/>
          <w:spacing w:val="10"/>
          <w:sz w:val="24"/>
          <w:szCs w:val="24"/>
          <w:rtl/>
        </w:rPr>
        <w:t xml:space="preserve">ובאשר לפעולתו השלישית, מעורבותו בשיבוצה כעובדת הערכה </w:t>
      </w:r>
      <w:proofErr w:type="spellStart"/>
      <w:r w:rsidRPr="00C15932">
        <w:rPr>
          <w:rFonts w:ascii="David" w:eastAsia="Times New Roman" w:hAnsi="David" w:cs="David" w:hint="cs"/>
          <w:spacing w:val="10"/>
          <w:sz w:val="24"/>
          <w:szCs w:val="24"/>
          <w:rtl/>
        </w:rPr>
        <w:t>בימ"ר</w:t>
      </w:r>
      <w:proofErr w:type="spellEnd"/>
      <w:r w:rsidRPr="00C15932">
        <w:rPr>
          <w:rFonts w:ascii="David" w:eastAsia="Times New Roman" w:hAnsi="David" w:cs="David" w:hint="cs"/>
          <w:spacing w:val="10"/>
          <w:sz w:val="24"/>
          <w:szCs w:val="24"/>
          <w:rtl/>
        </w:rPr>
        <w:t xml:space="preserve"> </w:t>
      </w:r>
      <w:r w:rsidRPr="00C15932">
        <w:rPr>
          <w:rFonts w:ascii="David" w:eastAsia="Times New Roman" w:hAnsi="David" w:cs="David"/>
          <w:spacing w:val="10"/>
          <w:sz w:val="24"/>
          <w:szCs w:val="24"/>
          <w:rtl/>
        </w:rPr>
        <w:t>–</w:t>
      </w:r>
      <w:r w:rsidRPr="00C15932">
        <w:rPr>
          <w:rFonts w:ascii="David" w:eastAsia="Times New Roman" w:hAnsi="David" w:cs="David" w:hint="cs"/>
          <w:spacing w:val="10"/>
          <w:sz w:val="24"/>
          <w:szCs w:val="24"/>
          <w:rtl/>
        </w:rPr>
        <w:t xml:space="preserve"> נקבע כי אף שהוראתו עולה כדי "הנחיה במסווה של המלצה", אין לראות בה "כסטייה מן השורה". לצד זאת, ובהתחשב בקביעה כי אופיו של הקשר </w:t>
      </w:r>
      <w:r w:rsidRPr="00C15932">
        <w:rPr>
          <w:rFonts w:ascii="David" w:eastAsia="Times New Roman" w:hAnsi="David" w:cs="David" w:hint="cs"/>
          <w:spacing w:val="10"/>
          <w:sz w:val="24"/>
          <w:szCs w:val="24"/>
          <w:rtl/>
        </w:rPr>
        <w:lastRenderedPageBreak/>
        <w:t>שהתקיים בין השניים העמיד את שחם במצב של ניגוד עניינים, גם אם בעוצמה שאינה יכולה להוות תשתית לביסוס עבירה פלילית, ציין בית המשפט, כי ראוי היה שימשוך ידיו ממעורבות כלשהי בסוגיית שיבוצה של ב.</w:t>
      </w:r>
      <w:r w:rsidR="000A5565">
        <w:rPr>
          <w:rFonts w:ascii="David" w:eastAsia="Times New Roman" w:hAnsi="David" w:cs="David" w:hint="cs"/>
          <w:spacing w:val="10"/>
          <w:sz w:val="24"/>
          <w:szCs w:val="24"/>
          <w:rtl/>
        </w:rPr>
        <w:t>ב ליחידה אחרת (עמ' 52 להכרעת ה</w:t>
      </w:r>
      <w:r w:rsidR="006D7022">
        <w:rPr>
          <w:rFonts w:ascii="David" w:eastAsia="Times New Roman" w:hAnsi="David" w:cs="David" w:hint="cs"/>
          <w:spacing w:val="10"/>
          <w:sz w:val="24"/>
          <w:szCs w:val="24"/>
          <w:rtl/>
        </w:rPr>
        <w:t>ד</w:t>
      </w:r>
      <w:r w:rsidR="000A5565">
        <w:rPr>
          <w:rFonts w:ascii="David" w:eastAsia="Times New Roman" w:hAnsi="David" w:cs="David" w:hint="cs"/>
          <w:spacing w:val="10"/>
          <w:sz w:val="24"/>
          <w:szCs w:val="24"/>
          <w:rtl/>
        </w:rPr>
        <w:t>ין</w:t>
      </w:r>
      <w:r w:rsidRPr="00C15932">
        <w:rPr>
          <w:rFonts w:ascii="David" w:eastAsia="Times New Roman" w:hAnsi="David" w:cs="David" w:hint="cs"/>
          <w:spacing w:val="10"/>
          <w:sz w:val="24"/>
          <w:szCs w:val="24"/>
          <w:rtl/>
        </w:rPr>
        <w:t>).</w:t>
      </w:r>
    </w:p>
    <w:p w:rsidR="0051525C" w:rsidRPr="00C15932" w:rsidRDefault="0051525C" w:rsidP="0051525C">
      <w:pPr>
        <w:overflowPunct w:val="0"/>
        <w:autoSpaceDE w:val="0"/>
        <w:autoSpaceDN w:val="0"/>
        <w:adjustRightInd w:val="0"/>
        <w:spacing w:after="0" w:line="360" w:lineRule="auto"/>
        <w:jc w:val="both"/>
        <w:textAlignment w:val="baseline"/>
        <w:rPr>
          <w:rFonts w:ascii="David" w:eastAsia="Times New Roman" w:hAnsi="David" w:cs="David"/>
          <w:spacing w:val="10"/>
          <w:sz w:val="24"/>
          <w:szCs w:val="24"/>
          <w:rtl/>
        </w:rPr>
      </w:pPr>
    </w:p>
    <w:p w:rsidR="0051525C" w:rsidRPr="00C15932" w:rsidRDefault="004E14DF" w:rsidP="0051525C">
      <w:pPr>
        <w:overflowPunct w:val="0"/>
        <w:autoSpaceDE w:val="0"/>
        <w:autoSpaceDN w:val="0"/>
        <w:adjustRightInd w:val="0"/>
        <w:spacing w:after="0" w:line="360" w:lineRule="auto"/>
        <w:jc w:val="both"/>
        <w:textAlignment w:val="baseline"/>
        <w:rPr>
          <w:rFonts w:ascii="David" w:eastAsia="Times New Roman" w:hAnsi="David" w:cs="David"/>
          <w:spacing w:val="10"/>
          <w:sz w:val="24"/>
          <w:szCs w:val="24"/>
          <w:rtl/>
        </w:rPr>
      </w:pPr>
      <w:r w:rsidRPr="00C15932">
        <w:rPr>
          <w:rFonts w:ascii="David" w:eastAsia="Times New Roman" w:hAnsi="David" w:cs="David" w:hint="cs"/>
          <w:spacing w:val="10"/>
          <w:sz w:val="24"/>
          <w:szCs w:val="24"/>
          <w:u w:val="single"/>
          <w:rtl/>
        </w:rPr>
        <w:t>בפרשה השלישית</w:t>
      </w:r>
      <w:r w:rsidRPr="00C15932">
        <w:rPr>
          <w:rFonts w:ascii="David" w:eastAsia="Times New Roman" w:hAnsi="David" w:cs="David" w:hint="cs"/>
          <w:spacing w:val="10"/>
          <w:sz w:val="24"/>
          <w:szCs w:val="24"/>
          <w:rtl/>
        </w:rPr>
        <w:t xml:space="preserve"> קבע בית המשפט כי קיום ראיון לשוטרת ג.ג בנוגע לבקשת המעבר שהגישה, חודשים ספורים לאחר שקיים עמה יחסי מין, במסגרתו החליט לאשר את הבקשה: "בקשתך להעברה מאושרת. בימים הקרובים ייבחן שיבוצך במחוז בתפקיד חילופי"</w:t>
      </w:r>
      <w:r w:rsidR="006D7022">
        <w:rPr>
          <w:rFonts w:ascii="David" w:eastAsia="Times New Roman" w:hAnsi="David" w:cs="David" w:hint="cs"/>
          <w:spacing w:val="10"/>
          <w:sz w:val="24"/>
          <w:szCs w:val="24"/>
          <w:rtl/>
        </w:rPr>
        <w:t>,</w:t>
      </w:r>
      <w:r w:rsidRPr="00C15932">
        <w:rPr>
          <w:rFonts w:ascii="David" w:eastAsia="Times New Roman" w:hAnsi="David" w:cs="David" w:hint="cs"/>
          <w:spacing w:val="10"/>
          <w:sz w:val="24"/>
          <w:szCs w:val="24"/>
          <w:rtl/>
        </w:rPr>
        <w:t xml:space="preserve"> העמיד את</w:t>
      </w:r>
      <w:r w:rsidR="006D7022">
        <w:rPr>
          <w:rFonts w:ascii="David" w:eastAsia="Times New Roman" w:hAnsi="David" w:cs="David" w:hint="cs"/>
          <w:spacing w:val="10"/>
          <w:sz w:val="24"/>
          <w:szCs w:val="24"/>
          <w:rtl/>
        </w:rPr>
        <w:t xml:space="preserve"> שחם במצב של ניגוד עניינים. </w:t>
      </w:r>
      <w:r w:rsidRPr="00C15932">
        <w:rPr>
          <w:rFonts w:ascii="David" w:eastAsia="Times New Roman" w:hAnsi="David" w:cs="David" w:hint="cs"/>
          <w:spacing w:val="10"/>
          <w:sz w:val="24"/>
          <w:szCs w:val="24"/>
          <w:rtl/>
        </w:rPr>
        <w:t xml:space="preserve">עם זאת, נוכח קביעותיו ביחס למאפייני הקשר </w:t>
      </w:r>
      <w:r w:rsidRPr="00C15932">
        <w:rPr>
          <w:rFonts w:ascii="David" w:eastAsia="Times New Roman" w:hAnsi="David" w:cs="David"/>
          <w:spacing w:val="10"/>
          <w:sz w:val="24"/>
          <w:szCs w:val="24"/>
          <w:rtl/>
        </w:rPr>
        <w:t>–</w:t>
      </w:r>
      <w:r w:rsidRPr="00C15932">
        <w:rPr>
          <w:rFonts w:ascii="David" w:eastAsia="Times New Roman" w:hAnsi="David" w:cs="David" w:hint="cs"/>
          <w:spacing w:val="10"/>
          <w:sz w:val="24"/>
          <w:szCs w:val="24"/>
          <w:rtl/>
        </w:rPr>
        <w:t xml:space="preserve"> לא נמשך זמן רב ולא התאפיין בעומק יוצא דופן או בעוצמה משמעותית, כלל תקשורת טלפונית מצומצמת והתמצה במפגש מיני חד פעמי, ובהינתן אופי ההחלטה שעמדה על הפרק והעובדה שהייתה עניינית וסבירה, הכריע בית המשפט כי עוצמתו הנמוכה של ניגוד העניינים מרחיקה אותו </w:t>
      </w:r>
      <w:r w:rsidRPr="00C15932">
        <w:rPr>
          <w:rFonts w:ascii="David" w:eastAsia="Times New Roman" w:hAnsi="David" w:cs="David" w:hint="cs"/>
          <w:b/>
          <w:bCs/>
          <w:spacing w:val="10"/>
          <w:sz w:val="24"/>
          <w:szCs w:val="24"/>
          <w:rtl/>
        </w:rPr>
        <w:t>"מרחק ניכר מאוד מהמתחם הפלילי. העובדה כי החלטת הנאשם הייתה מתבקשת ומוצדקת, אך מחזקת מסקנה זו"</w:t>
      </w:r>
      <w:r w:rsidR="000A5565">
        <w:rPr>
          <w:rFonts w:ascii="David" w:eastAsia="Times New Roman" w:hAnsi="David" w:cs="David" w:hint="cs"/>
          <w:spacing w:val="10"/>
          <w:sz w:val="24"/>
          <w:szCs w:val="24"/>
          <w:rtl/>
        </w:rPr>
        <w:t xml:space="preserve"> (עמ' 63 להכרעת ה</w:t>
      </w:r>
      <w:r w:rsidR="006D7022">
        <w:rPr>
          <w:rFonts w:ascii="David" w:eastAsia="Times New Roman" w:hAnsi="David" w:cs="David" w:hint="cs"/>
          <w:spacing w:val="10"/>
          <w:sz w:val="24"/>
          <w:szCs w:val="24"/>
          <w:rtl/>
        </w:rPr>
        <w:t>ד</w:t>
      </w:r>
      <w:r w:rsidR="000A5565">
        <w:rPr>
          <w:rFonts w:ascii="David" w:eastAsia="Times New Roman" w:hAnsi="David" w:cs="David" w:hint="cs"/>
          <w:spacing w:val="10"/>
          <w:sz w:val="24"/>
          <w:szCs w:val="24"/>
          <w:rtl/>
        </w:rPr>
        <w:t>ין</w:t>
      </w:r>
      <w:r w:rsidR="006D7022">
        <w:rPr>
          <w:rFonts w:ascii="David" w:eastAsia="Times New Roman" w:hAnsi="David" w:cs="David" w:hint="cs"/>
          <w:spacing w:val="10"/>
          <w:sz w:val="24"/>
          <w:szCs w:val="24"/>
          <w:rtl/>
        </w:rPr>
        <w:t xml:space="preserve">). </w:t>
      </w:r>
    </w:p>
    <w:p w:rsidR="0051525C" w:rsidRPr="00C15932" w:rsidRDefault="0051525C" w:rsidP="0051525C">
      <w:pPr>
        <w:overflowPunct w:val="0"/>
        <w:autoSpaceDE w:val="0"/>
        <w:autoSpaceDN w:val="0"/>
        <w:adjustRightInd w:val="0"/>
        <w:spacing w:after="0" w:line="360" w:lineRule="auto"/>
        <w:jc w:val="both"/>
        <w:textAlignment w:val="baseline"/>
        <w:rPr>
          <w:rFonts w:ascii="David" w:eastAsia="Times New Roman" w:hAnsi="David" w:cs="David"/>
          <w:spacing w:val="10"/>
          <w:sz w:val="24"/>
          <w:szCs w:val="24"/>
          <w:rtl/>
        </w:rPr>
      </w:pPr>
    </w:p>
    <w:p w:rsidR="0051525C" w:rsidRPr="00C15932" w:rsidRDefault="004E14DF" w:rsidP="006D7022">
      <w:pPr>
        <w:overflowPunct w:val="0"/>
        <w:autoSpaceDE w:val="0"/>
        <w:autoSpaceDN w:val="0"/>
        <w:adjustRightInd w:val="0"/>
        <w:spacing w:after="0" w:line="360" w:lineRule="auto"/>
        <w:jc w:val="both"/>
        <w:textAlignment w:val="baseline"/>
        <w:rPr>
          <w:rFonts w:ascii="David" w:eastAsia="Times New Roman" w:hAnsi="David" w:cs="David"/>
          <w:spacing w:val="10"/>
          <w:sz w:val="24"/>
          <w:szCs w:val="24"/>
          <w:rtl/>
        </w:rPr>
      </w:pPr>
      <w:r w:rsidRPr="00C15932">
        <w:rPr>
          <w:rFonts w:ascii="David" w:eastAsia="Times New Roman" w:hAnsi="David" w:cs="David" w:hint="cs"/>
          <w:spacing w:val="10"/>
          <w:sz w:val="24"/>
          <w:szCs w:val="24"/>
          <w:u w:val="single"/>
          <w:rtl/>
        </w:rPr>
        <w:t>בפרשה הרביעית</w:t>
      </w:r>
      <w:r w:rsidRPr="00C15932">
        <w:rPr>
          <w:rFonts w:ascii="David" w:eastAsia="Times New Roman" w:hAnsi="David" w:cs="David" w:hint="cs"/>
          <w:spacing w:val="10"/>
          <w:sz w:val="24"/>
          <w:szCs w:val="24"/>
          <w:rtl/>
        </w:rPr>
        <w:t xml:space="preserve"> ציין בית המשפט, כי בהיעדר מחלוקת שהריאיון שערך שחם לשוטרת ד.ד (הפעולה הראשונה שיוחסה לו בכתב האישום) נערך בנקודת זמן בה לא הייתה בין השניים היכרות מוקדמת </w:t>
      </w:r>
      <w:r w:rsidRPr="00C15932">
        <w:rPr>
          <w:rFonts w:ascii="David" w:eastAsia="Times New Roman" w:hAnsi="David" w:cs="David"/>
          <w:spacing w:val="10"/>
          <w:sz w:val="24"/>
          <w:szCs w:val="24"/>
          <w:rtl/>
        </w:rPr>
        <w:t>–</w:t>
      </w:r>
      <w:r w:rsidRPr="00C15932">
        <w:rPr>
          <w:rFonts w:ascii="David" w:eastAsia="Times New Roman" w:hAnsi="David" w:cs="David" w:hint="cs"/>
          <w:spacing w:val="10"/>
          <w:sz w:val="24"/>
          <w:szCs w:val="24"/>
          <w:rtl/>
        </w:rPr>
        <w:t xml:space="preserve"> אישור בקשתה למעבר ניתן כדין. לפיכך, התמקד בית המשפט בפעולה השנייה, לגביה נטען, שבוצעה על ידי שחם תוך ניגוד עניינים </w:t>
      </w:r>
      <w:r w:rsidRPr="00C15932">
        <w:rPr>
          <w:rFonts w:ascii="David" w:eastAsia="Times New Roman" w:hAnsi="David" w:cs="David"/>
          <w:spacing w:val="10"/>
          <w:sz w:val="24"/>
          <w:szCs w:val="24"/>
          <w:rtl/>
        </w:rPr>
        <w:t>–</w:t>
      </w:r>
      <w:r w:rsidRPr="00C15932">
        <w:rPr>
          <w:rFonts w:ascii="David" w:eastAsia="Times New Roman" w:hAnsi="David" w:cs="David" w:hint="cs"/>
          <w:spacing w:val="10"/>
          <w:sz w:val="24"/>
          <w:szCs w:val="24"/>
          <w:rtl/>
        </w:rPr>
        <w:t xml:space="preserve"> קיום שיחת טלפון עם קצינת משאבי האנוש ובקשה לקלוט את השוטרת ד.ד ללא דיחוי למקום עבודה אחר. בית המשפט קבע כי שיחת הטלפון אכן נערכה במצב של ניגוד עניינים, אך עוצמתו חלשה ביותר ורחוקה מאוד</w:t>
      </w:r>
      <w:r w:rsidR="000A5565">
        <w:rPr>
          <w:rFonts w:ascii="David" w:eastAsia="Times New Roman" w:hAnsi="David" w:cs="David" w:hint="cs"/>
          <w:spacing w:val="10"/>
          <w:sz w:val="24"/>
          <w:szCs w:val="24"/>
          <w:rtl/>
        </w:rPr>
        <w:t xml:space="preserve"> מהרף הפלילי (עמ' 68 להכרעת ה</w:t>
      </w:r>
      <w:r w:rsidR="006D7022">
        <w:rPr>
          <w:rFonts w:ascii="David" w:eastAsia="Times New Roman" w:hAnsi="David" w:cs="David" w:hint="cs"/>
          <w:spacing w:val="10"/>
          <w:sz w:val="24"/>
          <w:szCs w:val="24"/>
          <w:rtl/>
        </w:rPr>
        <w:t>ד</w:t>
      </w:r>
      <w:r w:rsidR="000A5565">
        <w:rPr>
          <w:rFonts w:ascii="David" w:eastAsia="Times New Roman" w:hAnsi="David" w:cs="David" w:hint="cs"/>
          <w:spacing w:val="10"/>
          <w:sz w:val="24"/>
          <w:szCs w:val="24"/>
          <w:rtl/>
        </w:rPr>
        <w:t>ין</w:t>
      </w:r>
      <w:r w:rsidR="006D7022">
        <w:rPr>
          <w:rFonts w:ascii="David" w:eastAsia="Times New Roman" w:hAnsi="David" w:cs="David" w:hint="cs"/>
          <w:spacing w:val="10"/>
          <w:sz w:val="24"/>
          <w:szCs w:val="24"/>
          <w:rtl/>
        </w:rPr>
        <w:t>).</w:t>
      </w:r>
    </w:p>
    <w:p w:rsidR="0051525C" w:rsidRPr="00C15932" w:rsidRDefault="0051525C" w:rsidP="0051525C">
      <w:pPr>
        <w:overflowPunct w:val="0"/>
        <w:autoSpaceDE w:val="0"/>
        <w:autoSpaceDN w:val="0"/>
        <w:adjustRightInd w:val="0"/>
        <w:spacing w:after="0" w:line="360" w:lineRule="auto"/>
        <w:jc w:val="both"/>
        <w:textAlignment w:val="baseline"/>
        <w:rPr>
          <w:rFonts w:ascii="David" w:eastAsia="Times New Roman" w:hAnsi="David" w:cs="David"/>
          <w:spacing w:val="10"/>
          <w:sz w:val="24"/>
          <w:szCs w:val="24"/>
          <w:rtl/>
        </w:rPr>
      </w:pPr>
    </w:p>
    <w:p w:rsidR="0051525C" w:rsidRPr="00C15932" w:rsidRDefault="004E14DF" w:rsidP="0051525C">
      <w:pPr>
        <w:overflowPunct w:val="0"/>
        <w:autoSpaceDE w:val="0"/>
        <w:autoSpaceDN w:val="0"/>
        <w:adjustRightInd w:val="0"/>
        <w:spacing w:after="0" w:line="360" w:lineRule="auto"/>
        <w:jc w:val="both"/>
        <w:textAlignment w:val="baseline"/>
        <w:rPr>
          <w:rFonts w:ascii="David" w:eastAsia="Times New Roman" w:hAnsi="David" w:cs="David"/>
          <w:spacing w:val="10"/>
          <w:sz w:val="24"/>
          <w:szCs w:val="24"/>
          <w:rtl/>
        </w:rPr>
      </w:pPr>
      <w:r w:rsidRPr="00C15932">
        <w:rPr>
          <w:rFonts w:ascii="David" w:eastAsia="Times New Roman" w:hAnsi="David" w:cs="David" w:hint="cs"/>
          <w:spacing w:val="10"/>
          <w:sz w:val="24"/>
          <w:szCs w:val="24"/>
          <w:u w:val="single"/>
          <w:rtl/>
        </w:rPr>
        <w:t>בפרשה החמישית</w:t>
      </w:r>
      <w:r w:rsidRPr="00C15932">
        <w:rPr>
          <w:rFonts w:ascii="David" w:eastAsia="Times New Roman" w:hAnsi="David" w:cs="David" w:hint="cs"/>
          <w:spacing w:val="10"/>
          <w:sz w:val="24"/>
          <w:szCs w:val="24"/>
          <w:rtl/>
        </w:rPr>
        <w:t xml:space="preserve">, ולאור ההתיישנות שחלה על מרבית הפעולות שנטען כי בוצעו בפרשה זו במהלך תקופת הקשר המיני שקיים שחם עם השוטרת ה.ה, הכריע בית המשפט אך בפעולה אחת שבוצעה כ- 4 שנים לאחר סיום הקשר המיני ולפיכך לא התיישנה </w:t>
      </w:r>
      <w:r w:rsidRPr="00C15932">
        <w:rPr>
          <w:rFonts w:ascii="David" w:eastAsia="Times New Roman" w:hAnsi="David" w:cs="David"/>
          <w:spacing w:val="10"/>
          <w:sz w:val="24"/>
          <w:szCs w:val="24"/>
          <w:rtl/>
        </w:rPr>
        <w:t>–</w:t>
      </w:r>
      <w:r w:rsidRPr="00C15932">
        <w:rPr>
          <w:rFonts w:ascii="David" w:eastAsia="Times New Roman" w:hAnsi="David" w:cs="David" w:hint="cs"/>
          <w:spacing w:val="10"/>
          <w:sz w:val="24"/>
          <w:szCs w:val="24"/>
          <w:rtl/>
        </w:rPr>
        <w:t xml:space="preserve"> אישור בקשת השוטרת לסיוע כספי למימון לימודי השכלה גבוהה. בית המשפט קבע כי לא הוכח שפעולה זו בוצעה על-ידי שחם עצמו, להבדיל מעובדיו, וציין כי אף לו בוצעה על-ידו, בהתחשב בשילוב הנסיבות שנמנו בהכרעת הדין </w:t>
      </w:r>
      <w:r w:rsidRPr="00C15932">
        <w:rPr>
          <w:rFonts w:ascii="David" w:eastAsia="Times New Roman" w:hAnsi="David" w:cs="David"/>
          <w:spacing w:val="10"/>
          <w:sz w:val="24"/>
          <w:szCs w:val="24"/>
          <w:rtl/>
        </w:rPr>
        <w:t>–</w:t>
      </w:r>
      <w:r w:rsidRPr="00C15932">
        <w:rPr>
          <w:rFonts w:ascii="David" w:eastAsia="Times New Roman" w:hAnsi="David" w:cs="David" w:hint="cs"/>
          <w:spacing w:val="10"/>
          <w:sz w:val="24"/>
          <w:szCs w:val="24"/>
          <w:rtl/>
        </w:rPr>
        <w:t xml:space="preserve"> </w:t>
      </w:r>
      <w:r w:rsidRPr="00C15932">
        <w:rPr>
          <w:rFonts w:ascii="David" w:eastAsia="Times New Roman" w:hAnsi="David" w:cs="David" w:hint="cs"/>
          <w:b/>
          <w:bCs/>
          <w:spacing w:val="10"/>
          <w:sz w:val="24"/>
          <w:szCs w:val="24"/>
          <w:rtl/>
        </w:rPr>
        <w:t xml:space="preserve">"ספק אם ניתן היה לקבוע כי מדובר בפעולה שבוצעה בניגוד עניינים" </w:t>
      </w:r>
      <w:r w:rsidR="000A5565">
        <w:rPr>
          <w:rFonts w:ascii="David" w:eastAsia="Times New Roman" w:hAnsi="David" w:cs="David" w:hint="cs"/>
          <w:spacing w:val="10"/>
          <w:sz w:val="24"/>
          <w:szCs w:val="24"/>
          <w:rtl/>
        </w:rPr>
        <w:t>(עמ' 87 להכרעת ה</w:t>
      </w:r>
      <w:r w:rsidR="006D7022">
        <w:rPr>
          <w:rFonts w:ascii="David" w:eastAsia="Times New Roman" w:hAnsi="David" w:cs="David" w:hint="cs"/>
          <w:spacing w:val="10"/>
          <w:sz w:val="24"/>
          <w:szCs w:val="24"/>
          <w:rtl/>
        </w:rPr>
        <w:t>ד</w:t>
      </w:r>
      <w:r w:rsidR="000A5565">
        <w:rPr>
          <w:rFonts w:ascii="David" w:eastAsia="Times New Roman" w:hAnsi="David" w:cs="David" w:hint="cs"/>
          <w:spacing w:val="10"/>
          <w:sz w:val="24"/>
          <w:szCs w:val="24"/>
          <w:rtl/>
        </w:rPr>
        <w:t>ין</w:t>
      </w:r>
      <w:r w:rsidRPr="00C15932">
        <w:rPr>
          <w:rFonts w:ascii="David" w:eastAsia="Times New Roman" w:hAnsi="David" w:cs="David" w:hint="cs"/>
          <w:spacing w:val="10"/>
          <w:sz w:val="24"/>
          <w:szCs w:val="24"/>
          <w:rtl/>
        </w:rPr>
        <w:t>).</w:t>
      </w:r>
    </w:p>
    <w:p w:rsidR="0051525C" w:rsidRPr="00C15932" w:rsidRDefault="0051525C" w:rsidP="0051525C">
      <w:pPr>
        <w:overflowPunct w:val="0"/>
        <w:autoSpaceDE w:val="0"/>
        <w:autoSpaceDN w:val="0"/>
        <w:adjustRightInd w:val="0"/>
        <w:spacing w:after="0" w:line="360" w:lineRule="auto"/>
        <w:jc w:val="both"/>
        <w:textAlignment w:val="baseline"/>
        <w:rPr>
          <w:rFonts w:ascii="David" w:eastAsia="Times New Roman" w:hAnsi="David" w:cs="David"/>
          <w:spacing w:val="10"/>
          <w:sz w:val="24"/>
          <w:szCs w:val="24"/>
          <w:rtl/>
        </w:rPr>
      </w:pPr>
    </w:p>
    <w:p w:rsidR="0051525C" w:rsidRPr="00194C57" w:rsidRDefault="004E14DF" w:rsidP="0051525C">
      <w:pPr>
        <w:overflowPunct w:val="0"/>
        <w:autoSpaceDE w:val="0"/>
        <w:autoSpaceDN w:val="0"/>
        <w:adjustRightInd w:val="0"/>
        <w:spacing w:after="0" w:line="360" w:lineRule="auto"/>
        <w:jc w:val="both"/>
        <w:textAlignment w:val="baseline"/>
        <w:rPr>
          <w:rFonts w:ascii="David" w:eastAsia="Times New Roman" w:hAnsi="David" w:cs="David"/>
          <w:spacing w:val="10"/>
          <w:sz w:val="24"/>
          <w:szCs w:val="24"/>
          <w:rtl/>
        </w:rPr>
      </w:pPr>
      <w:r w:rsidRPr="00C15932">
        <w:rPr>
          <w:rFonts w:ascii="David" w:eastAsia="Times New Roman" w:hAnsi="David" w:cs="David" w:hint="cs"/>
          <w:spacing w:val="10"/>
          <w:sz w:val="24"/>
          <w:szCs w:val="24"/>
          <w:rtl/>
        </w:rPr>
        <w:t xml:space="preserve">כאמור לעיל, חלקה של </w:t>
      </w:r>
      <w:r w:rsidRPr="00C15932">
        <w:rPr>
          <w:rFonts w:ascii="David" w:eastAsia="Times New Roman" w:hAnsi="David" w:cs="David" w:hint="cs"/>
          <w:spacing w:val="10"/>
          <w:sz w:val="24"/>
          <w:szCs w:val="24"/>
          <w:u w:val="single"/>
          <w:rtl/>
        </w:rPr>
        <w:t>הפרשה השמינית</w:t>
      </w:r>
      <w:r w:rsidRPr="00C15932">
        <w:rPr>
          <w:rFonts w:ascii="David" w:eastAsia="Times New Roman" w:hAnsi="David" w:cs="David" w:hint="cs"/>
          <w:spacing w:val="10"/>
          <w:sz w:val="24"/>
          <w:szCs w:val="24"/>
          <w:rtl/>
        </w:rPr>
        <w:t xml:space="preserve"> שעסקה במעורבות</w:t>
      </w:r>
      <w:r w:rsidRPr="00C15932">
        <w:rPr>
          <w:rFonts w:ascii="David" w:eastAsia="Times New Roman" w:hAnsi="David" w:cs="David" w:hint="eastAsia"/>
          <w:spacing w:val="10"/>
          <w:sz w:val="24"/>
          <w:szCs w:val="24"/>
          <w:rtl/>
        </w:rPr>
        <w:t>ו</w:t>
      </w:r>
      <w:r w:rsidRPr="00C15932">
        <w:rPr>
          <w:rFonts w:ascii="David" w:eastAsia="Times New Roman" w:hAnsi="David" w:cs="David" w:hint="cs"/>
          <w:spacing w:val="10"/>
          <w:sz w:val="24"/>
          <w:szCs w:val="24"/>
          <w:rtl/>
        </w:rPr>
        <w:t xml:space="preserve"> של שחם בבקשת קיצור התפקיד של בעלה של השוטרת ח.ח, בהתאם לבקשתה, נכללת תחת חטיבה זו </w:t>
      </w:r>
      <w:r w:rsidRPr="00C15932">
        <w:rPr>
          <w:rFonts w:ascii="David" w:eastAsia="Times New Roman" w:hAnsi="David" w:cs="David"/>
          <w:spacing w:val="10"/>
          <w:sz w:val="24"/>
          <w:szCs w:val="24"/>
          <w:rtl/>
        </w:rPr>
        <w:t>–</w:t>
      </w:r>
      <w:r w:rsidRPr="00C15932">
        <w:rPr>
          <w:rFonts w:ascii="David" w:eastAsia="Times New Roman" w:hAnsi="David" w:cs="David" w:hint="cs"/>
          <w:spacing w:val="10"/>
          <w:sz w:val="24"/>
          <w:szCs w:val="24"/>
          <w:rtl/>
        </w:rPr>
        <w:t xml:space="preserve"> חטיבת </w:t>
      </w:r>
      <w:r w:rsidRPr="00C15932">
        <w:rPr>
          <w:rFonts w:ascii="David" w:eastAsia="Times New Roman" w:hAnsi="David" w:cs="David" w:hint="cs"/>
          <w:spacing w:val="10"/>
          <w:sz w:val="24"/>
          <w:szCs w:val="24"/>
          <w:rtl/>
        </w:rPr>
        <w:lastRenderedPageBreak/>
        <w:t xml:space="preserve">ניגוד העניינים. בהתייחס לפעולה שביצע שחם בעניין זה </w:t>
      </w:r>
      <w:r w:rsidRPr="00C15932">
        <w:rPr>
          <w:rFonts w:ascii="David" w:eastAsia="Times New Roman" w:hAnsi="David" w:cs="David"/>
          <w:spacing w:val="10"/>
          <w:sz w:val="24"/>
          <w:szCs w:val="24"/>
          <w:rtl/>
        </w:rPr>
        <w:t>–</w:t>
      </w:r>
      <w:r w:rsidRPr="00C15932">
        <w:rPr>
          <w:rFonts w:ascii="David" w:eastAsia="Times New Roman" w:hAnsi="David" w:cs="David" w:hint="cs"/>
          <w:spacing w:val="10"/>
          <w:sz w:val="24"/>
          <w:szCs w:val="24"/>
          <w:rtl/>
        </w:rPr>
        <w:t xml:space="preserve"> שיחת הטלפון לגורם הרלוונטי ובקשה ממנו לקבל את בקשתו של הבעל </w:t>
      </w:r>
      <w:r w:rsidRPr="00C15932">
        <w:rPr>
          <w:rFonts w:ascii="David" w:eastAsia="Times New Roman" w:hAnsi="David" w:cs="David"/>
          <w:spacing w:val="10"/>
          <w:sz w:val="24"/>
          <w:szCs w:val="24"/>
          <w:rtl/>
        </w:rPr>
        <w:t>–</w:t>
      </w:r>
      <w:r w:rsidRPr="00C15932">
        <w:rPr>
          <w:rFonts w:ascii="David" w:eastAsia="Times New Roman" w:hAnsi="David" w:cs="David" w:hint="cs"/>
          <w:spacing w:val="10"/>
          <w:sz w:val="24"/>
          <w:szCs w:val="24"/>
          <w:rtl/>
        </w:rPr>
        <w:t xml:space="preserve"> ציין בית המשפט כי ראוי היה שימנע מבצועה. עם זאת, קבע בית המשפט כי מדובר בפעולה בניגוד עניינים בעלת </w:t>
      </w:r>
      <w:r w:rsidRPr="00C15932">
        <w:rPr>
          <w:rFonts w:ascii="David" w:eastAsia="Times New Roman" w:hAnsi="David" w:cs="David" w:hint="cs"/>
          <w:b/>
          <w:bCs/>
          <w:spacing w:val="10"/>
          <w:sz w:val="24"/>
          <w:szCs w:val="24"/>
          <w:rtl/>
        </w:rPr>
        <w:t>"עוצמה חלשה ביותר הרחוקה מרחק נכיר מאוד מהמתחם הפלילי"</w:t>
      </w:r>
      <w:r w:rsidR="000A5565">
        <w:rPr>
          <w:rFonts w:ascii="David" w:eastAsia="Times New Roman" w:hAnsi="David" w:cs="David" w:hint="cs"/>
          <w:spacing w:val="10"/>
          <w:sz w:val="24"/>
          <w:szCs w:val="24"/>
          <w:rtl/>
        </w:rPr>
        <w:t xml:space="preserve"> (עמ' 136 להכרעת ה</w:t>
      </w:r>
      <w:r w:rsidR="006D7022">
        <w:rPr>
          <w:rFonts w:ascii="David" w:eastAsia="Times New Roman" w:hAnsi="David" w:cs="David" w:hint="cs"/>
          <w:spacing w:val="10"/>
          <w:sz w:val="24"/>
          <w:szCs w:val="24"/>
          <w:rtl/>
        </w:rPr>
        <w:t>ד</w:t>
      </w:r>
      <w:r w:rsidR="000A5565">
        <w:rPr>
          <w:rFonts w:ascii="David" w:eastAsia="Times New Roman" w:hAnsi="David" w:cs="David" w:hint="cs"/>
          <w:spacing w:val="10"/>
          <w:sz w:val="24"/>
          <w:szCs w:val="24"/>
          <w:rtl/>
        </w:rPr>
        <w:t>ין</w:t>
      </w:r>
      <w:r w:rsidRPr="00C15932">
        <w:rPr>
          <w:rFonts w:ascii="David" w:eastAsia="Times New Roman" w:hAnsi="David" w:cs="David" w:hint="cs"/>
          <w:spacing w:val="10"/>
          <w:sz w:val="24"/>
          <w:szCs w:val="24"/>
          <w:rtl/>
        </w:rPr>
        <w:t>).</w:t>
      </w:r>
    </w:p>
    <w:p w:rsidR="0051525C" w:rsidRDefault="0051525C" w:rsidP="00662584">
      <w:pPr>
        <w:overflowPunct w:val="0"/>
        <w:autoSpaceDE w:val="0"/>
        <w:autoSpaceDN w:val="0"/>
        <w:adjustRightInd w:val="0"/>
        <w:spacing w:after="0" w:line="360" w:lineRule="auto"/>
        <w:jc w:val="both"/>
        <w:textAlignment w:val="baseline"/>
        <w:rPr>
          <w:rFonts w:ascii="David" w:eastAsia="Times New Roman" w:hAnsi="David" w:cs="David"/>
          <w:spacing w:val="10"/>
          <w:sz w:val="24"/>
          <w:szCs w:val="24"/>
          <w:rtl/>
        </w:rPr>
      </w:pPr>
    </w:p>
    <w:p w:rsidR="00DF0946" w:rsidRDefault="004E14DF" w:rsidP="00DF0946">
      <w:pPr>
        <w:overflowPunct w:val="0"/>
        <w:autoSpaceDE w:val="0"/>
        <w:autoSpaceDN w:val="0"/>
        <w:adjustRightInd w:val="0"/>
        <w:spacing w:after="0" w:line="360" w:lineRule="auto"/>
        <w:jc w:val="both"/>
        <w:textAlignment w:val="baseline"/>
        <w:rPr>
          <w:rFonts w:ascii="David" w:eastAsia="Times New Roman" w:hAnsi="David" w:cs="David"/>
          <w:spacing w:val="10"/>
          <w:sz w:val="24"/>
          <w:szCs w:val="24"/>
          <w:u w:val="single"/>
          <w:rtl/>
        </w:rPr>
      </w:pPr>
      <w:r w:rsidRPr="00C15932">
        <w:rPr>
          <w:rFonts w:ascii="David" w:eastAsia="Times New Roman" w:hAnsi="David" w:cs="David" w:hint="cs"/>
          <w:spacing w:val="10"/>
          <w:sz w:val="24"/>
          <w:szCs w:val="24"/>
          <w:u w:val="single"/>
          <w:rtl/>
        </w:rPr>
        <w:t>חטיבת עבירות המין</w:t>
      </w:r>
    </w:p>
    <w:p w:rsidR="00DF0946" w:rsidRPr="00C15932" w:rsidRDefault="004E14DF" w:rsidP="006D7022">
      <w:pPr>
        <w:overflowPunct w:val="0"/>
        <w:autoSpaceDE w:val="0"/>
        <w:autoSpaceDN w:val="0"/>
        <w:adjustRightInd w:val="0"/>
        <w:spacing w:after="0" w:line="360" w:lineRule="auto"/>
        <w:jc w:val="both"/>
        <w:textAlignment w:val="baseline"/>
        <w:rPr>
          <w:rFonts w:ascii="David" w:eastAsia="Times New Roman" w:hAnsi="David" w:cs="David"/>
          <w:spacing w:val="10"/>
          <w:sz w:val="24"/>
          <w:szCs w:val="24"/>
          <w:rtl/>
        </w:rPr>
      </w:pPr>
      <w:r w:rsidRPr="00C15932">
        <w:rPr>
          <w:rFonts w:ascii="David" w:eastAsia="Times New Roman" w:hAnsi="David" w:cs="David" w:hint="cs"/>
          <w:spacing w:val="10"/>
          <w:sz w:val="24"/>
          <w:szCs w:val="24"/>
          <w:rtl/>
        </w:rPr>
        <w:t xml:space="preserve">במסגרת </w:t>
      </w:r>
      <w:r w:rsidRPr="00C15932">
        <w:rPr>
          <w:rFonts w:ascii="David" w:eastAsia="Times New Roman" w:hAnsi="David" w:cs="David" w:hint="cs"/>
          <w:spacing w:val="10"/>
          <w:sz w:val="24"/>
          <w:szCs w:val="24"/>
          <w:u w:val="single"/>
          <w:rtl/>
        </w:rPr>
        <w:t>הפרשה השישית</w:t>
      </w:r>
      <w:r w:rsidRPr="00C15932">
        <w:rPr>
          <w:rFonts w:ascii="David" w:eastAsia="Times New Roman" w:hAnsi="David" w:cs="David" w:hint="cs"/>
          <w:spacing w:val="10"/>
          <w:sz w:val="24"/>
          <w:szCs w:val="24"/>
          <w:rtl/>
        </w:rPr>
        <w:t xml:space="preserve"> קבע בית המשפט, שהטענה</w:t>
      </w:r>
      <w:r w:rsidR="003F56D5">
        <w:rPr>
          <w:rFonts w:ascii="David" w:eastAsia="Times New Roman" w:hAnsi="David" w:cs="David" w:hint="cs"/>
          <w:spacing w:val="10"/>
          <w:sz w:val="24"/>
          <w:szCs w:val="24"/>
          <w:rtl/>
        </w:rPr>
        <w:t xml:space="preserve"> לפיה</w:t>
      </w:r>
      <w:r w:rsidRPr="00C15932">
        <w:rPr>
          <w:rFonts w:ascii="David" w:eastAsia="Times New Roman" w:hAnsi="David" w:cs="David" w:hint="cs"/>
          <w:spacing w:val="10"/>
          <w:sz w:val="24"/>
          <w:szCs w:val="24"/>
          <w:rtl/>
        </w:rPr>
        <w:t xml:space="preserve"> נישק שחם את השוטרת ו.ו תוך שהוא מחדיר את לשונו לפיה, ובהמשך ניסה לנשקה פעם נוספת וזאת לשם גירוי או סיפוקו המיני </w:t>
      </w:r>
      <w:r w:rsidRPr="00C15932">
        <w:rPr>
          <w:rFonts w:ascii="David" w:eastAsia="Times New Roman" w:hAnsi="David" w:cs="David"/>
          <w:spacing w:val="10"/>
          <w:sz w:val="24"/>
          <w:szCs w:val="24"/>
          <w:rtl/>
        </w:rPr>
        <w:t>–</w:t>
      </w:r>
      <w:r w:rsidRPr="00C15932">
        <w:rPr>
          <w:rFonts w:ascii="David" w:eastAsia="Times New Roman" w:hAnsi="David" w:cs="David" w:hint="cs"/>
          <w:spacing w:val="10"/>
          <w:sz w:val="24"/>
          <w:szCs w:val="24"/>
          <w:rtl/>
        </w:rPr>
        <w:t xml:space="preserve"> הוכחה ברמת הוודאות הנדרשת. בשים לב לפערי התפקידים והדרגות בין השניים; לאופי השיחות שניהלו; למודעתו של שחם למצוקתה של השוטרת, ולמעשיו שנעשו מחוץ להקשר ומבלי שהיו בידיו נתונים כלשהם שעשויים להעיד כי זו מעוניינת בהם </w:t>
      </w:r>
      <w:r w:rsidRPr="00C15932">
        <w:rPr>
          <w:rFonts w:ascii="David" w:eastAsia="Times New Roman" w:hAnsi="David" w:cs="David"/>
          <w:spacing w:val="10"/>
          <w:sz w:val="24"/>
          <w:szCs w:val="24"/>
          <w:rtl/>
        </w:rPr>
        <w:t>–</w:t>
      </w:r>
      <w:r w:rsidRPr="00C15932">
        <w:rPr>
          <w:rFonts w:ascii="David" w:eastAsia="Times New Roman" w:hAnsi="David" w:cs="David" w:hint="cs"/>
          <w:spacing w:val="10"/>
          <w:sz w:val="24"/>
          <w:szCs w:val="24"/>
          <w:rtl/>
        </w:rPr>
        <w:t xml:space="preserve"> הרשיע בית המשפט את המשיב בעבירה של מעשה מגונה, לפי סעיף </w:t>
      </w:r>
      <w:r w:rsidR="000A5565">
        <w:rPr>
          <w:rFonts w:ascii="David" w:eastAsia="Times New Roman" w:hAnsi="David" w:cs="David" w:hint="cs"/>
          <w:spacing w:val="10"/>
          <w:sz w:val="24"/>
          <w:szCs w:val="24"/>
          <w:rtl/>
        </w:rPr>
        <w:t>348(ג) לחוק (עמ'101 להכרעת הדין</w:t>
      </w:r>
      <w:r w:rsidRPr="00C15932">
        <w:rPr>
          <w:rFonts w:ascii="David" w:eastAsia="Times New Roman" w:hAnsi="David" w:cs="David" w:hint="cs"/>
          <w:spacing w:val="10"/>
          <w:sz w:val="24"/>
          <w:szCs w:val="24"/>
          <w:rtl/>
        </w:rPr>
        <w:t>).</w:t>
      </w:r>
    </w:p>
    <w:p w:rsidR="00DF0946" w:rsidRPr="00C15932" w:rsidRDefault="00DF0946" w:rsidP="00DF0946">
      <w:pPr>
        <w:overflowPunct w:val="0"/>
        <w:autoSpaceDE w:val="0"/>
        <w:autoSpaceDN w:val="0"/>
        <w:adjustRightInd w:val="0"/>
        <w:spacing w:after="0" w:line="360" w:lineRule="auto"/>
        <w:jc w:val="both"/>
        <w:textAlignment w:val="baseline"/>
        <w:rPr>
          <w:rFonts w:ascii="David" w:eastAsia="Times New Roman" w:hAnsi="David" w:cs="David"/>
          <w:spacing w:val="10"/>
          <w:sz w:val="24"/>
          <w:szCs w:val="24"/>
          <w:rtl/>
        </w:rPr>
      </w:pPr>
    </w:p>
    <w:p w:rsidR="00DF0946" w:rsidRPr="00C15932" w:rsidRDefault="004E14DF" w:rsidP="00A24606">
      <w:pPr>
        <w:overflowPunct w:val="0"/>
        <w:autoSpaceDE w:val="0"/>
        <w:autoSpaceDN w:val="0"/>
        <w:adjustRightInd w:val="0"/>
        <w:spacing w:after="0" w:line="360" w:lineRule="auto"/>
        <w:jc w:val="both"/>
        <w:textAlignment w:val="baseline"/>
        <w:rPr>
          <w:rFonts w:ascii="David" w:eastAsia="Times New Roman" w:hAnsi="David" w:cs="David"/>
          <w:spacing w:val="10"/>
          <w:sz w:val="24"/>
          <w:szCs w:val="24"/>
          <w:rtl/>
        </w:rPr>
      </w:pPr>
      <w:r w:rsidRPr="00C15932">
        <w:rPr>
          <w:rFonts w:ascii="David" w:eastAsia="Times New Roman" w:hAnsi="David" w:cs="David" w:hint="cs"/>
          <w:spacing w:val="10"/>
          <w:sz w:val="24"/>
          <w:szCs w:val="24"/>
          <w:u w:val="single"/>
          <w:rtl/>
        </w:rPr>
        <w:t>בפרשה השביעית</w:t>
      </w:r>
      <w:r w:rsidRPr="00C15932">
        <w:rPr>
          <w:rFonts w:ascii="David" w:eastAsia="Times New Roman" w:hAnsi="David" w:cs="David" w:hint="cs"/>
          <w:spacing w:val="10"/>
          <w:sz w:val="24"/>
          <w:szCs w:val="24"/>
          <w:rtl/>
        </w:rPr>
        <w:t xml:space="preserve"> קבע בית המשפט, כי רק אחד מתוך שלושה מסרונים ששלח שחם ל</w:t>
      </w:r>
      <w:r w:rsidR="00A24606">
        <w:rPr>
          <w:rFonts w:ascii="David" w:eastAsia="Times New Roman" w:hAnsi="David" w:cs="David" w:hint="cs"/>
          <w:spacing w:val="10"/>
          <w:sz w:val="24"/>
          <w:szCs w:val="24"/>
          <w:rtl/>
        </w:rPr>
        <w:t>שוטרת</w:t>
      </w:r>
      <w:r w:rsidRPr="00C15932">
        <w:rPr>
          <w:rFonts w:ascii="David" w:eastAsia="Times New Roman" w:hAnsi="David" w:cs="David" w:hint="cs"/>
          <w:spacing w:val="10"/>
          <w:sz w:val="24"/>
          <w:szCs w:val="24"/>
          <w:rtl/>
        </w:rPr>
        <w:t xml:space="preserve"> ז.ז </w:t>
      </w:r>
      <w:r w:rsidRPr="00C15932">
        <w:rPr>
          <w:rFonts w:ascii="David" w:eastAsia="Times New Roman" w:hAnsi="David" w:cs="David"/>
          <w:spacing w:val="10"/>
          <w:sz w:val="24"/>
          <w:szCs w:val="24"/>
          <w:rtl/>
        </w:rPr>
        <w:t>–</w:t>
      </w:r>
      <w:r w:rsidRPr="00C15932">
        <w:rPr>
          <w:rFonts w:ascii="David" w:eastAsia="Times New Roman" w:hAnsi="David" w:cs="David" w:hint="cs"/>
          <w:spacing w:val="10"/>
          <w:sz w:val="24"/>
          <w:szCs w:val="24"/>
          <w:rtl/>
        </w:rPr>
        <w:t xml:space="preserve"> "מסרון ההלבשה התחתונה", במסגרתו שאל המשיב את המתלוננת לצבעי ההלבשה התחתונה שלה </w:t>
      </w:r>
      <w:r w:rsidRPr="00C15932">
        <w:rPr>
          <w:rFonts w:ascii="David" w:eastAsia="Times New Roman" w:hAnsi="David" w:cs="David"/>
          <w:spacing w:val="10"/>
          <w:sz w:val="24"/>
          <w:szCs w:val="24"/>
          <w:rtl/>
        </w:rPr>
        <w:t>–</w:t>
      </w:r>
      <w:r w:rsidRPr="00C15932">
        <w:rPr>
          <w:rFonts w:ascii="David" w:eastAsia="Times New Roman" w:hAnsi="David" w:cs="David" w:hint="cs"/>
          <w:spacing w:val="10"/>
          <w:sz w:val="24"/>
          <w:szCs w:val="24"/>
          <w:rtl/>
        </w:rPr>
        <w:t xml:space="preserve">  הוא בעל גוון מיני בוטה. בית המשפט קבע כי לא ניתן לראות את התכנים במסרון השני, "מסרון הבריכה", ככאלה המלמדים באופן מובהק על הקשר המיני שקיימו השנים, ובאשר למסרון השלישי, "מסרון הקשר" </w:t>
      </w:r>
      <w:r w:rsidRPr="00C15932">
        <w:rPr>
          <w:rFonts w:ascii="David" w:eastAsia="Times New Roman" w:hAnsi="David" w:cs="David"/>
          <w:spacing w:val="10"/>
          <w:sz w:val="24"/>
          <w:szCs w:val="24"/>
          <w:rtl/>
        </w:rPr>
        <w:t>–</w:t>
      </w:r>
      <w:r w:rsidRPr="00C15932">
        <w:rPr>
          <w:rFonts w:ascii="David" w:eastAsia="Times New Roman" w:hAnsi="David" w:cs="David" w:hint="cs"/>
          <w:spacing w:val="10"/>
          <w:sz w:val="24"/>
          <w:szCs w:val="24"/>
          <w:rtl/>
        </w:rPr>
        <w:t xml:space="preserve"> קבע כי הוא אינו כולל תכנים בוטים או מיניים, באופן שניתן יהיה לקבוע כי מדובר בסרטון מיני מטריד. כיוון שכך, ומשלא התמלא התנאי שענייננו "הצעות חוזרות בעלות אופי מיני" כדרישת החוק למניעת הטרדה מינית, תשנ"ח-1998 (להלן: </w:t>
      </w:r>
      <w:r w:rsidRPr="00C15932">
        <w:rPr>
          <w:rFonts w:ascii="David" w:eastAsia="Times New Roman" w:hAnsi="David" w:cs="David" w:hint="cs"/>
          <w:b/>
          <w:bCs/>
          <w:spacing w:val="10"/>
          <w:sz w:val="24"/>
          <w:szCs w:val="24"/>
          <w:rtl/>
        </w:rPr>
        <w:t>"החוק למניעת הטרדה מינית"</w:t>
      </w:r>
      <w:r w:rsidRPr="00C15932">
        <w:rPr>
          <w:rFonts w:ascii="David" w:eastAsia="Times New Roman" w:hAnsi="David" w:cs="David" w:hint="cs"/>
          <w:spacing w:val="10"/>
          <w:sz w:val="24"/>
          <w:szCs w:val="24"/>
          <w:rtl/>
        </w:rPr>
        <w:t xml:space="preserve">) </w:t>
      </w:r>
      <w:r w:rsidRPr="00C15932">
        <w:rPr>
          <w:rFonts w:ascii="David" w:eastAsia="Times New Roman" w:hAnsi="David" w:cs="David"/>
          <w:spacing w:val="10"/>
          <w:sz w:val="24"/>
          <w:szCs w:val="24"/>
          <w:rtl/>
        </w:rPr>
        <w:t>–</w:t>
      </w:r>
      <w:r w:rsidRPr="00C15932">
        <w:rPr>
          <w:rFonts w:ascii="David" w:eastAsia="Times New Roman" w:hAnsi="David" w:cs="David" w:hint="cs"/>
          <w:spacing w:val="10"/>
          <w:sz w:val="24"/>
          <w:szCs w:val="24"/>
          <w:rtl/>
        </w:rPr>
        <w:t xml:space="preserve"> זיכה בית המשפט את שחם מהעבירה שיוחסה </w:t>
      </w:r>
      <w:r w:rsidR="006D7022">
        <w:rPr>
          <w:rFonts w:ascii="David" w:eastAsia="Times New Roman" w:hAnsi="David" w:cs="David" w:hint="cs"/>
          <w:spacing w:val="10"/>
          <w:sz w:val="24"/>
          <w:szCs w:val="24"/>
          <w:rtl/>
        </w:rPr>
        <w:t>לו בפרשה זו (עמ' 111 להכר</w:t>
      </w:r>
      <w:r w:rsidR="000A5565">
        <w:rPr>
          <w:rFonts w:ascii="David" w:eastAsia="Times New Roman" w:hAnsi="David" w:cs="David" w:hint="cs"/>
          <w:spacing w:val="10"/>
          <w:sz w:val="24"/>
          <w:szCs w:val="24"/>
          <w:rtl/>
        </w:rPr>
        <w:t>עת ה</w:t>
      </w:r>
      <w:r w:rsidR="006D7022">
        <w:rPr>
          <w:rFonts w:ascii="David" w:eastAsia="Times New Roman" w:hAnsi="David" w:cs="David" w:hint="cs"/>
          <w:spacing w:val="10"/>
          <w:sz w:val="24"/>
          <w:szCs w:val="24"/>
          <w:rtl/>
        </w:rPr>
        <w:t>ד</w:t>
      </w:r>
      <w:r w:rsidR="000A5565">
        <w:rPr>
          <w:rFonts w:ascii="David" w:eastAsia="Times New Roman" w:hAnsi="David" w:cs="David" w:hint="cs"/>
          <w:spacing w:val="10"/>
          <w:sz w:val="24"/>
          <w:szCs w:val="24"/>
          <w:rtl/>
        </w:rPr>
        <w:t>ין</w:t>
      </w:r>
      <w:r w:rsidRPr="00C15932">
        <w:rPr>
          <w:rFonts w:ascii="David" w:eastAsia="Times New Roman" w:hAnsi="David" w:cs="David" w:hint="cs"/>
          <w:spacing w:val="10"/>
          <w:sz w:val="24"/>
          <w:szCs w:val="24"/>
          <w:rtl/>
        </w:rPr>
        <w:t>).</w:t>
      </w:r>
    </w:p>
    <w:p w:rsidR="00DF0946" w:rsidRPr="00C15932" w:rsidRDefault="00DF0946" w:rsidP="00DF0946">
      <w:pPr>
        <w:overflowPunct w:val="0"/>
        <w:autoSpaceDE w:val="0"/>
        <w:autoSpaceDN w:val="0"/>
        <w:adjustRightInd w:val="0"/>
        <w:spacing w:after="0" w:line="360" w:lineRule="auto"/>
        <w:jc w:val="both"/>
        <w:textAlignment w:val="baseline"/>
        <w:rPr>
          <w:rFonts w:ascii="David" w:eastAsia="Times New Roman" w:hAnsi="David" w:cs="David"/>
          <w:spacing w:val="10"/>
          <w:sz w:val="24"/>
          <w:szCs w:val="24"/>
          <w:rtl/>
        </w:rPr>
      </w:pPr>
    </w:p>
    <w:p w:rsidR="00DF0946" w:rsidRPr="00C15932" w:rsidRDefault="004E14DF" w:rsidP="00DF0946">
      <w:pPr>
        <w:overflowPunct w:val="0"/>
        <w:autoSpaceDE w:val="0"/>
        <w:autoSpaceDN w:val="0"/>
        <w:adjustRightInd w:val="0"/>
        <w:spacing w:after="0" w:line="360" w:lineRule="auto"/>
        <w:jc w:val="both"/>
        <w:textAlignment w:val="baseline"/>
        <w:rPr>
          <w:rFonts w:ascii="David" w:eastAsia="Times New Roman" w:hAnsi="David" w:cs="David"/>
          <w:spacing w:val="10"/>
          <w:sz w:val="24"/>
          <w:szCs w:val="24"/>
          <w:rtl/>
        </w:rPr>
      </w:pPr>
      <w:r w:rsidRPr="00C15932">
        <w:rPr>
          <w:rFonts w:ascii="David" w:eastAsia="Times New Roman" w:hAnsi="David" w:cs="David" w:hint="cs"/>
          <w:spacing w:val="10"/>
          <w:sz w:val="24"/>
          <w:szCs w:val="24"/>
          <w:rtl/>
        </w:rPr>
        <w:t xml:space="preserve">הכרעת הדין </w:t>
      </w:r>
      <w:r w:rsidRPr="00C15932">
        <w:rPr>
          <w:rFonts w:ascii="David" w:eastAsia="Times New Roman" w:hAnsi="David" w:cs="David" w:hint="cs"/>
          <w:spacing w:val="10"/>
          <w:sz w:val="24"/>
          <w:szCs w:val="24"/>
          <w:u w:val="single"/>
          <w:rtl/>
        </w:rPr>
        <w:t>בפרשה השמינית</w:t>
      </w:r>
      <w:r w:rsidRPr="00C15932">
        <w:rPr>
          <w:rFonts w:ascii="David" w:eastAsia="Times New Roman" w:hAnsi="David" w:cs="David" w:hint="cs"/>
          <w:spacing w:val="10"/>
          <w:sz w:val="24"/>
          <w:szCs w:val="24"/>
          <w:rtl/>
        </w:rPr>
        <w:t xml:space="preserve"> התמקדה בשני אירועים שיוחסו לשחם בכתב האישום </w:t>
      </w:r>
      <w:r w:rsidRPr="00C15932">
        <w:rPr>
          <w:rFonts w:ascii="David" w:eastAsia="Times New Roman" w:hAnsi="David" w:cs="David"/>
          <w:spacing w:val="10"/>
          <w:sz w:val="24"/>
          <w:szCs w:val="24"/>
          <w:rtl/>
        </w:rPr>
        <w:t>–</w:t>
      </w:r>
      <w:r w:rsidRPr="00C15932">
        <w:rPr>
          <w:rFonts w:ascii="David" w:eastAsia="Times New Roman" w:hAnsi="David" w:cs="David" w:hint="cs"/>
          <w:spacing w:val="10"/>
          <w:sz w:val="24"/>
          <w:szCs w:val="24"/>
          <w:rtl/>
        </w:rPr>
        <w:t xml:space="preserve"> "אירוע הנשיקה", במהלכו נישק את השוטרת ח.ח בזמן סיור עבודה משותף, ו- "אירוע המשרד", במהלכו ניסה להניח את ידה על איבר מינו ולגעת באיבר מינה. תחילה, קבע בית המשפט, כי לפי מבחני הפסיקה לצורך הכרעה בשאלת המרות </w:t>
      </w:r>
      <w:r w:rsidRPr="00C15932">
        <w:rPr>
          <w:rFonts w:ascii="David" w:eastAsia="Times New Roman" w:hAnsi="David" w:cs="David"/>
          <w:spacing w:val="10"/>
          <w:sz w:val="24"/>
          <w:szCs w:val="24"/>
          <w:rtl/>
        </w:rPr>
        <w:t>–</w:t>
      </w:r>
      <w:r w:rsidRPr="00C15932">
        <w:rPr>
          <w:rFonts w:ascii="David" w:eastAsia="Times New Roman" w:hAnsi="David" w:cs="David" w:hint="cs"/>
          <w:spacing w:val="10"/>
          <w:sz w:val="24"/>
          <w:szCs w:val="24"/>
          <w:rtl/>
        </w:rPr>
        <w:t xml:space="preserve"> לא הוכחו יחסי מרות בין שחם לשוטרת, וממילא שחם לא פעל תוך ניצולם של יחסים שכאלה. בית המשפט אף דחה את הטענה החלופית, לפיה בוצעו המעשים המיוחסים לשחם כמעשה מגונה "רגיל". בית המשפט קבע, כי ראוי היה לשחם להימנע ממעורבות בעניין קיצור שירותו של בעלה של ח.ח. אך מדובר בפעולה בניגוד עניינים בעלת </w:t>
      </w:r>
      <w:r w:rsidRPr="00C15932">
        <w:rPr>
          <w:rFonts w:ascii="David" w:eastAsia="Times New Roman" w:hAnsi="David" w:cs="David" w:hint="cs"/>
          <w:b/>
          <w:bCs/>
          <w:spacing w:val="10"/>
          <w:sz w:val="24"/>
          <w:szCs w:val="24"/>
          <w:rtl/>
        </w:rPr>
        <w:t>"עוצמה חלשה ביותר הרחוקה מרחק ניכר מאד מהתחום הפלילי"</w:t>
      </w:r>
      <w:r w:rsidR="000A5565">
        <w:rPr>
          <w:rFonts w:ascii="David" w:eastAsia="Times New Roman" w:hAnsi="David" w:cs="David" w:hint="cs"/>
          <w:spacing w:val="10"/>
          <w:sz w:val="24"/>
          <w:szCs w:val="24"/>
          <w:rtl/>
        </w:rPr>
        <w:t xml:space="preserve"> (עמ' 136 להכרעת ה</w:t>
      </w:r>
      <w:r w:rsidR="006D7022">
        <w:rPr>
          <w:rFonts w:ascii="David" w:eastAsia="Times New Roman" w:hAnsi="David" w:cs="David" w:hint="cs"/>
          <w:spacing w:val="10"/>
          <w:sz w:val="24"/>
          <w:szCs w:val="24"/>
          <w:rtl/>
        </w:rPr>
        <w:t>ד</w:t>
      </w:r>
      <w:r w:rsidR="000A5565">
        <w:rPr>
          <w:rFonts w:ascii="David" w:eastAsia="Times New Roman" w:hAnsi="David" w:cs="David" w:hint="cs"/>
          <w:spacing w:val="10"/>
          <w:sz w:val="24"/>
          <w:szCs w:val="24"/>
          <w:rtl/>
        </w:rPr>
        <w:t>ין</w:t>
      </w:r>
      <w:r w:rsidRPr="00C15932">
        <w:rPr>
          <w:rFonts w:ascii="David" w:eastAsia="Times New Roman" w:hAnsi="David" w:cs="David" w:hint="cs"/>
          <w:spacing w:val="10"/>
          <w:sz w:val="24"/>
          <w:szCs w:val="24"/>
          <w:rtl/>
        </w:rPr>
        <w:t xml:space="preserve">). לאור זאת, ובהתחשב בקביעה לפיה טיב </w:t>
      </w:r>
      <w:r w:rsidRPr="00C15932">
        <w:rPr>
          <w:rFonts w:ascii="David" w:eastAsia="Times New Roman" w:hAnsi="David" w:cs="David" w:hint="cs"/>
          <w:spacing w:val="10"/>
          <w:sz w:val="24"/>
          <w:szCs w:val="24"/>
          <w:rtl/>
        </w:rPr>
        <w:lastRenderedPageBreak/>
        <w:t>הקשר בינו לבין השוטרת כלל גם רובד "</w:t>
      </w:r>
      <w:proofErr w:type="spellStart"/>
      <w:r w:rsidRPr="00C15932">
        <w:rPr>
          <w:rFonts w:ascii="David" w:eastAsia="Times New Roman" w:hAnsi="David" w:cs="David" w:hint="cs"/>
          <w:spacing w:val="10"/>
          <w:sz w:val="24"/>
          <w:szCs w:val="24"/>
          <w:rtl/>
        </w:rPr>
        <w:t>פלירטוטי</w:t>
      </w:r>
      <w:proofErr w:type="spellEnd"/>
      <w:r w:rsidRPr="00C15932">
        <w:rPr>
          <w:rFonts w:ascii="David" w:eastAsia="Times New Roman" w:hAnsi="David" w:cs="David" w:hint="cs"/>
          <w:spacing w:val="10"/>
          <w:sz w:val="24"/>
          <w:szCs w:val="24"/>
          <w:rtl/>
        </w:rPr>
        <w:t xml:space="preserve">-אינטימי", באופן שחרג מן היחסים המקצועיים שהתקיימו בין השניים, ובקביעה, לפיה לא ניתן לראות במכלול דבריה של השוטרת כבסיס בעל עצמה ראייתית המאפשרת הרשעה במשפט פלילי </w:t>
      </w:r>
      <w:r w:rsidRPr="00C15932">
        <w:rPr>
          <w:rFonts w:ascii="David" w:eastAsia="Times New Roman" w:hAnsi="David" w:cs="David"/>
          <w:spacing w:val="10"/>
          <w:sz w:val="24"/>
          <w:szCs w:val="24"/>
          <w:rtl/>
        </w:rPr>
        <w:t>–</w:t>
      </w:r>
      <w:r w:rsidRPr="00C15932">
        <w:rPr>
          <w:rFonts w:ascii="David" w:eastAsia="Times New Roman" w:hAnsi="David" w:cs="David" w:hint="cs"/>
          <w:spacing w:val="10"/>
          <w:sz w:val="24"/>
          <w:szCs w:val="24"/>
          <w:rtl/>
        </w:rPr>
        <w:t xml:space="preserve"> זיכה בית המשפט את שחם מעבירה של מעשה מגונה תוך ניצול ביחסי עבודה שיוחסה לו.</w:t>
      </w:r>
    </w:p>
    <w:p w:rsidR="00DF0946" w:rsidRPr="00C15932" w:rsidRDefault="00DF0946" w:rsidP="00662584">
      <w:pPr>
        <w:overflowPunct w:val="0"/>
        <w:autoSpaceDE w:val="0"/>
        <w:autoSpaceDN w:val="0"/>
        <w:adjustRightInd w:val="0"/>
        <w:spacing w:after="0" w:line="360" w:lineRule="auto"/>
        <w:jc w:val="both"/>
        <w:textAlignment w:val="baseline"/>
        <w:rPr>
          <w:rFonts w:ascii="David" w:eastAsia="Times New Roman" w:hAnsi="David" w:cs="David"/>
          <w:spacing w:val="10"/>
          <w:sz w:val="24"/>
          <w:szCs w:val="24"/>
          <w:rtl/>
        </w:rPr>
      </w:pPr>
    </w:p>
    <w:p w:rsidR="00DF0946" w:rsidRPr="00C15932" w:rsidRDefault="004E14DF" w:rsidP="00DF0946">
      <w:pPr>
        <w:overflowPunct w:val="0"/>
        <w:autoSpaceDE w:val="0"/>
        <w:autoSpaceDN w:val="0"/>
        <w:adjustRightInd w:val="0"/>
        <w:spacing w:after="0" w:line="360" w:lineRule="auto"/>
        <w:jc w:val="both"/>
        <w:textAlignment w:val="baseline"/>
        <w:rPr>
          <w:rFonts w:ascii="David" w:eastAsia="Times New Roman" w:hAnsi="David" w:cs="David"/>
          <w:spacing w:val="10"/>
          <w:sz w:val="24"/>
          <w:szCs w:val="24"/>
          <w:u w:val="single"/>
          <w:rtl/>
        </w:rPr>
      </w:pPr>
      <w:r w:rsidRPr="00C15932">
        <w:rPr>
          <w:rFonts w:ascii="David" w:eastAsia="Times New Roman" w:hAnsi="David" w:cs="David" w:hint="cs"/>
          <w:spacing w:val="10"/>
          <w:sz w:val="24"/>
          <w:szCs w:val="24"/>
          <w:u w:val="single"/>
          <w:rtl/>
        </w:rPr>
        <w:t>"תזת הצבירה"</w:t>
      </w:r>
    </w:p>
    <w:p w:rsidR="00DF0946" w:rsidRPr="00C15932" w:rsidRDefault="004E14DF" w:rsidP="003F56D5">
      <w:pPr>
        <w:overflowPunct w:val="0"/>
        <w:autoSpaceDE w:val="0"/>
        <w:autoSpaceDN w:val="0"/>
        <w:adjustRightInd w:val="0"/>
        <w:spacing w:after="0" w:line="360" w:lineRule="auto"/>
        <w:jc w:val="both"/>
        <w:textAlignment w:val="baseline"/>
        <w:rPr>
          <w:rFonts w:ascii="David" w:eastAsia="Times New Roman" w:hAnsi="David" w:cs="David"/>
          <w:spacing w:val="10"/>
          <w:sz w:val="24"/>
          <w:szCs w:val="24"/>
          <w:rtl/>
        </w:rPr>
      </w:pPr>
      <w:r w:rsidRPr="00C15932">
        <w:rPr>
          <w:rFonts w:ascii="David" w:eastAsia="Times New Roman" w:hAnsi="David" w:cs="David" w:hint="cs"/>
          <w:spacing w:val="10"/>
          <w:sz w:val="24"/>
          <w:szCs w:val="24"/>
          <w:rtl/>
        </w:rPr>
        <w:t xml:space="preserve">במסגרת פרק זה בהכרעת הדין, דחה בית המשפט את שאלת היתכנותה של </w:t>
      </w:r>
      <w:r w:rsidR="006D7022">
        <w:rPr>
          <w:rFonts w:ascii="David" w:eastAsia="Times New Roman" w:hAnsi="David" w:cs="David" w:hint="cs"/>
          <w:spacing w:val="10"/>
          <w:sz w:val="24"/>
          <w:szCs w:val="24"/>
          <w:rtl/>
        </w:rPr>
        <w:t>"</w:t>
      </w:r>
      <w:r w:rsidRPr="00C15932">
        <w:rPr>
          <w:rFonts w:ascii="David" w:eastAsia="Times New Roman" w:hAnsi="David" w:cs="David" w:hint="cs"/>
          <w:spacing w:val="10"/>
          <w:sz w:val="24"/>
          <w:szCs w:val="24"/>
          <w:rtl/>
        </w:rPr>
        <w:t>תזת הצבירה</w:t>
      </w:r>
      <w:r w:rsidR="006D7022">
        <w:rPr>
          <w:rFonts w:ascii="David" w:eastAsia="Times New Roman" w:hAnsi="David" w:cs="David" w:hint="cs"/>
          <w:spacing w:val="10"/>
          <w:sz w:val="24"/>
          <w:szCs w:val="24"/>
          <w:rtl/>
        </w:rPr>
        <w:t>"</w:t>
      </w:r>
      <w:r w:rsidRPr="00C15932">
        <w:rPr>
          <w:rFonts w:ascii="David" w:eastAsia="Times New Roman" w:hAnsi="David" w:cs="David" w:hint="cs"/>
          <w:spacing w:val="10"/>
          <w:sz w:val="24"/>
          <w:szCs w:val="24"/>
          <w:rtl/>
        </w:rPr>
        <w:t xml:space="preserve">, לפיה הצטברות "ניגודי עניינים שאינם פליליים" יכולה לעלות כדי עבירה פלילית אחת, ובענייננו </w:t>
      </w:r>
      <w:r w:rsidRPr="00C15932">
        <w:rPr>
          <w:rFonts w:ascii="David" w:eastAsia="Times New Roman" w:hAnsi="David" w:cs="David"/>
          <w:spacing w:val="10"/>
          <w:sz w:val="24"/>
          <w:szCs w:val="24"/>
          <w:rtl/>
        </w:rPr>
        <w:t>–</w:t>
      </w:r>
      <w:r w:rsidRPr="00C15932">
        <w:rPr>
          <w:rFonts w:ascii="David" w:eastAsia="Times New Roman" w:hAnsi="David" w:cs="David" w:hint="cs"/>
          <w:spacing w:val="10"/>
          <w:sz w:val="24"/>
          <w:szCs w:val="24"/>
          <w:rtl/>
        </w:rPr>
        <w:t xml:space="preserve"> את עמדת המדינה, לפיה מכלול פעולותיו של שחם בניגוד עניינים עולה כדי עבירה של מרמה והפרת אמונים. בית המשפט נימק את הכרעתו, הן מהטעם "שתזה חדשנית זו" אינה מתיישבת עם המדיניות המשפטית הרצויה בעבירה של מרמה והפרת אמונים, והן, נוכח אופיין של קביעותיו העובדתיות. להלן יובאו עיקרי נימוקיו.</w:t>
      </w:r>
    </w:p>
    <w:p w:rsidR="00445E83" w:rsidRDefault="004E14DF" w:rsidP="002F6653">
      <w:pPr>
        <w:overflowPunct w:val="0"/>
        <w:autoSpaceDE w:val="0"/>
        <w:autoSpaceDN w:val="0"/>
        <w:adjustRightInd w:val="0"/>
        <w:spacing w:after="0" w:line="360" w:lineRule="auto"/>
        <w:jc w:val="both"/>
        <w:textAlignment w:val="baseline"/>
        <w:rPr>
          <w:rFonts w:ascii="David" w:eastAsia="Times New Roman" w:hAnsi="David" w:cs="David"/>
          <w:spacing w:val="10"/>
          <w:sz w:val="24"/>
          <w:szCs w:val="24"/>
          <w:rtl/>
        </w:rPr>
      </w:pPr>
      <w:r w:rsidRPr="00C15932">
        <w:rPr>
          <w:rFonts w:ascii="David" w:eastAsia="Times New Roman" w:hAnsi="David" w:cs="David" w:hint="cs"/>
          <w:spacing w:val="10"/>
          <w:sz w:val="24"/>
          <w:szCs w:val="24"/>
          <w:rtl/>
        </w:rPr>
        <w:t>ראשית, בית המשפט קבע כי תזת הצבירה אינה מתיישבת עם עקרון החוקיות במשפט הפלילי, ועם הצורך לצמצם את עמימותה של עבירת הפרת האמונים ולא להעצימה</w:t>
      </w:r>
      <w:r w:rsidR="00304FA9">
        <w:rPr>
          <w:rFonts w:ascii="David" w:eastAsia="Times New Roman" w:hAnsi="David" w:cs="David" w:hint="cs"/>
          <w:spacing w:val="10"/>
          <w:sz w:val="24"/>
          <w:szCs w:val="24"/>
          <w:rtl/>
        </w:rPr>
        <w:t>.</w:t>
      </w:r>
    </w:p>
    <w:p w:rsidR="006D7022" w:rsidRDefault="004E14DF" w:rsidP="002F6653">
      <w:pPr>
        <w:overflowPunct w:val="0"/>
        <w:autoSpaceDE w:val="0"/>
        <w:autoSpaceDN w:val="0"/>
        <w:adjustRightInd w:val="0"/>
        <w:spacing w:after="0" w:line="360" w:lineRule="auto"/>
        <w:jc w:val="both"/>
        <w:textAlignment w:val="baseline"/>
        <w:rPr>
          <w:rFonts w:ascii="David" w:eastAsia="Times New Roman" w:hAnsi="David" w:cs="David"/>
          <w:spacing w:val="10"/>
          <w:sz w:val="24"/>
          <w:szCs w:val="24"/>
          <w:rtl/>
        </w:rPr>
      </w:pPr>
      <w:r w:rsidRPr="00C15932">
        <w:rPr>
          <w:rFonts w:ascii="David" w:eastAsia="Times New Roman" w:hAnsi="David" w:cs="David" w:hint="cs"/>
          <w:spacing w:val="10"/>
          <w:sz w:val="24"/>
          <w:szCs w:val="24"/>
          <w:rtl/>
        </w:rPr>
        <w:t xml:space="preserve">שנית, קבע בית המשפט, כי יישום תזת הצבירה לא מתיישב עם קביעותיו העובדתיות. בעניין זה ציין, שקיים פער לא מבוטל בין נקודת המוצא שבכתב האישום לבין הקביעות העובדתיות בהכרעת הדין, שנוצר בחמישה מישורים. הראשון </w:t>
      </w:r>
      <w:r w:rsidRPr="00C15932">
        <w:rPr>
          <w:rFonts w:ascii="David" w:eastAsia="Times New Roman" w:hAnsi="David" w:cs="David"/>
          <w:spacing w:val="10"/>
          <w:sz w:val="24"/>
          <w:szCs w:val="24"/>
          <w:rtl/>
        </w:rPr>
        <w:t>–</w:t>
      </w:r>
      <w:r w:rsidRPr="00C15932">
        <w:rPr>
          <w:rFonts w:ascii="David" w:eastAsia="Times New Roman" w:hAnsi="David" w:cs="David" w:hint="cs"/>
          <w:spacing w:val="10"/>
          <w:sz w:val="24"/>
          <w:szCs w:val="24"/>
          <w:rtl/>
        </w:rPr>
        <w:t xml:space="preserve"> היקף הפעולות שבוצעו בניגוד עניינים אינו כנטען בכתב האישום, שכן מתוך 10 פעולות שנטענו, רק 6 נמצאו רלוונטיות והוכחו; השני </w:t>
      </w:r>
      <w:r w:rsidRPr="00C15932">
        <w:rPr>
          <w:rFonts w:ascii="David" w:eastAsia="Times New Roman" w:hAnsi="David" w:cs="David"/>
          <w:spacing w:val="10"/>
          <w:sz w:val="24"/>
          <w:szCs w:val="24"/>
          <w:rtl/>
        </w:rPr>
        <w:t>–</w:t>
      </w:r>
      <w:r w:rsidRPr="00C15932">
        <w:rPr>
          <w:rFonts w:ascii="David" w:eastAsia="Times New Roman" w:hAnsi="David" w:cs="David" w:hint="cs"/>
          <w:spacing w:val="10"/>
          <w:sz w:val="24"/>
          <w:szCs w:val="24"/>
          <w:rtl/>
        </w:rPr>
        <w:t xml:space="preserve"> דחיית טענה בדבר "סטייה מן השורה" שנטענה בהקשר לפרשייה החמישית, משלא הביאה בחשבון שני נתונים מהותיים; השלישי </w:t>
      </w:r>
      <w:r w:rsidRPr="00C15932">
        <w:rPr>
          <w:rFonts w:ascii="David" w:eastAsia="Times New Roman" w:hAnsi="David" w:cs="David"/>
          <w:spacing w:val="10"/>
          <w:sz w:val="24"/>
          <w:szCs w:val="24"/>
          <w:rtl/>
        </w:rPr>
        <w:t>–</w:t>
      </w:r>
      <w:r w:rsidRPr="00C15932">
        <w:rPr>
          <w:rFonts w:ascii="David" w:eastAsia="Times New Roman" w:hAnsi="David" w:cs="David" w:hint="cs"/>
          <w:spacing w:val="10"/>
          <w:sz w:val="24"/>
          <w:szCs w:val="24"/>
          <w:rtl/>
        </w:rPr>
        <w:t xml:space="preserve"> עוצמת ניגוד העניינים נקבעה כחלשה ביותר ורחוקה מרחק ניכר מאוד מהמתחם הפלילי; הרביעי </w:t>
      </w:r>
      <w:r w:rsidRPr="00C15932">
        <w:rPr>
          <w:rFonts w:ascii="David" w:eastAsia="Times New Roman" w:hAnsi="David" w:cs="David"/>
          <w:spacing w:val="10"/>
          <w:sz w:val="24"/>
          <w:szCs w:val="24"/>
          <w:rtl/>
        </w:rPr>
        <w:t>–</w:t>
      </w:r>
      <w:r w:rsidRPr="00C15932">
        <w:rPr>
          <w:rFonts w:ascii="David" w:eastAsia="Times New Roman" w:hAnsi="David" w:cs="David" w:hint="cs"/>
          <w:spacing w:val="10"/>
          <w:sz w:val="24"/>
          <w:szCs w:val="24"/>
          <w:rtl/>
        </w:rPr>
        <w:t xml:space="preserve"> ענייניות ההחלטה. בהקשר זה קבע בית המשפט, כי ההחלטות שקיבל שחם בעניינן של השוטרות היו ענייניות, מוצדקות, מתיישבות עם המדיניות המוצהרת ועם שיקולי צדק; החמישי </w:t>
      </w:r>
      <w:r w:rsidRPr="00C15932">
        <w:rPr>
          <w:rFonts w:ascii="David" w:eastAsia="Times New Roman" w:hAnsi="David" w:cs="David"/>
          <w:spacing w:val="10"/>
          <w:sz w:val="24"/>
          <w:szCs w:val="24"/>
          <w:rtl/>
        </w:rPr>
        <w:t>–</w:t>
      </w:r>
      <w:r w:rsidRPr="00C15932">
        <w:rPr>
          <w:rFonts w:ascii="David" w:eastAsia="Times New Roman" w:hAnsi="David" w:cs="David" w:hint="cs"/>
          <w:spacing w:val="10"/>
          <w:sz w:val="24"/>
          <w:szCs w:val="24"/>
          <w:rtl/>
        </w:rPr>
        <w:t xml:space="preserve"> לא הוכח "הפן המחמיר הנוסף". כך למשל, לא הוכחה תלות ולא הוכח ניצול. </w:t>
      </w:r>
    </w:p>
    <w:p w:rsidR="00304FA9" w:rsidRPr="00C15932" w:rsidRDefault="004E14DF" w:rsidP="003F56D5">
      <w:pPr>
        <w:overflowPunct w:val="0"/>
        <w:autoSpaceDE w:val="0"/>
        <w:autoSpaceDN w:val="0"/>
        <w:adjustRightInd w:val="0"/>
        <w:spacing w:after="0" w:line="360" w:lineRule="auto"/>
        <w:jc w:val="both"/>
        <w:textAlignment w:val="baseline"/>
        <w:rPr>
          <w:rFonts w:ascii="David" w:eastAsia="Times New Roman" w:hAnsi="David" w:cs="David"/>
          <w:spacing w:val="10"/>
          <w:sz w:val="24"/>
          <w:szCs w:val="24"/>
          <w:rtl/>
        </w:rPr>
      </w:pPr>
      <w:r w:rsidRPr="00C15932">
        <w:rPr>
          <w:rFonts w:ascii="David" w:eastAsia="Times New Roman" w:hAnsi="David" w:cs="David" w:hint="cs"/>
          <w:spacing w:val="10"/>
          <w:sz w:val="24"/>
          <w:szCs w:val="24"/>
          <w:rtl/>
        </w:rPr>
        <w:t xml:space="preserve">נימוק נוסף לדחיית "תזת הצבירה" ראה בית המשפט בהיעדרה בחוק העונשין של </w:t>
      </w:r>
      <w:r w:rsidRPr="00C15932">
        <w:rPr>
          <w:rFonts w:ascii="David" w:eastAsia="Times New Roman" w:hAnsi="David" w:cs="David" w:hint="cs"/>
          <w:b/>
          <w:bCs/>
          <w:spacing w:val="10"/>
          <w:sz w:val="24"/>
          <w:szCs w:val="24"/>
          <w:rtl/>
        </w:rPr>
        <w:t>"הוראת חוק מקבילה להוראת סעיף 130 לחוק השיפוט הצבאי שעניינה עבירה של "התנהגות שאינה הולמת", אשר מרכזה שמירה על רמתה ומעמדה של המערכת הפיקודית בצה"ל, והענשת מפקד שנכשל במעשה או מחדל שאינו הולם את בעל מעמד פיקודי בצה"ל"</w:t>
      </w:r>
      <w:r w:rsidRPr="00C15932">
        <w:rPr>
          <w:rFonts w:ascii="David" w:eastAsia="Times New Roman" w:hAnsi="David" w:cs="David" w:hint="cs"/>
          <w:spacing w:val="10"/>
          <w:sz w:val="24"/>
          <w:szCs w:val="24"/>
          <w:rtl/>
        </w:rPr>
        <w:t>. בית המשפט הוסיף וקבע, כי על אף שהעבירה של הפרת האמונים נחשבת ל"עבירת סל", אין היא יכולה להוות "תחליף" להוראת חוק ייעודית קונקרטית דוגמת סעיף</w:t>
      </w:r>
      <w:r w:rsidR="003F56D5">
        <w:rPr>
          <w:rFonts w:ascii="David" w:eastAsia="Times New Roman" w:hAnsi="David" w:cs="David" w:hint="cs"/>
          <w:spacing w:val="10"/>
          <w:sz w:val="24"/>
          <w:szCs w:val="24"/>
          <w:rtl/>
        </w:rPr>
        <w:t xml:space="preserve"> 130 הנ"ל</w:t>
      </w:r>
      <w:r w:rsidRPr="00C15932">
        <w:rPr>
          <w:rFonts w:ascii="David" w:eastAsia="Times New Roman" w:hAnsi="David" w:cs="David" w:hint="cs"/>
          <w:spacing w:val="10"/>
          <w:sz w:val="24"/>
          <w:szCs w:val="24"/>
          <w:rtl/>
        </w:rPr>
        <w:t>.</w:t>
      </w:r>
    </w:p>
    <w:p w:rsidR="00304FA9" w:rsidRPr="00C15932" w:rsidRDefault="00304FA9" w:rsidP="003F56D5">
      <w:pPr>
        <w:overflowPunct w:val="0"/>
        <w:autoSpaceDE w:val="0"/>
        <w:autoSpaceDN w:val="0"/>
        <w:adjustRightInd w:val="0"/>
        <w:spacing w:after="0" w:line="360" w:lineRule="auto"/>
        <w:jc w:val="both"/>
        <w:textAlignment w:val="baseline"/>
        <w:rPr>
          <w:rFonts w:ascii="David" w:eastAsia="Times New Roman" w:hAnsi="David" w:cs="David"/>
          <w:spacing w:val="10"/>
          <w:sz w:val="24"/>
          <w:szCs w:val="24"/>
          <w:rtl/>
        </w:rPr>
      </w:pPr>
    </w:p>
    <w:p w:rsidR="00613546" w:rsidRPr="00373B46" w:rsidRDefault="004E14DF" w:rsidP="002F6653">
      <w:pPr>
        <w:overflowPunct w:val="0"/>
        <w:autoSpaceDE w:val="0"/>
        <w:autoSpaceDN w:val="0"/>
        <w:adjustRightInd w:val="0"/>
        <w:spacing w:after="0" w:line="360" w:lineRule="auto"/>
        <w:jc w:val="both"/>
        <w:textAlignment w:val="baseline"/>
        <w:rPr>
          <w:rFonts w:ascii="David" w:eastAsia="Times New Roman" w:hAnsi="David" w:cs="David"/>
          <w:spacing w:val="10"/>
          <w:sz w:val="24"/>
          <w:szCs w:val="24"/>
          <w:rtl/>
        </w:rPr>
      </w:pPr>
      <w:r w:rsidRPr="00C15932">
        <w:rPr>
          <w:rFonts w:ascii="David" w:eastAsia="Times New Roman" w:hAnsi="David" w:cs="David" w:hint="cs"/>
          <w:spacing w:val="10"/>
          <w:sz w:val="24"/>
          <w:szCs w:val="24"/>
          <w:rtl/>
        </w:rPr>
        <w:t xml:space="preserve">על רקע כל אלה, דחה בית המשפט את עמדת התביעה, לפיה מכלול פעולותיו של שחם בניגוד עניינים עולה כדי עבירה של מרמה והפרת אמונים וזיכה אותו מעבירה זו. </w:t>
      </w:r>
    </w:p>
    <w:p w:rsidR="00613546" w:rsidRDefault="004E14DF" w:rsidP="009A5F29">
      <w:pPr>
        <w:overflowPunct w:val="0"/>
        <w:autoSpaceDE w:val="0"/>
        <w:autoSpaceDN w:val="0"/>
        <w:adjustRightInd w:val="0"/>
        <w:spacing w:after="0" w:line="360" w:lineRule="auto"/>
        <w:jc w:val="both"/>
        <w:textAlignment w:val="baseline"/>
        <w:rPr>
          <w:rFonts w:ascii="David" w:eastAsia="Times New Roman" w:hAnsi="David" w:cs="David"/>
          <w:color w:val="000000"/>
          <w:spacing w:val="10"/>
          <w:sz w:val="24"/>
          <w:szCs w:val="24"/>
          <w:rtl/>
        </w:rPr>
      </w:pPr>
      <w:r w:rsidRPr="004E14DF">
        <w:rPr>
          <w:rFonts w:ascii="David" w:eastAsia="Times New Roman" w:hAnsi="David" w:cs="David" w:hint="cs"/>
          <w:b/>
          <w:bCs/>
          <w:spacing w:val="10"/>
          <w:sz w:val="24"/>
          <w:szCs w:val="24"/>
          <w:u w:val="single"/>
          <w:rtl/>
        </w:rPr>
        <w:lastRenderedPageBreak/>
        <w:t>ערעור המדינה בתמצית</w:t>
      </w:r>
      <w:r w:rsidRPr="00373B46">
        <w:rPr>
          <w:rFonts w:ascii="David" w:eastAsia="Times New Roman" w:hAnsi="David" w:cs="David" w:hint="cs"/>
          <w:spacing w:val="10"/>
          <w:sz w:val="28"/>
          <w:szCs w:val="28"/>
          <w:rtl/>
        </w:rPr>
        <w:t xml:space="preserve">  </w:t>
      </w:r>
      <w:r w:rsidRPr="00373B46">
        <w:rPr>
          <w:rFonts w:ascii="David" w:eastAsia="Times New Roman" w:hAnsi="David" w:cs="David" w:hint="cs"/>
          <w:color w:val="000000"/>
          <w:spacing w:val="10"/>
          <w:sz w:val="24"/>
          <w:szCs w:val="24"/>
          <w:rtl/>
        </w:rPr>
        <w:t>(ע"פ 23260-01-19)</w:t>
      </w:r>
    </w:p>
    <w:p w:rsidR="00304FA9" w:rsidRPr="00373B46" w:rsidRDefault="00304FA9" w:rsidP="009A5F29">
      <w:pPr>
        <w:overflowPunct w:val="0"/>
        <w:autoSpaceDE w:val="0"/>
        <w:autoSpaceDN w:val="0"/>
        <w:adjustRightInd w:val="0"/>
        <w:spacing w:after="0" w:line="360" w:lineRule="auto"/>
        <w:jc w:val="both"/>
        <w:textAlignment w:val="baseline"/>
        <w:rPr>
          <w:rFonts w:ascii="David" w:eastAsia="Times New Roman" w:hAnsi="David" w:cs="David"/>
          <w:spacing w:val="10"/>
          <w:sz w:val="24"/>
          <w:szCs w:val="24"/>
          <w:rtl/>
        </w:rPr>
      </w:pPr>
    </w:p>
    <w:p w:rsidR="00613546" w:rsidRPr="006D7022" w:rsidRDefault="004E14DF" w:rsidP="009A5F29">
      <w:pPr>
        <w:overflowPunct w:val="0"/>
        <w:autoSpaceDE w:val="0"/>
        <w:autoSpaceDN w:val="0"/>
        <w:adjustRightInd w:val="0"/>
        <w:spacing w:after="0" w:line="360" w:lineRule="auto"/>
        <w:jc w:val="both"/>
        <w:textAlignment w:val="baseline"/>
        <w:rPr>
          <w:rFonts w:ascii="David" w:eastAsia="Times New Roman" w:hAnsi="David" w:cs="David"/>
          <w:spacing w:val="10"/>
          <w:sz w:val="24"/>
          <w:szCs w:val="24"/>
          <w:u w:val="single"/>
          <w:rtl/>
        </w:rPr>
      </w:pPr>
      <w:r w:rsidRPr="006D7022">
        <w:rPr>
          <w:rFonts w:ascii="David" w:eastAsia="Times New Roman" w:hAnsi="David" w:cs="David" w:hint="cs"/>
          <w:spacing w:val="10"/>
          <w:sz w:val="24"/>
          <w:szCs w:val="24"/>
          <w:u w:val="single"/>
          <w:rtl/>
        </w:rPr>
        <w:t>עיקרי טענותיה</w:t>
      </w:r>
    </w:p>
    <w:p w:rsidR="00F40292" w:rsidRDefault="004E14DF" w:rsidP="006D7022">
      <w:pPr>
        <w:overflowPunct w:val="0"/>
        <w:autoSpaceDE w:val="0"/>
        <w:autoSpaceDN w:val="0"/>
        <w:adjustRightInd w:val="0"/>
        <w:spacing w:after="0" w:line="360" w:lineRule="auto"/>
        <w:jc w:val="both"/>
        <w:textAlignment w:val="baseline"/>
        <w:rPr>
          <w:rFonts w:ascii="David" w:eastAsia="Times New Roman" w:hAnsi="David" w:cs="David"/>
          <w:spacing w:val="10"/>
          <w:sz w:val="24"/>
          <w:szCs w:val="24"/>
          <w:rtl/>
        </w:rPr>
      </w:pPr>
      <w:r w:rsidRPr="00C15932">
        <w:rPr>
          <w:rFonts w:ascii="David" w:eastAsia="Times New Roman" w:hAnsi="David" w:cs="David" w:hint="cs"/>
          <w:spacing w:val="10"/>
          <w:sz w:val="24"/>
          <w:szCs w:val="24"/>
          <w:rtl/>
        </w:rPr>
        <w:t>בכתב ערעור מפורט טענה המדינה את השגותיה על הכרעת הדין המזכ</w:t>
      </w:r>
      <w:r w:rsidR="003F56D5">
        <w:rPr>
          <w:rFonts w:ascii="David" w:eastAsia="Times New Roman" w:hAnsi="David" w:cs="David" w:hint="cs"/>
          <w:spacing w:val="10"/>
          <w:sz w:val="24"/>
          <w:szCs w:val="24"/>
          <w:rtl/>
        </w:rPr>
        <w:t>ה. בעודה חולקת עליה מכול וכול, בקרה אותה</w:t>
      </w:r>
      <w:r w:rsidRPr="00C15932">
        <w:rPr>
          <w:rFonts w:ascii="David" w:eastAsia="Times New Roman" w:hAnsi="David" w:cs="David" w:hint="cs"/>
          <w:spacing w:val="10"/>
          <w:sz w:val="24"/>
          <w:szCs w:val="24"/>
          <w:rtl/>
        </w:rPr>
        <w:t xml:space="preserve"> כ"</w:t>
      </w:r>
      <w:r w:rsidRPr="006D7022">
        <w:rPr>
          <w:rFonts w:ascii="David" w:eastAsia="Times New Roman" w:hAnsi="David" w:cs="David" w:hint="cs"/>
          <w:b/>
          <w:bCs/>
          <w:spacing w:val="10"/>
          <w:sz w:val="24"/>
          <w:szCs w:val="24"/>
          <w:rtl/>
        </w:rPr>
        <w:t xml:space="preserve">נעדרת כליל אמירה משפטית </w:t>
      </w:r>
      <w:r w:rsidRPr="006D7022">
        <w:rPr>
          <w:rFonts w:ascii="David" w:eastAsia="Times New Roman" w:hAnsi="David" w:cs="David"/>
          <w:b/>
          <w:bCs/>
          <w:spacing w:val="10"/>
          <w:sz w:val="24"/>
          <w:szCs w:val="24"/>
          <w:rtl/>
        </w:rPr>
        <w:t>–</w:t>
      </w:r>
      <w:r w:rsidRPr="006D7022">
        <w:rPr>
          <w:rFonts w:ascii="David" w:eastAsia="Times New Roman" w:hAnsi="David" w:cs="David" w:hint="cs"/>
          <w:b/>
          <w:bCs/>
          <w:spacing w:val="10"/>
          <w:sz w:val="24"/>
          <w:szCs w:val="24"/>
          <w:rtl/>
        </w:rPr>
        <w:t xml:space="preserve"> נורמטיבית</w:t>
      </w:r>
      <w:r w:rsidRPr="00C15932">
        <w:rPr>
          <w:rFonts w:ascii="David" w:eastAsia="Times New Roman" w:hAnsi="David" w:cs="David" w:hint="cs"/>
          <w:spacing w:val="10"/>
          <w:sz w:val="24"/>
          <w:szCs w:val="24"/>
          <w:rtl/>
        </w:rPr>
        <w:t>", אמירה המתבקשת, לדעתה, נוכח התמונה העובדתית הקשה שהוצגה בפני בית המשפט</w:t>
      </w:r>
      <w:r>
        <w:rPr>
          <w:rFonts w:ascii="David" w:eastAsia="Times New Roman" w:hAnsi="David" w:cs="David" w:hint="cs"/>
          <w:spacing w:val="10"/>
          <w:sz w:val="24"/>
          <w:szCs w:val="24"/>
          <w:rtl/>
        </w:rPr>
        <w:t>.</w:t>
      </w:r>
      <w:r w:rsidR="005B66F8">
        <w:rPr>
          <w:rFonts w:ascii="David" w:eastAsia="Times New Roman" w:hAnsi="David" w:cs="David" w:hint="cs"/>
          <w:spacing w:val="10"/>
          <w:sz w:val="24"/>
          <w:szCs w:val="24"/>
          <w:rtl/>
        </w:rPr>
        <w:t xml:space="preserve"> </w:t>
      </w:r>
      <w:r w:rsidR="003F56D5">
        <w:rPr>
          <w:rFonts w:ascii="David" w:eastAsia="Times New Roman" w:hAnsi="David" w:cs="David" w:hint="cs"/>
          <w:spacing w:val="10"/>
          <w:sz w:val="24"/>
          <w:szCs w:val="24"/>
          <w:rtl/>
        </w:rPr>
        <w:t>לטענת</w:t>
      </w:r>
      <w:r w:rsidRPr="00C15932">
        <w:rPr>
          <w:rFonts w:ascii="David" w:eastAsia="Times New Roman" w:hAnsi="David" w:cs="David" w:hint="cs"/>
          <w:spacing w:val="10"/>
          <w:sz w:val="24"/>
          <w:szCs w:val="24"/>
          <w:rtl/>
        </w:rPr>
        <w:t xml:space="preserve">ה, הטעויות המשפטיות של בית המשפט נוגעות בכול רמה ושזורות לאורך כול הכרעת הדין </w:t>
      </w:r>
      <w:r w:rsidRPr="00C15932">
        <w:rPr>
          <w:rFonts w:ascii="David" w:eastAsia="Times New Roman" w:hAnsi="David" w:cs="David"/>
          <w:spacing w:val="10"/>
          <w:sz w:val="24"/>
          <w:szCs w:val="24"/>
          <w:rtl/>
        </w:rPr>
        <w:t>–</w:t>
      </w:r>
      <w:r w:rsidRPr="00C15932">
        <w:rPr>
          <w:rFonts w:ascii="David" w:eastAsia="Times New Roman" w:hAnsi="David" w:cs="David" w:hint="cs"/>
          <w:spacing w:val="10"/>
          <w:sz w:val="24"/>
          <w:szCs w:val="24"/>
          <w:rtl/>
        </w:rPr>
        <w:t xml:space="preserve"> הן  ביחס לתמונה הראייתית הכוללת ופרטי הפרטים של התמונה, הן ביחס לפרשנות של עבירת המרמה והפרת האמונים עצמה, גדרה היקפה ומה שכלול בה, והן בשל התעלמותו מהמבחן העיקרי שבעבירה זו </w:t>
      </w:r>
      <w:r w:rsidRPr="00C15932">
        <w:rPr>
          <w:rFonts w:ascii="David" w:eastAsia="Times New Roman" w:hAnsi="David" w:cs="David"/>
          <w:spacing w:val="10"/>
          <w:sz w:val="24"/>
          <w:szCs w:val="24"/>
          <w:rtl/>
        </w:rPr>
        <w:t>–</w:t>
      </w:r>
      <w:r w:rsidRPr="00C15932">
        <w:rPr>
          <w:rFonts w:ascii="David" w:eastAsia="Times New Roman" w:hAnsi="David" w:cs="David" w:hint="cs"/>
          <w:spacing w:val="10"/>
          <w:sz w:val="24"/>
          <w:szCs w:val="24"/>
          <w:rtl/>
        </w:rPr>
        <w:t xml:space="preserve"> מבחן שעניינו פגיעה מהותית באחד משלושת הערכים עליהם אמונה עבירה זו. פגיעה זו ומידתה, לטעמה של המדינה, היא עניין נורמטיבי, ששומה היה על בית המשפט לענות בו ולהכריע בו. כמו כן, חלקה המדינה על ההחלטה לזכות את שחם מעבירה של הטרדה מינית שיוחסה לו בגין מעשיו בפרשה השביעית.</w:t>
      </w:r>
    </w:p>
    <w:p w:rsidR="00F40292" w:rsidRPr="00F40292" w:rsidRDefault="00F40292" w:rsidP="00F40292">
      <w:pPr>
        <w:overflowPunct w:val="0"/>
        <w:autoSpaceDE w:val="0"/>
        <w:autoSpaceDN w:val="0"/>
        <w:adjustRightInd w:val="0"/>
        <w:spacing w:after="0" w:line="360" w:lineRule="auto"/>
        <w:jc w:val="both"/>
        <w:textAlignment w:val="baseline"/>
        <w:rPr>
          <w:rFonts w:ascii="David" w:eastAsia="Times New Roman" w:hAnsi="David" w:cs="David"/>
          <w:spacing w:val="10"/>
          <w:sz w:val="24"/>
          <w:szCs w:val="24"/>
          <w:rtl/>
        </w:rPr>
      </w:pPr>
    </w:p>
    <w:p w:rsidR="00F40292" w:rsidRDefault="004E14DF" w:rsidP="00445E83">
      <w:pPr>
        <w:overflowPunct w:val="0"/>
        <w:autoSpaceDE w:val="0"/>
        <w:autoSpaceDN w:val="0"/>
        <w:adjustRightInd w:val="0"/>
        <w:spacing w:after="0" w:line="360" w:lineRule="auto"/>
        <w:jc w:val="both"/>
        <w:textAlignment w:val="baseline"/>
        <w:rPr>
          <w:rFonts w:ascii="David" w:eastAsia="Times New Roman" w:hAnsi="David" w:cs="David"/>
          <w:spacing w:val="10"/>
          <w:sz w:val="24"/>
          <w:szCs w:val="24"/>
          <w:rtl/>
        </w:rPr>
      </w:pPr>
      <w:r w:rsidRPr="00C15932">
        <w:rPr>
          <w:rFonts w:ascii="David" w:eastAsia="Times New Roman" w:hAnsi="David" w:cs="David" w:hint="cs"/>
          <w:spacing w:val="10"/>
          <w:sz w:val="24"/>
          <w:szCs w:val="24"/>
          <w:rtl/>
        </w:rPr>
        <w:t xml:space="preserve">טענה מרכזית של המדינה הייתה, כי בית המשפט כשל בהבנת הטענה שנטענה בפניו בכתב האישום </w:t>
      </w:r>
      <w:r w:rsidRPr="00C15932">
        <w:rPr>
          <w:rFonts w:ascii="David" w:eastAsia="Times New Roman" w:hAnsi="David" w:cs="David"/>
          <w:spacing w:val="10"/>
          <w:sz w:val="24"/>
          <w:szCs w:val="24"/>
          <w:rtl/>
        </w:rPr>
        <w:t>–</w:t>
      </w:r>
      <w:r w:rsidRPr="00C15932">
        <w:rPr>
          <w:rFonts w:ascii="David" w:eastAsia="Times New Roman" w:hAnsi="David" w:cs="David" w:hint="cs"/>
          <w:spacing w:val="10"/>
          <w:sz w:val="24"/>
          <w:szCs w:val="24"/>
          <w:rtl/>
        </w:rPr>
        <w:t xml:space="preserve"> כתב האישום מייחס לשחם עבירה של מרמה והפרת אמונים בשל מכלול התנהלותו בכל שמונת הפרשות גם יחד, והוא אינו מחולק לשתי חטיבות נפרדות </w:t>
      </w:r>
      <w:r w:rsidRPr="00C15932">
        <w:rPr>
          <w:rFonts w:ascii="David" w:eastAsia="Times New Roman" w:hAnsi="David" w:cs="David"/>
          <w:spacing w:val="10"/>
          <w:sz w:val="24"/>
          <w:szCs w:val="24"/>
          <w:rtl/>
        </w:rPr>
        <w:t>–</w:t>
      </w:r>
      <w:r w:rsidRPr="00C15932">
        <w:rPr>
          <w:rFonts w:ascii="David" w:eastAsia="Times New Roman" w:hAnsi="David" w:cs="David" w:hint="cs"/>
          <w:spacing w:val="10"/>
          <w:sz w:val="24"/>
          <w:szCs w:val="24"/>
          <w:rtl/>
        </w:rPr>
        <w:t xml:space="preserve"> "חטיבת ניגוד העניינים" ו- "חטיבת עבירות המין", כפי שסבר בית המשפט.</w:t>
      </w:r>
      <w:r w:rsidR="00445E83">
        <w:rPr>
          <w:rFonts w:ascii="David" w:eastAsia="Times New Roman" w:hAnsi="David" w:cs="David" w:hint="cs"/>
          <w:spacing w:val="10"/>
          <w:sz w:val="24"/>
          <w:szCs w:val="24"/>
          <w:rtl/>
        </w:rPr>
        <w:t xml:space="preserve"> </w:t>
      </w:r>
      <w:r w:rsidRPr="00C15932">
        <w:rPr>
          <w:rFonts w:ascii="David" w:eastAsia="Times New Roman" w:hAnsi="David" w:cs="David" w:hint="cs"/>
          <w:spacing w:val="10"/>
          <w:sz w:val="24"/>
          <w:szCs w:val="24"/>
          <w:rtl/>
        </w:rPr>
        <w:t xml:space="preserve">להשקפתה, קריאה מוטעית זו, הובילה את בית המשפט להתעלם מן העובדה שבבסיס ההתנהלות של שחם קיימות </w:t>
      </w:r>
      <w:proofErr w:type="spellStart"/>
      <w:r w:rsidRPr="00C15932">
        <w:rPr>
          <w:rFonts w:ascii="David" w:eastAsia="Times New Roman" w:hAnsi="David" w:cs="David" w:hint="cs"/>
          <w:spacing w:val="10"/>
          <w:sz w:val="24"/>
          <w:szCs w:val="24"/>
          <w:rtl/>
        </w:rPr>
        <w:t>התנהלויות</w:t>
      </w:r>
      <w:proofErr w:type="spellEnd"/>
      <w:r w:rsidRPr="00C15932">
        <w:rPr>
          <w:rFonts w:ascii="David" w:eastAsia="Times New Roman" w:hAnsi="David" w:cs="David" w:hint="cs"/>
          <w:spacing w:val="10"/>
          <w:sz w:val="24"/>
          <w:szCs w:val="24"/>
          <w:rtl/>
        </w:rPr>
        <w:t xml:space="preserve"> פסולות חוזרות ונשנות מאותו סוג, שבהצטברותן הופכות את מכלול התנהגותו לעבירה פלילית. קריאה מוטעית זו אף הובילה את בית המשפט להימנע מהכרעה בטיב היחסים שניהל שחם עם השוטרות בתקופת ההתיישנות, באופן המעוות את טיבם של היחסים במהלך תקופות האישום שלא התיישנו. למעשה, כך טוענת המדינה, "פירק" בית המשפט את התמונה הכוללת שהוצגה בפניו </w:t>
      </w:r>
      <w:r w:rsidRPr="00C15932">
        <w:rPr>
          <w:rFonts w:ascii="David" w:eastAsia="Times New Roman" w:hAnsi="David" w:cs="David"/>
          <w:spacing w:val="10"/>
          <w:sz w:val="24"/>
          <w:szCs w:val="24"/>
          <w:rtl/>
        </w:rPr>
        <w:t>–</w:t>
      </w:r>
      <w:r w:rsidRPr="00C15932">
        <w:rPr>
          <w:rFonts w:ascii="David" w:eastAsia="Times New Roman" w:hAnsi="David" w:cs="David" w:hint="cs"/>
          <w:spacing w:val="10"/>
          <w:sz w:val="24"/>
          <w:szCs w:val="24"/>
          <w:rtl/>
        </w:rPr>
        <w:t xml:space="preserve"> תמונה של קצין משטרה בכיר, שבמהלך שנים ארוכות עירב באופן חוזר ונשנה בין מאווייו המיניים לבין עבודתו המקצועית </w:t>
      </w:r>
      <w:r w:rsidRPr="00C15932">
        <w:rPr>
          <w:rFonts w:ascii="David" w:eastAsia="Times New Roman" w:hAnsi="David" w:cs="David"/>
          <w:spacing w:val="10"/>
          <w:sz w:val="24"/>
          <w:szCs w:val="24"/>
          <w:rtl/>
        </w:rPr>
        <w:t>–</w:t>
      </w:r>
      <w:r w:rsidRPr="00C15932">
        <w:rPr>
          <w:rFonts w:ascii="David" w:eastAsia="Times New Roman" w:hAnsi="David" w:cs="David" w:hint="cs"/>
          <w:spacing w:val="10"/>
          <w:sz w:val="24"/>
          <w:szCs w:val="24"/>
          <w:rtl/>
        </w:rPr>
        <w:t xml:space="preserve"> והכריע בכל פרשה כשלעצמה, במנותק ממכלול ההתנהלות.</w:t>
      </w:r>
    </w:p>
    <w:p w:rsidR="00EE429C" w:rsidRDefault="004E14DF" w:rsidP="009A5F29">
      <w:pPr>
        <w:overflowPunct w:val="0"/>
        <w:autoSpaceDE w:val="0"/>
        <w:autoSpaceDN w:val="0"/>
        <w:adjustRightInd w:val="0"/>
        <w:spacing w:after="0" w:line="360" w:lineRule="auto"/>
        <w:jc w:val="both"/>
        <w:textAlignment w:val="baseline"/>
        <w:rPr>
          <w:rFonts w:ascii="David" w:eastAsia="Times New Roman" w:hAnsi="David" w:cs="David"/>
          <w:spacing w:val="10"/>
          <w:sz w:val="24"/>
          <w:szCs w:val="24"/>
          <w:rtl/>
        </w:rPr>
      </w:pPr>
      <w:r w:rsidRPr="00C15932">
        <w:rPr>
          <w:rFonts w:ascii="David" w:eastAsia="Times New Roman" w:hAnsi="David" w:cs="David" w:hint="cs"/>
          <w:spacing w:val="10"/>
          <w:sz w:val="24"/>
          <w:szCs w:val="24"/>
          <w:rtl/>
        </w:rPr>
        <w:t>לא זו אף זו, המדינה טוענת כי בית המשפט הוסיף וטעה גם בהכרעתו ביחס לכל חלק מן החלקים שפירק מתוך התמונה הכוללת, בעת שקבע כי פעולותיו של שחם היו בעוצמה חלשה של ניגוד עניינים.</w:t>
      </w:r>
    </w:p>
    <w:p w:rsidR="00F33041" w:rsidRPr="00C15932" w:rsidRDefault="004E14DF" w:rsidP="00F33041">
      <w:pPr>
        <w:overflowPunct w:val="0"/>
        <w:autoSpaceDE w:val="0"/>
        <w:autoSpaceDN w:val="0"/>
        <w:adjustRightInd w:val="0"/>
        <w:spacing w:after="0" w:line="360" w:lineRule="auto"/>
        <w:jc w:val="both"/>
        <w:textAlignment w:val="baseline"/>
        <w:rPr>
          <w:rFonts w:ascii="David" w:eastAsia="Times New Roman" w:hAnsi="David" w:cs="David"/>
          <w:spacing w:val="10"/>
          <w:sz w:val="24"/>
          <w:szCs w:val="24"/>
          <w:rtl/>
        </w:rPr>
      </w:pPr>
      <w:r w:rsidRPr="00C15932">
        <w:rPr>
          <w:rFonts w:ascii="David" w:eastAsia="Times New Roman" w:hAnsi="David" w:cs="David" w:hint="cs"/>
          <w:spacing w:val="10"/>
          <w:sz w:val="24"/>
          <w:szCs w:val="24"/>
          <w:rtl/>
        </w:rPr>
        <w:t xml:space="preserve">נוסף לכך, טוענת המדינה, כי טעה בית המשפט בכך שצמצם את העבירה של מרמה והפרת אמונים כאשר פירש אותה כחלה על התנהלות אחת בלבד </w:t>
      </w:r>
      <w:r w:rsidRPr="00C15932">
        <w:rPr>
          <w:rFonts w:ascii="David" w:eastAsia="Times New Roman" w:hAnsi="David" w:cs="David"/>
          <w:spacing w:val="10"/>
          <w:sz w:val="24"/>
          <w:szCs w:val="24"/>
          <w:rtl/>
        </w:rPr>
        <w:t>–</w:t>
      </w:r>
      <w:r w:rsidRPr="00C15932">
        <w:rPr>
          <w:rFonts w:ascii="David" w:eastAsia="Times New Roman" w:hAnsi="David" w:cs="David" w:hint="cs"/>
          <w:spacing w:val="10"/>
          <w:sz w:val="24"/>
          <w:szCs w:val="24"/>
          <w:rtl/>
        </w:rPr>
        <w:t xml:space="preserve"> פעולה במצב של ניגוד עניינים - הא ותו לא.</w:t>
      </w:r>
      <w:r>
        <w:rPr>
          <w:rFonts w:ascii="David" w:eastAsia="Times New Roman" w:hAnsi="David" w:cs="David" w:hint="cs"/>
          <w:spacing w:val="10"/>
          <w:sz w:val="24"/>
          <w:szCs w:val="24"/>
          <w:rtl/>
        </w:rPr>
        <w:t xml:space="preserve"> </w:t>
      </w:r>
      <w:r w:rsidRPr="00C15932">
        <w:rPr>
          <w:rFonts w:ascii="David" w:eastAsia="Times New Roman" w:hAnsi="David" w:cs="David" w:hint="cs"/>
          <w:spacing w:val="10"/>
          <w:sz w:val="24"/>
          <w:szCs w:val="24"/>
          <w:rtl/>
        </w:rPr>
        <w:t xml:space="preserve">התנהלות חוזרת ונשנית זו של קיום יחסים אינטימיים עם כפיפות, עשויה כשלעצמה, להשקפת המדינה, לעלות כדי פגיעה חמורה בכל שלושת הערכים המוגנים על </w:t>
      </w:r>
      <w:r w:rsidRPr="00C15932">
        <w:rPr>
          <w:rFonts w:ascii="David" w:eastAsia="Times New Roman" w:hAnsi="David" w:cs="David" w:hint="cs"/>
          <w:spacing w:val="10"/>
          <w:sz w:val="24"/>
          <w:szCs w:val="24"/>
          <w:rtl/>
        </w:rPr>
        <w:lastRenderedPageBreak/>
        <w:t xml:space="preserve">ידי העבירה של מרמה והפרת אמונים </w:t>
      </w:r>
      <w:r w:rsidRPr="00C15932">
        <w:rPr>
          <w:rFonts w:ascii="David" w:eastAsia="Times New Roman" w:hAnsi="David" w:cs="David"/>
          <w:spacing w:val="10"/>
          <w:sz w:val="24"/>
          <w:szCs w:val="24"/>
          <w:rtl/>
        </w:rPr>
        <w:t>–</w:t>
      </w:r>
      <w:r w:rsidRPr="00C15932">
        <w:rPr>
          <w:rFonts w:ascii="David" w:eastAsia="Times New Roman" w:hAnsi="David" w:cs="David" w:hint="cs"/>
          <w:spacing w:val="10"/>
          <w:sz w:val="24"/>
          <w:szCs w:val="24"/>
          <w:rtl/>
        </w:rPr>
        <w:t xml:space="preserve"> לא כל שכן, כאשר מדובר בקצין בכיר בארגון היררכי, במעמד רם, שטיב היחסים וייחודם מכתיב שמירה בסוד אודות קיומם, על אחת כמה וכמה, כשהוא מטפל בבקשותיהן ומקבל החלטות בעניינן, "ובעשותו כן עשה זאת תוך ניגוד עניינים חריף ועמוק".</w:t>
      </w:r>
    </w:p>
    <w:p w:rsidR="00023D78" w:rsidRDefault="004E14DF" w:rsidP="009A5F29">
      <w:pPr>
        <w:overflowPunct w:val="0"/>
        <w:autoSpaceDE w:val="0"/>
        <w:autoSpaceDN w:val="0"/>
        <w:adjustRightInd w:val="0"/>
        <w:spacing w:after="0" w:line="360" w:lineRule="auto"/>
        <w:jc w:val="both"/>
        <w:textAlignment w:val="baseline"/>
        <w:rPr>
          <w:rFonts w:ascii="David" w:eastAsia="Times New Roman" w:hAnsi="David" w:cs="David"/>
          <w:spacing w:val="10"/>
          <w:sz w:val="24"/>
          <w:szCs w:val="24"/>
          <w:rtl/>
        </w:rPr>
      </w:pPr>
      <w:r w:rsidRPr="00C15932">
        <w:rPr>
          <w:rFonts w:ascii="David" w:eastAsia="Times New Roman" w:hAnsi="David" w:cs="David" w:hint="cs"/>
          <w:spacing w:val="10"/>
          <w:sz w:val="24"/>
          <w:szCs w:val="24"/>
          <w:rtl/>
        </w:rPr>
        <w:t>מעבר לכך, המדינה סבורה, שבית המשפט שגה גם ברמה המשפטית, בקביעתו כי בהיעדר הוראת חוק ייחודית לעניין מפקד במשטרה לא ניתן להעמיד לדין על עבירת מרמה והפרת אמונים. לעמדתה, עבירה זו היא עבירה עצמאית שאינה מותנית בקיומה או בהיעדרה של עבירה או הוראת חוק נוספת. לשם גיבושה, די בכך ש"עובד ציבור" עושה מעשה הפוגע פגיעה מהותית באחד משלושת הערכים המוגנים על ידה, כפי שנקבע במפורש בפסיקה</w:t>
      </w:r>
      <w:r>
        <w:rPr>
          <w:rFonts w:ascii="David" w:eastAsia="Times New Roman" w:hAnsi="David" w:cs="David" w:hint="cs"/>
          <w:spacing w:val="10"/>
          <w:sz w:val="24"/>
          <w:szCs w:val="24"/>
          <w:rtl/>
        </w:rPr>
        <w:t>.</w:t>
      </w:r>
    </w:p>
    <w:p w:rsidR="00023D78" w:rsidRDefault="00023D78" w:rsidP="009A5F29">
      <w:pPr>
        <w:overflowPunct w:val="0"/>
        <w:autoSpaceDE w:val="0"/>
        <w:autoSpaceDN w:val="0"/>
        <w:adjustRightInd w:val="0"/>
        <w:spacing w:after="0" w:line="360" w:lineRule="auto"/>
        <w:jc w:val="both"/>
        <w:textAlignment w:val="baseline"/>
        <w:rPr>
          <w:rFonts w:ascii="David" w:eastAsia="Times New Roman" w:hAnsi="David" w:cs="David"/>
          <w:spacing w:val="10"/>
          <w:sz w:val="24"/>
          <w:szCs w:val="24"/>
          <w:rtl/>
        </w:rPr>
      </w:pPr>
    </w:p>
    <w:p w:rsidR="00023D78" w:rsidRPr="00C15932" w:rsidRDefault="004E14DF" w:rsidP="00023D78">
      <w:pPr>
        <w:overflowPunct w:val="0"/>
        <w:autoSpaceDE w:val="0"/>
        <w:autoSpaceDN w:val="0"/>
        <w:adjustRightInd w:val="0"/>
        <w:spacing w:after="0" w:line="360" w:lineRule="auto"/>
        <w:jc w:val="both"/>
        <w:textAlignment w:val="baseline"/>
        <w:rPr>
          <w:rFonts w:ascii="David" w:eastAsia="Times New Roman" w:hAnsi="David" w:cs="David"/>
          <w:spacing w:val="10"/>
          <w:sz w:val="24"/>
          <w:szCs w:val="24"/>
          <w:rtl/>
        </w:rPr>
      </w:pPr>
      <w:r w:rsidRPr="00C15932">
        <w:rPr>
          <w:rFonts w:ascii="David" w:eastAsia="Times New Roman" w:hAnsi="David" w:cs="David" w:hint="cs"/>
          <w:spacing w:val="10"/>
          <w:sz w:val="24"/>
          <w:szCs w:val="24"/>
          <w:rtl/>
        </w:rPr>
        <w:t xml:space="preserve">באשר לזיכויו של שחם מן העבירה של הטרדה מינית בפרשה השביעית, טוענת המדינה, כי שגה בית המשפט בהחלטתו זו טעות משפטית, הנוגעת לאופן יישום דרישות החוק למניעת הטרדה מינית. לעמדתה, די במסרון הראשון </w:t>
      </w:r>
      <w:r w:rsidRPr="00C15932">
        <w:rPr>
          <w:rFonts w:ascii="David" w:eastAsia="Times New Roman" w:hAnsi="David" w:cs="David"/>
          <w:spacing w:val="10"/>
          <w:sz w:val="24"/>
          <w:szCs w:val="24"/>
          <w:rtl/>
        </w:rPr>
        <w:t>–</w:t>
      </w:r>
      <w:r w:rsidRPr="00C15932">
        <w:rPr>
          <w:rFonts w:ascii="David" w:eastAsia="Times New Roman" w:hAnsi="David" w:cs="David" w:hint="cs"/>
          <w:spacing w:val="10"/>
          <w:sz w:val="24"/>
          <w:szCs w:val="24"/>
          <w:rtl/>
        </w:rPr>
        <w:t xml:space="preserve"> "מסרון ההלבשה התחתונה", המורכב מארבעה רכיבים: פנייה של שחם, שתיקה של השוטרת, פנייה חוזרת של שחם ותשובה של השוטרת </w:t>
      </w:r>
      <w:r w:rsidRPr="00C15932">
        <w:rPr>
          <w:rFonts w:ascii="David" w:eastAsia="Times New Roman" w:hAnsi="David" w:cs="David"/>
          <w:spacing w:val="10"/>
          <w:sz w:val="24"/>
          <w:szCs w:val="24"/>
          <w:rtl/>
        </w:rPr>
        <w:t>–</w:t>
      </w:r>
      <w:r w:rsidRPr="00C15932">
        <w:rPr>
          <w:rFonts w:ascii="David" w:eastAsia="Times New Roman" w:hAnsi="David" w:cs="David" w:hint="cs"/>
          <w:spacing w:val="10"/>
          <w:sz w:val="24"/>
          <w:szCs w:val="24"/>
          <w:rtl/>
        </w:rPr>
        <w:t xml:space="preserve"> כדי לקיים את דרישת החוק "להצעות חוזרות בעלות אופי מיני". עוד טעה בית המשפט בכך, שנמנע מצירוף שלושת המסרונים שנבחנו על ידו לשם בחינת השאלה, האם יש בצירוף זה כדי לענות על התנאי האמור.</w:t>
      </w:r>
    </w:p>
    <w:p w:rsidR="00F40292" w:rsidRPr="00373B46" w:rsidRDefault="00F40292" w:rsidP="009A5F29">
      <w:pPr>
        <w:overflowPunct w:val="0"/>
        <w:autoSpaceDE w:val="0"/>
        <w:autoSpaceDN w:val="0"/>
        <w:adjustRightInd w:val="0"/>
        <w:spacing w:after="0" w:line="360" w:lineRule="auto"/>
        <w:jc w:val="both"/>
        <w:textAlignment w:val="baseline"/>
        <w:rPr>
          <w:rFonts w:ascii="David" w:eastAsia="Times New Roman" w:hAnsi="David" w:cs="David"/>
          <w:b/>
          <w:bCs/>
          <w:spacing w:val="10"/>
          <w:sz w:val="24"/>
          <w:szCs w:val="24"/>
          <w:u w:val="single"/>
          <w:rtl/>
        </w:rPr>
      </w:pPr>
    </w:p>
    <w:p w:rsidR="00613546" w:rsidRPr="006D7022" w:rsidRDefault="004E14DF" w:rsidP="009A5F29">
      <w:pPr>
        <w:overflowPunct w:val="0"/>
        <w:autoSpaceDE w:val="0"/>
        <w:autoSpaceDN w:val="0"/>
        <w:adjustRightInd w:val="0"/>
        <w:spacing w:after="0" w:line="360" w:lineRule="auto"/>
        <w:jc w:val="both"/>
        <w:textAlignment w:val="baseline"/>
        <w:rPr>
          <w:rFonts w:ascii="David" w:eastAsia="Times New Roman" w:hAnsi="David" w:cs="David"/>
          <w:spacing w:val="10"/>
          <w:sz w:val="24"/>
          <w:szCs w:val="24"/>
          <w:u w:val="single"/>
          <w:rtl/>
        </w:rPr>
      </w:pPr>
      <w:r w:rsidRPr="006D7022">
        <w:rPr>
          <w:rFonts w:ascii="David" w:eastAsia="Times New Roman" w:hAnsi="David" w:cs="David" w:hint="cs"/>
          <w:spacing w:val="10"/>
          <w:sz w:val="24"/>
          <w:szCs w:val="24"/>
          <w:u w:val="single"/>
          <w:rtl/>
        </w:rPr>
        <w:t>תמצית עיקרי הטיעון של ההגנה ותגובת המדינה</w:t>
      </w:r>
    </w:p>
    <w:p w:rsidR="000078A1" w:rsidRPr="00194C57" w:rsidRDefault="004E14DF" w:rsidP="006D7022">
      <w:pPr>
        <w:overflowPunct w:val="0"/>
        <w:autoSpaceDE w:val="0"/>
        <w:autoSpaceDN w:val="0"/>
        <w:adjustRightInd w:val="0"/>
        <w:spacing w:after="100" w:afterAutospacing="1" w:line="360" w:lineRule="auto"/>
        <w:jc w:val="both"/>
        <w:textAlignment w:val="baseline"/>
        <w:rPr>
          <w:rFonts w:ascii="David" w:eastAsia="Times New Roman" w:hAnsi="David" w:cs="David"/>
          <w:spacing w:val="10"/>
          <w:sz w:val="24"/>
          <w:szCs w:val="24"/>
          <w:rtl/>
        </w:rPr>
      </w:pPr>
      <w:r w:rsidRPr="00C15932">
        <w:rPr>
          <w:rFonts w:ascii="David" w:eastAsia="Times New Roman" w:hAnsi="David" w:cs="David" w:hint="cs"/>
          <w:spacing w:val="10"/>
          <w:sz w:val="24"/>
          <w:szCs w:val="24"/>
          <w:rtl/>
        </w:rPr>
        <w:t>ב"כ של שחם סומך ידו על הכרעת דינו של בית המשפט, למעט ההרשעה בפרשה השביעית, וסבור כי לא יצאה מלפניו כול שגגה בזיכויו של שחם. להשקפתו, בית המשפט ניתח כדבעי את העובדות והסיק את המסקנות המשפטיות המתבקשות מהראיות שהוצגו בפניו.</w:t>
      </w:r>
    </w:p>
    <w:p w:rsidR="004E14DF" w:rsidRDefault="004E14DF" w:rsidP="004E14DF">
      <w:pPr>
        <w:overflowPunct w:val="0"/>
        <w:autoSpaceDE w:val="0"/>
        <w:autoSpaceDN w:val="0"/>
        <w:adjustRightInd w:val="0"/>
        <w:spacing w:after="0" w:line="360" w:lineRule="auto"/>
        <w:jc w:val="both"/>
        <w:textAlignment w:val="baseline"/>
        <w:rPr>
          <w:rFonts w:ascii="David" w:eastAsia="Times New Roman" w:hAnsi="David" w:cs="David"/>
          <w:spacing w:val="10"/>
          <w:sz w:val="24"/>
          <w:szCs w:val="24"/>
          <w:rtl/>
        </w:rPr>
      </w:pPr>
      <w:r w:rsidRPr="00C15932">
        <w:rPr>
          <w:rFonts w:ascii="David" w:eastAsia="Times New Roman" w:hAnsi="David" w:cs="David" w:hint="cs"/>
          <w:spacing w:val="10"/>
          <w:sz w:val="24"/>
          <w:szCs w:val="24"/>
          <w:rtl/>
        </w:rPr>
        <w:t>במענה לערעור המדינה, טוען שחם מספר טענות כדלקמן</w:t>
      </w:r>
      <w:r w:rsidRPr="00194C57">
        <w:rPr>
          <w:rFonts w:ascii="David" w:eastAsia="Times New Roman" w:hAnsi="David" w:cs="David" w:hint="cs"/>
          <w:spacing w:val="10"/>
          <w:sz w:val="24"/>
          <w:szCs w:val="24"/>
          <w:rtl/>
        </w:rPr>
        <w:t>.</w:t>
      </w:r>
    </w:p>
    <w:p w:rsidR="000078A1" w:rsidRDefault="004E14DF" w:rsidP="004E14DF">
      <w:pPr>
        <w:overflowPunct w:val="0"/>
        <w:autoSpaceDE w:val="0"/>
        <w:autoSpaceDN w:val="0"/>
        <w:adjustRightInd w:val="0"/>
        <w:spacing w:after="0" w:line="360" w:lineRule="auto"/>
        <w:jc w:val="both"/>
        <w:textAlignment w:val="baseline"/>
        <w:rPr>
          <w:rFonts w:ascii="David" w:eastAsia="Times New Roman" w:hAnsi="David" w:cs="David"/>
          <w:spacing w:val="10"/>
          <w:sz w:val="24"/>
          <w:szCs w:val="24"/>
          <w:rtl/>
        </w:rPr>
      </w:pPr>
      <w:r w:rsidRPr="00C15932">
        <w:rPr>
          <w:rFonts w:ascii="David" w:eastAsia="Times New Roman" w:hAnsi="David" w:cs="David" w:hint="cs"/>
          <w:spacing w:val="10"/>
          <w:sz w:val="24"/>
          <w:szCs w:val="24"/>
          <w:u w:val="single"/>
          <w:rtl/>
        </w:rPr>
        <w:t>ראשית</w:t>
      </w:r>
      <w:r w:rsidRPr="00C15932">
        <w:rPr>
          <w:rFonts w:ascii="David" w:eastAsia="Times New Roman" w:hAnsi="David" w:cs="David" w:hint="cs"/>
          <w:spacing w:val="10"/>
          <w:sz w:val="24"/>
          <w:szCs w:val="24"/>
          <w:rtl/>
        </w:rPr>
        <w:t>, ערעור המדינה על זיכויו, שהוגש לאחר הליך משפטי ארוך ויסודי שנמשך למעלה מ-5 שנים, עומד בניגוד לזכותו לקיום הליך הוגן בעניינו וזכותו הבסיסית שלא להיות חשוף לדיון כפול בפלילים בשל אותה אשמה.</w:t>
      </w:r>
      <w:r w:rsidR="00CD2F57">
        <w:rPr>
          <w:rFonts w:ascii="David" w:eastAsia="Times New Roman" w:hAnsi="David" w:cs="David" w:hint="cs"/>
          <w:spacing w:val="10"/>
          <w:sz w:val="24"/>
          <w:szCs w:val="24"/>
          <w:rtl/>
        </w:rPr>
        <w:t xml:space="preserve"> </w:t>
      </w:r>
      <w:r w:rsidR="00CD2F57" w:rsidRPr="00C15932">
        <w:rPr>
          <w:rFonts w:ascii="David" w:eastAsia="Times New Roman" w:hAnsi="David" w:cs="David" w:hint="cs"/>
          <w:spacing w:val="10"/>
          <w:sz w:val="24"/>
          <w:szCs w:val="24"/>
          <w:rtl/>
        </w:rPr>
        <w:t xml:space="preserve">לעניין ערעור המדינה על זיכויו בפרשה השביעית, טוען שחם, שלא עלה בידיה להוכיח מעבר לספק סביר, כנדרש, כי הציע לשוטרת ז.ז "הצעות חוזרות בעלות אופי מיני" או התייחס "התייחסויות חוזרות" שהופנו למיניותה </w:t>
      </w:r>
      <w:r w:rsidR="00CD2F57" w:rsidRPr="00C15932">
        <w:rPr>
          <w:rFonts w:ascii="David" w:eastAsia="Times New Roman" w:hAnsi="David" w:cs="David"/>
          <w:spacing w:val="10"/>
          <w:sz w:val="24"/>
          <w:szCs w:val="24"/>
          <w:rtl/>
        </w:rPr>
        <w:t>–</w:t>
      </w:r>
      <w:r w:rsidR="00CD2F57" w:rsidRPr="00C15932">
        <w:rPr>
          <w:rFonts w:ascii="David" w:eastAsia="Times New Roman" w:hAnsi="David" w:cs="David" w:hint="cs"/>
          <w:spacing w:val="10"/>
          <w:sz w:val="24"/>
          <w:szCs w:val="24"/>
          <w:rtl/>
        </w:rPr>
        <w:t xml:space="preserve"> והכל תוך ניצול יחסי מרות. עוד טוען שחם, כי טענת המדינה בדבר ההימנעות של בית המשפט מצירוף המסרונים כדי לבחון האם עונים יחדיו על התנאי של "הצעות חוזרות ונשנות" </w:t>
      </w:r>
      <w:r w:rsidR="00CD2F57" w:rsidRPr="00C15932">
        <w:rPr>
          <w:rFonts w:ascii="David" w:eastAsia="Times New Roman" w:hAnsi="David" w:cs="David"/>
          <w:spacing w:val="10"/>
          <w:sz w:val="24"/>
          <w:szCs w:val="24"/>
          <w:rtl/>
        </w:rPr>
        <w:t>–</w:t>
      </w:r>
      <w:r w:rsidR="00CD2F57" w:rsidRPr="00C15932">
        <w:rPr>
          <w:rFonts w:ascii="David" w:eastAsia="Times New Roman" w:hAnsi="David" w:cs="David" w:hint="cs"/>
          <w:spacing w:val="10"/>
          <w:sz w:val="24"/>
          <w:szCs w:val="24"/>
          <w:rtl/>
        </w:rPr>
        <w:t xml:space="preserve"> אינה יכולה לעמוד, שכן אין שום סיבה לצרף המסרונים שעה שנקבע כי רק אחד מהם היה בעל גוון מיני.</w:t>
      </w:r>
    </w:p>
    <w:p w:rsidR="00CD2F57" w:rsidRDefault="004E14DF" w:rsidP="004E14DF">
      <w:pPr>
        <w:overflowPunct w:val="0"/>
        <w:autoSpaceDE w:val="0"/>
        <w:autoSpaceDN w:val="0"/>
        <w:adjustRightInd w:val="0"/>
        <w:spacing w:after="100" w:afterAutospacing="1" w:line="360" w:lineRule="auto"/>
        <w:jc w:val="both"/>
        <w:textAlignment w:val="baseline"/>
        <w:rPr>
          <w:rFonts w:ascii="David" w:eastAsia="Times New Roman" w:hAnsi="David" w:cs="David"/>
          <w:spacing w:val="10"/>
          <w:sz w:val="24"/>
          <w:szCs w:val="24"/>
          <w:rtl/>
        </w:rPr>
      </w:pPr>
      <w:r w:rsidRPr="00C15932">
        <w:rPr>
          <w:rFonts w:ascii="David" w:eastAsia="Times New Roman" w:hAnsi="David" w:cs="David" w:hint="cs"/>
          <w:spacing w:val="10"/>
          <w:sz w:val="24"/>
          <w:szCs w:val="24"/>
          <w:rtl/>
        </w:rPr>
        <w:lastRenderedPageBreak/>
        <w:t>בתשובה לכך, טוענת המדינה שערעורה הוא ערעור משפטי-נורמטיבי, אשר מקובל אפילו במדינות שאינן מאפשרות ערעור מצד המדינה על קביעות עובדתיות של הערכאה הדיונית. המדינה אינה מערערת על קביעותיו העובדתיות של בית המשפט, אלא לכל היותר ומעבר לנדרש טוענת לחסר בהן. לפיכך, ניתן לקבל את ערעורה גם בלי השלמה זו.</w:t>
      </w:r>
    </w:p>
    <w:p w:rsidR="004E14DF" w:rsidRDefault="004E14DF" w:rsidP="004E14DF">
      <w:pPr>
        <w:overflowPunct w:val="0"/>
        <w:autoSpaceDE w:val="0"/>
        <w:autoSpaceDN w:val="0"/>
        <w:adjustRightInd w:val="0"/>
        <w:spacing w:after="0" w:line="360" w:lineRule="auto"/>
        <w:jc w:val="both"/>
        <w:textAlignment w:val="baseline"/>
        <w:rPr>
          <w:rFonts w:ascii="David" w:eastAsia="Times New Roman" w:hAnsi="David" w:cs="David"/>
          <w:spacing w:val="10"/>
          <w:sz w:val="24"/>
          <w:szCs w:val="24"/>
          <w:rtl/>
        </w:rPr>
      </w:pPr>
      <w:r w:rsidRPr="00C15932">
        <w:rPr>
          <w:rFonts w:ascii="David" w:eastAsia="Times New Roman" w:hAnsi="David" w:cs="David" w:hint="cs"/>
          <w:spacing w:val="10"/>
          <w:sz w:val="24"/>
          <w:szCs w:val="24"/>
          <w:u w:val="single"/>
          <w:rtl/>
        </w:rPr>
        <w:t>שנית</w:t>
      </w:r>
      <w:r w:rsidRPr="00C15932">
        <w:rPr>
          <w:rFonts w:ascii="David" w:eastAsia="Times New Roman" w:hAnsi="David" w:cs="David" w:hint="cs"/>
          <w:spacing w:val="10"/>
          <w:sz w:val="24"/>
          <w:szCs w:val="24"/>
          <w:rtl/>
        </w:rPr>
        <w:t xml:space="preserve">, טוען שחם, המדינה מבקשת ליצור קו טיעון חדש בבחינת שינוי חזית עובדתית ומשפטית </w:t>
      </w:r>
      <w:r w:rsidRPr="00C15932">
        <w:rPr>
          <w:rFonts w:ascii="David" w:eastAsia="Times New Roman" w:hAnsi="David" w:cs="David"/>
          <w:spacing w:val="10"/>
          <w:sz w:val="24"/>
          <w:szCs w:val="24"/>
          <w:rtl/>
        </w:rPr>
        <w:t>–</w:t>
      </w:r>
      <w:r w:rsidRPr="00C15932">
        <w:rPr>
          <w:rFonts w:ascii="David" w:eastAsia="Times New Roman" w:hAnsi="David" w:cs="David" w:hint="cs"/>
          <w:spacing w:val="10"/>
          <w:sz w:val="24"/>
          <w:szCs w:val="24"/>
          <w:rtl/>
        </w:rPr>
        <w:t xml:space="preserve"> זו למעשה מבקשת לנהל את התיק המחדש ולהעמיד תשתית חדשה שלא נטענה בפני בית המשפט. לטענתו, בחינת כתב האישום מעלה, שהמדינה שרטטה את גבולות האישום ותחמה אותו לביצוע פעולות על-ידיו בעניינן של השוטרות, על אף שהיה בקשר אינטימי עמן, ואילו במסגרת הערעור, חרגה מעבר לגבולותיו והעלתה לראשונה את הטיעון, שהפך לטיעונה המרכזי, לפיו, הבסיס לעבירת הפרת האמונים הוא עצם יצירת וקיום הקשרים עם אותן שוטרות "והתנהלותו הכוללת" בעניין </w:t>
      </w:r>
      <w:r w:rsidRPr="00C15932">
        <w:rPr>
          <w:rFonts w:ascii="David" w:eastAsia="Times New Roman" w:hAnsi="David" w:cs="David"/>
          <w:spacing w:val="10"/>
          <w:sz w:val="24"/>
          <w:szCs w:val="24"/>
          <w:rtl/>
        </w:rPr>
        <w:t>–</w:t>
      </w:r>
      <w:r w:rsidRPr="00C15932">
        <w:rPr>
          <w:rFonts w:ascii="David" w:eastAsia="Times New Roman" w:hAnsi="David" w:cs="David" w:hint="cs"/>
          <w:spacing w:val="10"/>
          <w:sz w:val="24"/>
          <w:szCs w:val="24"/>
          <w:rtl/>
        </w:rPr>
        <w:t xml:space="preserve"> טיעון אותו אף הציבה בקדמת הבמה. </w:t>
      </w:r>
    </w:p>
    <w:p w:rsidR="00CD2F57" w:rsidRPr="00C15932" w:rsidRDefault="004E14DF" w:rsidP="004E14DF">
      <w:pPr>
        <w:overflowPunct w:val="0"/>
        <w:autoSpaceDE w:val="0"/>
        <w:autoSpaceDN w:val="0"/>
        <w:adjustRightInd w:val="0"/>
        <w:spacing w:after="0" w:line="360" w:lineRule="auto"/>
        <w:jc w:val="both"/>
        <w:textAlignment w:val="baseline"/>
        <w:rPr>
          <w:rFonts w:ascii="David" w:eastAsia="Times New Roman" w:hAnsi="David" w:cs="David"/>
          <w:spacing w:val="10"/>
          <w:sz w:val="24"/>
          <w:szCs w:val="24"/>
          <w:rtl/>
        </w:rPr>
      </w:pPr>
      <w:r w:rsidRPr="00C15932">
        <w:rPr>
          <w:rFonts w:ascii="David" w:eastAsia="Times New Roman" w:hAnsi="David" w:cs="David" w:hint="cs"/>
          <w:spacing w:val="10"/>
          <w:sz w:val="24"/>
          <w:szCs w:val="24"/>
          <w:rtl/>
        </w:rPr>
        <w:t>מעבר לכך, שחם תוקף את הטיעון, לפיו קיום יחסי מין בין בכיר לכפיפה נגועים בפליליות, גם לגופו של עניין, בנימוק של פגיעה בחופש המיני ובהטחת ביקורת עקיפה על הגישה הפטרונית של התביעה והתערבותה בחייו האישיים של הפרט.</w:t>
      </w:r>
    </w:p>
    <w:p w:rsidR="00CD2F57" w:rsidRDefault="004E14DF" w:rsidP="00CD2F57">
      <w:pPr>
        <w:overflowPunct w:val="0"/>
        <w:autoSpaceDE w:val="0"/>
        <w:autoSpaceDN w:val="0"/>
        <w:adjustRightInd w:val="0"/>
        <w:spacing w:after="0" w:line="360" w:lineRule="auto"/>
        <w:jc w:val="both"/>
        <w:textAlignment w:val="baseline"/>
        <w:rPr>
          <w:rFonts w:ascii="David" w:eastAsia="Times New Roman" w:hAnsi="David" w:cs="David"/>
          <w:spacing w:val="10"/>
          <w:sz w:val="24"/>
          <w:szCs w:val="24"/>
          <w:rtl/>
        </w:rPr>
      </w:pPr>
      <w:r w:rsidRPr="00C15932">
        <w:rPr>
          <w:rFonts w:ascii="David" w:eastAsia="Times New Roman" w:hAnsi="David" w:cs="David" w:hint="cs"/>
          <w:spacing w:val="10"/>
          <w:sz w:val="24"/>
          <w:szCs w:val="24"/>
          <w:rtl/>
        </w:rPr>
        <w:t xml:space="preserve">בתשובה לכך, טוענת המדינה כי כתב האישום מייחס למשיב "ברחל בתך הקטנה" עבירה של מרמה והפרת אמונים בשל מכלול התנהלותו בכל שמונה הפרשות גם יחד </w:t>
      </w:r>
      <w:r w:rsidRPr="00C15932">
        <w:rPr>
          <w:rFonts w:ascii="David" w:eastAsia="Times New Roman" w:hAnsi="David" w:cs="David"/>
          <w:spacing w:val="10"/>
          <w:sz w:val="24"/>
          <w:szCs w:val="24"/>
          <w:rtl/>
        </w:rPr>
        <w:t>–</w:t>
      </w:r>
      <w:r w:rsidRPr="00C15932">
        <w:rPr>
          <w:rFonts w:ascii="David" w:eastAsia="Times New Roman" w:hAnsi="David" w:cs="David" w:hint="cs"/>
          <w:spacing w:val="10"/>
          <w:sz w:val="24"/>
          <w:szCs w:val="24"/>
          <w:rtl/>
        </w:rPr>
        <w:t xml:space="preserve"> הן במישור העובדתי והן במישור המשפטי. </w:t>
      </w:r>
    </w:p>
    <w:p w:rsidR="00BA056F" w:rsidRDefault="00BA056F" w:rsidP="00CD2F57">
      <w:pPr>
        <w:overflowPunct w:val="0"/>
        <w:autoSpaceDE w:val="0"/>
        <w:autoSpaceDN w:val="0"/>
        <w:adjustRightInd w:val="0"/>
        <w:spacing w:after="0" w:line="360" w:lineRule="auto"/>
        <w:jc w:val="both"/>
        <w:textAlignment w:val="baseline"/>
        <w:rPr>
          <w:rFonts w:ascii="David" w:eastAsia="Times New Roman" w:hAnsi="David" w:cs="David"/>
          <w:spacing w:val="10"/>
          <w:sz w:val="24"/>
          <w:szCs w:val="24"/>
          <w:rtl/>
        </w:rPr>
      </w:pPr>
    </w:p>
    <w:p w:rsidR="00BA056F" w:rsidRDefault="004E14DF" w:rsidP="003F56D5">
      <w:pPr>
        <w:overflowPunct w:val="0"/>
        <w:autoSpaceDE w:val="0"/>
        <w:autoSpaceDN w:val="0"/>
        <w:adjustRightInd w:val="0"/>
        <w:spacing w:after="0" w:line="360" w:lineRule="auto"/>
        <w:jc w:val="both"/>
        <w:textAlignment w:val="baseline"/>
        <w:rPr>
          <w:rFonts w:ascii="David" w:eastAsia="Times New Roman" w:hAnsi="David" w:cs="David"/>
          <w:spacing w:val="10"/>
          <w:sz w:val="24"/>
          <w:szCs w:val="24"/>
          <w:rtl/>
        </w:rPr>
      </w:pPr>
      <w:r w:rsidRPr="00C15932">
        <w:rPr>
          <w:rFonts w:ascii="David" w:eastAsia="Times New Roman" w:hAnsi="David" w:cs="David" w:hint="cs"/>
          <w:spacing w:val="10"/>
          <w:sz w:val="24"/>
          <w:szCs w:val="24"/>
          <w:u w:val="single"/>
          <w:rtl/>
        </w:rPr>
        <w:t>שלישית</w:t>
      </w:r>
      <w:r w:rsidRPr="00C15932">
        <w:rPr>
          <w:rFonts w:ascii="David" w:eastAsia="Times New Roman" w:hAnsi="David" w:cs="David" w:hint="cs"/>
          <w:spacing w:val="10"/>
          <w:sz w:val="24"/>
          <w:szCs w:val="24"/>
          <w:rtl/>
        </w:rPr>
        <w:t xml:space="preserve">, המדינה מעמידה בפני בית המשפט תזה משפטית חדשנית ובלתי מקובלת </w:t>
      </w:r>
      <w:r w:rsidRPr="00C15932">
        <w:rPr>
          <w:rFonts w:ascii="David" w:eastAsia="Times New Roman" w:hAnsi="David" w:cs="David"/>
          <w:spacing w:val="10"/>
          <w:sz w:val="24"/>
          <w:szCs w:val="24"/>
          <w:rtl/>
        </w:rPr>
        <w:t>–</w:t>
      </w:r>
      <w:r w:rsidRPr="00C15932">
        <w:rPr>
          <w:rFonts w:ascii="David" w:eastAsia="Times New Roman" w:hAnsi="David" w:cs="David" w:hint="cs"/>
          <w:spacing w:val="10"/>
          <w:sz w:val="24"/>
          <w:szCs w:val="24"/>
          <w:rtl/>
        </w:rPr>
        <w:t xml:space="preserve"> "תזת הצבירה". דרך הילוך זו חוטאת לעקרונות יסוד של המשפט הפלילי, ובראשם עקרון החוקיות.</w:t>
      </w:r>
      <w:r>
        <w:rPr>
          <w:rFonts w:ascii="David" w:eastAsia="Times New Roman" w:hAnsi="David" w:cs="David" w:hint="cs"/>
          <w:spacing w:val="10"/>
          <w:sz w:val="24"/>
          <w:szCs w:val="24"/>
          <w:rtl/>
        </w:rPr>
        <w:t xml:space="preserve"> </w:t>
      </w:r>
      <w:r w:rsidRPr="00C15932">
        <w:rPr>
          <w:rFonts w:ascii="David" w:eastAsia="Times New Roman" w:hAnsi="David" w:cs="David" w:hint="cs"/>
          <w:spacing w:val="10"/>
          <w:sz w:val="24"/>
          <w:szCs w:val="24"/>
          <w:rtl/>
        </w:rPr>
        <w:t xml:space="preserve">בתשובה לכך, טוענת המדינה כי התשובה לשאלה האם עסקינן "בתזה משפטית חדשה" כטענת ההגנה, תלויה בעיני המתבונן </w:t>
      </w:r>
      <w:r w:rsidRPr="00C15932">
        <w:rPr>
          <w:rFonts w:ascii="David" w:eastAsia="Times New Roman" w:hAnsi="David" w:cs="David"/>
          <w:spacing w:val="10"/>
          <w:sz w:val="24"/>
          <w:szCs w:val="24"/>
          <w:rtl/>
        </w:rPr>
        <w:t>–</w:t>
      </w:r>
      <w:r w:rsidRPr="00C15932">
        <w:rPr>
          <w:rFonts w:ascii="David" w:eastAsia="Times New Roman" w:hAnsi="David" w:cs="David" w:hint="cs"/>
          <w:spacing w:val="10"/>
          <w:sz w:val="24"/>
          <w:szCs w:val="24"/>
          <w:rtl/>
        </w:rPr>
        <w:t xml:space="preserve"> לטענתה, יישומה של הלכה על עובדות אחרות אינה נחשבת בדרך כלל כחידוש. המדינה סומכת את ידיה על ההלכה של בית המשפט העליון ב</w:t>
      </w:r>
      <w:r>
        <w:rPr>
          <w:rFonts w:ascii="David" w:eastAsia="Times New Roman" w:hAnsi="David" w:cs="David" w:hint="cs"/>
          <w:spacing w:val="10"/>
          <w:sz w:val="24"/>
          <w:szCs w:val="24"/>
          <w:rtl/>
        </w:rPr>
        <w:t>פרשת</w:t>
      </w:r>
      <w:r w:rsidRPr="00C15932">
        <w:rPr>
          <w:rFonts w:ascii="David" w:eastAsia="Times New Roman" w:hAnsi="David" w:cs="David" w:hint="cs"/>
          <w:spacing w:val="10"/>
          <w:sz w:val="24"/>
          <w:szCs w:val="24"/>
          <w:rtl/>
        </w:rPr>
        <w:t xml:space="preserve"> שבס ועל יישומה במקרים מאוחרים יותר, כדוגמת פרשת אולמרט.</w:t>
      </w:r>
    </w:p>
    <w:p w:rsidR="00BA056F" w:rsidRDefault="00BA056F" w:rsidP="003F56D5">
      <w:pPr>
        <w:overflowPunct w:val="0"/>
        <w:autoSpaceDE w:val="0"/>
        <w:autoSpaceDN w:val="0"/>
        <w:adjustRightInd w:val="0"/>
        <w:spacing w:after="0" w:line="360" w:lineRule="auto"/>
        <w:jc w:val="both"/>
        <w:textAlignment w:val="baseline"/>
        <w:rPr>
          <w:rFonts w:ascii="David" w:eastAsia="Times New Roman" w:hAnsi="David" w:cs="David"/>
          <w:spacing w:val="10"/>
          <w:sz w:val="24"/>
          <w:szCs w:val="24"/>
          <w:rtl/>
        </w:rPr>
      </w:pPr>
    </w:p>
    <w:p w:rsidR="00BA056F" w:rsidRPr="00C15932" w:rsidRDefault="004E14DF" w:rsidP="003F56D5">
      <w:pPr>
        <w:overflowPunct w:val="0"/>
        <w:autoSpaceDE w:val="0"/>
        <w:autoSpaceDN w:val="0"/>
        <w:adjustRightInd w:val="0"/>
        <w:spacing w:after="0" w:line="360" w:lineRule="auto"/>
        <w:jc w:val="both"/>
        <w:textAlignment w:val="baseline"/>
        <w:rPr>
          <w:rFonts w:ascii="David" w:eastAsia="Times New Roman" w:hAnsi="David" w:cs="David"/>
          <w:spacing w:val="10"/>
          <w:sz w:val="24"/>
          <w:szCs w:val="24"/>
          <w:rtl/>
        </w:rPr>
      </w:pPr>
      <w:r w:rsidRPr="00C15932">
        <w:rPr>
          <w:rFonts w:ascii="David" w:eastAsia="Times New Roman" w:hAnsi="David" w:cs="David" w:hint="cs"/>
          <w:spacing w:val="10"/>
          <w:sz w:val="24"/>
          <w:szCs w:val="24"/>
          <w:u w:val="single"/>
          <w:rtl/>
        </w:rPr>
        <w:t>רביעית</w:t>
      </w:r>
      <w:r w:rsidRPr="00C15932">
        <w:rPr>
          <w:rFonts w:ascii="David" w:eastAsia="Times New Roman" w:hAnsi="David" w:cs="David" w:hint="cs"/>
          <w:spacing w:val="10"/>
          <w:sz w:val="24"/>
          <w:szCs w:val="24"/>
          <w:rtl/>
        </w:rPr>
        <w:t xml:space="preserve">, לטענת שחם, משהחליטה המדינה שלא לייחס לשחם </w:t>
      </w:r>
      <w:proofErr w:type="spellStart"/>
      <w:r w:rsidRPr="00C15932">
        <w:rPr>
          <w:rFonts w:ascii="David" w:eastAsia="Times New Roman" w:hAnsi="David" w:cs="David" w:hint="cs"/>
          <w:spacing w:val="10"/>
          <w:sz w:val="24"/>
          <w:szCs w:val="24"/>
          <w:rtl/>
        </w:rPr>
        <w:t>אישומים</w:t>
      </w:r>
      <w:proofErr w:type="spellEnd"/>
      <w:r w:rsidRPr="00C15932">
        <w:rPr>
          <w:rFonts w:ascii="David" w:eastAsia="Times New Roman" w:hAnsi="David" w:cs="David" w:hint="cs"/>
          <w:spacing w:val="10"/>
          <w:sz w:val="24"/>
          <w:szCs w:val="24"/>
          <w:rtl/>
        </w:rPr>
        <w:t xml:space="preserve"> בגין ביצוע עבירות מין תוך ניצול מרות בעבודה, אין היא יכולה לטעון לניצול המעמד, התפקיד או המרות לצורך ביצועה של עבירת המרמה והפרת האמונים </w:t>
      </w:r>
      <w:r w:rsidRPr="00C15932">
        <w:rPr>
          <w:rFonts w:ascii="David" w:eastAsia="Times New Roman" w:hAnsi="David" w:cs="David"/>
          <w:spacing w:val="10"/>
          <w:sz w:val="24"/>
          <w:szCs w:val="24"/>
          <w:rtl/>
        </w:rPr>
        <w:t>–</w:t>
      </w:r>
      <w:r w:rsidRPr="00C15932">
        <w:rPr>
          <w:rFonts w:ascii="David" w:eastAsia="Times New Roman" w:hAnsi="David" w:cs="David" w:hint="cs"/>
          <w:spacing w:val="10"/>
          <w:sz w:val="24"/>
          <w:szCs w:val="24"/>
          <w:rtl/>
        </w:rPr>
        <w:t xml:space="preserve"> הסכמתן של השוטרות בחמש הפרשות השונות, סותרת את טענת הניצול.</w:t>
      </w:r>
    </w:p>
    <w:p w:rsidR="00BA056F" w:rsidRDefault="004E14DF" w:rsidP="003F56D5">
      <w:pPr>
        <w:overflowPunct w:val="0"/>
        <w:autoSpaceDE w:val="0"/>
        <w:autoSpaceDN w:val="0"/>
        <w:adjustRightInd w:val="0"/>
        <w:spacing w:after="0" w:line="360" w:lineRule="auto"/>
        <w:jc w:val="both"/>
        <w:textAlignment w:val="baseline"/>
        <w:rPr>
          <w:rFonts w:ascii="David" w:eastAsia="Times New Roman" w:hAnsi="David" w:cs="David"/>
          <w:spacing w:val="10"/>
          <w:sz w:val="24"/>
          <w:szCs w:val="24"/>
          <w:rtl/>
        </w:rPr>
      </w:pPr>
      <w:r w:rsidRPr="00C15932">
        <w:rPr>
          <w:rFonts w:ascii="David" w:eastAsia="Times New Roman" w:hAnsi="David" w:cs="David" w:hint="cs"/>
          <w:spacing w:val="10"/>
          <w:sz w:val="24"/>
          <w:szCs w:val="24"/>
          <w:rtl/>
        </w:rPr>
        <w:t xml:space="preserve">בתשובה לכך, טוענת המדינה, כי העובדה שלא בחרה להאשים את שחם בעבירת מין תוך "ניצול מרות", למעט בפרשה השמינית, אינה מחייבת בשום אופן היעדר ניצול בהקשר </w:t>
      </w:r>
      <w:r w:rsidRPr="00C15932">
        <w:rPr>
          <w:rFonts w:ascii="David" w:eastAsia="Times New Roman" w:hAnsi="David" w:cs="David" w:hint="cs"/>
          <w:spacing w:val="10"/>
          <w:sz w:val="24"/>
          <w:szCs w:val="24"/>
          <w:rtl/>
        </w:rPr>
        <w:lastRenderedPageBreak/>
        <w:t xml:space="preserve">אחר. אין מקום לזהות בין "ניצול המרות" לצורך קיומה או היעדרה של עבירת מין, לבין ניצול המעמד, התפקיד, הסמכויות והמרות </w:t>
      </w:r>
      <w:r w:rsidRPr="00C15932">
        <w:rPr>
          <w:rFonts w:ascii="David" w:eastAsia="Times New Roman" w:hAnsi="David" w:cs="David"/>
          <w:spacing w:val="10"/>
          <w:sz w:val="24"/>
          <w:szCs w:val="24"/>
          <w:rtl/>
        </w:rPr>
        <w:t>–</w:t>
      </w:r>
      <w:r w:rsidRPr="00C15932">
        <w:rPr>
          <w:rFonts w:ascii="David" w:eastAsia="Times New Roman" w:hAnsi="David" w:cs="David" w:hint="cs"/>
          <w:spacing w:val="10"/>
          <w:sz w:val="24"/>
          <w:szCs w:val="24"/>
          <w:rtl/>
        </w:rPr>
        <w:t xml:space="preserve"> לצורך בחינתה של עבירה שונה לחלוטין.</w:t>
      </w:r>
    </w:p>
    <w:p w:rsidR="00196760" w:rsidRPr="00C15932" w:rsidRDefault="00196760" w:rsidP="00196760">
      <w:pPr>
        <w:overflowPunct w:val="0"/>
        <w:autoSpaceDE w:val="0"/>
        <w:autoSpaceDN w:val="0"/>
        <w:adjustRightInd w:val="0"/>
        <w:spacing w:after="0" w:line="360" w:lineRule="auto"/>
        <w:jc w:val="both"/>
        <w:textAlignment w:val="baseline"/>
        <w:rPr>
          <w:rFonts w:ascii="David" w:eastAsia="Times New Roman" w:hAnsi="David" w:cs="David"/>
          <w:spacing w:val="10"/>
          <w:sz w:val="24"/>
          <w:szCs w:val="24"/>
          <w:rtl/>
        </w:rPr>
      </w:pPr>
    </w:p>
    <w:p w:rsidR="00196760" w:rsidRPr="00C15932" w:rsidRDefault="004E14DF" w:rsidP="00196760">
      <w:pPr>
        <w:overflowPunct w:val="0"/>
        <w:autoSpaceDE w:val="0"/>
        <w:autoSpaceDN w:val="0"/>
        <w:adjustRightInd w:val="0"/>
        <w:spacing w:after="0" w:line="360" w:lineRule="auto"/>
        <w:jc w:val="both"/>
        <w:textAlignment w:val="baseline"/>
        <w:rPr>
          <w:rFonts w:ascii="David" w:eastAsia="Times New Roman" w:hAnsi="David" w:cs="David"/>
          <w:spacing w:val="10"/>
          <w:sz w:val="24"/>
          <w:szCs w:val="24"/>
          <w:rtl/>
        </w:rPr>
      </w:pPr>
      <w:r w:rsidRPr="00C15932">
        <w:rPr>
          <w:rFonts w:ascii="David" w:eastAsia="Times New Roman" w:hAnsi="David" w:cs="David" w:hint="cs"/>
          <w:spacing w:val="10"/>
          <w:sz w:val="24"/>
          <w:szCs w:val="24"/>
          <w:u w:val="single"/>
          <w:rtl/>
        </w:rPr>
        <w:t>חמישית</w:t>
      </w:r>
      <w:r w:rsidRPr="00C15932">
        <w:rPr>
          <w:rFonts w:ascii="David" w:eastAsia="Times New Roman" w:hAnsi="David" w:cs="David" w:hint="cs"/>
          <w:spacing w:val="10"/>
          <w:sz w:val="24"/>
          <w:szCs w:val="24"/>
          <w:rtl/>
        </w:rPr>
        <w:t xml:space="preserve">, המדינה טוענת לקיומו של איסור "נורמטיבי" כללי שעניינו קיום קשר מיני בין עובד עם כפיפה לו, שמבוסס על פסיקה אליה הפנתה בהודעת הערעור, אלא שלטענת שחם </w:t>
      </w:r>
      <w:r w:rsidRPr="00C15932">
        <w:rPr>
          <w:rFonts w:ascii="David" w:eastAsia="Times New Roman" w:hAnsi="David" w:cs="David"/>
          <w:spacing w:val="10"/>
          <w:sz w:val="24"/>
          <w:szCs w:val="24"/>
          <w:rtl/>
        </w:rPr>
        <w:t>–</w:t>
      </w:r>
      <w:r w:rsidRPr="00C15932">
        <w:rPr>
          <w:rFonts w:ascii="David" w:eastAsia="Times New Roman" w:hAnsi="David" w:cs="David" w:hint="cs"/>
          <w:spacing w:val="10"/>
          <w:sz w:val="24"/>
          <w:szCs w:val="24"/>
          <w:rtl/>
        </w:rPr>
        <w:t xml:space="preserve">  פסיקה זו בתחום המשמעתי היא, ואין בקשרים המוסכמים שנידונו במסגרתה כדי להוות בסיס לעבירה פלילית. כמו כן, בפסיקה זו נקבע עובדתית ולא קטגורית, כפי שמנסה המדינה לעשות במקרה דנא, כי היה בקשרים שקיים שחם עם השוטרות פסול מעבר לעצם התקיימותם. עוד בהקשר זה טוען שחם, כי אישומו בעבירה של מרמה והפרת אמונים היא הרחבה בלתי מידתית של עבירה זו אל עבר התנהגות שההיבט הדומיננטי בה הוא בעל אופי משמעתי.</w:t>
      </w:r>
    </w:p>
    <w:p w:rsidR="00196760" w:rsidRPr="00C15932" w:rsidRDefault="004E14DF" w:rsidP="00196760">
      <w:pPr>
        <w:overflowPunct w:val="0"/>
        <w:autoSpaceDE w:val="0"/>
        <w:autoSpaceDN w:val="0"/>
        <w:adjustRightInd w:val="0"/>
        <w:spacing w:after="0" w:line="360" w:lineRule="auto"/>
        <w:jc w:val="both"/>
        <w:textAlignment w:val="baseline"/>
        <w:rPr>
          <w:rFonts w:ascii="David" w:eastAsia="Times New Roman" w:hAnsi="David" w:cs="David"/>
          <w:spacing w:val="10"/>
          <w:sz w:val="24"/>
          <w:szCs w:val="24"/>
          <w:rtl/>
        </w:rPr>
      </w:pPr>
      <w:r w:rsidRPr="00C15932">
        <w:rPr>
          <w:rFonts w:ascii="David" w:eastAsia="Times New Roman" w:hAnsi="David" w:cs="David" w:hint="cs"/>
          <w:spacing w:val="10"/>
          <w:sz w:val="24"/>
          <w:szCs w:val="24"/>
          <w:rtl/>
        </w:rPr>
        <w:t xml:space="preserve">בתשובה לכך, טוענת המדינה, שמכלול התנהלותו של שחם במהלך שנים ארוכות עולה כדי עבירה פלילית של מרמה והפרת אמונים, אף אם הפסיקה אליה הפנתה מתייחסת למקרים שהסתיימו בעבירה משמעתית בלבד. בנקודה זו, המדינה חוזרת על טענתה, כי בפסיקה האמורה נקבע שאסור לעובד הציבור לקיים יחסים אינטימיים עם כפיפה לו </w:t>
      </w:r>
      <w:r w:rsidRPr="00C15932">
        <w:rPr>
          <w:rFonts w:ascii="David" w:eastAsia="Times New Roman" w:hAnsi="David" w:cs="David"/>
          <w:spacing w:val="10"/>
          <w:sz w:val="24"/>
          <w:szCs w:val="24"/>
          <w:rtl/>
        </w:rPr>
        <w:t>–</w:t>
      </w:r>
      <w:r w:rsidRPr="00C15932">
        <w:rPr>
          <w:rFonts w:ascii="David" w:eastAsia="Times New Roman" w:hAnsi="David" w:cs="David" w:hint="cs"/>
          <w:spacing w:val="10"/>
          <w:sz w:val="24"/>
          <w:szCs w:val="24"/>
          <w:rtl/>
        </w:rPr>
        <w:t xml:space="preserve"> לא באופן עובדתי, כטענתו של שחם, אלא באופן קטגורי-נורמטיבי ברור.</w:t>
      </w:r>
    </w:p>
    <w:p w:rsidR="00196760" w:rsidRDefault="00196760" w:rsidP="00CD2F57">
      <w:pPr>
        <w:overflowPunct w:val="0"/>
        <w:autoSpaceDE w:val="0"/>
        <w:autoSpaceDN w:val="0"/>
        <w:adjustRightInd w:val="0"/>
        <w:spacing w:after="0" w:line="360" w:lineRule="auto"/>
        <w:jc w:val="both"/>
        <w:textAlignment w:val="baseline"/>
        <w:rPr>
          <w:rFonts w:ascii="David" w:eastAsia="Times New Roman" w:hAnsi="David" w:cs="David"/>
          <w:spacing w:val="10"/>
          <w:sz w:val="24"/>
          <w:szCs w:val="24"/>
          <w:rtl/>
        </w:rPr>
      </w:pPr>
    </w:p>
    <w:p w:rsidR="00442BDB" w:rsidRPr="00C15932" w:rsidRDefault="004E14DF" w:rsidP="00442BDB">
      <w:pPr>
        <w:overflowPunct w:val="0"/>
        <w:autoSpaceDE w:val="0"/>
        <w:autoSpaceDN w:val="0"/>
        <w:adjustRightInd w:val="0"/>
        <w:spacing w:after="0" w:line="360" w:lineRule="auto"/>
        <w:jc w:val="both"/>
        <w:textAlignment w:val="baseline"/>
        <w:rPr>
          <w:rFonts w:ascii="David" w:eastAsia="Times New Roman" w:hAnsi="David" w:cs="David"/>
          <w:spacing w:val="10"/>
          <w:sz w:val="24"/>
          <w:szCs w:val="24"/>
          <w:rtl/>
        </w:rPr>
      </w:pPr>
      <w:r w:rsidRPr="00C15932">
        <w:rPr>
          <w:rFonts w:ascii="David" w:eastAsia="Times New Roman" w:hAnsi="David" w:cs="David" w:hint="cs"/>
          <w:spacing w:val="10"/>
          <w:sz w:val="24"/>
          <w:szCs w:val="24"/>
          <w:u w:val="single"/>
          <w:rtl/>
        </w:rPr>
        <w:t>שישית</w:t>
      </w:r>
      <w:r w:rsidRPr="00C15932">
        <w:rPr>
          <w:rFonts w:ascii="David" w:eastAsia="Times New Roman" w:hAnsi="David" w:cs="David" w:hint="cs"/>
          <w:spacing w:val="10"/>
          <w:sz w:val="24"/>
          <w:szCs w:val="24"/>
          <w:rtl/>
        </w:rPr>
        <w:t xml:space="preserve">, טוען שחם, כי טענת המדינה בדבר "קשרים אסורים" שקיים עם השוטרות, אינה מבוססת </w:t>
      </w:r>
      <w:r w:rsidRPr="00C15932">
        <w:rPr>
          <w:rFonts w:ascii="David" w:eastAsia="Times New Roman" w:hAnsi="David" w:cs="David"/>
          <w:spacing w:val="10"/>
          <w:sz w:val="24"/>
          <w:szCs w:val="24"/>
          <w:rtl/>
        </w:rPr>
        <w:t>–</w:t>
      </w:r>
      <w:r w:rsidRPr="00C15932">
        <w:rPr>
          <w:rFonts w:ascii="David" w:eastAsia="Times New Roman" w:hAnsi="David" w:cs="David" w:hint="cs"/>
          <w:spacing w:val="10"/>
          <w:sz w:val="24"/>
          <w:szCs w:val="24"/>
          <w:rtl/>
        </w:rPr>
        <w:t xml:space="preserve"> המדינה לא הציגה איסור משמעתי כלשהו שיש לו רלבנטיות למשטרת ישראל, ולפיכך, אין בסיס לטענה שמדובר באיסור נורמטיבי.</w:t>
      </w:r>
    </w:p>
    <w:p w:rsidR="00442BDB" w:rsidRPr="00C15932" w:rsidRDefault="004E14DF" w:rsidP="00442BDB">
      <w:pPr>
        <w:overflowPunct w:val="0"/>
        <w:autoSpaceDE w:val="0"/>
        <w:autoSpaceDN w:val="0"/>
        <w:adjustRightInd w:val="0"/>
        <w:spacing w:after="0" w:line="360" w:lineRule="auto"/>
        <w:jc w:val="both"/>
        <w:textAlignment w:val="baseline"/>
        <w:rPr>
          <w:rFonts w:ascii="David" w:eastAsia="Times New Roman" w:hAnsi="David" w:cs="David"/>
          <w:spacing w:val="10"/>
          <w:sz w:val="24"/>
          <w:szCs w:val="24"/>
          <w:rtl/>
        </w:rPr>
      </w:pPr>
      <w:r w:rsidRPr="00C15932">
        <w:rPr>
          <w:rFonts w:ascii="David" w:eastAsia="Times New Roman" w:hAnsi="David" w:cs="David" w:hint="cs"/>
          <w:spacing w:val="10"/>
          <w:sz w:val="24"/>
          <w:szCs w:val="24"/>
          <w:rtl/>
        </w:rPr>
        <w:t xml:space="preserve">בתשובה לכך, טוענת המדינה, כי במשטרה קיימת זה מכבר "עבירה של התנהגות שאינה הולמת שוטר או שיש בה כדי לפגוע בתדמית המשטרה", המנויה בסעיף 3 לתוספת הראשונה לחוק המשטרה, תשס"ו-2006 (להלן: </w:t>
      </w:r>
      <w:r w:rsidRPr="00C15932">
        <w:rPr>
          <w:rFonts w:ascii="David" w:eastAsia="Times New Roman" w:hAnsi="David" w:cs="David" w:hint="cs"/>
          <w:b/>
          <w:bCs/>
          <w:spacing w:val="10"/>
          <w:sz w:val="24"/>
          <w:szCs w:val="24"/>
          <w:rtl/>
        </w:rPr>
        <w:t>"חוק המשטרה"</w:t>
      </w:r>
      <w:r>
        <w:rPr>
          <w:rFonts w:ascii="David" w:eastAsia="Times New Roman" w:hAnsi="David" w:cs="David" w:hint="cs"/>
          <w:spacing w:val="10"/>
          <w:sz w:val="24"/>
          <w:szCs w:val="24"/>
          <w:rtl/>
        </w:rPr>
        <w:t xml:space="preserve">). </w:t>
      </w:r>
      <w:r w:rsidRPr="00C15932">
        <w:rPr>
          <w:rFonts w:ascii="David" w:eastAsia="Times New Roman" w:hAnsi="David" w:cs="David" w:hint="cs"/>
          <w:spacing w:val="10"/>
          <w:sz w:val="24"/>
          <w:szCs w:val="24"/>
          <w:rtl/>
        </w:rPr>
        <w:t>המדינה מפנה בתשובתה לדבריו של שחם, כפי שבאו לידי ביטוי בחקירותיו השונות, מהם עולה מודעותו בעת התרחשות האירועים לאיסור שחל על קצין משטרה לקיים יחסים אינטימיים עם כפיפות לו.</w:t>
      </w:r>
    </w:p>
    <w:p w:rsidR="00442BDB" w:rsidRPr="00194C57" w:rsidRDefault="00442BDB" w:rsidP="00442BDB">
      <w:pPr>
        <w:overflowPunct w:val="0"/>
        <w:autoSpaceDE w:val="0"/>
        <w:autoSpaceDN w:val="0"/>
        <w:adjustRightInd w:val="0"/>
        <w:spacing w:after="0" w:line="360" w:lineRule="auto"/>
        <w:jc w:val="both"/>
        <w:textAlignment w:val="baseline"/>
        <w:rPr>
          <w:rFonts w:ascii="David" w:eastAsia="Times New Roman" w:hAnsi="David" w:cs="David"/>
          <w:spacing w:val="10"/>
          <w:sz w:val="24"/>
          <w:szCs w:val="24"/>
          <w:rtl/>
        </w:rPr>
      </w:pPr>
    </w:p>
    <w:p w:rsidR="00442BDB" w:rsidRPr="00C15932" w:rsidRDefault="004E14DF" w:rsidP="00442BDB">
      <w:pPr>
        <w:overflowPunct w:val="0"/>
        <w:autoSpaceDE w:val="0"/>
        <w:autoSpaceDN w:val="0"/>
        <w:adjustRightInd w:val="0"/>
        <w:spacing w:after="0" w:line="360" w:lineRule="auto"/>
        <w:jc w:val="both"/>
        <w:textAlignment w:val="baseline"/>
        <w:rPr>
          <w:rFonts w:ascii="David" w:eastAsia="Times New Roman" w:hAnsi="David" w:cs="David"/>
          <w:spacing w:val="10"/>
          <w:sz w:val="24"/>
          <w:szCs w:val="24"/>
          <w:rtl/>
        </w:rPr>
      </w:pPr>
      <w:r w:rsidRPr="00C15932">
        <w:rPr>
          <w:rFonts w:ascii="David" w:eastAsia="Times New Roman" w:hAnsi="David" w:cs="David" w:hint="cs"/>
          <w:spacing w:val="10"/>
          <w:sz w:val="24"/>
          <w:szCs w:val="24"/>
          <w:u w:val="single"/>
          <w:rtl/>
        </w:rPr>
        <w:t>שביעית</w:t>
      </w:r>
      <w:r w:rsidRPr="00C15932">
        <w:rPr>
          <w:rFonts w:ascii="David" w:eastAsia="Times New Roman" w:hAnsi="David" w:cs="David" w:hint="cs"/>
          <w:spacing w:val="10"/>
          <w:sz w:val="24"/>
          <w:szCs w:val="24"/>
          <w:rtl/>
        </w:rPr>
        <w:t xml:space="preserve">, טוען שחם, כי המדינה ביססה את טענתה המשפטית, לפיה עצם קיומם של יחסים אינטימיים עם כפיפה עשוי להוות עבירה פלילית, על טענות עובדתיות שלא נבחנו על ידי בית המשפט וביניהן: שחם יזם את היחסים האינטימיים; ניצל את מעמדו כדי לקדם קשריו עם השוטרות והעביר מסר פסול לפיו על השוטרות האחרות להתמסר לו כדי להתקדם בעובדתן. טענה עובדתית נוספת שלא נבחנה היא שיכולת הסירוב של השוטרות </w:t>
      </w:r>
      <w:r w:rsidRPr="00C15932">
        <w:rPr>
          <w:rFonts w:ascii="David" w:eastAsia="Times New Roman" w:hAnsi="David" w:cs="David" w:hint="cs"/>
          <w:spacing w:val="10"/>
          <w:sz w:val="24"/>
          <w:szCs w:val="24"/>
          <w:rtl/>
        </w:rPr>
        <w:lastRenderedPageBreak/>
        <w:t xml:space="preserve">אינה קיימת. עוד טוען שחם, כי השוטרות כלל לא נחקרו ביחס לטענות אלו, וככל שנחקרו </w:t>
      </w:r>
      <w:r w:rsidRPr="00C15932">
        <w:rPr>
          <w:rFonts w:ascii="David" w:eastAsia="Times New Roman" w:hAnsi="David" w:cs="David"/>
          <w:spacing w:val="10"/>
          <w:sz w:val="24"/>
          <w:szCs w:val="24"/>
          <w:rtl/>
        </w:rPr>
        <w:t>–</w:t>
      </w:r>
      <w:r w:rsidRPr="00C15932">
        <w:rPr>
          <w:rFonts w:ascii="David" w:eastAsia="Times New Roman" w:hAnsi="David" w:cs="David" w:hint="cs"/>
          <w:spacing w:val="10"/>
          <w:sz w:val="24"/>
          <w:szCs w:val="24"/>
          <w:rtl/>
        </w:rPr>
        <w:t xml:space="preserve"> הרי שעדותיהן סותרות אותן.</w:t>
      </w:r>
    </w:p>
    <w:p w:rsidR="00442BDB" w:rsidRPr="00C15932" w:rsidRDefault="004E14DF" w:rsidP="00442BDB">
      <w:pPr>
        <w:overflowPunct w:val="0"/>
        <w:autoSpaceDE w:val="0"/>
        <w:autoSpaceDN w:val="0"/>
        <w:adjustRightInd w:val="0"/>
        <w:spacing w:after="0" w:line="360" w:lineRule="auto"/>
        <w:jc w:val="both"/>
        <w:textAlignment w:val="baseline"/>
        <w:rPr>
          <w:rFonts w:ascii="David" w:eastAsia="Times New Roman" w:hAnsi="David" w:cs="David"/>
          <w:spacing w:val="10"/>
          <w:sz w:val="24"/>
          <w:szCs w:val="24"/>
          <w:rtl/>
        </w:rPr>
      </w:pPr>
      <w:r w:rsidRPr="00C15932">
        <w:rPr>
          <w:rFonts w:ascii="David" w:eastAsia="Times New Roman" w:hAnsi="David" w:cs="David" w:hint="cs"/>
          <w:spacing w:val="10"/>
          <w:sz w:val="24"/>
          <w:szCs w:val="24"/>
          <w:rtl/>
        </w:rPr>
        <w:t xml:space="preserve">בתשובה לכך, טוענת המדינה, כי טענות אלו אינן  "טענות עובדתיות" הזקוקות להוכחה </w:t>
      </w:r>
      <w:r w:rsidRPr="00C15932">
        <w:rPr>
          <w:rFonts w:ascii="David" w:eastAsia="Times New Roman" w:hAnsi="David" w:cs="David"/>
          <w:spacing w:val="10"/>
          <w:sz w:val="24"/>
          <w:szCs w:val="24"/>
          <w:rtl/>
        </w:rPr>
        <w:t>–</w:t>
      </w:r>
      <w:r w:rsidRPr="00C15932">
        <w:rPr>
          <w:rFonts w:ascii="David" w:eastAsia="Times New Roman" w:hAnsi="David" w:cs="David" w:hint="cs"/>
          <w:spacing w:val="10"/>
          <w:sz w:val="24"/>
          <w:szCs w:val="24"/>
          <w:rtl/>
        </w:rPr>
        <w:t xml:space="preserve"> אלא טענות  נורמטיביות באופיין ובמהותן, ואלו שאינן </w:t>
      </w:r>
      <w:r w:rsidRPr="00C15932">
        <w:rPr>
          <w:rFonts w:ascii="David" w:eastAsia="Times New Roman" w:hAnsi="David" w:cs="David"/>
          <w:spacing w:val="10"/>
          <w:sz w:val="24"/>
          <w:szCs w:val="24"/>
          <w:rtl/>
        </w:rPr>
        <w:t>–</w:t>
      </w:r>
      <w:r w:rsidRPr="00C15932">
        <w:rPr>
          <w:rFonts w:ascii="David" w:eastAsia="Times New Roman" w:hAnsi="David" w:cs="David" w:hint="cs"/>
          <w:spacing w:val="10"/>
          <w:sz w:val="24"/>
          <w:szCs w:val="24"/>
          <w:rtl/>
        </w:rPr>
        <w:t xml:space="preserve"> הוכחו כדבעי.</w:t>
      </w:r>
    </w:p>
    <w:p w:rsidR="00442BDB" w:rsidRPr="00C15932" w:rsidRDefault="00442BDB" w:rsidP="00442BDB">
      <w:pPr>
        <w:overflowPunct w:val="0"/>
        <w:autoSpaceDE w:val="0"/>
        <w:autoSpaceDN w:val="0"/>
        <w:adjustRightInd w:val="0"/>
        <w:spacing w:after="0" w:line="360" w:lineRule="auto"/>
        <w:jc w:val="both"/>
        <w:textAlignment w:val="baseline"/>
        <w:rPr>
          <w:rFonts w:ascii="David" w:eastAsia="Times New Roman" w:hAnsi="David" w:cs="David"/>
          <w:spacing w:val="10"/>
          <w:sz w:val="24"/>
          <w:szCs w:val="24"/>
          <w:rtl/>
        </w:rPr>
      </w:pPr>
    </w:p>
    <w:p w:rsidR="00442BDB" w:rsidRPr="00C15932" w:rsidRDefault="004E14DF" w:rsidP="00442BDB">
      <w:pPr>
        <w:overflowPunct w:val="0"/>
        <w:autoSpaceDE w:val="0"/>
        <w:autoSpaceDN w:val="0"/>
        <w:adjustRightInd w:val="0"/>
        <w:spacing w:after="0" w:line="360" w:lineRule="auto"/>
        <w:jc w:val="both"/>
        <w:textAlignment w:val="baseline"/>
        <w:rPr>
          <w:rFonts w:ascii="David" w:eastAsia="Times New Roman" w:hAnsi="David" w:cs="David"/>
          <w:spacing w:val="10"/>
          <w:sz w:val="24"/>
          <w:szCs w:val="24"/>
          <w:rtl/>
        </w:rPr>
      </w:pPr>
      <w:r w:rsidRPr="00C15932">
        <w:rPr>
          <w:rFonts w:ascii="David" w:eastAsia="Times New Roman" w:hAnsi="David" w:cs="David" w:hint="cs"/>
          <w:spacing w:val="10"/>
          <w:sz w:val="24"/>
          <w:szCs w:val="24"/>
          <w:u w:val="single"/>
          <w:rtl/>
        </w:rPr>
        <w:t>שמינית</w:t>
      </w:r>
      <w:r w:rsidRPr="00C15932">
        <w:rPr>
          <w:rFonts w:ascii="David" w:eastAsia="Times New Roman" w:hAnsi="David" w:cs="David" w:hint="cs"/>
          <w:spacing w:val="10"/>
          <w:sz w:val="24"/>
          <w:szCs w:val="24"/>
          <w:rtl/>
        </w:rPr>
        <w:t xml:space="preserve">, טוען שחם, כי בדומה לטיעון שהעלתה המדינה ביחס לעצם קיומם של הקשרים, כך גם ביחס לטענת "ניגוד העניינים" נותרת המדינה ברמה העקרונית-כללית בלבד, ואינה נכנסת </w:t>
      </w:r>
      <w:r w:rsidRPr="00C15932">
        <w:rPr>
          <w:rFonts w:ascii="David" w:eastAsia="Times New Roman" w:hAnsi="David" w:cs="David"/>
          <w:spacing w:val="10"/>
          <w:sz w:val="24"/>
          <w:szCs w:val="24"/>
          <w:rtl/>
        </w:rPr>
        <w:t>–</w:t>
      </w:r>
      <w:r w:rsidRPr="00C15932">
        <w:rPr>
          <w:rFonts w:ascii="David" w:eastAsia="Times New Roman" w:hAnsi="David" w:cs="David" w:hint="cs"/>
          <w:spacing w:val="10"/>
          <w:sz w:val="24"/>
          <w:szCs w:val="24"/>
          <w:rtl/>
        </w:rPr>
        <w:t xml:space="preserve"> במכוון </w:t>
      </w:r>
      <w:r w:rsidRPr="00C15932">
        <w:rPr>
          <w:rFonts w:ascii="David" w:eastAsia="Times New Roman" w:hAnsi="David" w:cs="David"/>
          <w:spacing w:val="10"/>
          <w:sz w:val="24"/>
          <w:szCs w:val="24"/>
          <w:rtl/>
        </w:rPr>
        <w:t>–</w:t>
      </w:r>
      <w:r w:rsidRPr="00C15932">
        <w:rPr>
          <w:rFonts w:ascii="David" w:eastAsia="Times New Roman" w:hAnsi="David" w:cs="David" w:hint="cs"/>
          <w:spacing w:val="10"/>
          <w:sz w:val="24"/>
          <w:szCs w:val="24"/>
          <w:rtl/>
        </w:rPr>
        <w:t xml:space="preserve"> לראיות הפרטניות שמרכיבות את אותו מכלול שהיא עצמה טוענת לו. עוד טוען שחם, כי טענת המדינה בדבר הפעולות שביצע במצבים של ניגוד עניינים, אינה אלא "חיזוק" לטענתה בעניין עצם יצירתם וקיומם של היחסים האינטימיים.</w:t>
      </w:r>
    </w:p>
    <w:p w:rsidR="003F56D5" w:rsidRDefault="004E14DF" w:rsidP="000A5565">
      <w:pPr>
        <w:overflowPunct w:val="0"/>
        <w:autoSpaceDE w:val="0"/>
        <w:autoSpaceDN w:val="0"/>
        <w:adjustRightInd w:val="0"/>
        <w:spacing w:after="0" w:line="360" w:lineRule="auto"/>
        <w:jc w:val="both"/>
        <w:textAlignment w:val="baseline"/>
        <w:rPr>
          <w:rFonts w:ascii="David" w:eastAsia="Times New Roman" w:hAnsi="David" w:cs="David"/>
          <w:spacing w:val="10"/>
          <w:sz w:val="24"/>
          <w:szCs w:val="24"/>
          <w:rtl/>
        </w:rPr>
      </w:pPr>
      <w:r w:rsidRPr="00C15932">
        <w:rPr>
          <w:rFonts w:ascii="David" w:eastAsia="Times New Roman" w:hAnsi="David" w:cs="David" w:hint="cs"/>
          <w:spacing w:val="10"/>
          <w:sz w:val="24"/>
          <w:szCs w:val="24"/>
          <w:rtl/>
        </w:rPr>
        <w:t xml:space="preserve">תשובת המדינה לכך היא, כי מעולם לא טענה שהפעולות שביצע שחם במצבים של ניגוד עניינים הן בגדר "חיזוק", אלא שדי בהן כדי לקיים את העבירה של מרמה והפרת אמונים, קל וחומר שכך </w:t>
      </w:r>
      <w:r w:rsidRPr="00C15932">
        <w:rPr>
          <w:rFonts w:ascii="David" w:eastAsia="Times New Roman" w:hAnsi="David" w:cs="David"/>
          <w:spacing w:val="10"/>
          <w:sz w:val="24"/>
          <w:szCs w:val="24"/>
          <w:rtl/>
        </w:rPr>
        <w:t>–</w:t>
      </w:r>
      <w:r w:rsidRPr="00C15932">
        <w:rPr>
          <w:rFonts w:ascii="David" w:eastAsia="Times New Roman" w:hAnsi="David" w:cs="David" w:hint="cs"/>
          <w:spacing w:val="10"/>
          <w:sz w:val="24"/>
          <w:szCs w:val="24"/>
          <w:rtl/>
        </w:rPr>
        <w:t xml:space="preserve"> ביחס להתנהלות כולה. עוד טוענת המדינה, כי דווקא בית המשפט הוא שהתעלם בחלק מן המקרים מהנסיבות האופפות את הפעולה בניגוד עניינים </w:t>
      </w:r>
      <w:r w:rsidRPr="00C15932">
        <w:rPr>
          <w:rFonts w:ascii="David" w:eastAsia="Times New Roman" w:hAnsi="David" w:cs="David"/>
          <w:spacing w:val="10"/>
          <w:sz w:val="24"/>
          <w:szCs w:val="24"/>
          <w:rtl/>
        </w:rPr>
        <w:t>–</w:t>
      </w:r>
      <w:r w:rsidRPr="00C15932">
        <w:rPr>
          <w:rFonts w:ascii="David" w:eastAsia="Times New Roman" w:hAnsi="David" w:cs="David" w:hint="cs"/>
          <w:spacing w:val="10"/>
          <w:sz w:val="24"/>
          <w:szCs w:val="24"/>
          <w:rtl/>
        </w:rPr>
        <w:t xml:space="preserve"> טיבו של הקשר, משכו, היוזמה ליצירתו וכדומה. לגופו של עניין, ציינה המדינה, כי שגה בית המשפט ביישמו את מבחני העזר בפרשות השונות, שכן נטה להדגיש מבחן אחד עיקרי </w:t>
      </w:r>
      <w:r w:rsidRPr="00C15932">
        <w:rPr>
          <w:rFonts w:ascii="David" w:eastAsia="Times New Roman" w:hAnsi="David" w:cs="David"/>
          <w:spacing w:val="10"/>
          <w:sz w:val="24"/>
          <w:szCs w:val="24"/>
          <w:rtl/>
        </w:rPr>
        <w:t>–</w:t>
      </w:r>
      <w:r w:rsidRPr="00C15932">
        <w:rPr>
          <w:rFonts w:ascii="David" w:eastAsia="Times New Roman" w:hAnsi="David" w:cs="David" w:hint="cs"/>
          <w:spacing w:val="10"/>
          <w:sz w:val="24"/>
          <w:szCs w:val="24"/>
          <w:rtl/>
        </w:rPr>
        <w:t xml:space="preserve"> מבחן התוצאה. ואולם, לפי הפסיקה, מבחן התוצאה אינו יכול לשמש כמבחן עזר מכריע לצורך הקביעה בעניין עוצמת ניגוד העניינים.</w:t>
      </w:r>
    </w:p>
    <w:p w:rsidR="000078A1" w:rsidRPr="00373B46" w:rsidRDefault="000078A1" w:rsidP="009A5F29">
      <w:pPr>
        <w:overflowPunct w:val="0"/>
        <w:autoSpaceDE w:val="0"/>
        <w:autoSpaceDN w:val="0"/>
        <w:adjustRightInd w:val="0"/>
        <w:spacing w:after="0" w:line="360" w:lineRule="auto"/>
        <w:jc w:val="both"/>
        <w:textAlignment w:val="baseline"/>
        <w:rPr>
          <w:rFonts w:ascii="David" w:eastAsia="Times New Roman" w:hAnsi="David" w:cs="David"/>
          <w:b/>
          <w:bCs/>
          <w:spacing w:val="10"/>
          <w:sz w:val="24"/>
          <w:szCs w:val="24"/>
          <w:u w:val="single"/>
          <w:rtl/>
        </w:rPr>
      </w:pPr>
    </w:p>
    <w:p w:rsidR="00D02A52" w:rsidRPr="00373B46" w:rsidRDefault="004E14DF" w:rsidP="000A5565">
      <w:pPr>
        <w:overflowPunct w:val="0"/>
        <w:autoSpaceDE w:val="0"/>
        <w:autoSpaceDN w:val="0"/>
        <w:adjustRightInd w:val="0"/>
        <w:spacing w:after="100" w:afterAutospacing="1" w:line="360" w:lineRule="auto"/>
        <w:jc w:val="both"/>
        <w:textAlignment w:val="baseline"/>
        <w:rPr>
          <w:rFonts w:ascii="David" w:eastAsia="Times New Roman" w:hAnsi="David" w:cs="David"/>
          <w:spacing w:val="10"/>
          <w:sz w:val="24"/>
          <w:szCs w:val="24"/>
          <w:rtl/>
        </w:rPr>
      </w:pPr>
      <w:r w:rsidRPr="004E14DF">
        <w:rPr>
          <w:rFonts w:ascii="David" w:eastAsia="Times New Roman" w:hAnsi="David" w:cs="David" w:hint="cs"/>
          <w:b/>
          <w:bCs/>
          <w:spacing w:val="10"/>
          <w:sz w:val="24"/>
          <w:szCs w:val="24"/>
          <w:u w:val="single"/>
          <w:rtl/>
        </w:rPr>
        <w:t>ערעורו של שחם</w:t>
      </w:r>
      <w:r w:rsidRPr="00373B46">
        <w:rPr>
          <w:rFonts w:ascii="David" w:eastAsia="Times New Roman" w:hAnsi="David" w:cs="David" w:hint="cs"/>
          <w:spacing w:val="10"/>
          <w:sz w:val="28"/>
          <w:szCs w:val="28"/>
          <w:rtl/>
        </w:rPr>
        <w:t xml:space="preserve"> </w:t>
      </w:r>
      <w:r w:rsidRPr="00373B46">
        <w:rPr>
          <w:rFonts w:ascii="David" w:eastAsia="Times New Roman" w:hAnsi="David" w:cs="David" w:hint="cs"/>
          <w:spacing w:val="10"/>
          <w:sz w:val="24"/>
          <w:szCs w:val="24"/>
          <w:rtl/>
        </w:rPr>
        <w:t xml:space="preserve">(ע"פ 61564-01-19) </w:t>
      </w:r>
    </w:p>
    <w:p w:rsidR="000A5565" w:rsidRDefault="004E14DF" w:rsidP="000A5565">
      <w:pPr>
        <w:overflowPunct w:val="0"/>
        <w:autoSpaceDE w:val="0"/>
        <w:autoSpaceDN w:val="0"/>
        <w:adjustRightInd w:val="0"/>
        <w:spacing w:after="0" w:line="360" w:lineRule="auto"/>
        <w:jc w:val="both"/>
        <w:textAlignment w:val="baseline"/>
        <w:rPr>
          <w:rFonts w:ascii="David" w:eastAsia="Times New Roman" w:hAnsi="David" w:cs="David"/>
          <w:spacing w:val="10"/>
          <w:sz w:val="24"/>
          <w:szCs w:val="24"/>
          <w:u w:val="single"/>
          <w:rtl/>
        </w:rPr>
      </w:pPr>
      <w:r w:rsidRPr="004E14DF">
        <w:rPr>
          <w:rFonts w:ascii="David" w:eastAsia="Times New Roman" w:hAnsi="David" w:cs="David" w:hint="cs"/>
          <w:spacing w:val="10"/>
          <w:sz w:val="24"/>
          <w:szCs w:val="24"/>
          <w:u w:val="single"/>
          <w:rtl/>
        </w:rPr>
        <w:t>עיקרי טענותיו</w:t>
      </w:r>
      <w:r w:rsidR="000A5565">
        <w:rPr>
          <w:rFonts w:ascii="David" w:eastAsia="Times New Roman" w:hAnsi="David" w:cs="David" w:hint="cs"/>
          <w:spacing w:val="10"/>
          <w:sz w:val="24"/>
          <w:szCs w:val="24"/>
          <w:u w:val="single"/>
          <w:rtl/>
        </w:rPr>
        <w:t xml:space="preserve"> </w:t>
      </w:r>
    </w:p>
    <w:p w:rsidR="00D02A52" w:rsidRPr="000A5565" w:rsidRDefault="004E14DF" w:rsidP="000A5565">
      <w:pPr>
        <w:overflowPunct w:val="0"/>
        <w:autoSpaceDE w:val="0"/>
        <w:autoSpaceDN w:val="0"/>
        <w:adjustRightInd w:val="0"/>
        <w:spacing w:after="0" w:line="360" w:lineRule="auto"/>
        <w:jc w:val="both"/>
        <w:textAlignment w:val="baseline"/>
        <w:rPr>
          <w:rFonts w:ascii="David" w:eastAsia="Times New Roman" w:hAnsi="David" w:cs="David"/>
          <w:spacing w:val="10"/>
          <w:sz w:val="24"/>
          <w:szCs w:val="24"/>
          <w:u w:val="single"/>
          <w:rtl/>
        </w:rPr>
      </w:pPr>
      <w:r w:rsidRPr="00194C57">
        <w:rPr>
          <w:rFonts w:ascii="David" w:eastAsia="Times New Roman" w:hAnsi="David" w:cs="David" w:hint="cs"/>
          <w:spacing w:val="10"/>
          <w:sz w:val="24"/>
          <w:szCs w:val="24"/>
          <w:rtl/>
        </w:rPr>
        <w:t xml:space="preserve">הערעור מופנה כנגד הרשעת שחם בעבירה של מעשה מגונה לפי סעיף 348(ג) לחוק בגין מעשיו מושא הפרשה השישית.  </w:t>
      </w:r>
    </w:p>
    <w:p w:rsidR="005B66F8" w:rsidRDefault="004E14DF" w:rsidP="005B66F8">
      <w:pPr>
        <w:overflowPunct w:val="0"/>
        <w:autoSpaceDE w:val="0"/>
        <w:autoSpaceDN w:val="0"/>
        <w:adjustRightInd w:val="0"/>
        <w:spacing w:after="100" w:afterAutospacing="1" w:line="360" w:lineRule="auto"/>
        <w:jc w:val="both"/>
        <w:textAlignment w:val="baseline"/>
        <w:rPr>
          <w:rFonts w:ascii="David" w:eastAsia="Times New Roman" w:hAnsi="David" w:cs="David"/>
          <w:spacing w:val="10"/>
          <w:sz w:val="24"/>
          <w:szCs w:val="24"/>
          <w:rtl/>
        </w:rPr>
      </w:pPr>
      <w:r w:rsidRPr="00194C57">
        <w:rPr>
          <w:rFonts w:ascii="David" w:eastAsia="Times New Roman" w:hAnsi="David" w:cs="David" w:hint="cs"/>
          <w:spacing w:val="10"/>
          <w:sz w:val="24"/>
          <w:szCs w:val="24"/>
          <w:rtl/>
        </w:rPr>
        <w:t xml:space="preserve">בפתח ערעורו מקדים שחם וטוען, כי הפרשה השישית בגינה הורשע, היא "פרשה מינורית באופן יחסי" שלא הותירה בשוטרת ו.ו. כול חותם, ולו הייתה עומדת לבדה </w:t>
      </w:r>
      <w:r w:rsidRPr="00194C57">
        <w:rPr>
          <w:rFonts w:ascii="David" w:eastAsia="Times New Roman" w:hAnsi="David" w:cs="David"/>
          <w:spacing w:val="10"/>
          <w:sz w:val="24"/>
          <w:szCs w:val="24"/>
          <w:rtl/>
        </w:rPr>
        <w:t>–</w:t>
      </w:r>
      <w:r w:rsidRPr="00194C57">
        <w:rPr>
          <w:rFonts w:ascii="David" w:eastAsia="Times New Roman" w:hAnsi="David" w:cs="David" w:hint="cs"/>
          <w:spacing w:val="10"/>
          <w:sz w:val="24"/>
          <w:szCs w:val="24"/>
          <w:rtl/>
        </w:rPr>
        <w:t xml:space="preserve"> דינו </w:t>
      </w:r>
      <w:r>
        <w:rPr>
          <w:rFonts w:ascii="David" w:eastAsia="Times New Roman" w:hAnsi="David" w:cs="David" w:hint="cs"/>
          <w:spacing w:val="10"/>
          <w:sz w:val="24"/>
          <w:szCs w:val="24"/>
          <w:rtl/>
        </w:rPr>
        <w:t xml:space="preserve">של שחם </w:t>
      </w:r>
      <w:r w:rsidRPr="00194C57">
        <w:rPr>
          <w:rFonts w:ascii="David" w:eastAsia="Times New Roman" w:hAnsi="David" w:cs="David" w:hint="cs"/>
          <w:spacing w:val="10"/>
          <w:sz w:val="24"/>
          <w:szCs w:val="24"/>
          <w:rtl/>
        </w:rPr>
        <w:t xml:space="preserve">היה מתברר בהליך משמעתי, טענה, שגם אליבא בית המשפט </w:t>
      </w:r>
      <w:r w:rsidRPr="00194C57">
        <w:rPr>
          <w:rFonts w:ascii="David" w:eastAsia="Times New Roman" w:hAnsi="David" w:cs="David"/>
          <w:spacing w:val="10"/>
          <w:sz w:val="24"/>
          <w:szCs w:val="24"/>
          <w:rtl/>
        </w:rPr>
        <w:t>–</w:t>
      </w:r>
      <w:r w:rsidR="005B66F8">
        <w:rPr>
          <w:rFonts w:ascii="David" w:eastAsia="Times New Roman" w:hAnsi="David" w:cs="David" w:hint="cs"/>
          <w:spacing w:val="10"/>
          <w:sz w:val="24"/>
          <w:szCs w:val="24"/>
          <w:rtl/>
        </w:rPr>
        <w:t xml:space="preserve"> "אינה מופרכת".</w:t>
      </w:r>
    </w:p>
    <w:p w:rsidR="007C02FA" w:rsidRDefault="004E14DF" w:rsidP="005B66F8">
      <w:pPr>
        <w:overflowPunct w:val="0"/>
        <w:autoSpaceDE w:val="0"/>
        <w:autoSpaceDN w:val="0"/>
        <w:adjustRightInd w:val="0"/>
        <w:spacing w:after="100" w:afterAutospacing="1" w:line="360" w:lineRule="auto"/>
        <w:jc w:val="both"/>
        <w:textAlignment w:val="baseline"/>
        <w:rPr>
          <w:rFonts w:ascii="David" w:eastAsia="Times New Roman" w:hAnsi="David" w:cs="David"/>
          <w:spacing w:val="10"/>
          <w:sz w:val="24"/>
          <w:szCs w:val="24"/>
          <w:rtl/>
        </w:rPr>
      </w:pPr>
      <w:r w:rsidRPr="00C15932">
        <w:rPr>
          <w:rFonts w:ascii="David" w:eastAsia="Times New Roman" w:hAnsi="David" w:cs="David" w:hint="cs"/>
          <w:spacing w:val="10"/>
          <w:sz w:val="24"/>
          <w:szCs w:val="24"/>
          <w:rtl/>
        </w:rPr>
        <w:t>שחם משיג על הקביעה של בית המשפט כי לא עומד לו הסייג של "טעות במצב דברים" וסבור שהיא שגויה באופן מהותי - הראיות, ובפרט עדותה של</w:t>
      </w:r>
      <w:r>
        <w:rPr>
          <w:rFonts w:ascii="David" w:eastAsia="Times New Roman" w:hAnsi="David" w:cs="David" w:hint="cs"/>
          <w:spacing w:val="10"/>
          <w:sz w:val="24"/>
          <w:szCs w:val="24"/>
          <w:rtl/>
        </w:rPr>
        <w:t xml:space="preserve"> השוטרת </w:t>
      </w:r>
      <w:r w:rsidRPr="00C15932">
        <w:rPr>
          <w:rFonts w:ascii="David" w:eastAsia="Times New Roman" w:hAnsi="David" w:cs="David" w:hint="cs"/>
          <w:spacing w:val="10"/>
          <w:sz w:val="24"/>
          <w:szCs w:val="24"/>
          <w:rtl/>
        </w:rPr>
        <w:t xml:space="preserve"> ו.ו עצמה, הוכיחו חד משמעית, כי טעה לחשוב שהיא מעוניינת בנשיקה, ולכן ניסה לנשקה, אך מרגע שהבין שאינה מעוניינת, חדל. בערעורו, מפנה שחם לפרטיה של התמונה הראייתית שהוצגה בפני בית המשפט, מהם, לדעתו, "מובנת וניבטת כנותה וסבירותה של הטעות", ובהם: טיב </w:t>
      </w:r>
      <w:r w:rsidRPr="00C15932">
        <w:rPr>
          <w:rFonts w:ascii="David" w:eastAsia="Times New Roman" w:hAnsi="David" w:cs="David" w:hint="cs"/>
          <w:spacing w:val="10"/>
          <w:sz w:val="24"/>
          <w:szCs w:val="24"/>
          <w:rtl/>
        </w:rPr>
        <w:lastRenderedPageBreak/>
        <w:t>הקשר בינו לבין ו.ו; מחקרי התקשרות המהווים ראיה אובייקטיבית שתומכת בגרסתו; תיאורה של ו.ו בחקירתה את האירוע "כטעות במצב דברים" ואף תיאורו שלו, והראיות בעניין היוזמה לקיום המפגש ומיקומו.</w:t>
      </w:r>
      <w:r w:rsidRPr="007C02FA">
        <w:rPr>
          <w:rFonts w:ascii="David" w:eastAsia="Times New Roman" w:hAnsi="David" w:cs="David" w:hint="cs"/>
          <w:spacing w:val="10"/>
          <w:sz w:val="24"/>
          <w:szCs w:val="24"/>
          <w:rtl/>
        </w:rPr>
        <w:t xml:space="preserve"> </w:t>
      </w:r>
      <w:r w:rsidRPr="00C15932">
        <w:rPr>
          <w:rFonts w:ascii="David" w:eastAsia="Times New Roman" w:hAnsi="David" w:cs="David" w:hint="cs"/>
          <w:spacing w:val="10"/>
          <w:sz w:val="24"/>
          <w:szCs w:val="24"/>
          <w:rtl/>
        </w:rPr>
        <w:t>שחם משיג על הקביעה של בית המשפט כי לא עומד לו הסייג של "טעות במצב דברים" וסבור שהיא שגויה באופן מהותי - הראיות, ובפרט עדותה של</w:t>
      </w:r>
      <w:r w:rsidR="0046561B">
        <w:rPr>
          <w:rFonts w:ascii="David" w:eastAsia="Times New Roman" w:hAnsi="David" w:cs="David" w:hint="cs"/>
          <w:spacing w:val="10"/>
          <w:sz w:val="24"/>
          <w:szCs w:val="24"/>
          <w:rtl/>
        </w:rPr>
        <w:t xml:space="preserve"> השוטרת</w:t>
      </w:r>
      <w:r w:rsidRPr="00C15932">
        <w:rPr>
          <w:rFonts w:ascii="David" w:eastAsia="Times New Roman" w:hAnsi="David" w:cs="David" w:hint="cs"/>
          <w:spacing w:val="10"/>
          <w:sz w:val="24"/>
          <w:szCs w:val="24"/>
          <w:rtl/>
        </w:rPr>
        <w:t xml:space="preserve"> ו.ו עצמה, הוכיחו חד משמעית, כי טעה לחשוב שהיא מעוניינת בנשיקה, ולכן ניסה לנשקה, אך מרגע שהבין שאינה מעוניינת, חדל. בערעורו, מפנה שחם לפרטיה של התמונה הראייתית שהוצגה בפני בית המשפט, מהם, לדעתו, "מובנת וניבטת כנותה וסבירותה של הטעות", ובהם: טיב הקשר בינו לבין ו.ו; מחקרי התקשרות המהווים ראיה אובייקטיבית שתומכת בגרסתו; תיאורה של ו.ו בחקירתה את האירוע "כטעות במצב דברים" ואף תיאורו שלו, והראיות בעניין היוזמה לקיום המפגש ומיקומו.</w:t>
      </w:r>
    </w:p>
    <w:p w:rsidR="007C02FA" w:rsidRPr="00194C57" w:rsidRDefault="004E14DF" w:rsidP="004E14DF">
      <w:pPr>
        <w:overflowPunct w:val="0"/>
        <w:autoSpaceDE w:val="0"/>
        <w:autoSpaceDN w:val="0"/>
        <w:adjustRightInd w:val="0"/>
        <w:spacing w:after="100" w:afterAutospacing="1" w:line="360" w:lineRule="auto"/>
        <w:jc w:val="both"/>
        <w:textAlignment w:val="baseline"/>
        <w:rPr>
          <w:rFonts w:ascii="David" w:eastAsia="Times New Roman" w:hAnsi="David" w:cs="David"/>
          <w:spacing w:val="10"/>
          <w:sz w:val="24"/>
          <w:szCs w:val="24"/>
          <w:rtl/>
        </w:rPr>
      </w:pPr>
      <w:r w:rsidRPr="00C15932">
        <w:rPr>
          <w:rFonts w:ascii="David" w:eastAsia="Times New Roman" w:hAnsi="David" w:cs="David" w:hint="cs"/>
          <w:spacing w:val="10"/>
          <w:sz w:val="24"/>
          <w:szCs w:val="24"/>
          <w:rtl/>
        </w:rPr>
        <w:t xml:space="preserve">עוד שגה בית המשפט עת קבע כי שחם נישק את </w:t>
      </w:r>
      <w:r>
        <w:rPr>
          <w:rFonts w:ascii="David" w:eastAsia="Times New Roman" w:hAnsi="David" w:cs="David" w:hint="cs"/>
          <w:spacing w:val="10"/>
          <w:sz w:val="24"/>
          <w:szCs w:val="24"/>
          <w:rtl/>
        </w:rPr>
        <w:t xml:space="preserve">השוטרת </w:t>
      </w:r>
      <w:r w:rsidRPr="00C15932">
        <w:rPr>
          <w:rFonts w:ascii="David" w:eastAsia="Times New Roman" w:hAnsi="David" w:cs="David" w:hint="cs"/>
          <w:spacing w:val="10"/>
          <w:sz w:val="24"/>
          <w:szCs w:val="24"/>
          <w:rtl/>
        </w:rPr>
        <w:t xml:space="preserve">ו.ו נשיקה עם החדרת לשון. לטענתו, מתוך הראיות שהונחו בפניו, לא ניתן היה להגיע למסקנה, וודאי שלא ברמת ההוכחה הנדרשת במשפט הפלילי, כי שחם נישק את ו.ו כאמור. כך למשל, אמרתה של ו.ו בחקירתה, לפיה שחם נישק אותה עם הלשון, אמרה שהיוותה את העוגן להרשעתו בעבירה של מעשה מגונה, התקבלה מכוח סעיף 10א לפקודת הראיות [נוסח חדש], תשל"א-1971 (להלן: </w:t>
      </w:r>
      <w:r w:rsidRPr="00C15932">
        <w:rPr>
          <w:rFonts w:ascii="David" w:eastAsia="Times New Roman" w:hAnsi="David" w:cs="David" w:hint="cs"/>
          <w:b/>
          <w:bCs/>
          <w:spacing w:val="10"/>
          <w:sz w:val="24"/>
          <w:szCs w:val="24"/>
          <w:rtl/>
        </w:rPr>
        <w:t>"הפקודה"</w:t>
      </w:r>
      <w:r w:rsidRPr="00C15932">
        <w:rPr>
          <w:rFonts w:ascii="David" w:eastAsia="Times New Roman" w:hAnsi="David" w:cs="David" w:hint="cs"/>
          <w:spacing w:val="10"/>
          <w:sz w:val="24"/>
          <w:szCs w:val="24"/>
          <w:rtl/>
        </w:rPr>
        <w:t xml:space="preserve">) </w:t>
      </w:r>
      <w:r w:rsidRPr="00C15932">
        <w:rPr>
          <w:rFonts w:ascii="David" w:eastAsia="Times New Roman" w:hAnsi="David" w:cs="David"/>
          <w:spacing w:val="10"/>
          <w:sz w:val="24"/>
          <w:szCs w:val="24"/>
          <w:rtl/>
        </w:rPr>
        <w:t>–</w:t>
      </w:r>
      <w:r w:rsidRPr="00C15932">
        <w:rPr>
          <w:rFonts w:ascii="David" w:eastAsia="Times New Roman" w:hAnsi="David" w:cs="David" w:hint="cs"/>
          <w:spacing w:val="10"/>
          <w:sz w:val="24"/>
          <w:szCs w:val="24"/>
          <w:rtl/>
        </w:rPr>
        <w:t xml:space="preserve"> על אף שלא נמצא לה חיזוק כנדרש בסעיף 10א(ד) לפקודה. כמו כן, מפנה שחם לראיה נוספת, והיא עדותה של ו.ו במהלך המשפט, שהביעה את דעתה לגבי אופי המעשה באומרה: "אני לא חושבת שזה מעשה מגונה, כמו שאני לא הייתי מגיעה, אני מיוזמתי לא הייתי מגיעה להתלונן. איך שהוא הציג את זה, כשיכול להיות שהדברים לא הובנו, שהוא לא הבין את הדברים נכון". לחיזוק טענות אלה מוסיף שחם ומציין, כי בדומה ליתר השוטרות שנכללו בכתב האישום </w:t>
      </w:r>
      <w:r w:rsidRPr="00C15932">
        <w:rPr>
          <w:rFonts w:ascii="David" w:eastAsia="Times New Roman" w:hAnsi="David" w:cs="David"/>
          <w:spacing w:val="10"/>
          <w:sz w:val="24"/>
          <w:szCs w:val="24"/>
          <w:rtl/>
        </w:rPr>
        <w:t>–</w:t>
      </w:r>
      <w:r w:rsidRPr="00C15932">
        <w:rPr>
          <w:rFonts w:ascii="David" w:eastAsia="Times New Roman" w:hAnsi="David" w:cs="David" w:hint="cs"/>
          <w:spacing w:val="10"/>
          <w:sz w:val="24"/>
          <w:szCs w:val="24"/>
          <w:rtl/>
        </w:rPr>
        <w:t xml:space="preserve"> ו.ו לא הגישה תלונה נגדו, ועד שחוקרי מח"ש הגיעו למפתן דלתה, כלל לא חשה שנעברה בה עבירה.</w:t>
      </w:r>
    </w:p>
    <w:p w:rsidR="003F553F" w:rsidRPr="002D0D7C" w:rsidRDefault="004E14DF" w:rsidP="002D0D7C">
      <w:pPr>
        <w:overflowPunct w:val="0"/>
        <w:autoSpaceDE w:val="0"/>
        <w:autoSpaceDN w:val="0"/>
        <w:adjustRightInd w:val="0"/>
        <w:spacing w:after="0" w:line="360" w:lineRule="auto"/>
        <w:jc w:val="both"/>
        <w:textAlignment w:val="baseline"/>
        <w:rPr>
          <w:rFonts w:ascii="David" w:eastAsia="Times New Roman" w:hAnsi="David" w:cs="David"/>
          <w:spacing w:val="10"/>
          <w:sz w:val="24"/>
          <w:szCs w:val="24"/>
          <w:u w:val="single"/>
          <w:rtl/>
        </w:rPr>
      </w:pPr>
      <w:r w:rsidRPr="002D0D7C">
        <w:rPr>
          <w:rFonts w:ascii="David" w:eastAsia="Times New Roman" w:hAnsi="David" w:cs="David" w:hint="cs"/>
          <w:spacing w:val="10"/>
          <w:sz w:val="24"/>
          <w:szCs w:val="24"/>
          <w:u w:val="single"/>
          <w:rtl/>
        </w:rPr>
        <w:t>תשובת המדינה לערעור</w:t>
      </w:r>
    </w:p>
    <w:p w:rsidR="00E3555D" w:rsidRPr="00C15932" w:rsidRDefault="004E14DF" w:rsidP="00E3555D">
      <w:pPr>
        <w:overflowPunct w:val="0"/>
        <w:autoSpaceDE w:val="0"/>
        <w:autoSpaceDN w:val="0"/>
        <w:adjustRightInd w:val="0"/>
        <w:spacing w:after="0" w:line="360" w:lineRule="auto"/>
        <w:jc w:val="both"/>
        <w:textAlignment w:val="baseline"/>
        <w:rPr>
          <w:rFonts w:ascii="David" w:eastAsia="Times New Roman" w:hAnsi="David" w:cs="David"/>
          <w:spacing w:val="10"/>
          <w:sz w:val="24"/>
          <w:szCs w:val="24"/>
          <w:rtl/>
        </w:rPr>
      </w:pPr>
      <w:r w:rsidRPr="00C15932">
        <w:rPr>
          <w:rFonts w:ascii="David" w:eastAsia="Times New Roman" w:hAnsi="David" w:cs="David" w:hint="cs"/>
          <w:spacing w:val="10"/>
          <w:sz w:val="24"/>
          <w:szCs w:val="24"/>
          <w:rtl/>
        </w:rPr>
        <w:t xml:space="preserve">במהלך הדיון שהתקיים ביום 20.5.19, השיבה המדינה לטענותיו של שחם ביחס להרשעתו בפרשה השישית. בפתח תשובתה  בקשה לדחותן בנימוק, שכלל טענותיו מכוונות לקביעות העובדתיות של בית המשפט </w:t>
      </w:r>
      <w:r w:rsidRPr="00C15932">
        <w:rPr>
          <w:rFonts w:ascii="David" w:eastAsia="Times New Roman" w:hAnsi="David" w:cs="David"/>
          <w:spacing w:val="10"/>
          <w:sz w:val="24"/>
          <w:szCs w:val="24"/>
          <w:rtl/>
        </w:rPr>
        <w:t>–</w:t>
      </w:r>
      <w:r w:rsidRPr="00C15932">
        <w:rPr>
          <w:rFonts w:ascii="David" w:eastAsia="Times New Roman" w:hAnsi="David" w:cs="David" w:hint="cs"/>
          <w:spacing w:val="10"/>
          <w:sz w:val="24"/>
          <w:szCs w:val="24"/>
          <w:rtl/>
        </w:rPr>
        <w:t xml:space="preserve"> אלו ניתנו על בסיס התרשמותו ממהימנות העדים שהעידו בפניו, והלכה היא שערכאת הערעור אינה מתערבת בהן.</w:t>
      </w:r>
    </w:p>
    <w:p w:rsidR="002D0D7C" w:rsidRDefault="004E14DF" w:rsidP="000A5565">
      <w:pPr>
        <w:overflowPunct w:val="0"/>
        <w:autoSpaceDE w:val="0"/>
        <w:autoSpaceDN w:val="0"/>
        <w:adjustRightInd w:val="0"/>
        <w:spacing w:after="100" w:afterAutospacing="1" w:line="360" w:lineRule="auto"/>
        <w:jc w:val="both"/>
        <w:textAlignment w:val="baseline"/>
        <w:rPr>
          <w:rFonts w:ascii="David" w:eastAsia="Times New Roman" w:hAnsi="David" w:cs="David"/>
          <w:spacing w:val="10"/>
          <w:sz w:val="24"/>
          <w:szCs w:val="24"/>
          <w:rtl/>
        </w:rPr>
      </w:pPr>
      <w:r w:rsidRPr="00C15932">
        <w:rPr>
          <w:rFonts w:ascii="David" w:eastAsia="Times New Roman" w:hAnsi="David" w:cs="David" w:hint="cs"/>
          <w:spacing w:val="10"/>
          <w:sz w:val="24"/>
          <w:szCs w:val="24"/>
          <w:rtl/>
        </w:rPr>
        <w:t xml:space="preserve">באשר לטענתו הכללית של שחם בדבר מינוריות המעשה שבו הורשע, וכנגזרת מכך, טענתו, לפיה לא היה מקום להעמידו לדין בעניין זה בלבד, השיבה המדינה, כי אף אם קיימות עבירות מין חמורות יותר מהאירוע המתואר בפרשה השישית, אין בכך כדי להפחית מהנסיבות המחמירות שאופפות אותו. בין הנסיבות החמורות, ציינה המדינה, את הפער </w:t>
      </w:r>
      <w:r w:rsidRPr="00C15932">
        <w:rPr>
          <w:rFonts w:ascii="David" w:eastAsia="Times New Roman" w:hAnsi="David" w:cs="David" w:hint="cs"/>
          <w:spacing w:val="10"/>
          <w:sz w:val="24"/>
          <w:szCs w:val="24"/>
          <w:rtl/>
        </w:rPr>
        <w:lastRenderedPageBreak/>
        <w:t>המשמעותי בתפקיד ובמעמד, שמקבל משנה תוקף במערכת היררכית כמו משטרת ישראל; את התרחשות האירוע בתוך רכב משטרתי ולאחר שיחה בה שטחה השוטרת בפני שחם את מצוקתה ורצונה לעזוב את המשטרה, ואת העובדה שהמעשה המיני מהווה חלק מהעבירה של מרמה והפרת אמונים, המיוחסת לו בגין כל הפרשות יחדיו. עוד הוסיפה המדינה, כי אף מתמלילי חקירתה של השוטרת עולה, שהאופן שבו חוותה את האירוע נעדר כל מינוריות. כמו כן, בעדותה טענה כי הבינה את הקשר שהתקיים בינה לבין שחם עובר לאירוע ככזה המונע מאינטרס מיני.</w:t>
      </w:r>
    </w:p>
    <w:p w:rsidR="003F553F" w:rsidRPr="002D0D7C" w:rsidRDefault="004E14DF" w:rsidP="000A5565">
      <w:pPr>
        <w:overflowPunct w:val="0"/>
        <w:autoSpaceDE w:val="0"/>
        <w:autoSpaceDN w:val="0"/>
        <w:adjustRightInd w:val="0"/>
        <w:spacing w:after="100" w:afterAutospacing="1" w:line="360" w:lineRule="auto"/>
        <w:jc w:val="both"/>
        <w:textAlignment w:val="baseline"/>
        <w:rPr>
          <w:rFonts w:ascii="David" w:eastAsia="Times New Roman" w:hAnsi="David" w:cs="David"/>
          <w:spacing w:val="10"/>
          <w:sz w:val="24"/>
          <w:szCs w:val="24"/>
          <w:rtl/>
        </w:rPr>
      </w:pPr>
      <w:r w:rsidRPr="00C15932">
        <w:rPr>
          <w:rFonts w:ascii="David" w:eastAsia="Times New Roman" w:hAnsi="David" w:cs="David" w:hint="cs"/>
          <w:spacing w:val="10"/>
          <w:sz w:val="24"/>
          <w:szCs w:val="24"/>
          <w:rtl/>
        </w:rPr>
        <w:t>המדינה אף התייחסה באופן מפורט לטענותיו של שחם ביחס לקביעות העובדתיות של בית המשפט, ונימקה מדוע לטענתה אין מקום להתערב בהן או בקביעות המהימנות שהגיעו בסופן. משערכאת הערעור ככלל אינה מתערבת בקביעות אלו, לא ראיתי מקום לפרטן במסגרת תמצית טיעוני הצדדים.</w:t>
      </w:r>
    </w:p>
    <w:p w:rsidR="00F41C1E" w:rsidRPr="00373B46" w:rsidRDefault="004E14DF" w:rsidP="003A5BEF">
      <w:pPr>
        <w:spacing w:line="360" w:lineRule="auto"/>
        <w:jc w:val="both"/>
        <w:rPr>
          <w:rFonts w:ascii="David" w:eastAsia="Times New Roman" w:hAnsi="David" w:cs="David"/>
          <w:b/>
          <w:bCs/>
          <w:spacing w:val="10"/>
          <w:sz w:val="28"/>
          <w:szCs w:val="28"/>
          <w:u w:val="single"/>
          <w:rtl/>
        </w:rPr>
      </w:pPr>
      <w:r w:rsidRPr="00373B46">
        <w:rPr>
          <w:rFonts w:ascii="David" w:eastAsia="Times New Roman" w:hAnsi="David" w:cs="David" w:hint="cs"/>
          <w:b/>
          <w:bCs/>
          <w:spacing w:val="10"/>
          <w:sz w:val="28"/>
          <w:szCs w:val="28"/>
          <w:u w:val="single"/>
          <w:rtl/>
        </w:rPr>
        <w:t>דיון והכרעה בערעור המדינה</w:t>
      </w:r>
    </w:p>
    <w:p w:rsidR="00613546" w:rsidRPr="00373B46" w:rsidRDefault="004E14DF" w:rsidP="00613546">
      <w:pPr>
        <w:spacing w:line="360" w:lineRule="auto"/>
        <w:jc w:val="both"/>
        <w:rPr>
          <w:rFonts w:ascii="David" w:eastAsia="Times New Roman" w:hAnsi="David" w:cs="David"/>
          <w:b/>
          <w:bCs/>
          <w:spacing w:val="10"/>
          <w:sz w:val="24"/>
          <w:szCs w:val="24"/>
          <w:u w:val="single"/>
          <w:rtl/>
        </w:rPr>
      </w:pPr>
      <w:r w:rsidRPr="00373B46">
        <w:rPr>
          <w:rFonts w:ascii="David" w:eastAsia="Times New Roman" w:hAnsi="David" w:cs="David" w:hint="cs"/>
          <w:b/>
          <w:bCs/>
          <w:spacing w:val="10"/>
          <w:sz w:val="24"/>
          <w:szCs w:val="24"/>
          <w:u w:val="single"/>
          <w:rtl/>
        </w:rPr>
        <w:t>פתח דבר</w:t>
      </w:r>
    </w:p>
    <w:p w:rsidR="001F7641" w:rsidRDefault="004E14DF" w:rsidP="002D0D7C">
      <w:pPr>
        <w:spacing w:after="120" w:line="360" w:lineRule="auto"/>
        <w:jc w:val="both"/>
        <w:rPr>
          <w:rFonts w:ascii="David" w:eastAsia="Times New Roman" w:hAnsi="David" w:cs="David"/>
          <w:b/>
          <w:bCs/>
          <w:spacing w:val="10"/>
          <w:sz w:val="24"/>
          <w:szCs w:val="24"/>
          <w:rtl/>
        </w:rPr>
      </w:pPr>
      <w:r w:rsidRPr="00373B46">
        <w:rPr>
          <w:rFonts w:ascii="David" w:eastAsia="Times New Roman" w:hAnsi="David" w:cs="David" w:hint="cs"/>
          <w:spacing w:val="10"/>
          <w:sz w:val="24"/>
          <w:szCs w:val="24"/>
          <w:rtl/>
        </w:rPr>
        <w:t xml:space="preserve">מרכז הכובד בערעור המדינה מצוי בעבירה הפלילית של מרמה והפרת האמונים ובתחומי פריסתה. עבירה זו, המנויה בסעיף 284 לחוק העונשין, עומדת במוקד אחת המחלוקות המשפטיות והמעשיות החשובות בעניין המאבק בעבירות בשירות הציבור וכלפיו, וזו לשונה: </w:t>
      </w:r>
    </w:p>
    <w:p w:rsidR="004E14DF" w:rsidRDefault="001F7641" w:rsidP="002D0D7C">
      <w:pPr>
        <w:spacing w:after="120" w:line="360" w:lineRule="auto"/>
        <w:jc w:val="both"/>
        <w:rPr>
          <w:rFonts w:ascii="David" w:eastAsia="Times New Roman" w:hAnsi="David" w:cs="David"/>
          <w:spacing w:val="10"/>
          <w:sz w:val="24"/>
          <w:szCs w:val="24"/>
          <w:rtl/>
        </w:rPr>
      </w:pPr>
      <w:r w:rsidRPr="001F7641">
        <w:rPr>
          <w:rFonts w:ascii="David" w:eastAsia="Times New Roman" w:hAnsi="David" w:cs="David"/>
          <w:b/>
          <w:bCs/>
          <w:spacing w:val="10"/>
          <w:sz w:val="24"/>
          <w:szCs w:val="24"/>
          <w:rtl/>
        </w:rPr>
        <w:t>"</w:t>
      </w:r>
      <w:r w:rsidRPr="001F7641">
        <w:rPr>
          <w:rFonts w:ascii="David" w:eastAsia="Times New Roman" w:hAnsi="David" w:cs="David" w:hint="eastAsia"/>
          <w:b/>
          <w:bCs/>
          <w:spacing w:val="10"/>
          <w:sz w:val="24"/>
          <w:szCs w:val="24"/>
          <w:rtl/>
        </w:rPr>
        <w:t>עובד</w:t>
      </w:r>
      <w:r w:rsidRPr="001F7641">
        <w:rPr>
          <w:rFonts w:ascii="David" w:eastAsia="Times New Roman" w:hAnsi="David" w:cs="David"/>
          <w:b/>
          <w:bCs/>
          <w:spacing w:val="10"/>
          <w:sz w:val="24"/>
          <w:szCs w:val="24"/>
          <w:rtl/>
        </w:rPr>
        <w:t xml:space="preserve"> </w:t>
      </w:r>
      <w:r w:rsidRPr="001F7641">
        <w:rPr>
          <w:rFonts w:ascii="David" w:eastAsia="Times New Roman" w:hAnsi="David" w:cs="David" w:hint="eastAsia"/>
          <w:b/>
          <w:bCs/>
          <w:spacing w:val="10"/>
          <w:sz w:val="24"/>
          <w:szCs w:val="24"/>
          <w:rtl/>
        </w:rPr>
        <w:t>הציבור</w:t>
      </w:r>
      <w:r w:rsidRPr="001F7641">
        <w:rPr>
          <w:rFonts w:ascii="David" w:eastAsia="Times New Roman" w:hAnsi="David" w:cs="David"/>
          <w:b/>
          <w:bCs/>
          <w:spacing w:val="10"/>
          <w:sz w:val="24"/>
          <w:szCs w:val="24"/>
          <w:rtl/>
        </w:rPr>
        <w:t xml:space="preserve"> </w:t>
      </w:r>
      <w:r w:rsidRPr="001F7641">
        <w:rPr>
          <w:rFonts w:ascii="David" w:eastAsia="Times New Roman" w:hAnsi="David" w:cs="David" w:hint="eastAsia"/>
          <w:b/>
          <w:bCs/>
          <w:spacing w:val="10"/>
          <w:sz w:val="24"/>
          <w:szCs w:val="24"/>
          <w:rtl/>
        </w:rPr>
        <w:t>העושה</w:t>
      </w:r>
      <w:r w:rsidRPr="001F7641">
        <w:rPr>
          <w:rFonts w:ascii="David" w:eastAsia="Times New Roman" w:hAnsi="David" w:cs="David"/>
          <w:b/>
          <w:bCs/>
          <w:spacing w:val="10"/>
          <w:sz w:val="24"/>
          <w:szCs w:val="24"/>
          <w:rtl/>
        </w:rPr>
        <w:t xml:space="preserve"> </w:t>
      </w:r>
      <w:r w:rsidRPr="001F7641">
        <w:rPr>
          <w:rFonts w:ascii="David" w:eastAsia="Times New Roman" w:hAnsi="David" w:cs="David" w:hint="eastAsia"/>
          <w:b/>
          <w:bCs/>
          <w:spacing w:val="10"/>
          <w:sz w:val="24"/>
          <w:szCs w:val="24"/>
          <w:rtl/>
        </w:rPr>
        <w:t>במילוי</w:t>
      </w:r>
      <w:r w:rsidRPr="001F7641">
        <w:rPr>
          <w:rFonts w:ascii="David" w:eastAsia="Times New Roman" w:hAnsi="David" w:cs="David"/>
          <w:b/>
          <w:bCs/>
          <w:spacing w:val="10"/>
          <w:sz w:val="24"/>
          <w:szCs w:val="24"/>
          <w:rtl/>
        </w:rPr>
        <w:t xml:space="preserve"> </w:t>
      </w:r>
      <w:r w:rsidRPr="001F7641">
        <w:rPr>
          <w:rFonts w:ascii="David" w:eastAsia="Times New Roman" w:hAnsi="David" w:cs="David" w:hint="eastAsia"/>
          <w:b/>
          <w:bCs/>
          <w:spacing w:val="10"/>
          <w:sz w:val="24"/>
          <w:szCs w:val="24"/>
          <w:rtl/>
        </w:rPr>
        <w:t>תפקידו</w:t>
      </w:r>
      <w:r w:rsidRPr="001F7641">
        <w:rPr>
          <w:rFonts w:ascii="David" w:eastAsia="Times New Roman" w:hAnsi="David" w:cs="David"/>
          <w:b/>
          <w:bCs/>
          <w:spacing w:val="10"/>
          <w:sz w:val="24"/>
          <w:szCs w:val="24"/>
          <w:rtl/>
        </w:rPr>
        <w:t xml:space="preserve"> </w:t>
      </w:r>
      <w:r w:rsidRPr="001F7641">
        <w:rPr>
          <w:rFonts w:ascii="David" w:eastAsia="Times New Roman" w:hAnsi="David" w:cs="David" w:hint="eastAsia"/>
          <w:b/>
          <w:bCs/>
          <w:spacing w:val="10"/>
          <w:sz w:val="24"/>
          <w:szCs w:val="24"/>
          <w:rtl/>
        </w:rPr>
        <w:t>מעשה</w:t>
      </w:r>
      <w:r w:rsidRPr="001F7641">
        <w:rPr>
          <w:rFonts w:ascii="David" w:eastAsia="Times New Roman" w:hAnsi="David" w:cs="David"/>
          <w:b/>
          <w:bCs/>
          <w:spacing w:val="10"/>
          <w:sz w:val="24"/>
          <w:szCs w:val="24"/>
          <w:rtl/>
        </w:rPr>
        <w:t xml:space="preserve"> </w:t>
      </w:r>
      <w:r w:rsidRPr="001F7641">
        <w:rPr>
          <w:rFonts w:ascii="David" w:eastAsia="Times New Roman" w:hAnsi="David" w:cs="David" w:hint="eastAsia"/>
          <w:b/>
          <w:bCs/>
          <w:spacing w:val="10"/>
          <w:sz w:val="24"/>
          <w:szCs w:val="24"/>
          <w:rtl/>
        </w:rPr>
        <w:t>מרמה</w:t>
      </w:r>
      <w:r w:rsidRPr="001F7641">
        <w:rPr>
          <w:rFonts w:ascii="David" w:eastAsia="Times New Roman" w:hAnsi="David" w:cs="David"/>
          <w:b/>
          <w:bCs/>
          <w:spacing w:val="10"/>
          <w:sz w:val="24"/>
          <w:szCs w:val="24"/>
          <w:rtl/>
        </w:rPr>
        <w:t xml:space="preserve"> </w:t>
      </w:r>
      <w:r w:rsidRPr="001F7641">
        <w:rPr>
          <w:rFonts w:ascii="David" w:eastAsia="Times New Roman" w:hAnsi="David" w:cs="David" w:hint="eastAsia"/>
          <w:b/>
          <w:bCs/>
          <w:spacing w:val="10"/>
          <w:sz w:val="24"/>
          <w:szCs w:val="24"/>
          <w:rtl/>
        </w:rPr>
        <w:t>או</w:t>
      </w:r>
      <w:r w:rsidRPr="001F7641">
        <w:rPr>
          <w:rFonts w:ascii="David" w:eastAsia="Times New Roman" w:hAnsi="David" w:cs="David"/>
          <w:b/>
          <w:bCs/>
          <w:spacing w:val="10"/>
          <w:sz w:val="24"/>
          <w:szCs w:val="24"/>
          <w:rtl/>
        </w:rPr>
        <w:t xml:space="preserve"> </w:t>
      </w:r>
      <w:r w:rsidRPr="001F7641">
        <w:rPr>
          <w:rFonts w:ascii="David" w:eastAsia="Times New Roman" w:hAnsi="David" w:cs="David" w:hint="eastAsia"/>
          <w:b/>
          <w:bCs/>
          <w:spacing w:val="10"/>
          <w:sz w:val="24"/>
          <w:szCs w:val="24"/>
          <w:rtl/>
        </w:rPr>
        <w:t>הפרת</w:t>
      </w:r>
      <w:r w:rsidRPr="001F7641">
        <w:rPr>
          <w:rFonts w:ascii="David" w:eastAsia="Times New Roman" w:hAnsi="David" w:cs="David"/>
          <w:b/>
          <w:bCs/>
          <w:spacing w:val="10"/>
          <w:sz w:val="24"/>
          <w:szCs w:val="24"/>
          <w:rtl/>
        </w:rPr>
        <w:t xml:space="preserve"> </w:t>
      </w:r>
      <w:r w:rsidRPr="001F7641">
        <w:rPr>
          <w:rFonts w:ascii="David" w:eastAsia="Times New Roman" w:hAnsi="David" w:cs="David" w:hint="eastAsia"/>
          <w:b/>
          <w:bCs/>
          <w:spacing w:val="10"/>
          <w:sz w:val="24"/>
          <w:szCs w:val="24"/>
          <w:rtl/>
        </w:rPr>
        <w:t>אמונים</w:t>
      </w:r>
      <w:r w:rsidRPr="001F7641">
        <w:rPr>
          <w:rFonts w:ascii="David" w:eastAsia="Times New Roman" w:hAnsi="David" w:cs="David"/>
          <w:b/>
          <w:bCs/>
          <w:spacing w:val="10"/>
          <w:sz w:val="24"/>
          <w:szCs w:val="24"/>
          <w:rtl/>
        </w:rPr>
        <w:t xml:space="preserve"> </w:t>
      </w:r>
      <w:r w:rsidRPr="001F7641">
        <w:rPr>
          <w:rFonts w:ascii="David" w:eastAsia="Times New Roman" w:hAnsi="David" w:cs="David" w:hint="eastAsia"/>
          <w:b/>
          <w:bCs/>
          <w:spacing w:val="10"/>
          <w:sz w:val="24"/>
          <w:szCs w:val="24"/>
          <w:rtl/>
        </w:rPr>
        <w:t>הפוגע</w:t>
      </w:r>
      <w:r w:rsidRPr="001F7641">
        <w:rPr>
          <w:rFonts w:ascii="David" w:eastAsia="Times New Roman" w:hAnsi="David" w:cs="David"/>
          <w:b/>
          <w:bCs/>
          <w:spacing w:val="10"/>
          <w:sz w:val="24"/>
          <w:szCs w:val="24"/>
          <w:rtl/>
        </w:rPr>
        <w:t xml:space="preserve"> </w:t>
      </w:r>
      <w:r w:rsidRPr="001F7641">
        <w:rPr>
          <w:rFonts w:ascii="David" w:eastAsia="Times New Roman" w:hAnsi="David" w:cs="David" w:hint="eastAsia"/>
          <w:b/>
          <w:bCs/>
          <w:spacing w:val="10"/>
          <w:sz w:val="24"/>
          <w:szCs w:val="24"/>
          <w:rtl/>
        </w:rPr>
        <w:t>בציבור</w:t>
      </w:r>
      <w:r w:rsidRPr="001F7641">
        <w:rPr>
          <w:rFonts w:ascii="David" w:eastAsia="Times New Roman" w:hAnsi="David" w:cs="David"/>
          <w:b/>
          <w:bCs/>
          <w:spacing w:val="10"/>
          <w:sz w:val="24"/>
          <w:szCs w:val="24"/>
          <w:rtl/>
        </w:rPr>
        <w:t xml:space="preserve">, </w:t>
      </w:r>
      <w:r w:rsidRPr="001F7641">
        <w:rPr>
          <w:rFonts w:ascii="David" w:eastAsia="Times New Roman" w:hAnsi="David" w:cs="David" w:hint="eastAsia"/>
          <w:b/>
          <w:bCs/>
          <w:spacing w:val="10"/>
          <w:sz w:val="24"/>
          <w:szCs w:val="24"/>
          <w:rtl/>
        </w:rPr>
        <w:t>אף</w:t>
      </w:r>
      <w:r w:rsidRPr="001F7641">
        <w:rPr>
          <w:rFonts w:ascii="David" w:eastAsia="Times New Roman" w:hAnsi="David" w:cs="David"/>
          <w:b/>
          <w:bCs/>
          <w:spacing w:val="10"/>
          <w:sz w:val="24"/>
          <w:szCs w:val="24"/>
          <w:rtl/>
        </w:rPr>
        <w:t xml:space="preserve"> </w:t>
      </w:r>
      <w:r w:rsidRPr="001F7641">
        <w:rPr>
          <w:rFonts w:ascii="David" w:eastAsia="Times New Roman" w:hAnsi="David" w:cs="David" w:hint="eastAsia"/>
          <w:b/>
          <w:bCs/>
          <w:spacing w:val="10"/>
          <w:sz w:val="24"/>
          <w:szCs w:val="24"/>
          <w:rtl/>
        </w:rPr>
        <w:t>אם</w:t>
      </w:r>
      <w:r w:rsidRPr="001F7641">
        <w:rPr>
          <w:rFonts w:ascii="David" w:eastAsia="Times New Roman" w:hAnsi="David" w:cs="David"/>
          <w:b/>
          <w:bCs/>
          <w:spacing w:val="10"/>
          <w:sz w:val="24"/>
          <w:szCs w:val="24"/>
          <w:rtl/>
        </w:rPr>
        <w:t xml:space="preserve"> </w:t>
      </w:r>
      <w:r w:rsidRPr="001F7641">
        <w:rPr>
          <w:rFonts w:ascii="David" w:eastAsia="Times New Roman" w:hAnsi="David" w:cs="David" w:hint="eastAsia"/>
          <w:b/>
          <w:bCs/>
          <w:spacing w:val="10"/>
          <w:sz w:val="24"/>
          <w:szCs w:val="24"/>
          <w:rtl/>
        </w:rPr>
        <w:t>לא</w:t>
      </w:r>
      <w:r w:rsidRPr="001F7641">
        <w:rPr>
          <w:rFonts w:ascii="David" w:eastAsia="Times New Roman" w:hAnsi="David" w:cs="David"/>
          <w:b/>
          <w:bCs/>
          <w:spacing w:val="10"/>
          <w:sz w:val="24"/>
          <w:szCs w:val="24"/>
          <w:rtl/>
        </w:rPr>
        <w:t xml:space="preserve"> </w:t>
      </w:r>
      <w:r w:rsidRPr="001F7641">
        <w:rPr>
          <w:rFonts w:ascii="David" w:eastAsia="Times New Roman" w:hAnsi="David" w:cs="David" w:hint="eastAsia"/>
          <w:b/>
          <w:bCs/>
          <w:spacing w:val="10"/>
          <w:sz w:val="24"/>
          <w:szCs w:val="24"/>
          <w:rtl/>
        </w:rPr>
        <w:t>היה</w:t>
      </w:r>
      <w:r w:rsidRPr="001F7641">
        <w:rPr>
          <w:rFonts w:ascii="David" w:eastAsia="Times New Roman" w:hAnsi="David" w:cs="David"/>
          <w:b/>
          <w:bCs/>
          <w:spacing w:val="10"/>
          <w:sz w:val="24"/>
          <w:szCs w:val="24"/>
          <w:rtl/>
        </w:rPr>
        <w:t xml:space="preserve"> </w:t>
      </w:r>
      <w:r w:rsidRPr="001F7641">
        <w:rPr>
          <w:rFonts w:ascii="David" w:eastAsia="Times New Roman" w:hAnsi="David" w:cs="David" w:hint="eastAsia"/>
          <w:b/>
          <w:bCs/>
          <w:spacing w:val="10"/>
          <w:sz w:val="24"/>
          <w:szCs w:val="24"/>
          <w:rtl/>
        </w:rPr>
        <w:t>במעשה</w:t>
      </w:r>
      <w:r w:rsidRPr="001F7641">
        <w:rPr>
          <w:rFonts w:ascii="David" w:eastAsia="Times New Roman" w:hAnsi="David" w:cs="David"/>
          <w:b/>
          <w:bCs/>
          <w:spacing w:val="10"/>
          <w:sz w:val="24"/>
          <w:szCs w:val="24"/>
          <w:rtl/>
        </w:rPr>
        <w:t xml:space="preserve"> </w:t>
      </w:r>
      <w:r w:rsidRPr="001F7641">
        <w:rPr>
          <w:rFonts w:ascii="David" w:eastAsia="Times New Roman" w:hAnsi="David" w:cs="David" w:hint="eastAsia"/>
          <w:b/>
          <w:bCs/>
          <w:spacing w:val="10"/>
          <w:sz w:val="24"/>
          <w:szCs w:val="24"/>
          <w:rtl/>
        </w:rPr>
        <w:t>משום</w:t>
      </w:r>
      <w:r w:rsidRPr="001F7641">
        <w:rPr>
          <w:rFonts w:ascii="David" w:eastAsia="Times New Roman" w:hAnsi="David" w:cs="David"/>
          <w:b/>
          <w:bCs/>
          <w:spacing w:val="10"/>
          <w:sz w:val="24"/>
          <w:szCs w:val="24"/>
          <w:rtl/>
        </w:rPr>
        <w:t xml:space="preserve"> </w:t>
      </w:r>
      <w:r w:rsidRPr="001F7641">
        <w:rPr>
          <w:rFonts w:ascii="David" w:eastAsia="Times New Roman" w:hAnsi="David" w:cs="David" w:hint="eastAsia"/>
          <w:b/>
          <w:bCs/>
          <w:spacing w:val="10"/>
          <w:sz w:val="24"/>
          <w:szCs w:val="24"/>
          <w:rtl/>
        </w:rPr>
        <w:t>עבירה</w:t>
      </w:r>
      <w:r w:rsidRPr="001F7641">
        <w:rPr>
          <w:rFonts w:ascii="David" w:eastAsia="Times New Roman" w:hAnsi="David" w:cs="David"/>
          <w:b/>
          <w:bCs/>
          <w:spacing w:val="10"/>
          <w:sz w:val="24"/>
          <w:szCs w:val="24"/>
          <w:rtl/>
        </w:rPr>
        <w:t xml:space="preserve"> </w:t>
      </w:r>
      <w:r w:rsidRPr="001F7641">
        <w:rPr>
          <w:rFonts w:ascii="David" w:eastAsia="Times New Roman" w:hAnsi="David" w:cs="David" w:hint="eastAsia"/>
          <w:b/>
          <w:bCs/>
          <w:spacing w:val="10"/>
          <w:sz w:val="24"/>
          <w:szCs w:val="24"/>
          <w:rtl/>
        </w:rPr>
        <w:t>אילו</w:t>
      </w:r>
      <w:r w:rsidRPr="001F7641">
        <w:rPr>
          <w:rFonts w:ascii="David" w:eastAsia="Times New Roman" w:hAnsi="David" w:cs="David"/>
          <w:b/>
          <w:bCs/>
          <w:spacing w:val="10"/>
          <w:sz w:val="24"/>
          <w:szCs w:val="24"/>
          <w:rtl/>
        </w:rPr>
        <w:t xml:space="preserve"> </w:t>
      </w:r>
      <w:r w:rsidRPr="001F7641">
        <w:rPr>
          <w:rFonts w:ascii="David" w:eastAsia="Times New Roman" w:hAnsi="David" w:cs="David" w:hint="eastAsia"/>
          <w:b/>
          <w:bCs/>
          <w:spacing w:val="10"/>
          <w:sz w:val="24"/>
          <w:szCs w:val="24"/>
          <w:rtl/>
        </w:rPr>
        <w:t>נעשה</w:t>
      </w:r>
      <w:r w:rsidRPr="001F7641">
        <w:rPr>
          <w:rFonts w:ascii="David" w:eastAsia="Times New Roman" w:hAnsi="David" w:cs="David"/>
          <w:b/>
          <w:bCs/>
          <w:spacing w:val="10"/>
          <w:sz w:val="24"/>
          <w:szCs w:val="24"/>
          <w:rtl/>
        </w:rPr>
        <w:t xml:space="preserve"> </w:t>
      </w:r>
      <w:r w:rsidRPr="001F7641">
        <w:rPr>
          <w:rFonts w:ascii="David" w:eastAsia="Times New Roman" w:hAnsi="David" w:cs="David" w:hint="eastAsia"/>
          <w:b/>
          <w:bCs/>
          <w:spacing w:val="10"/>
          <w:sz w:val="24"/>
          <w:szCs w:val="24"/>
          <w:rtl/>
        </w:rPr>
        <w:t>כנגד</w:t>
      </w:r>
      <w:r w:rsidRPr="001F7641">
        <w:rPr>
          <w:rFonts w:ascii="David" w:eastAsia="Times New Roman" w:hAnsi="David" w:cs="David"/>
          <w:b/>
          <w:bCs/>
          <w:spacing w:val="10"/>
          <w:sz w:val="24"/>
          <w:szCs w:val="24"/>
          <w:rtl/>
        </w:rPr>
        <w:t xml:space="preserve"> </w:t>
      </w:r>
      <w:r w:rsidRPr="001F7641">
        <w:rPr>
          <w:rFonts w:ascii="David" w:eastAsia="Times New Roman" w:hAnsi="David" w:cs="David" w:hint="eastAsia"/>
          <w:b/>
          <w:bCs/>
          <w:spacing w:val="10"/>
          <w:sz w:val="24"/>
          <w:szCs w:val="24"/>
          <w:rtl/>
        </w:rPr>
        <w:t>יחיד</w:t>
      </w:r>
      <w:r w:rsidRPr="001F7641">
        <w:rPr>
          <w:rFonts w:ascii="David" w:eastAsia="Times New Roman" w:hAnsi="David" w:cs="David"/>
          <w:b/>
          <w:bCs/>
          <w:spacing w:val="10"/>
          <w:sz w:val="24"/>
          <w:szCs w:val="24"/>
          <w:rtl/>
        </w:rPr>
        <w:t xml:space="preserve">, </w:t>
      </w:r>
      <w:r w:rsidRPr="001F7641">
        <w:rPr>
          <w:rFonts w:ascii="David" w:eastAsia="Times New Roman" w:hAnsi="David" w:cs="David" w:hint="eastAsia"/>
          <w:b/>
          <w:bCs/>
          <w:spacing w:val="10"/>
          <w:sz w:val="24"/>
          <w:szCs w:val="24"/>
          <w:rtl/>
        </w:rPr>
        <w:t>דינו</w:t>
      </w:r>
      <w:r w:rsidRPr="001F7641">
        <w:rPr>
          <w:rFonts w:ascii="David" w:eastAsia="Times New Roman" w:hAnsi="David" w:cs="David"/>
          <w:b/>
          <w:bCs/>
          <w:spacing w:val="10"/>
          <w:sz w:val="24"/>
          <w:szCs w:val="24"/>
          <w:rtl/>
        </w:rPr>
        <w:t xml:space="preserve"> – </w:t>
      </w:r>
      <w:r w:rsidRPr="001F7641">
        <w:rPr>
          <w:rFonts w:ascii="David" w:eastAsia="Times New Roman" w:hAnsi="David" w:cs="David" w:hint="eastAsia"/>
          <w:b/>
          <w:bCs/>
          <w:spacing w:val="10"/>
          <w:sz w:val="24"/>
          <w:szCs w:val="24"/>
          <w:rtl/>
        </w:rPr>
        <w:t>מאסר</w:t>
      </w:r>
      <w:r w:rsidRPr="001F7641">
        <w:rPr>
          <w:rFonts w:ascii="David" w:eastAsia="Times New Roman" w:hAnsi="David" w:cs="David"/>
          <w:b/>
          <w:bCs/>
          <w:spacing w:val="10"/>
          <w:sz w:val="24"/>
          <w:szCs w:val="24"/>
          <w:rtl/>
        </w:rPr>
        <w:t xml:space="preserve"> </w:t>
      </w:r>
      <w:r w:rsidRPr="001F7641">
        <w:rPr>
          <w:rFonts w:ascii="David" w:eastAsia="Times New Roman" w:hAnsi="David" w:cs="David" w:hint="eastAsia"/>
          <w:b/>
          <w:bCs/>
          <w:spacing w:val="10"/>
          <w:sz w:val="24"/>
          <w:szCs w:val="24"/>
          <w:rtl/>
        </w:rPr>
        <w:t>שלוש</w:t>
      </w:r>
      <w:r w:rsidRPr="001F7641">
        <w:rPr>
          <w:rFonts w:ascii="David" w:eastAsia="Times New Roman" w:hAnsi="David" w:cs="David"/>
          <w:b/>
          <w:bCs/>
          <w:spacing w:val="10"/>
          <w:sz w:val="24"/>
          <w:szCs w:val="24"/>
          <w:rtl/>
        </w:rPr>
        <w:t xml:space="preserve"> </w:t>
      </w:r>
      <w:r w:rsidRPr="001F7641">
        <w:rPr>
          <w:rFonts w:ascii="David" w:eastAsia="Times New Roman" w:hAnsi="David" w:cs="David" w:hint="eastAsia"/>
          <w:b/>
          <w:bCs/>
          <w:spacing w:val="10"/>
          <w:sz w:val="24"/>
          <w:szCs w:val="24"/>
          <w:rtl/>
        </w:rPr>
        <w:t>שנים</w:t>
      </w:r>
      <w:r w:rsidRPr="001F7641">
        <w:rPr>
          <w:rFonts w:ascii="David" w:eastAsia="Times New Roman" w:hAnsi="David" w:cs="David"/>
          <w:b/>
          <w:bCs/>
          <w:spacing w:val="10"/>
          <w:sz w:val="24"/>
          <w:szCs w:val="24"/>
          <w:rtl/>
        </w:rPr>
        <w:t>"</w:t>
      </w:r>
      <w:r w:rsidRPr="001F7641">
        <w:rPr>
          <w:rFonts w:ascii="David" w:eastAsia="Times New Roman" w:hAnsi="David" w:cs="David"/>
          <w:spacing w:val="10"/>
          <w:sz w:val="24"/>
          <w:szCs w:val="24"/>
          <w:rtl/>
        </w:rPr>
        <w:t xml:space="preserve">. </w:t>
      </w:r>
    </w:p>
    <w:p w:rsidR="00613546" w:rsidRDefault="004E14DF" w:rsidP="000A5565">
      <w:pPr>
        <w:spacing w:after="0" w:line="360" w:lineRule="auto"/>
        <w:jc w:val="both"/>
        <w:rPr>
          <w:rFonts w:ascii="David" w:eastAsia="Times New Roman" w:hAnsi="David" w:cs="David"/>
          <w:spacing w:val="10"/>
          <w:sz w:val="24"/>
          <w:szCs w:val="24"/>
          <w:rtl/>
        </w:rPr>
      </w:pPr>
      <w:r w:rsidRPr="00373B46">
        <w:rPr>
          <w:rFonts w:ascii="David" w:eastAsia="Times New Roman" w:hAnsi="David" w:cs="David" w:hint="cs"/>
          <w:spacing w:val="10"/>
          <w:sz w:val="24"/>
          <w:szCs w:val="24"/>
          <w:rtl/>
        </w:rPr>
        <w:t xml:space="preserve">העקרונות שנקבעו בפרשת שבס שהוקדשה לדיון בשאלת עמידתה של העבירה בעיקרון החוקיות והגדרת יסודותיה, הם אלה אשר לאורם ניתחה הפסיקה את העבירה מאז ועד היום. בפרשה זו נקבע כי תכליתו של האיסור הפלילי היא לשמור ולהגן על האמון שרוחש הציבור למוסדות השלטון </w:t>
      </w:r>
      <w:r w:rsidRPr="00373B46">
        <w:rPr>
          <w:rFonts w:ascii="David" w:eastAsia="Times New Roman" w:hAnsi="David" w:cs="David"/>
          <w:spacing w:val="10"/>
          <w:sz w:val="24"/>
          <w:szCs w:val="24"/>
          <w:rtl/>
        </w:rPr>
        <w:t>–</w:t>
      </w:r>
      <w:r w:rsidRPr="00373B46">
        <w:rPr>
          <w:rFonts w:ascii="David" w:eastAsia="Times New Roman" w:hAnsi="David" w:cs="David" w:hint="cs"/>
          <w:spacing w:val="10"/>
          <w:sz w:val="24"/>
          <w:szCs w:val="24"/>
          <w:rtl/>
        </w:rPr>
        <w:t xml:space="preserve"> אמון שהוא הכרחי לתפקודם של עובדי הציבור וחיוני לשמירה על המסגרות החברתיות. הודגש כי התנהגויות שיש בהן הפרת אמונים מהוות סכנה לחברה ולסדרי המנהל התקין באשר: </w:t>
      </w:r>
    </w:p>
    <w:p w:rsidR="00613546" w:rsidRPr="002D0D7C" w:rsidRDefault="004E14DF" w:rsidP="000A5565">
      <w:pPr>
        <w:spacing w:after="100" w:afterAutospacing="1" w:line="360" w:lineRule="auto"/>
        <w:jc w:val="both"/>
        <w:rPr>
          <w:rFonts w:ascii="David" w:eastAsia="Times New Roman" w:hAnsi="David" w:cs="David"/>
          <w:spacing w:val="10"/>
          <w:sz w:val="24"/>
          <w:szCs w:val="24"/>
          <w:rtl/>
        </w:rPr>
      </w:pPr>
      <w:r w:rsidRPr="00373B46">
        <w:rPr>
          <w:rFonts w:ascii="David" w:eastAsia="Times New Roman" w:hAnsi="David" w:cs="David" w:hint="cs"/>
          <w:b/>
          <w:bCs/>
          <w:spacing w:val="10"/>
          <w:sz w:val="24"/>
          <w:szCs w:val="24"/>
          <w:rtl/>
        </w:rPr>
        <w:t>"הן מכרסמות בעבותות הקושרות אותנו כבני חברה אחת, הן מפרות את האמון של פרט בפרט, ושל הפרט בשלטון. הן מעודדות זלזול כלפי רשויות המנהל וכלפי הסדר החברתי הקיים. הן מטפחות ציניות כלפי רשויות המנהל וכלפי הסדר החברתי הקיים. הן פוגמות באמון הפרט בתפקודו של הכלל, ובכך מערערות את היציבות החברתית"</w:t>
      </w:r>
      <w:r w:rsidRPr="00373B46">
        <w:rPr>
          <w:rFonts w:ascii="David" w:eastAsia="Times New Roman" w:hAnsi="David" w:cs="David" w:hint="cs"/>
          <w:spacing w:val="10"/>
          <w:sz w:val="24"/>
          <w:szCs w:val="24"/>
          <w:rtl/>
        </w:rPr>
        <w:t xml:space="preserve">. ובהמשך: </w:t>
      </w:r>
      <w:r w:rsidRPr="00373B46">
        <w:rPr>
          <w:rFonts w:ascii="David" w:eastAsia="Times New Roman" w:hAnsi="David" w:cs="David" w:hint="cs"/>
          <w:b/>
          <w:bCs/>
          <w:spacing w:val="10"/>
          <w:sz w:val="24"/>
          <w:szCs w:val="24"/>
          <w:rtl/>
        </w:rPr>
        <w:lastRenderedPageBreak/>
        <w:t>"תדמיתו של השירות הציבורי בעיני הציבור, האמון שרוחש הציבור לתקינות פעילותו וטוהר המידות של עובדיו הם תנאים הכרחיים לקיומו של שלטון תקין, ועל כן הינם אינטרסים חברתיים, הראויים להגנת המשפט הפלילי"</w:t>
      </w:r>
      <w:r w:rsidRPr="00373B46">
        <w:rPr>
          <w:rFonts w:ascii="David" w:eastAsia="Times New Roman" w:hAnsi="David" w:cs="David" w:hint="cs"/>
          <w:spacing w:val="10"/>
          <w:sz w:val="24"/>
          <w:szCs w:val="24"/>
          <w:rtl/>
        </w:rPr>
        <w:t xml:space="preserve"> (שם, עמ׳ 410).  </w:t>
      </w:r>
    </w:p>
    <w:p w:rsidR="00445E83" w:rsidRDefault="004E14DF" w:rsidP="000A5565">
      <w:pPr>
        <w:spacing w:after="100" w:afterAutospacing="1" w:line="360" w:lineRule="auto"/>
        <w:jc w:val="both"/>
        <w:rPr>
          <w:rFonts w:ascii="David" w:eastAsia="Times New Roman" w:hAnsi="David" w:cs="David"/>
          <w:spacing w:val="10"/>
          <w:sz w:val="24"/>
          <w:szCs w:val="24"/>
          <w:rtl/>
        </w:rPr>
      </w:pPr>
      <w:r w:rsidRPr="00373B46">
        <w:rPr>
          <w:rFonts w:ascii="David" w:eastAsia="Times New Roman" w:hAnsi="David" w:cs="David" w:hint="cs"/>
          <w:spacing w:val="10"/>
          <w:sz w:val="24"/>
          <w:szCs w:val="24"/>
          <w:rtl/>
        </w:rPr>
        <w:t xml:space="preserve">ביתר פירוט נקבע, כי העבירה נועדה לשמור על שלושה ערכים מוגנים, כל אחד בנפרד ושלושתם גם יחד </w:t>
      </w:r>
      <w:r w:rsidRPr="00373B46">
        <w:rPr>
          <w:rFonts w:ascii="David" w:eastAsia="Times New Roman" w:hAnsi="David" w:cs="David"/>
          <w:spacing w:val="10"/>
          <w:sz w:val="24"/>
          <w:szCs w:val="24"/>
          <w:rtl/>
        </w:rPr>
        <w:t>–</w:t>
      </w:r>
      <w:r w:rsidRPr="00373B46">
        <w:rPr>
          <w:rFonts w:ascii="David" w:eastAsia="Times New Roman" w:hAnsi="David" w:cs="David" w:hint="cs"/>
          <w:spacing w:val="10"/>
          <w:sz w:val="24"/>
          <w:szCs w:val="24"/>
          <w:rtl/>
        </w:rPr>
        <w:t xml:space="preserve"> אמון הציבור בעובדי הציבור, טוהר המידות של עובדי הציבור ופעילותו התקינה של השירות הציבורי.  שמירה קפדנית זו </w:t>
      </w:r>
      <w:r w:rsidR="002D0D7C">
        <w:rPr>
          <w:rFonts w:ascii="David" w:eastAsia="Times New Roman" w:hAnsi="David" w:cs="David" w:hint="cs"/>
          <w:spacing w:val="10"/>
          <w:sz w:val="24"/>
          <w:szCs w:val="24"/>
          <w:rtl/>
        </w:rPr>
        <w:t>היא בנשמת אפו של השירות הציבורי.</w:t>
      </w:r>
      <w:r w:rsidRPr="00373B46">
        <w:rPr>
          <w:rFonts w:ascii="David" w:eastAsia="Times New Roman" w:hAnsi="David" w:cs="David" w:hint="cs"/>
          <w:spacing w:val="10"/>
          <w:sz w:val="24"/>
          <w:szCs w:val="24"/>
          <w:rtl/>
        </w:rPr>
        <w:t xml:space="preserve"> </w:t>
      </w:r>
    </w:p>
    <w:p w:rsidR="00613546" w:rsidRPr="00373B46" w:rsidRDefault="004E14DF" w:rsidP="000A5565">
      <w:pPr>
        <w:spacing w:after="100" w:afterAutospacing="1" w:line="360" w:lineRule="auto"/>
        <w:jc w:val="both"/>
        <w:rPr>
          <w:rFonts w:ascii="David" w:eastAsia="Times New Roman" w:hAnsi="David" w:cs="David"/>
          <w:spacing w:val="10"/>
          <w:sz w:val="24"/>
          <w:szCs w:val="24"/>
          <w:rtl/>
        </w:rPr>
      </w:pPr>
      <w:r w:rsidRPr="00373B46">
        <w:rPr>
          <w:rFonts w:ascii="David" w:eastAsia="Times New Roman" w:hAnsi="David" w:cs="David" w:hint="cs"/>
          <w:spacing w:val="10"/>
          <w:sz w:val="24"/>
          <w:szCs w:val="24"/>
          <w:rtl/>
        </w:rPr>
        <w:t xml:space="preserve">המדובר אפוא בעבירה בעלת "רקמה פתוחה", שיסודותיה העובדתיים אינם מוגדרים וגבולותיה אינם ברורים דיים. בהיותה "עבירת-סל" או עבירת מסגרת, טבעי שזו מעוררת מחלוקת סביב פרשנותה הראויה והיקף התפרשותה במשפט המצוי ובמשפט הראוי. בחינה עקרונית של סוגיה משפטית זו היא שעומדת במרכזו של הדיון בענייננו. ודוק: </w:t>
      </w:r>
      <w:r w:rsidRPr="00373B46">
        <w:rPr>
          <w:rFonts w:ascii="David" w:eastAsia="Times New Roman" w:hAnsi="David" w:cs="David"/>
          <w:spacing w:val="10"/>
          <w:sz w:val="24"/>
          <w:szCs w:val="24"/>
          <w:rtl/>
        </w:rPr>
        <w:t>במסגרת הערעור עלו שאלות נוספות, הכרוכות או נגזרות מ</w:t>
      </w:r>
      <w:r w:rsidRPr="00373B46">
        <w:rPr>
          <w:rFonts w:ascii="David" w:eastAsia="Times New Roman" w:hAnsi="David" w:cs="David" w:hint="cs"/>
          <w:spacing w:val="10"/>
          <w:sz w:val="24"/>
          <w:szCs w:val="24"/>
          <w:rtl/>
        </w:rPr>
        <w:t>סוגי</w:t>
      </w:r>
      <w:r w:rsidRPr="00373B46">
        <w:rPr>
          <w:rFonts w:ascii="David" w:eastAsia="Times New Roman" w:hAnsi="David" w:cs="David"/>
          <w:spacing w:val="10"/>
          <w:sz w:val="24"/>
          <w:szCs w:val="24"/>
          <w:rtl/>
        </w:rPr>
        <w:t>ה זו</w:t>
      </w:r>
      <w:r w:rsidRPr="00373B46">
        <w:rPr>
          <w:rFonts w:ascii="David" w:eastAsia="Times New Roman" w:hAnsi="David" w:cs="David" w:hint="cs"/>
          <w:spacing w:val="10"/>
          <w:sz w:val="24"/>
          <w:szCs w:val="24"/>
          <w:rtl/>
        </w:rPr>
        <w:t xml:space="preserve">, והן יידונו לגופן ובהקשר הנדון. </w:t>
      </w:r>
    </w:p>
    <w:p w:rsidR="00445E83" w:rsidRDefault="004E14DF" w:rsidP="009A5F29">
      <w:pPr>
        <w:spacing w:after="0" w:line="360" w:lineRule="auto"/>
        <w:jc w:val="both"/>
        <w:rPr>
          <w:rFonts w:ascii="David" w:eastAsia="Times New Roman" w:hAnsi="David" w:cs="David"/>
          <w:spacing w:val="10"/>
          <w:sz w:val="24"/>
          <w:szCs w:val="24"/>
          <w:rtl/>
        </w:rPr>
      </w:pPr>
      <w:r w:rsidRPr="00373B46">
        <w:rPr>
          <w:rFonts w:ascii="David" w:eastAsia="Times New Roman" w:hAnsi="David" w:cs="David" w:hint="cs"/>
          <w:spacing w:val="10"/>
          <w:sz w:val="24"/>
          <w:szCs w:val="24"/>
          <w:rtl/>
        </w:rPr>
        <w:t xml:space="preserve">ארבע שאלות מרכזיות ניצבות לפנינו בערעור דנן. האחת, האם די בדפוס התנהלותו של שחם </w:t>
      </w:r>
      <w:r w:rsidRPr="00373B46">
        <w:rPr>
          <w:rFonts w:ascii="David" w:eastAsia="Times New Roman" w:hAnsi="David" w:cs="David"/>
          <w:spacing w:val="10"/>
          <w:sz w:val="24"/>
          <w:szCs w:val="24"/>
          <w:rtl/>
        </w:rPr>
        <w:t>–</w:t>
      </w:r>
      <w:r w:rsidRPr="00373B46">
        <w:rPr>
          <w:rFonts w:ascii="David" w:eastAsia="Times New Roman" w:hAnsi="David" w:cs="David" w:hint="cs"/>
          <w:spacing w:val="10"/>
          <w:sz w:val="24"/>
          <w:szCs w:val="24"/>
          <w:rtl/>
        </w:rPr>
        <w:t xml:space="preserve"> בבצעו מעשים מיניים, בין בהסכמה ובין בלא הסכמה, עם שוטרות זוטרות </w:t>
      </w:r>
      <w:r w:rsidRPr="00373B46">
        <w:rPr>
          <w:rFonts w:ascii="David" w:eastAsia="Times New Roman" w:hAnsi="David" w:cs="David"/>
          <w:spacing w:val="10"/>
          <w:sz w:val="24"/>
          <w:szCs w:val="24"/>
          <w:rtl/>
        </w:rPr>
        <w:t>–</w:t>
      </w:r>
      <w:r w:rsidRPr="00373B46">
        <w:rPr>
          <w:rFonts w:ascii="David" w:eastAsia="Times New Roman" w:hAnsi="David" w:cs="David" w:hint="cs"/>
          <w:spacing w:val="10"/>
          <w:sz w:val="24"/>
          <w:szCs w:val="24"/>
          <w:rtl/>
        </w:rPr>
        <w:t xml:space="preserve"> כדי להכניסו לגדר העבירה הפלילית של מרמה והפרת אמונים? השנייה, האם די בדפוס התנהלותו של שחם </w:t>
      </w:r>
      <w:r w:rsidRPr="00373B46">
        <w:rPr>
          <w:rFonts w:ascii="David" w:eastAsia="Times New Roman" w:hAnsi="David" w:cs="David"/>
          <w:spacing w:val="10"/>
          <w:sz w:val="24"/>
          <w:szCs w:val="24"/>
          <w:rtl/>
        </w:rPr>
        <w:t>–</w:t>
      </w:r>
      <w:r w:rsidRPr="00373B46">
        <w:rPr>
          <w:rFonts w:ascii="David" w:eastAsia="Times New Roman" w:hAnsi="David" w:cs="David" w:hint="cs"/>
          <w:spacing w:val="10"/>
          <w:sz w:val="24"/>
          <w:szCs w:val="24"/>
          <w:rtl/>
        </w:rPr>
        <w:t xml:space="preserve"> בקבלת החלטות בעניינן של השוטרות, בהיותו במצב של ניגוד עניינים </w:t>
      </w:r>
      <w:r w:rsidRPr="00373B46">
        <w:rPr>
          <w:rFonts w:ascii="David" w:eastAsia="Times New Roman" w:hAnsi="David" w:cs="David"/>
          <w:spacing w:val="10"/>
          <w:sz w:val="24"/>
          <w:szCs w:val="24"/>
          <w:rtl/>
        </w:rPr>
        <w:t>–</w:t>
      </w:r>
      <w:r w:rsidRPr="00373B46">
        <w:rPr>
          <w:rFonts w:ascii="David" w:eastAsia="Times New Roman" w:hAnsi="David" w:cs="David" w:hint="cs"/>
          <w:spacing w:val="10"/>
          <w:sz w:val="24"/>
          <w:szCs w:val="24"/>
          <w:rtl/>
        </w:rPr>
        <w:t xml:space="preserve"> כדי להכניסו לגדר אותה עבירה? השלישית, האם ראוי במסגרת הנורמטיבית הקיימת לקבל את תזת הצבירה, לפיה ניתן לצבור אסופה של ניגודי עניינים שאינם פליליים לכדי עבירה פלילית אחת של מרמה והפרת אמונים? הרביעית, האם התנהלותו של שחם בפרשה השביעית עולה כדי עבירה של הטרדה מינית תוך ניצול יחסי מרות, ובפרט </w:t>
      </w:r>
      <w:r w:rsidRPr="00373B46">
        <w:rPr>
          <w:rFonts w:ascii="David" w:eastAsia="Times New Roman" w:hAnsi="David" w:cs="David"/>
          <w:spacing w:val="10"/>
          <w:sz w:val="24"/>
          <w:szCs w:val="24"/>
          <w:rtl/>
        </w:rPr>
        <w:t>–</w:t>
      </w:r>
      <w:r w:rsidRPr="00373B46">
        <w:rPr>
          <w:rFonts w:ascii="David" w:eastAsia="Times New Roman" w:hAnsi="David" w:cs="David" w:hint="cs"/>
          <w:spacing w:val="10"/>
          <w:sz w:val="24"/>
          <w:szCs w:val="24"/>
          <w:rtl/>
        </w:rPr>
        <w:t xml:space="preserve"> האם מסרון אחד המורכב משיח בין הצדדים יכול כשלעצמו לקיים את דרישת החוק למניעת הטרדה מינית לקיומן של "הצעות חוזרות בעלות אופי מיני"? </w:t>
      </w:r>
    </w:p>
    <w:p w:rsidR="00613546" w:rsidRPr="00373B46" w:rsidRDefault="004E14DF" w:rsidP="009A5F29">
      <w:pPr>
        <w:spacing w:after="0" w:line="360" w:lineRule="auto"/>
        <w:jc w:val="both"/>
        <w:rPr>
          <w:rFonts w:ascii="David" w:eastAsia="Times New Roman" w:hAnsi="David" w:cs="David"/>
          <w:spacing w:val="10"/>
          <w:sz w:val="24"/>
          <w:szCs w:val="24"/>
          <w:rtl/>
        </w:rPr>
      </w:pPr>
      <w:r w:rsidRPr="00373B46">
        <w:rPr>
          <w:rFonts w:ascii="David" w:eastAsia="Times New Roman" w:hAnsi="David" w:cs="David" w:hint="cs"/>
          <w:spacing w:val="10"/>
          <w:sz w:val="24"/>
          <w:szCs w:val="24"/>
          <w:rtl/>
        </w:rPr>
        <w:t xml:space="preserve">בתשובתי לשאלות אלו אניח כתשתית לבחינתי את המסגרת העובדתית כפי שעולה מהכרעת הדין של בית המשפט. להלן אבחן כל שאלה בנפרד. </w:t>
      </w:r>
    </w:p>
    <w:p w:rsidR="009A5F29" w:rsidRPr="00373B46" w:rsidRDefault="009A5F29" w:rsidP="009A5F29">
      <w:pPr>
        <w:spacing w:after="0" w:line="360" w:lineRule="auto"/>
        <w:jc w:val="both"/>
        <w:rPr>
          <w:rFonts w:ascii="David" w:eastAsia="Times New Roman" w:hAnsi="David" w:cs="David"/>
          <w:spacing w:val="10"/>
          <w:sz w:val="24"/>
          <w:szCs w:val="24"/>
          <w:rtl/>
        </w:rPr>
      </w:pPr>
    </w:p>
    <w:p w:rsidR="00613546" w:rsidRPr="00373B46" w:rsidRDefault="004E14DF" w:rsidP="00613546">
      <w:pPr>
        <w:spacing w:line="360" w:lineRule="auto"/>
        <w:jc w:val="both"/>
        <w:rPr>
          <w:rFonts w:ascii="David" w:eastAsia="Times New Roman" w:hAnsi="David" w:cs="David"/>
          <w:b/>
          <w:bCs/>
          <w:spacing w:val="10"/>
          <w:sz w:val="24"/>
          <w:szCs w:val="24"/>
          <w:u w:val="single"/>
          <w:rtl/>
        </w:rPr>
      </w:pPr>
      <w:r w:rsidRPr="00373B46">
        <w:rPr>
          <w:rFonts w:ascii="David" w:eastAsia="Times New Roman" w:hAnsi="David" w:cs="David"/>
          <w:b/>
          <w:bCs/>
          <w:spacing w:val="10"/>
          <w:sz w:val="24"/>
          <w:szCs w:val="24"/>
          <w:u w:val="single"/>
          <w:rtl/>
        </w:rPr>
        <w:t>האם די בדפוס התנהלותו של שחם – בבצעו מעשים מיניים</w:t>
      </w:r>
      <w:r w:rsidRPr="00373B46">
        <w:rPr>
          <w:rFonts w:ascii="David" w:eastAsia="Times New Roman" w:hAnsi="David" w:cs="David" w:hint="cs"/>
          <w:b/>
          <w:bCs/>
          <w:spacing w:val="10"/>
          <w:sz w:val="24"/>
          <w:szCs w:val="24"/>
          <w:u w:val="single"/>
          <w:rtl/>
        </w:rPr>
        <w:t xml:space="preserve">, </w:t>
      </w:r>
      <w:r w:rsidRPr="00373B46">
        <w:rPr>
          <w:rFonts w:ascii="David" w:eastAsia="Times New Roman" w:hAnsi="David" w:cs="David"/>
          <w:b/>
          <w:bCs/>
          <w:spacing w:val="10"/>
          <w:sz w:val="24"/>
          <w:szCs w:val="24"/>
          <w:u w:val="single"/>
          <w:rtl/>
        </w:rPr>
        <w:t>בין בהסכמה ובין בלא הסכמה, עם שוטרות זוטרות – כדי להכניסו לגדר העבירה הפלילית של מרמה והפרת אמונים?</w:t>
      </w:r>
    </w:p>
    <w:p w:rsidR="00613546" w:rsidRPr="00373B46" w:rsidRDefault="004E14DF" w:rsidP="000A5565">
      <w:pPr>
        <w:spacing w:after="0" w:line="360" w:lineRule="auto"/>
        <w:jc w:val="both"/>
        <w:rPr>
          <w:rFonts w:ascii="David" w:hAnsi="David" w:cs="David"/>
          <w:color w:val="FF0000"/>
          <w:sz w:val="24"/>
          <w:szCs w:val="24"/>
          <w:u w:val="double"/>
          <w:rtl/>
        </w:rPr>
      </w:pPr>
      <w:r w:rsidRPr="00373B46">
        <w:rPr>
          <w:rFonts w:ascii="David" w:eastAsia="Times New Roman" w:hAnsi="David" w:cs="David" w:hint="cs"/>
          <w:spacing w:val="10"/>
          <w:sz w:val="24"/>
          <w:szCs w:val="24"/>
          <w:u w:val="single"/>
          <w:rtl/>
        </w:rPr>
        <w:t>מעשה הפרת אמונים</w:t>
      </w:r>
    </w:p>
    <w:p w:rsidR="00613546" w:rsidRPr="00373B46" w:rsidRDefault="004E14DF" w:rsidP="00445E83">
      <w:pPr>
        <w:spacing w:after="0" w:line="360" w:lineRule="auto"/>
        <w:jc w:val="both"/>
        <w:rPr>
          <w:rFonts w:ascii="David" w:eastAsia="Times New Roman" w:hAnsi="David" w:cs="David"/>
          <w:spacing w:val="10"/>
          <w:sz w:val="24"/>
          <w:szCs w:val="24"/>
          <w:rtl/>
        </w:rPr>
      </w:pPr>
      <w:r w:rsidRPr="00373B46">
        <w:rPr>
          <w:rFonts w:ascii="David" w:eastAsia="Times New Roman" w:hAnsi="David" w:cs="David" w:hint="cs"/>
          <w:spacing w:val="10"/>
          <w:sz w:val="24"/>
          <w:szCs w:val="24"/>
          <w:rtl/>
        </w:rPr>
        <w:lastRenderedPageBreak/>
        <w:t>בפתח הדיון יוער, שפסיקת בית המשפט העליון קבעה, כי הרכיב של הפרת אמונים הוא חלופה עצמאית, מקבילה ונפרדת מחלופת המרמה, שאין אנו כאמור עוסקים בה בענייננו (</w:t>
      </w:r>
      <w:r w:rsidRPr="00373B46">
        <w:rPr>
          <w:rFonts w:ascii="David" w:eastAsia="Times New Roman" w:hAnsi="David" w:cs="David"/>
          <w:spacing w:val="10"/>
          <w:sz w:val="24"/>
          <w:szCs w:val="24"/>
          <w:rtl/>
        </w:rPr>
        <w:t xml:space="preserve">ע"פ 293/89 </w:t>
      </w:r>
      <w:proofErr w:type="spellStart"/>
      <w:r w:rsidRPr="00373B46">
        <w:rPr>
          <w:rFonts w:ascii="David" w:eastAsia="Times New Roman" w:hAnsi="David" w:cs="David"/>
          <w:b/>
          <w:bCs/>
          <w:spacing w:val="10"/>
          <w:sz w:val="24"/>
          <w:szCs w:val="24"/>
          <w:rtl/>
        </w:rPr>
        <w:t>סוקולובסקי</w:t>
      </w:r>
      <w:proofErr w:type="spellEnd"/>
      <w:r w:rsidRPr="00373B46">
        <w:rPr>
          <w:rFonts w:ascii="David" w:eastAsia="Times New Roman" w:hAnsi="David" w:cs="David"/>
          <w:b/>
          <w:bCs/>
          <w:spacing w:val="10"/>
          <w:sz w:val="24"/>
          <w:szCs w:val="24"/>
          <w:rtl/>
        </w:rPr>
        <w:t xml:space="preserve"> נ' מ</w:t>
      </w:r>
      <w:r w:rsidRPr="00373B46">
        <w:rPr>
          <w:rFonts w:ascii="David" w:eastAsia="Times New Roman" w:hAnsi="David" w:cs="David" w:hint="cs"/>
          <w:b/>
          <w:bCs/>
          <w:spacing w:val="10"/>
          <w:sz w:val="24"/>
          <w:szCs w:val="24"/>
          <w:rtl/>
        </w:rPr>
        <w:t xml:space="preserve">דינת </w:t>
      </w:r>
      <w:r w:rsidRPr="00373B46">
        <w:rPr>
          <w:rFonts w:ascii="David" w:eastAsia="Times New Roman" w:hAnsi="David" w:cs="David"/>
          <w:b/>
          <w:bCs/>
          <w:spacing w:val="10"/>
          <w:sz w:val="24"/>
          <w:szCs w:val="24"/>
          <w:rtl/>
        </w:rPr>
        <w:t>י</w:t>
      </w:r>
      <w:r w:rsidRPr="00373B46">
        <w:rPr>
          <w:rFonts w:ascii="David" w:eastAsia="Times New Roman" w:hAnsi="David" w:cs="David" w:hint="cs"/>
          <w:b/>
          <w:bCs/>
          <w:spacing w:val="10"/>
          <w:sz w:val="24"/>
          <w:szCs w:val="24"/>
          <w:rtl/>
        </w:rPr>
        <w:t>שראל</w:t>
      </w:r>
      <w:r w:rsidRPr="00373B46">
        <w:rPr>
          <w:rFonts w:ascii="David" w:eastAsia="Times New Roman" w:hAnsi="David" w:cs="David"/>
          <w:spacing w:val="10"/>
          <w:sz w:val="24"/>
          <w:szCs w:val="24"/>
          <w:rtl/>
        </w:rPr>
        <w:t xml:space="preserve"> פ"ד מו(3) 92, 141 (1992)</w:t>
      </w:r>
      <w:r w:rsidRPr="00373B46">
        <w:rPr>
          <w:rFonts w:ascii="David" w:eastAsia="Times New Roman" w:hAnsi="David" w:cs="David" w:hint="cs"/>
          <w:spacing w:val="10"/>
          <w:sz w:val="24"/>
          <w:szCs w:val="24"/>
          <w:rtl/>
        </w:rPr>
        <w:t xml:space="preserve">). הביטוי "מעשה...הפרת אמונים" הוא הרכיב ההתנהגותי המהווה את הנדבך המרכזי ביסוד העובדתי של העבירה, אך </w:t>
      </w:r>
      <w:r w:rsidRPr="00373B46">
        <w:rPr>
          <w:rFonts w:ascii="David" w:eastAsia="Times New Roman" w:hAnsi="David" w:cs="David" w:hint="cs"/>
          <w:b/>
          <w:bCs/>
          <w:spacing w:val="10"/>
          <w:sz w:val="24"/>
          <w:szCs w:val="24"/>
          <w:rtl/>
        </w:rPr>
        <w:t>"סעיף 248 אינו מגדיר ואינו מסביר מהו מעשה...</w:t>
      </w:r>
      <w:r w:rsidR="00182EA2">
        <w:rPr>
          <w:rFonts w:ascii="David" w:eastAsia="Times New Roman" w:hAnsi="David" w:cs="David" w:hint="cs"/>
          <w:b/>
          <w:bCs/>
          <w:spacing w:val="10"/>
          <w:sz w:val="24"/>
          <w:szCs w:val="24"/>
          <w:rtl/>
        </w:rPr>
        <w:t xml:space="preserve"> </w:t>
      </w:r>
      <w:r w:rsidRPr="00373B46">
        <w:rPr>
          <w:rFonts w:ascii="David" w:eastAsia="Times New Roman" w:hAnsi="David" w:cs="David" w:hint="cs"/>
          <w:b/>
          <w:bCs/>
          <w:spacing w:val="10"/>
          <w:sz w:val="24"/>
          <w:szCs w:val="24"/>
          <w:rtl/>
        </w:rPr>
        <w:t xml:space="preserve">האסור על-פיו" </w:t>
      </w:r>
      <w:r w:rsidRPr="00373B46">
        <w:rPr>
          <w:rFonts w:ascii="David" w:eastAsia="Times New Roman" w:hAnsi="David" w:cs="David" w:hint="cs"/>
          <w:spacing w:val="10"/>
          <w:sz w:val="24"/>
          <w:szCs w:val="24"/>
          <w:rtl/>
        </w:rPr>
        <w:t>(ע</w:t>
      </w:r>
      <w:r w:rsidRPr="00373B46">
        <w:rPr>
          <w:rFonts w:ascii="David" w:eastAsia="Times New Roman" w:hAnsi="David" w:cs="David"/>
          <w:spacing w:val="10"/>
          <w:sz w:val="24"/>
          <w:szCs w:val="24"/>
          <w:rtl/>
        </w:rPr>
        <w:t xml:space="preserve">"פ 742/78 </w:t>
      </w:r>
      <w:r w:rsidRPr="00373B46">
        <w:rPr>
          <w:rFonts w:ascii="David" w:eastAsia="Times New Roman" w:hAnsi="David" w:cs="David"/>
          <w:b/>
          <w:bCs/>
          <w:spacing w:val="10"/>
          <w:sz w:val="24"/>
          <w:szCs w:val="24"/>
          <w:rtl/>
        </w:rPr>
        <w:t>טל נ' מדינת ישראל</w:t>
      </w:r>
      <w:r w:rsidRPr="00373B46">
        <w:rPr>
          <w:rFonts w:ascii="David" w:eastAsia="Times New Roman" w:hAnsi="David" w:cs="David"/>
          <w:spacing w:val="10"/>
          <w:sz w:val="24"/>
          <w:szCs w:val="24"/>
          <w:rtl/>
        </w:rPr>
        <w:t>, פ"ד לג(3), 449, עמ' 458</w:t>
      </w:r>
      <w:r w:rsidRPr="00373B46">
        <w:rPr>
          <w:rFonts w:ascii="David" w:eastAsia="Times New Roman" w:hAnsi="David" w:cs="David" w:hint="cs"/>
          <w:spacing w:val="10"/>
          <w:sz w:val="24"/>
          <w:szCs w:val="24"/>
          <w:rtl/>
        </w:rPr>
        <w:t xml:space="preserve">). כתוצאה מכך התחבט רבות בית המשפט בפירושו. החל ממתן פסק הדין </w:t>
      </w:r>
      <w:r w:rsidRPr="00373B46">
        <w:rPr>
          <w:rFonts w:ascii="David" w:eastAsia="Times New Roman" w:hAnsi="David" w:cs="David"/>
          <w:spacing w:val="10"/>
          <w:sz w:val="24"/>
          <w:szCs w:val="24"/>
          <w:rtl/>
        </w:rPr>
        <w:t>ב</w:t>
      </w:r>
      <w:r w:rsidRPr="00373B46">
        <w:rPr>
          <w:rFonts w:ascii="David" w:eastAsia="Times New Roman" w:hAnsi="David" w:cs="David" w:hint="cs"/>
          <w:spacing w:val="10"/>
          <w:sz w:val="24"/>
          <w:szCs w:val="24"/>
          <w:rtl/>
        </w:rPr>
        <w:t xml:space="preserve">פרשת </w:t>
      </w:r>
      <w:r w:rsidRPr="00373B46">
        <w:rPr>
          <w:rFonts w:ascii="David" w:eastAsia="Times New Roman" w:hAnsi="David" w:cs="David"/>
          <w:spacing w:val="10"/>
          <w:sz w:val="24"/>
          <w:szCs w:val="24"/>
          <w:rtl/>
        </w:rPr>
        <w:t>גרוסמן</w:t>
      </w:r>
      <w:r w:rsidRPr="00373B46">
        <w:rPr>
          <w:rFonts w:ascii="David" w:eastAsia="Times New Roman" w:hAnsi="David" w:cs="David" w:hint="cs"/>
          <w:spacing w:val="10"/>
          <w:sz w:val="24"/>
          <w:szCs w:val="24"/>
          <w:rtl/>
        </w:rPr>
        <w:t xml:space="preserve"> בשנת 1981 (</w:t>
      </w:r>
      <w:r w:rsidRPr="00373B46">
        <w:rPr>
          <w:rFonts w:ascii="David" w:eastAsia="Times New Roman" w:hAnsi="David" w:cs="David"/>
          <w:spacing w:val="10"/>
          <w:sz w:val="24"/>
          <w:szCs w:val="24"/>
          <w:rtl/>
        </w:rPr>
        <w:t xml:space="preserve">ע"פ 884/80 </w:t>
      </w:r>
      <w:r w:rsidRPr="00373B46">
        <w:rPr>
          <w:rFonts w:ascii="David" w:eastAsia="Times New Roman" w:hAnsi="David" w:cs="David"/>
          <w:b/>
          <w:bCs/>
          <w:spacing w:val="10"/>
          <w:sz w:val="24"/>
          <w:szCs w:val="24"/>
          <w:rtl/>
        </w:rPr>
        <w:t>מדינת ישראל נ' גרוסמן</w:t>
      </w:r>
      <w:r w:rsidRPr="00373B46">
        <w:rPr>
          <w:rFonts w:ascii="David" w:eastAsia="Times New Roman" w:hAnsi="David" w:cs="David"/>
          <w:spacing w:val="10"/>
          <w:sz w:val="24"/>
          <w:szCs w:val="24"/>
          <w:rtl/>
        </w:rPr>
        <w:t>, פ"ד לו(1), 405, 417 (1981)</w:t>
      </w:r>
      <w:r w:rsidRPr="00373B46">
        <w:rPr>
          <w:rFonts w:ascii="David" w:eastAsia="Times New Roman" w:hAnsi="David" w:cs="David" w:hint="cs"/>
          <w:spacing w:val="10"/>
          <w:sz w:val="24"/>
          <w:szCs w:val="24"/>
          <w:rtl/>
        </w:rPr>
        <w:t xml:space="preserve"> </w:t>
      </w:r>
      <w:r w:rsidRPr="00373B46">
        <w:rPr>
          <w:rFonts w:ascii="David" w:eastAsia="Times New Roman" w:hAnsi="David" w:cs="David"/>
          <w:spacing w:val="10"/>
          <w:sz w:val="24"/>
          <w:szCs w:val="24"/>
          <w:rtl/>
        </w:rPr>
        <w:t>(להלן:</w:t>
      </w:r>
      <w:r w:rsidRPr="00373B46">
        <w:rPr>
          <w:rFonts w:ascii="David" w:eastAsia="Times New Roman" w:hAnsi="David" w:cs="David" w:hint="cs"/>
          <w:spacing w:val="10"/>
          <w:sz w:val="24"/>
          <w:szCs w:val="24"/>
          <w:rtl/>
        </w:rPr>
        <w:t xml:space="preserve"> </w:t>
      </w:r>
      <w:r w:rsidRPr="00182EA2">
        <w:rPr>
          <w:rFonts w:ascii="David" w:eastAsia="Times New Roman" w:hAnsi="David" w:cs="David" w:hint="cs"/>
          <w:spacing w:val="10"/>
          <w:sz w:val="24"/>
          <w:szCs w:val="24"/>
          <w:rtl/>
        </w:rPr>
        <w:t>״</w:t>
      </w:r>
      <w:r w:rsidRPr="00373B46">
        <w:rPr>
          <w:rFonts w:ascii="David" w:eastAsia="Times New Roman" w:hAnsi="David" w:cs="David" w:hint="cs"/>
          <w:b/>
          <w:bCs/>
          <w:spacing w:val="10"/>
          <w:sz w:val="24"/>
          <w:szCs w:val="24"/>
          <w:rtl/>
        </w:rPr>
        <w:t>פרשת גרוסמן</w:t>
      </w:r>
      <w:r w:rsidRPr="00182EA2">
        <w:rPr>
          <w:rFonts w:ascii="David" w:eastAsia="Times New Roman" w:hAnsi="David" w:cs="David" w:hint="cs"/>
          <w:spacing w:val="10"/>
          <w:sz w:val="24"/>
          <w:szCs w:val="24"/>
          <w:rtl/>
        </w:rPr>
        <w:t>״</w:t>
      </w:r>
      <w:r w:rsidRPr="00373B46">
        <w:rPr>
          <w:rFonts w:ascii="David" w:eastAsia="Times New Roman" w:hAnsi="David" w:cs="David"/>
          <w:spacing w:val="10"/>
          <w:sz w:val="24"/>
          <w:szCs w:val="24"/>
          <w:rtl/>
        </w:rPr>
        <w:t>)</w:t>
      </w:r>
      <w:r w:rsidRPr="00373B46">
        <w:rPr>
          <w:rFonts w:ascii="David" w:eastAsia="Times New Roman" w:hAnsi="David" w:cs="David" w:hint="cs"/>
          <w:spacing w:val="10"/>
          <w:sz w:val="24"/>
          <w:szCs w:val="24"/>
          <w:rtl/>
        </w:rPr>
        <w:t xml:space="preserve">, בו אופיין הרכיב כרשימה פתוחה של מצבים שאינה מוגבלת בהכרח להפרה של כללים, הוראות וחובות הנובעים מן התפקיד </w:t>
      </w:r>
      <w:r w:rsidRPr="00373B46">
        <w:rPr>
          <w:rFonts w:ascii="David" w:eastAsia="Times New Roman" w:hAnsi="David" w:cs="David"/>
          <w:spacing w:val="10"/>
          <w:sz w:val="24"/>
          <w:szCs w:val="24"/>
          <w:rtl/>
        </w:rPr>
        <w:t>–</w:t>
      </w:r>
      <w:r w:rsidRPr="00373B46">
        <w:rPr>
          <w:rFonts w:ascii="David" w:eastAsia="Times New Roman" w:hAnsi="David" w:cs="David" w:hint="cs"/>
          <w:spacing w:val="10"/>
          <w:sz w:val="24"/>
          <w:szCs w:val="24"/>
          <w:rtl/>
        </w:rPr>
        <w:t xml:space="preserve"> החלה להתבסס בפסיקה עמדה מרחיבה, לפיה מעשה הפרת אמונים משתרע על מגוון של מעשים ומחדלים אשר לא ניתן להגדירם מראש. גישה זו אומצה בפרשת </w:t>
      </w:r>
      <w:r w:rsidRPr="00373B46">
        <w:rPr>
          <w:rFonts w:ascii="David" w:eastAsia="Times New Roman" w:hAnsi="David" w:cs="David"/>
          <w:spacing w:val="10"/>
          <w:sz w:val="24"/>
          <w:szCs w:val="24"/>
          <w:rtl/>
        </w:rPr>
        <w:t>שבס</w:t>
      </w:r>
      <w:r w:rsidRPr="00373B46">
        <w:rPr>
          <w:rFonts w:ascii="David" w:eastAsia="Times New Roman" w:hAnsi="David" w:cs="David" w:hint="cs"/>
          <w:spacing w:val="10"/>
          <w:sz w:val="24"/>
          <w:szCs w:val="24"/>
          <w:rtl/>
        </w:rPr>
        <w:t xml:space="preserve"> ע"י </w:t>
      </w:r>
      <w:r w:rsidR="00445E83">
        <w:rPr>
          <w:rFonts w:ascii="David" w:eastAsia="Times New Roman" w:hAnsi="David" w:cs="David"/>
          <w:spacing w:val="10"/>
          <w:sz w:val="24"/>
          <w:szCs w:val="24"/>
          <w:rtl/>
        </w:rPr>
        <w:t>הנשיא</w:t>
      </w:r>
      <w:r w:rsidR="00445E83">
        <w:rPr>
          <w:rFonts w:ascii="David" w:eastAsia="Times New Roman" w:hAnsi="David" w:cs="David" w:hint="cs"/>
          <w:spacing w:val="10"/>
          <w:sz w:val="24"/>
          <w:szCs w:val="24"/>
          <w:rtl/>
        </w:rPr>
        <w:t xml:space="preserve"> </w:t>
      </w:r>
      <w:r w:rsidRPr="00373B46">
        <w:rPr>
          <w:rFonts w:ascii="David" w:eastAsia="Times New Roman" w:hAnsi="David" w:cs="David"/>
          <w:spacing w:val="10"/>
          <w:sz w:val="24"/>
          <w:szCs w:val="24"/>
          <w:rtl/>
        </w:rPr>
        <w:t>ברק</w:t>
      </w:r>
      <w:r w:rsidRPr="00373B46">
        <w:rPr>
          <w:rFonts w:ascii="David" w:eastAsia="Times New Roman" w:hAnsi="David" w:cs="David" w:hint="cs"/>
          <w:spacing w:val="10"/>
          <w:sz w:val="24"/>
          <w:szCs w:val="24"/>
          <w:rtl/>
        </w:rPr>
        <w:t xml:space="preserve">, אשר ראה יתרון בקיומה של עבירת סל ככלי למאבק בשחיתות הציבורית, וזאת כדי לאפשר לבתי המשפט להחיל את עבירת הפרת האמונים </w:t>
      </w:r>
      <w:r w:rsidRPr="00373B46">
        <w:rPr>
          <w:rFonts w:ascii="David" w:eastAsia="Times New Roman" w:hAnsi="David" w:cs="David" w:hint="cs"/>
          <w:b/>
          <w:bCs/>
          <w:spacing w:val="10"/>
          <w:sz w:val="24"/>
          <w:szCs w:val="24"/>
          <w:rtl/>
        </w:rPr>
        <w:t xml:space="preserve">"על מצבים שקשה </w:t>
      </w:r>
      <w:proofErr w:type="spellStart"/>
      <w:r w:rsidRPr="00373B46">
        <w:rPr>
          <w:rFonts w:ascii="David" w:eastAsia="Times New Roman" w:hAnsi="David" w:cs="David" w:hint="cs"/>
          <w:b/>
          <w:bCs/>
          <w:spacing w:val="10"/>
          <w:sz w:val="24"/>
          <w:szCs w:val="24"/>
          <w:rtl/>
        </w:rPr>
        <w:t>לצפותם</w:t>
      </w:r>
      <w:proofErr w:type="spellEnd"/>
      <w:r w:rsidRPr="00373B46">
        <w:rPr>
          <w:rFonts w:ascii="David" w:eastAsia="Times New Roman" w:hAnsi="David" w:cs="David" w:hint="cs"/>
          <w:b/>
          <w:bCs/>
          <w:spacing w:val="10"/>
          <w:sz w:val="24"/>
          <w:szCs w:val="24"/>
          <w:rtl/>
        </w:rPr>
        <w:t xml:space="preserve"> או להגדירם מראש בעת החקיקה, אך הם נגזרים מנסיבות הזמן והמקום"</w:t>
      </w:r>
      <w:r w:rsidRPr="00373B46">
        <w:rPr>
          <w:rFonts w:ascii="David" w:eastAsia="Times New Roman" w:hAnsi="David" w:cs="David" w:hint="cs"/>
          <w:spacing w:val="10"/>
          <w:sz w:val="24"/>
          <w:szCs w:val="24"/>
          <w:rtl/>
        </w:rPr>
        <w:t xml:space="preserve"> (שם, עמ׳ 407</w:t>
      </w:r>
      <w:r w:rsidRPr="00373B46">
        <w:rPr>
          <w:rFonts w:ascii="David" w:eastAsia="Times New Roman" w:hAnsi="David" w:cs="David"/>
          <w:spacing w:val="10"/>
          <w:sz w:val="24"/>
          <w:szCs w:val="24"/>
          <w:rtl/>
        </w:rPr>
        <w:t>)</w:t>
      </w:r>
      <w:r w:rsidRPr="00373B46">
        <w:rPr>
          <w:rFonts w:ascii="David" w:eastAsia="Times New Roman" w:hAnsi="David" w:cs="David" w:hint="cs"/>
          <w:spacing w:val="10"/>
          <w:sz w:val="24"/>
          <w:szCs w:val="24"/>
          <w:rtl/>
        </w:rPr>
        <w:t xml:space="preserve">. </w:t>
      </w:r>
    </w:p>
    <w:p w:rsidR="00613546" w:rsidRPr="00373B46" w:rsidRDefault="004E14DF" w:rsidP="002D0D7C">
      <w:pPr>
        <w:spacing w:before="120" w:after="120" w:line="360" w:lineRule="auto"/>
        <w:jc w:val="both"/>
        <w:rPr>
          <w:rFonts w:ascii="David" w:eastAsia="Times New Roman" w:hAnsi="David" w:cs="David"/>
          <w:spacing w:val="10"/>
          <w:sz w:val="24"/>
          <w:szCs w:val="24"/>
          <w:rtl/>
        </w:rPr>
      </w:pPr>
      <w:r w:rsidRPr="00373B46">
        <w:rPr>
          <w:rFonts w:ascii="David" w:eastAsia="Times New Roman" w:hAnsi="David" w:cs="David" w:hint="cs"/>
          <w:spacing w:val="10"/>
          <w:sz w:val="24"/>
          <w:szCs w:val="24"/>
          <w:rtl/>
        </w:rPr>
        <w:t>עמימותה של העבירה והשלכותיה של עמימות זו על פרשנות יסודותיה והיקף פריסתה, אשר זכו להתייחסות רבה בפסיקה ובספרות, ידועות ונהירות לכל, ואין להכביר על כך במילים. אכן, הביטוי "מעשה...הפרת אמונים" אינו מקרין מתוכו משמעות אחת ויחידה, אלא משתרע על מגוון מעשים ומחדלים, ובתי המשפט עוסקים תדיר במלאכת פירושו. אולם, אין בפירוש זה כדי להפוך טקסט המבוסס על עיקרון לטקסט המבוסס על כלל (</w:t>
      </w:r>
      <w:r w:rsidRPr="00373B46">
        <w:rPr>
          <w:rFonts w:ascii="David" w:eastAsia="Times New Roman" w:hAnsi="David" w:cs="David"/>
          <w:spacing w:val="10"/>
          <w:sz w:val="24"/>
          <w:szCs w:val="24"/>
          <w:rtl/>
        </w:rPr>
        <w:t>רא</w:t>
      </w:r>
      <w:r w:rsidRPr="00373B46">
        <w:rPr>
          <w:rFonts w:ascii="David" w:eastAsia="Times New Roman" w:hAnsi="David" w:cs="David" w:hint="cs"/>
          <w:spacing w:val="10"/>
          <w:sz w:val="24"/>
          <w:szCs w:val="24"/>
          <w:rtl/>
        </w:rPr>
        <w:t xml:space="preserve">ה </w:t>
      </w:r>
      <w:r w:rsidRPr="00373B46">
        <w:rPr>
          <w:rFonts w:ascii="David" w:eastAsia="Times New Roman" w:hAnsi="David" w:cs="David"/>
          <w:spacing w:val="10"/>
          <w:sz w:val="24"/>
          <w:szCs w:val="24"/>
          <w:rtl/>
        </w:rPr>
        <w:t>א' ברק</w:t>
      </w:r>
      <w:r w:rsidRPr="00373B46">
        <w:rPr>
          <w:rFonts w:ascii="David" w:eastAsia="Times New Roman" w:hAnsi="David" w:cs="David" w:hint="cs"/>
          <w:spacing w:val="10"/>
          <w:sz w:val="24"/>
          <w:szCs w:val="24"/>
          <w:rtl/>
        </w:rPr>
        <w:t>,</w:t>
      </w:r>
      <w:r w:rsidRPr="00373B46">
        <w:rPr>
          <w:rFonts w:ascii="David" w:eastAsia="Times New Roman" w:hAnsi="David" w:cs="David"/>
          <w:spacing w:val="10"/>
          <w:sz w:val="24"/>
          <w:szCs w:val="24"/>
          <w:rtl/>
        </w:rPr>
        <w:t xml:space="preserve"> </w:t>
      </w:r>
      <w:r w:rsidRPr="00373B46">
        <w:rPr>
          <w:rFonts w:ascii="David" w:eastAsia="Times New Roman" w:hAnsi="David" w:cs="David"/>
          <w:b/>
          <w:bCs/>
          <w:spacing w:val="10"/>
          <w:sz w:val="24"/>
          <w:szCs w:val="24"/>
          <w:rtl/>
        </w:rPr>
        <w:t>פרשנות תכליתית במשפט</w:t>
      </w:r>
      <w:r w:rsidRPr="00373B46">
        <w:rPr>
          <w:rFonts w:ascii="David" w:eastAsia="Times New Roman" w:hAnsi="David" w:cs="David"/>
          <w:spacing w:val="10"/>
          <w:sz w:val="24"/>
          <w:szCs w:val="24"/>
          <w:rtl/>
        </w:rPr>
        <w:t xml:space="preserve"> 132 (2003), עמ' 248</w:t>
      </w:r>
      <w:r w:rsidRPr="00373B46">
        <w:rPr>
          <w:rFonts w:ascii="David" w:eastAsia="Times New Roman" w:hAnsi="David" w:cs="David" w:hint="cs"/>
          <w:spacing w:val="10"/>
          <w:sz w:val="24"/>
          <w:szCs w:val="24"/>
          <w:rtl/>
        </w:rPr>
        <w:t xml:space="preserve">). רוצה לומר, לא יהא זה נכון לתרגם את העבירה הכללית לאיסור ספציפי, באופן שיחטא לבחירה המודעת של שופטי הרוב </w:t>
      </w:r>
      <w:r w:rsidRPr="00373B46">
        <w:rPr>
          <w:rFonts w:ascii="David" w:eastAsia="Times New Roman" w:hAnsi="David" w:cs="David"/>
          <w:spacing w:val="10"/>
          <w:sz w:val="24"/>
          <w:szCs w:val="24"/>
          <w:rtl/>
        </w:rPr>
        <w:t>ב</w:t>
      </w:r>
      <w:r w:rsidRPr="00373B46">
        <w:rPr>
          <w:rFonts w:ascii="David" w:eastAsia="Times New Roman" w:hAnsi="David" w:cs="David" w:hint="cs"/>
          <w:spacing w:val="10"/>
          <w:sz w:val="24"/>
          <w:szCs w:val="24"/>
          <w:rtl/>
        </w:rPr>
        <w:t xml:space="preserve">פרשת </w:t>
      </w:r>
      <w:r w:rsidRPr="00373B46">
        <w:rPr>
          <w:rFonts w:ascii="David" w:eastAsia="Times New Roman" w:hAnsi="David" w:cs="David"/>
          <w:spacing w:val="10"/>
          <w:sz w:val="24"/>
          <w:szCs w:val="24"/>
          <w:rtl/>
        </w:rPr>
        <w:t>שבס</w:t>
      </w:r>
      <w:r w:rsidRPr="00373B46">
        <w:rPr>
          <w:rFonts w:ascii="David" w:eastAsia="Times New Roman" w:hAnsi="David" w:cs="David" w:hint="cs"/>
          <w:spacing w:val="10"/>
          <w:sz w:val="24"/>
          <w:szCs w:val="24"/>
          <w:rtl/>
        </w:rPr>
        <w:t xml:space="preserve"> שלא לתת לעבירה </w:t>
      </w:r>
      <w:r w:rsidRPr="00373B46">
        <w:rPr>
          <w:rFonts w:ascii="David" w:eastAsia="Times New Roman" w:hAnsi="David" w:cs="David" w:hint="cs"/>
          <w:b/>
          <w:bCs/>
          <w:spacing w:val="10"/>
          <w:sz w:val="24"/>
          <w:szCs w:val="24"/>
          <w:rtl/>
        </w:rPr>
        <w:t>"פירוש מצמצם אשר ישלול מהחברה הישראלית מכשיר חשוב בשמירה על הערכים המונחים ביסוד השירות הציבורי"</w:t>
      </w:r>
      <w:r w:rsidRPr="00373B46">
        <w:rPr>
          <w:rFonts w:ascii="David" w:eastAsia="Times New Roman" w:hAnsi="David" w:cs="David" w:hint="cs"/>
          <w:spacing w:val="10"/>
          <w:sz w:val="24"/>
          <w:szCs w:val="24"/>
          <w:rtl/>
        </w:rPr>
        <w:t xml:space="preserve"> (פרשת שבס, עמ׳ 409). במילים אחרות, את חיותה של העבירה יש למצוא בהגדרה ראויה של יסודותיה ולא בצמצומה ודלדולה. </w:t>
      </w:r>
    </w:p>
    <w:p w:rsidR="00613546" w:rsidRPr="00373B46" w:rsidRDefault="004E14DF" w:rsidP="002D0D7C">
      <w:pPr>
        <w:spacing w:before="120" w:after="120" w:line="360" w:lineRule="auto"/>
        <w:jc w:val="both"/>
        <w:rPr>
          <w:rFonts w:ascii="David" w:eastAsia="Times New Roman" w:hAnsi="David" w:cs="David"/>
          <w:spacing w:val="10"/>
          <w:sz w:val="24"/>
          <w:szCs w:val="24"/>
          <w:rtl/>
        </w:rPr>
      </w:pPr>
      <w:r w:rsidRPr="00373B46">
        <w:rPr>
          <w:rFonts w:ascii="David" w:eastAsia="Times New Roman" w:hAnsi="David" w:cs="David" w:hint="cs"/>
          <w:spacing w:val="10"/>
          <w:sz w:val="24"/>
          <w:szCs w:val="24"/>
          <w:rtl/>
        </w:rPr>
        <w:t xml:space="preserve">ודוק: לשון החוק ועמימות ניסוחו מאפשרים ומותירים לבית המשפט את מלאכת פרשנות העבירה  והתווית גבולות האיסור הפלילי המוטבע בה. תפיסה משפטית זו תהווה נקודת מוצא להכרעה בערעור המונח לפני. דא עקא, שלשון החוק היא רק נקודת הפתיחה לפרשנותו. מובנה המשפטי של העבירה צריך להיבחן בקונטקסט הרחב של הדברים ובאספקלריה של הערכים החברתיים החוסים תחתיה ושעליהם נועדה להגן, שהרי המשפט קשור בקשר בל יינתק לערכים ולעקרונות של החברה </w:t>
      </w:r>
      <w:r w:rsidRPr="00373B46">
        <w:rPr>
          <w:rFonts w:ascii="David" w:eastAsia="Times New Roman" w:hAnsi="David" w:cs="David"/>
          <w:spacing w:val="10"/>
          <w:sz w:val="24"/>
          <w:szCs w:val="24"/>
          <w:rtl/>
        </w:rPr>
        <w:t>–</w:t>
      </w:r>
      <w:r w:rsidRPr="00373B46">
        <w:rPr>
          <w:rFonts w:ascii="David" w:eastAsia="Times New Roman" w:hAnsi="David" w:cs="David" w:hint="cs"/>
          <w:spacing w:val="10"/>
          <w:sz w:val="24"/>
          <w:szCs w:val="24"/>
          <w:rtl/>
        </w:rPr>
        <w:t xml:space="preserve"> הם מזינים אותו ומגולמים בו. </w:t>
      </w:r>
    </w:p>
    <w:p w:rsidR="00613546" w:rsidRPr="00373B46" w:rsidRDefault="004E14DF" w:rsidP="00613546">
      <w:pPr>
        <w:spacing w:before="120" w:line="360" w:lineRule="auto"/>
        <w:jc w:val="both"/>
        <w:rPr>
          <w:rFonts w:ascii="David" w:eastAsia="Times New Roman" w:hAnsi="David" w:cs="David"/>
          <w:spacing w:val="10"/>
          <w:sz w:val="24"/>
          <w:szCs w:val="24"/>
          <w:rtl/>
        </w:rPr>
      </w:pPr>
      <w:r w:rsidRPr="00373B46">
        <w:rPr>
          <w:rFonts w:ascii="David" w:eastAsia="Times New Roman" w:hAnsi="David" w:cs="David"/>
          <w:spacing w:val="10"/>
          <w:sz w:val="24"/>
          <w:szCs w:val="24"/>
          <w:rtl/>
        </w:rPr>
        <w:lastRenderedPageBreak/>
        <w:t xml:space="preserve">בהיעדר יסוד התנהגותי מוגדר ומובהק </w:t>
      </w:r>
      <w:r w:rsidRPr="00373B46">
        <w:rPr>
          <w:rFonts w:ascii="David" w:eastAsia="Times New Roman" w:hAnsi="David" w:cs="David" w:hint="cs"/>
          <w:spacing w:val="10"/>
          <w:sz w:val="24"/>
          <w:szCs w:val="24"/>
          <w:rtl/>
        </w:rPr>
        <w:t xml:space="preserve">למושג "מעשה הפרת אמונים" </w:t>
      </w:r>
      <w:r w:rsidRPr="00373B46">
        <w:rPr>
          <w:rFonts w:ascii="David" w:eastAsia="Times New Roman" w:hAnsi="David" w:cs="David"/>
          <w:spacing w:val="10"/>
          <w:sz w:val="24"/>
          <w:szCs w:val="24"/>
          <w:rtl/>
        </w:rPr>
        <w:t>י</w:t>
      </w:r>
      <w:r w:rsidRPr="00373B46">
        <w:rPr>
          <w:rFonts w:ascii="David" w:eastAsia="Times New Roman" w:hAnsi="David" w:cs="David" w:hint="cs"/>
          <w:spacing w:val="10"/>
          <w:sz w:val="24"/>
          <w:szCs w:val="24"/>
          <w:rtl/>
        </w:rPr>
        <w:t>י</w:t>
      </w:r>
      <w:r w:rsidRPr="00373B46">
        <w:rPr>
          <w:rFonts w:ascii="David" w:eastAsia="Times New Roman" w:hAnsi="David" w:cs="David"/>
          <w:spacing w:val="10"/>
          <w:sz w:val="24"/>
          <w:szCs w:val="24"/>
          <w:rtl/>
        </w:rPr>
        <w:t xml:space="preserve">שומה </w:t>
      </w:r>
      <w:r w:rsidRPr="00373B46">
        <w:rPr>
          <w:rFonts w:ascii="David" w:eastAsia="Times New Roman" w:hAnsi="David" w:cs="David" w:hint="cs"/>
          <w:spacing w:val="10"/>
          <w:sz w:val="24"/>
          <w:szCs w:val="24"/>
          <w:rtl/>
        </w:rPr>
        <w:t xml:space="preserve">של העבירה </w:t>
      </w:r>
      <w:r w:rsidRPr="00373B46">
        <w:rPr>
          <w:rFonts w:ascii="David" w:eastAsia="Times New Roman" w:hAnsi="David" w:cs="David"/>
          <w:spacing w:val="10"/>
          <w:sz w:val="24"/>
          <w:szCs w:val="24"/>
          <w:rtl/>
        </w:rPr>
        <w:t>הוא תכליתי</w:t>
      </w:r>
      <w:r w:rsidRPr="00373B46">
        <w:rPr>
          <w:rFonts w:ascii="David" w:eastAsia="Times New Roman" w:hAnsi="David" w:cs="David" w:hint="cs"/>
          <w:spacing w:val="10"/>
          <w:sz w:val="24"/>
          <w:szCs w:val="24"/>
          <w:rtl/>
        </w:rPr>
        <w:t xml:space="preserve">. בלשון בית המשפט העליון: </w:t>
      </w:r>
      <w:r w:rsidRPr="00373B46">
        <w:rPr>
          <w:rFonts w:ascii="David" w:eastAsia="Times New Roman" w:hAnsi="David" w:cs="David" w:hint="cs"/>
          <w:b/>
          <w:bCs/>
          <w:spacing w:val="10"/>
          <w:sz w:val="24"/>
          <w:szCs w:val="24"/>
          <w:rtl/>
        </w:rPr>
        <w:t>"כדי לשלוף את משמעותו המשפטית של הדיבור עלינו לפנות לתכלית המונחת ביסודו ... זו אותה התנהגות הפוגעת בערכים המוגנים"</w:t>
      </w:r>
      <w:r w:rsidRPr="00373B46">
        <w:rPr>
          <w:rFonts w:ascii="David" w:eastAsia="Times New Roman" w:hAnsi="David" w:cs="David" w:hint="cs"/>
          <w:spacing w:val="10"/>
          <w:sz w:val="24"/>
          <w:szCs w:val="24"/>
          <w:rtl/>
        </w:rPr>
        <w:t xml:space="preserve">, דהיינו, בפירוש שיש לתת עלינו לבחון האם יש בהתנהגותו של עובד הציבור כדי לפגוע באופן מהותי באמון הציבור בעובדי הציבור, בטוהר המידות או בתקינות מעשה המנהל. הנה כי כן </w:t>
      </w:r>
      <w:r w:rsidRPr="00373B46">
        <w:rPr>
          <w:rFonts w:ascii="David" w:eastAsia="Times New Roman" w:hAnsi="David" w:cs="David"/>
          <w:spacing w:val="10"/>
          <w:sz w:val="24"/>
          <w:szCs w:val="24"/>
          <w:rtl/>
        </w:rPr>
        <w:t>–</w:t>
      </w:r>
      <w:r w:rsidRPr="00373B46">
        <w:rPr>
          <w:rFonts w:ascii="David" w:eastAsia="Times New Roman" w:hAnsi="David" w:cs="David" w:hint="cs"/>
          <w:spacing w:val="10"/>
          <w:sz w:val="24"/>
          <w:szCs w:val="24"/>
          <w:rtl/>
        </w:rPr>
        <w:t xml:space="preserve"> צדקה המדינה בטענתה, כי בית המשפט שגה בכך שצמצם את העבירה ופירש אותה כחלה על התנהלות אחת בלבד </w:t>
      </w:r>
      <w:r w:rsidRPr="00373B46">
        <w:rPr>
          <w:rFonts w:ascii="David" w:eastAsia="Times New Roman" w:hAnsi="David" w:cs="David"/>
          <w:spacing w:val="10"/>
          <w:sz w:val="24"/>
          <w:szCs w:val="24"/>
          <w:rtl/>
        </w:rPr>
        <w:t>–</w:t>
      </w:r>
      <w:r w:rsidRPr="00373B46">
        <w:rPr>
          <w:rFonts w:ascii="David" w:eastAsia="Times New Roman" w:hAnsi="David" w:cs="David" w:hint="cs"/>
          <w:spacing w:val="10"/>
          <w:sz w:val="24"/>
          <w:szCs w:val="24"/>
          <w:rtl/>
        </w:rPr>
        <w:t xml:space="preserve"> פעולה במצב של ניגוד עניינים. אמנם, אחד המצבים "הקלאסיים" לגיבושה של העבירה הוא המצב של פעולה בניגוד עניינים, אך בכך לא מתמצית העבירה </w:t>
      </w:r>
      <w:r w:rsidRPr="00373B46">
        <w:rPr>
          <w:rFonts w:ascii="David" w:eastAsia="Times New Roman" w:hAnsi="David" w:cs="David"/>
          <w:spacing w:val="10"/>
          <w:sz w:val="24"/>
          <w:szCs w:val="24"/>
          <w:rtl/>
        </w:rPr>
        <w:t>–</w:t>
      </w:r>
      <w:r w:rsidRPr="00373B46">
        <w:rPr>
          <w:rFonts w:ascii="David" w:eastAsia="Times New Roman" w:hAnsi="David" w:cs="David" w:hint="cs"/>
          <w:spacing w:val="10"/>
          <w:sz w:val="24"/>
          <w:szCs w:val="24"/>
          <w:rtl/>
        </w:rPr>
        <w:t xml:space="preserve"> וכאמור, יש מגוון של התנהגויות ומעשים שעשויים לקיים היסוד העובדתי, ככל ש</w:t>
      </w:r>
      <w:r w:rsidR="00445E83">
        <w:rPr>
          <w:rFonts w:ascii="David" w:eastAsia="Times New Roman" w:hAnsi="David" w:cs="David" w:hint="cs"/>
          <w:spacing w:val="10"/>
          <w:sz w:val="24"/>
          <w:szCs w:val="24"/>
          <w:rtl/>
        </w:rPr>
        <w:t xml:space="preserve">הם </w:t>
      </w:r>
      <w:r w:rsidRPr="00373B46">
        <w:rPr>
          <w:rFonts w:ascii="David" w:eastAsia="Times New Roman" w:hAnsi="David" w:cs="David" w:hint="cs"/>
          <w:spacing w:val="10"/>
          <w:sz w:val="24"/>
          <w:szCs w:val="24"/>
          <w:rtl/>
        </w:rPr>
        <w:t xml:space="preserve">פוגעים מהותית באחד משלושת הערכים המוגנים על ידה. </w:t>
      </w:r>
    </w:p>
    <w:p w:rsidR="00F41C1E" w:rsidRPr="00373B46" w:rsidRDefault="004E14DF" w:rsidP="00C74362">
      <w:pPr>
        <w:spacing w:line="360" w:lineRule="auto"/>
        <w:jc w:val="both"/>
        <w:rPr>
          <w:rFonts w:ascii="David" w:eastAsia="Times New Roman" w:hAnsi="David" w:cs="David"/>
          <w:spacing w:val="10"/>
          <w:sz w:val="24"/>
          <w:szCs w:val="24"/>
          <w:rtl/>
        </w:rPr>
      </w:pPr>
      <w:r w:rsidRPr="00373B46">
        <w:rPr>
          <w:rFonts w:ascii="David" w:eastAsia="Times New Roman" w:hAnsi="David" w:cs="David"/>
          <w:spacing w:val="10"/>
          <w:sz w:val="24"/>
          <w:szCs w:val="24"/>
          <w:rtl/>
        </w:rPr>
        <w:t>בחינת התנהלותו של שחם</w:t>
      </w:r>
      <w:r w:rsidRPr="00373B46">
        <w:rPr>
          <w:rFonts w:ascii="David" w:eastAsia="Times New Roman" w:hAnsi="David" w:cs="David" w:hint="cs"/>
          <w:spacing w:val="10"/>
          <w:sz w:val="24"/>
          <w:szCs w:val="24"/>
          <w:rtl/>
        </w:rPr>
        <w:t>, לצורך הכרעה בשאלה האם היא מהווה עבירה של מרמה והפרת אמונים,</w:t>
      </w:r>
      <w:r w:rsidRPr="00373B46">
        <w:rPr>
          <w:rFonts w:ascii="David" w:eastAsia="Times New Roman" w:hAnsi="David" w:cs="David"/>
          <w:spacing w:val="10"/>
          <w:sz w:val="24"/>
          <w:szCs w:val="24"/>
          <w:rtl/>
        </w:rPr>
        <w:t xml:space="preserve"> תיעשה לאור דברים אלו.</w:t>
      </w:r>
    </w:p>
    <w:p w:rsidR="008D642F" w:rsidRDefault="004E14DF" w:rsidP="000A5565">
      <w:pPr>
        <w:spacing w:after="0" w:line="360" w:lineRule="auto"/>
        <w:jc w:val="both"/>
        <w:rPr>
          <w:rFonts w:ascii="David" w:hAnsi="David" w:cs="David"/>
          <w:color w:val="FF0000"/>
          <w:sz w:val="24"/>
          <w:szCs w:val="24"/>
          <w:u w:val="single"/>
          <w:rtl/>
        </w:rPr>
      </w:pPr>
      <w:r w:rsidRPr="00373B46">
        <w:rPr>
          <w:rFonts w:ascii="David" w:eastAsia="Times New Roman" w:hAnsi="David" w:cs="David" w:hint="cs"/>
          <w:spacing w:val="10"/>
          <w:sz w:val="24"/>
          <w:szCs w:val="24"/>
          <w:u w:val="single"/>
          <w:rtl/>
        </w:rPr>
        <w:t>הבניית ניצול מרות בשירות כהפרת אמונים</w:t>
      </w:r>
      <w:r w:rsidRPr="00373B46">
        <w:rPr>
          <w:rFonts w:ascii="David" w:hAnsi="David" w:cs="David" w:hint="cs"/>
          <w:color w:val="FF0000"/>
          <w:sz w:val="24"/>
          <w:szCs w:val="24"/>
          <w:u w:val="single"/>
          <w:rtl/>
        </w:rPr>
        <w:t xml:space="preserve"> </w:t>
      </w:r>
    </w:p>
    <w:p w:rsidR="008D642F" w:rsidRDefault="004E14DF" w:rsidP="000A5565">
      <w:pPr>
        <w:spacing w:after="0" w:line="360" w:lineRule="auto"/>
        <w:jc w:val="both"/>
        <w:rPr>
          <w:rFonts w:ascii="David" w:eastAsia="Times New Roman" w:hAnsi="David" w:cs="David"/>
          <w:spacing w:val="10"/>
          <w:sz w:val="24"/>
          <w:szCs w:val="24"/>
          <w:rtl/>
        </w:rPr>
      </w:pPr>
      <w:r w:rsidRPr="008D642F">
        <w:rPr>
          <w:rFonts w:ascii="David" w:eastAsia="Times New Roman" w:hAnsi="David" w:cs="David"/>
          <w:spacing w:val="10"/>
          <w:sz w:val="24"/>
          <w:szCs w:val="24"/>
          <w:rtl/>
        </w:rPr>
        <w:t xml:space="preserve">בגדרו של תיק זה </w:t>
      </w:r>
      <w:r w:rsidRPr="008D642F">
        <w:rPr>
          <w:rFonts w:ascii="David" w:eastAsia="Times New Roman" w:hAnsi="David" w:cs="David" w:hint="cs"/>
          <w:spacing w:val="10"/>
          <w:sz w:val="24"/>
          <w:szCs w:val="24"/>
          <w:rtl/>
        </w:rPr>
        <w:t>ה</w:t>
      </w:r>
      <w:r w:rsidRPr="008D642F">
        <w:rPr>
          <w:rFonts w:ascii="David" w:eastAsia="Times New Roman" w:hAnsi="David" w:cs="David"/>
          <w:spacing w:val="10"/>
          <w:sz w:val="24"/>
          <w:szCs w:val="24"/>
          <w:rtl/>
        </w:rPr>
        <w:t xml:space="preserve">תעוררה השאלה של הבניית ניצול מרות בשירות </w:t>
      </w:r>
      <w:r w:rsidRPr="008D642F">
        <w:rPr>
          <w:rFonts w:ascii="David" w:eastAsia="Times New Roman" w:hAnsi="David" w:cs="David" w:hint="cs"/>
          <w:spacing w:val="10"/>
          <w:sz w:val="24"/>
          <w:szCs w:val="24"/>
          <w:rtl/>
        </w:rPr>
        <w:t xml:space="preserve">הציבור </w:t>
      </w:r>
      <w:r w:rsidRPr="008D642F">
        <w:rPr>
          <w:rFonts w:ascii="David" w:eastAsia="Times New Roman" w:hAnsi="David" w:cs="David"/>
          <w:spacing w:val="10"/>
          <w:sz w:val="24"/>
          <w:szCs w:val="24"/>
          <w:rtl/>
        </w:rPr>
        <w:t xml:space="preserve">כהפרת אמונים. ערעור זה מעלה שאלות עקרוניות, הנוגעות לגבולות הדקים התוחמים את הגדרתה של עבירת הפרת האמונים, ולנורמות ההתנהגות הנדרשות במערכת יחסי עבודה בנסיבות של יחסי מרות, זאת בהתחשב במרקם היחסים העדין והמורכב הקיים במערכת בו מצויים בעלי מרות והכפופים להם. על כן, מצאתי לנכון להרחיב אף מעבר לדרוש בדיון ובהכרעה שבפסק דין זה. </w:t>
      </w:r>
    </w:p>
    <w:p w:rsidR="000A5565" w:rsidRPr="008D642F" w:rsidRDefault="000A5565" w:rsidP="000A5565">
      <w:pPr>
        <w:spacing w:after="0" w:line="360" w:lineRule="auto"/>
        <w:jc w:val="both"/>
        <w:rPr>
          <w:rFonts w:ascii="David" w:eastAsia="Times New Roman" w:hAnsi="David" w:cs="David"/>
          <w:spacing w:val="10"/>
          <w:sz w:val="24"/>
          <w:szCs w:val="24"/>
          <w:rtl/>
        </w:rPr>
      </w:pPr>
    </w:p>
    <w:p w:rsidR="008D642F" w:rsidRDefault="004E14DF" w:rsidP="00445E83">
      <w:pPr>
        <w:pStyle w:val="a3"/>
        <w:numPr>
          <w:ilvl w:val="0"/>
          <w:numId w:val="1"/>
        </w:numPr>
        <w:spacing w:after="0" w:line="360" w:lineRule="auto"/>
        <w:jc w:val="both"/>
        <w:rPr>
          <w:rFonts w:ascii="David" w:eastAsia="Times New Roman" w:hAnsi="David" w:cs="David"/>
          <w:spacing w:val="10"/>
          <w:sz w:val="24"/>
          <w:szCs w:val="24"/>
        </w:rPr>
      </w:pPr>
      <w:r w:rsidRPr="00373B46">
        <w:rPr>
          <w:rFonts w:ascii="David" w:eastAsia="Times New Roman" w:hAnsi="David" w:cs="David" w:hint="cs"/>
          <w:spacing w:val="10"/>
          <w:sz w:val="24"/>
          <w:szCs w:val="24"/>
          <w:rtl/>
        </w:rPr>
        <w:t>על הפסול שביחסים אינטימיים בין בכיר לכפיפה</w:t>
      </w:r>
    </w:p>
    <w:p w:rsidR="008D642F" w:rsidRDefault="004E14DF" w:rsidP="00445E83">
      <w:pPr>
        <w:spacing w:after="0" w:line="360" w:lineRule="auto"/>
        <w:jc w:val="both"/>
        <w:rPr>
          <w:rFonts w:ascii="David" w:eastAsia="Times New Roman" w:hAnsi="David" w:cs="David"/>
          <w:spacing w:val="10"/>
          <w:sz w:val="24"/>
          <w:szCs w:val="24"/>
          <w:rtl/>
        </w:rPr>
      </w:pPr>
      <w:r w:rsidRPr="008D642F">
        <w:rPr>
          <w:rFonts w:ascii="David" w:eastAsia="Times New Roman" w:hAnsi="David" w:cs="David" w:hint="cs"/>
          <w:spacing w:val="10"/>
          <w:sz w:val="24"/>
          <w:szCs w:val="24"/>
          <w:rtl/>
        </w:rPr>
        <w:t xml:space="preserve">פסקי דין אלו סובבים סביב קיום יחסים בהסכמה בין בכיר לכפיפה </w:t>
      </w:r>
      <w:r w:rsidRPr="008D642F">
        <w:rPr>
          <w:rFonts w:ascii="David" w:eastAsia="Times New Roman" w:hAnsi="David" w:cs="David"/>
          <w:spacing w:val="10"/>
          <w:sz w:val="24"/>
          <w:szCs w:val="24"/>
          <w:rtl/>
        </w:rPr>
        <w:t>–</w:t>
      </w:r>
      <w:r w:rsidRPr="008D642F">
        <w:rPr>
          <w:rFonts w:ascii="David" w:eastAsia="Times New Roman" w:hAnsi="David" w:cs="David" w:hint="cs"/>
          <w:spacing w:val="10"/>
          <w:sz w:val="24"/>
          <w:szCs w:val="24"/>
          <w:rtl/>
        </w:rPr>
        <w:t xml:space="preserve"> כאשר העובד הבכיר חייב במסגרת תפקידו לשרת את הציבור נאמנה וללא משוא פנים. המדובר בעובדים אשר קיבלו את הכוח והסמכות מידי גופים ציבוריים, שהציבור בישראל נזקק להם בשל חשיבותם, ושפעילותם היא כללית ולטובת הציבור הרחב. טבעי אם כן להקיש מהם לענייננו, והדברים אמורים ביתר שאת שעה שהעובד הבכיר המפר את הכללים ולהוראות החלים עליו, פועל במסגרת אשר כל כולה מוקדשת לשמירה על החוק ואכיפתו.</w:t>
      </w:r>
    </w:p>
    <w:p w:rsidR="000B49F6" w:rsidRDefault="008D642F" w:rsidP="00445E83">
      <w:pPr>
        <w:spacing w:after="100" w:afterAutospacing="1" w:line="360" w:lineRule="auto"/>
        <w:jc w:val="both"/>
        <w:rPr>
          <w:rFonts w:ascii="David" w:eastAsia="Times New Roman" w:hAnsi="David" w:cs="David"/>
          <w:spacing w:val="10"/>
          <w:sz w:val="24"/>
          <w:szCs w:val="24"/>
          <w:rtl/>
        </w:rPr>
      </w:pPr>
      <w:r>
        <w:rPr>
          <w:rFonts w:ascii="David" w:eastAsia="Times New Roman" w:hAnsi="David" w:cs="David" w:hint="cs"/>
          <w:spacing w:val="10"/>
          <w:sz w:val="24"/>
          <w:szCs w:val="24"/>
          <w:rtl/>
        </w:rPr>
        <w:t xml:space="preserve">על </w:t>
      </w:r>
      <w:r w:rsidR="004E14DF" w:rsidRPr="00373B46">
        <w:rPr>
          <w:rFonts w:ascii="David" w:eastAsia="Times New Roman" w:hAnsi="David" w:cs="David" w:hint="cs"/>
          <w:spacing w:val="10"/>
          <w:sz w:val="24"/>
          <w:szCs w:val="24"/>
          <w:rtl/>
        </w:rPr>
        <w:t xml:space="preserve">הפסול בקיומם של יחסים אינטימיים בין בכיר לכפיפה ניתן אף ללמוד ישירות מעדותיהן של השוטרות, מהן עולה, כי אין המדובר ״ביחסים״ במובן המקובל של הביטוי, אלא ביחסים "מעוותים", שפערי הכוחות והסמכויות אופפים אותם ומקרינים עליהם. </w:t>
      </w:r>
    </w:p>
    <w:p w:rsidR="000A5565" w:rsidRPr="00373B46" w:rsidRDefault="004E14DF" w:rsidP="00445E83">
      <w:pPr>
        <w:spacing w:after="100" w:afterAutospacing="1" w:line="360" w:lineRule="auto"/>
        <w:jc w:val="both"/>
        <w:rPr>
          <w:rFonts w:ascii="David" w:eastAsia="Times New Roman" w:hAnsi="David" w:cs="David"/>
          <w:spacing w:val="10"/>
          <w:sz w:val="24"/>
          <w:szCs w:val="24"/>
          <w:rtl/>
        </w:rPr>
      </w:pPr>
      <w:r w:rsidRPr="00373B46">
        <w:rPr>
          <w:rFonts w:ascii="David" w:eastAsia="Times New Roman" w:hAnsi="David" w:cs="David" w:hint="cs"/>
          <w:spacing w:val="10"/>
          <w:sz w:val="24"/>
          <w:szCs w:val="24"/>
          <w:rtl/>
        </w:rPr>
        <w:lastRenderedPageBreak/>
        <w:t xml:space="preserve">את אופיים הבעייתי </w:t>
      </w:r>
      <w:r w:rsidR="000B49F6">
        <w:rPr>
          <w:rFonts w:ascii="David" w:eastAsia="Times New Roman" w:hAnsi="David" w:cs="David" w:hint="cs"/>
          <w:spacing w:val="10"/>
          <w:sz w:val="24"/>
          <w:szCs w:val="24"/>
          <w:rtl/>
        </w:rPr>
        <w:t xml:space="preserve">של יחסים אלה </w:t>
      </w:r>
      <w:r w:rsidRPr="00373B46">
        <w:rPr>
          <w:rFonts w:ascii="David" w:eastAsia="Times New Roman" w:hAnsi="David" w:cs="David" w:hint="cs"/>
          <w:spacing w:val="10"/>
          <w:sz w:val="24"/>
          <w:szCs w:val="24"/>
          <w:rtl/>
        </w:rPr>
        <w:t>השכילו להגדיר ולתאר בעדותן השוטרות ה.ה, ד.ד</w:t>
      </w:r>
      <w:r w:rsidR="009A5F29" w:rsidRPr="00373B46">
        <w:rPr>
          <w:rFonts w:ascii="David" w:eastAsia="Times New Roman" w:hAnsi="David" w:cs="David" w:hint="cs"/>
          <w:spacing w:val="10"/>
          <w:sz w:val="24"/>
          <w:szCs w:val="24"/>
          <w:rtl/>
        </w:rPr>
        <w:t xml:space="preserve"> (קטעים מצוטטים מעדותן</w:t>
      </w:r>
      <w:r w:rsidR="00E341AB">
        <w:rPr>
          <w:rFonts w:ascii="David" w:eastAsia="Times New Roman" w:hAnsi="David" w:cs="David" w:hint="cs"/>
          <w:spacing w:val="10"/>
          <w:sz w:val="24"/>
          <w:szCs w:val="24"/>
          <w:rtl/>
        </w:rPr>
        <w:t>).</w:t>
      </w:r>
      <w:r w:rsidR="000A5565">
        <w:rPr>
          <w:rFonts w:ascii="David" w:eastAsia="Times New Roman" w:hAnsi="David" w:cs="David" w:hint="cs"/>
          <w:spacing w:val="10"/>
          <w:sz w:val="24"/>
          <w:szCs w:val="24"/>
          <w:rtl/>
        </w:rPr>
        <w:t xml:space="preserve"> </w:t>
      </w:r>
      <w:r w:rsidRPr="00373B46">
        <w:rPr>
          <w:rFonts w:ascii="David" w:eastAsia="Times New Roman" w:hAnsi="David" w:cs="David" w:hint="cs"/>
          <w:spacing w:val="10"/>
          <w:sz w:val="24"/>
          <w:szCs w:val="24"/>
          <w:rtl/>
        </w:rPr>
        <w:t xml:space="preserve">מקצתן של דוגמאות אלה מבהיר היטב, כמוזכר לעיל, את ״יחסי הכוחות״ האינהרנטיים שבין שחם לבין השוטרות בפרשות השונות, ואת המורכבות הרבה והבעייתיות הכרוכה במפגשים ביניהם. </w:t>
      </w:r>
    </w:p>
    <w:p w:rsidR="00613546" w:rsidRPr="00373B46" w:rsidRDefault="004E14DF" w:rsidP="00613546">
      <w:pPr>
        <w:spacing w:line="360" w:lineRule="auto"/>
        <w:jc w:val="both"/>
        <w:rPr>
          <w:rFonts w:ascii="David" w:eastAsia="Times New Roman" w:hAnsi="David" w:cs="David"/>
          <w:spacing w:val="10"/>
          <w:sz w:val="24"/>
          <w:szCs w:val="24"/>
          <w:rtl/>
        </w:rPr>
      </w:pPr>
      <w:r w:rsidRPr="00373B46">
        <w:rPr>
          <w:rFonts w:ascii="David" w:eastAsia="Times New Roman" w:hAnsi="David" w:cs="David" w:hint="cs"/>
          <w:spacing w:val="10"/>
          <w:sz w:val="24"/>
          <w:szCs w:val="24"/>
          <w:rtl/>
        </w:rPr>
        <w:t xml:space="preserve">קיומם של יחסים אלו, כשלעצמם, פוגע בחובת הנאמנות של העובד הבכיר הן לכפיפיו והן לציבור כולו </w:t>
      </w:r>
      <w:r w:rsidRPr="00373B46">
        <w:rPr>
          <w:rFonts w:ascii="David" w:eastAsia="Times New Roman" w:hAnsi="David" w:cs="David"/>
          <w:spacing w:val="10"/>
          <w:sz w:val="24"/>
          <w:szCs w:val="24"/>
          <w:rtl/>
        </w:rPr>
        <w:t>–</w:t>
      </w:r>
      <w:r w:rsidRPr="00373B46">
        <w:rPr>
          <w:rFonts w:ascii="David" w:eastAsia="Times New Roman" w:hAnsi="David" w:cs="David" w:hint="cs"/>
          <w:spacing w:val="10"/>
          <w:sz w:val="24"/>
          <w:szCs w:val="24"/>
          <w:rtl/>
        </w:rPr>
        <w:t xml:space="preserve"> כפי שנקבע בפרשת </w:t>
      </w:r>
      <w:r w:rsidRPr="00373B46">
        <w:rPr>
          <w:rFonts w:ascii="David" w:eastAsia="Times New Roman" w:hAnsi="David" w:cs="David"/>
          <w:spacing w:val="10"/>
          <w:sz w:val="24"/>
          <w:szCs w:val="24"/>
          <w:rtl/>
        </w:rPr>
        <w:t>גלילי</w:t>
      </w:r>
      <w:r w:rsidRPr="00373B46">
        <w:rPr>
          <w:rFonts w:ascii="David" w:eastAsia="Times New Roman" w:hAnsi="David" w:cs="David" w:hint="cs"/>
          <w:spacing w:val="10"/>
          <w:sz w:val="24"/>
          <w:szCs w:val="24"/>
          <w:rtl/>
        </w:rPr>
        <w:t xml:space="preserve">, ופוגעים בתפקוד התקין של השירות הציבורי ובתדמיתו נוכח החשש לפעולה במצב ניגוד עניינים </w:t>
      </w:r>
      <w:r w:rsidRPr="00373B46">
        <w:rPr>
          <w:rFonts w:ascii="David" w:eastAsia="Times New Roman" w:hAnsi="David" w:cs="David"/>
          <w:spacing w:val="10"/>
          <w:sz w:val="24"/>
          <w:szCs w:val="24"/>
          <w:rtl/>
        </w:rPr>
        <w:t>–</w:t>
      </w:r>
      <w:r w:rsidRPr="00373B46">
        <w:rPr>
          <w:rFonts w:ascii="David" w:eastAsia="Times New Roman" w:hAnsi="David" w:cs="David" w:hint="cs"/>
          <w:spacing w:val="10"/>
          <w:sz w:val="24"/>
          <w:szCs w:val="24"/>
          <w:rtl/>
        </w:rPr>
        <w:t xml:space="preserve"> כפי שנקבע בפרשת</w:t>
      </w:r>
      <w:r w:rsidRPr="00373B46">
        <w:rPr>
          <w:rFonts w:ascii="David" w:eastAsia="Times New Roman" w:hAnsi="David" w:cs="David"/>
          <w:spacing w:val="10"/>
          <w:sz w:val="24"/>
          <w:szCs w:val="24"/>
          <w:rtl/>
        </w:rPr>
        <w:t xml:space="preserve"> לוי</w:t>
      </w:r>
      <w:r w:rsidRPr="00373B46">
        <w:rPr>
          <w:rFonts w:ascii="David" w:eastAsia="Times New Roman" w:hAnsi="David" w:cs="David" w:hint="cs"/>
          <w:spacing w:val="10"/>
          <w:sz w:val="24"/>
          <w:szCs w:val="24"/>
          <w:rtl/>
        </w:rPr>
        <w:t xml:space="preserve">. ערכים אלו </w:t>
      </w:r>
      <w:r w:rsidRPr="00373B46">
        <w:rPr>
          <w:rFonts w:ascii="David" w:eastAsia="Times New Roman" w:hAnsi="David" w:cs="David"/>
          <w:spacing w:val="10"/>
          <w:sz w:val="24"/>
          <w:szCs w:val="24"/>
          <w:rtl/>
        </w:rPr>
        <w:t>–</w:t>
      </w:r>
      <w:r w:rsidRPr="00373B46">
        <w:rPr>
          <w:rFonts w:ascii="David" w:eastAsia="Times New Roman" w:hAnsi="David" w:cs="David" w:hint="cs"/>
          <w:spacing w:val="10"/>
          <w:sz w:val="24"/>
          <w:szCs w:val="24"/>
          <w:rtl/>
        </w:rPr>
        <w:t xml:space="preserve"> אמון הציבור, טוהר המידות ותקינות מעשה המנהל </w:t>
      </w:r>
      <w:r w:rsidRPr="00373B46">
        <w:rPr>
          <w:rFonts w:ascii="David" w:eastAsia="Times New Roman" w:hAnsi="David" w:cs="David"/>
          <w:spacing w:val="10"/>
          <w:sz w:val="24"/>
          <w:szCs w:val="24"/>
          <w:rtl/>
        </w:rPr>
        <w:t>–</w:t>
      </w:r>
      <w:r w:rsidRPr="00373B46">
        <w:rPr>
          <w:rFonts w:ascii="David" w:eastAsia="Times New Roman" w:hAnsi="David" w:cs="David" w:hint="cs"/>
          <w:spacing w:val="10"/>
          <w:sz w:val="24"/>
          <w:szCs w:val="24"/>
          <w:rtl/>
        </w:rPr>
        <w:t xml:space="preserve"> הם הערכים המוגנים על-ידי העבירה של מרמה והפרת אמונים. אף שעניינם של גלילי ולוי הסתיים בעבירה משמעית בלבד, לא מן הנמנע כי במקרים מסוימים, כאשר מעשיו של עובד הציבור, בהצטרפם למעשים אחרים ולכלל הנסיבות, פוגעים בשלושת הערכים פגיעה כה מהותית </w:t>
      </w:r>
      <w:r w:rsidRPr="00373B46">
        <w:rPr>
          <w:rFonts w:ascii="David" w:eastAsia="Times New Roman" w:hAnsi="David" w:cs="David"/>
          <w:spacing w:val="10"/>
          <w:sz w:val="24"/>
          <w:szCs w:val="24"/>
          <w:rtl/>
        </w:rPr>
        <w:t>–</w:t>
      </w:r>
      <w:r w:rsidRPr="00373B46">
        <w:rPr>
          <w:rFonts w:ascii="David" w:eastAsia="Times New Roman" w:hAnsi="David" w:cs="David" w:hint="cs"/>
          <w:spacing w:val="10"/>
          <w:sz w:val="24"/>
          <w:szCs w:val="24"/>
          <w:rtl/>
        </w:rPr>
        <w:t xml:space="preserve"> ראוי שתוטבע בהם גושפנקא של התנהגות פלילית, בין אם לצד העמדה לדין משמעתי, ובין אם לאו. פירושו של דבר, האחריות האישית של עובד הציבור עשויה לבוא לידי ביטוי במישורים שונים, לעיתים רק באחד מהם, ולעיתים באחדים מהם בעת ובעונה אחת</w:t>
      </w:r>
      <w:r w:rsidR="002479F4" w:rsidRPr="00373B46">
        <w:rPr>
          <w:rFonts w:ascii="David" w:eastAsia="Times New Roman" w:hAnsi="David" w:cs="David" w:hint="cs"/>
          <w:spacing w:val="10"/>
          <w:sz w:val="24"/>
          <w:szCs w:val="24"/>
          <w:rtl/>
        </w:rPr>
        <w:t>.</w:t>
      </w:r>
    </w:p>
    <w:p w:rsidR="008D642F" w:rsidRDefault="004E14DF" w:rsidP="000A5565">
      <w:pPr>
        <w:pStyle w:val="a3"/>
        <w:numPr>
          <w:ilvl w:val="0"/>
          <w:numId w:val="1"/>
        </w:numPr>
        <w:spacing w:after="0" w:line="360" w:lineRule="auto"/>
        <w:jc w:val="both"/>
        <w:rPr>
          <w:rFonts w:ascii="David" w:eastAsia="Times New Roman" w:hAnsi="David" w:cs="David"/>
          <w:spacing w:val="10"/>
          <w:sz w:val="24"/>
          <w:szCs w:val="24"/>
        </w:rPr>
      </w:pPr>
      <w:r w:rsidRPr="00373B46">
        <w:rPr>
          <w:rFonts w:ascii="David" w:eastAsia="Times New Roman" w:hAnsi="David" w:cs="David" w:hint="cs"/>
          <w:spacing w:val="10"/>
          <w:sz w:val="24"/>
          <w:szCs w:val="24"/>
          <w:rtl/>
        </w:rPr>
        <w:t>יסוד הניצול</w:t>
      </w:r>
    </w:p>
    <w:p w:rsidR="00613546" w:rsidRPr="008D642F" w:rsidRDefault="004E14DF" w:rsidP="000A5565">
      <w:pPr>
        <w:spacing w:after="0" w:line="360" w:lineRule="auto"/>
        <w:jc w:val="both"/>
        <w:rPr>
          <w:rFonts w:ascii="David" w:eastAsia="Times New Roman" w:hAnsi="David" w:cs="David"/>
          <w:spacing w:val="10"/>
          <w:sz w:val="24"/>
          <w:szCs w:val="24"/>
          <w:rtl/>
        </w:rPr>
      </w:pPr>
      <w:r w:rsidRPr="008D642F">
        <w:rPr>
          <w:rFonts w:ascii="David" w:eastAsia="Times New Roman" w:hAnsi="David" w:cs="David" w:hint="cs"/>
          <w:spacing w:val="10"/>
          <w:sz w:val="24"/>
          <w:szCs w:val="24"/>
          <w:rtl/>
        </w:rPr>
        <w:t xml:space="preserve">לטענתו של שחם </w:t>
      </w:r>
      <w:r w:rsidRPr="008D642F">
        <w:rPr>
          <w:rFonts w:ascii="David" w:eastAsia="Times New Roman" w:hAnsi="David" w:cs="David"/>
          <w:spacing w:val="10"/>
          <w:sz w:val="24"/>
          <w:szCs w:val="24"/>
          <w:rtl/>
        </w:rPr>
        <w:t>–</w:t>
      </w:r>
      <w:r w:rsidRPr="008D642F">
        <w:rPr>
          <w:rFonts w:ascii="David" w:eastAsia="Times New Roman" w:hAnsi="David" w:cs="David" w:hint="cs"/>
          <w:spacing w:val="10"/>
          <w:sz w:val="24"/>
          <w:szCs w:val="24"/>
          <w:rtl/>
        </w:rPr>
        <w:t xml:space="preserve"> משהחליטה המדינה שלא להעמידו לדין בגין עבירות מין תוך ניצול מרות בעבודה (למעט בפרשה השמינית), היא מנועה מלטעון לניצול המעמד, התפקיד או המרות לצורך ביצועה של עבירת המרמה והפרת האמונים. </w:t>
      </w:r>
    </w:p>
    <w:p w:rsidR="00613546" w:rsidRPr="00373B46" w:rsidRDefault="004E14DF" w:rsidP="00613546">
      <w:pPr>
        <w:spacing w:line="360" w:lineRule="auto"/>
        <w:jc w:val="both"/>
        <w:rPr>
          <w:rFonts w:ascii="David" w:eastAsia="Times New Roman" w:hAnsi="David" w:cs="David"/>
          <w:spacing w:val="10"/>
          <w:sz w:val="24"/>
          <w:szCs w:val="24"/>
          <w:rtl/>
        </w:rPr>
      </w:pPr>
      <w:r w:rsidRPr="00373B46">
        <w:rPr>
          <w:rFonts w:ascii="David" w:eastAsia="Times New Roman" w:hAnsi="David" w:cs="David" w:hint="cs"/>
          <w:spacing w:val="10"/>
          <w:sz w:val="24"/>
          <w:szCs w:val="24"/>
          <w:rtl/>
        </w:rPr>
        <w:t xml:space="preserve">אין בידי לקבל טענה זו. גם בהיעדרה של עבירת מין, אין הכרח שלא תתקיים עבירה אחרת הולמת למצב העובדתי הנתון. רוצה לומר, אין לזהות בין "ניצול מרות" לצורך קיומה או היעדרה של עבירת מין, לבין "ניצול מרות" לצורך קיומה או היעדרה של עבירה שונה לחלוטין, ובעניינו </w:t>
      </w:r>
      <w:r w:rsidRPr="00373B46">
        <w:rPr>
          <w:rFonts w:ascii="David" w:eastAsia="Times New Roman" w:hAnsi="David" w:cs="David"/>
          <w:spacing w:val="10"/>
          <w:sz w:val="24"/>
          <w:szCs w:val="24"/>
          <w:rtl/>
        </w:rPr>
        <w:t>–</w:t>
      </w:r>
      <w:r w:rsidRPr="00373B46">
        <w:rPr>
          <w:rFonts w:ascii="David" w:eastAsia="Times New Roman" w:hAnsi="David" w:cs="David" w:hint="cs"/>
          <w:spacing w:val="10"/>
          <w:sz w:val="24"/>
          <w:szCs w:val="24"/>
          <w:rtl/>
        </w:rPr>
        <w:t xml:space="preserve"> עבירת המרמה והפרת האמונים. התנהגות העולה כדי "ניצול מרות" עשויה ללבוש צורות רבות ושונות, ואין היא שמורה אך ורק לגיבושן של עבירות מין ביחסי מרות בעבודה. ברי לכל, כי אף שיסוד הניצול אינו חלק מיסודות עבירת הפרת האמונים, בהחלט ייתכן מצב בו ניצול המעמד הבכיר של עובד הציבור לצורך קבלת טובות הנאה מיניות יפגע בשירות הציבורי ובאמון הציבור בו, ולפיכך יהווה הפרת אמונים. המונח "ניצול יחסי מרות" אם כן, משמש אמת מידה מבחינה בין אסור למותר, בין מין פלילי לבין מין החף מפליליות. </w:t>
      </w:r>
    </w:p>
    <w:p w:rsidR="00613546" w:rsidRDefault="004E14DF" w:rsidP="00613546">
      <w:pPr>
        <w:spacing w:line="360" w:lineRule="auto"/>
        <w:jc w:val="both"/>
        <w:rPr>
          <w:rFonts w:ascii="David" w:eastAsia="Times New Roman" w:hAnsi="David" w:cs="David"/>
          <w:spacing w:val="10"/>
          <w:sz w:val="24"/>
          <w:szCs w:val="24"/>
          <w:rtl/>
        </w:rPr>
      </w:pPr>
      <w:r w:rsidRPr="00373B46">
        <w:rPr>
          <w:rFonts w:ascii="David" w:eastAsia="Times New Roman" w:hAnsi="David" w:cs="David" w:hint="cs"/>
          <w:spacing w:val="10"/>
          <w:sz w:val="24"/>
          <w:szCs w:val="24"/>
          <w:rtl/>
        </w:rPr>
        <w:t xml:space="preserve">יתר על כן, דומני שעבירות המין תוך ניצול מרות בעבודה ועבירת המרמה והפרת האמונים מבוססות על חשש דומה: החשש שהמרחב הפרטי-אישי והמרחב המקצועי </w:t>
      </w:r>
      <w:r w:rsidRPr="00373B46">
        <w:rPr>
          <w:rFonts w:ascii="David" w:eastAsia="Times New Roman" w:hAnsi="David" w:cs="David"/>
          <w:spacing w:val="10"/>
          <w:sz w:val="24"/>
          <w:szCs w:val="24"/>
          <w:rtl/>
        </w:rPr>
        <w:t>–</w:t>
      </w:r>
      <w:r w:rsidRPr="00373B46">
        <w:rPr>
          <w:rFonts w:ascii="David" w:eastAsia="Times New Roman" w:hAnsi="David" w:cs="David" w:hint="cs"/>
          <w:spacing w:val="10"/>
          <w:sz w:val="24"/>
          <w:szCs w:val="24"/>
          <w:rtl/>
        </w:rPr>
        <w:t xml:space="preserve"> שהחברה המודרנית מקפידה להפריד </w:t>
      </w:r>
      <w:r w:rsidRPr="00373B46">
        <w:rPr>
          <w:rFonts w:ascii="David" w:eastAsia="Times New Roman" w:hAnsi="David" w:cs="David"/>
          <w:spacing w:val="10"/>
          <w:sz w:val="24"/>
          <w:szCs w:val="24"/>
          <w:rtl/>
        </w:rPr>
        <w:t>–</w:t>
      </w:r>
      <w:r w:rsidR="007D14D1">
        <w:rPr>
          <w:rFonts w:ascii="David" w:eastAsia="Times New Roman" w:hAnsi="David" w:cs="David" w:hint="cs"/>
          <w:spacing w:val="10"/>
          <w:sz w:val="24"/>
          <w:szCs w:val="24"/>
          <w:rtl/>
        </w:rPr>
        <w:t xml:space="preserve"> </w:t>
      </w:r>
      <w:r w:rsidRPr="00373B46">
        <w:rPr>
          <w:rFonts w:ascii="David" w:eastAsia="Times New Roman" w:hAnsi="David" w:cs="David" w:hint="cs"/>
          <w:spacing w:val="10"/>
          <w:sz w:val="24"/>
          <w:szCs w:val="24"/>
          <w:rtl/>
        </w:rPr>
        <w:t xml:space="preserve">יתערבבו זה בזה באופן בעייתי וגבולותיהם יתערפלו </w:t>
      </w:r>
      <w:r w:rsidRPr="00373B46">
        <w:rPr>
          <w:rFonts w:ascii="David" w:eastAsia="Times New Roman" w:hAnsi="David" w:cs="David" w:hint="cs"/>
          <w:spacing w:val="10"/>
          <w:sz w:val="24"/>
          <w:szCs w:val="24"/>
          <w:rtl/>
        </w:rPr>
        <w:lastRenderedPageBreak/>
        <w:t xml:space="preserve">וישובשו, באופן שבו הכוח או </w:t>
      </w:r>
      <w:r w:rsidR="0046561B">
        <w:rPr>
          <w:rFonts w:ascii="David" w:eastAsia="Times New Roman" w:hAnsi="David" w:cs="David" w:hint="cs"/>
          <w:spacing w:val="10"/>
          <w:sz w:val="24"/>
          <w:szCs w:val="24"/>
          <w:rtl/>
        </w:rPr>
        <w:t>ה</w:t>
      </w:r>
      <w:r w:rsidRPr="00373B46">
        <w:rPr>
          <w:rFonts w:ascii="David" w:eastAsia="Times New Roman" w:hAnsi="David" w:cs="David" w:hint="cs"/>
          <w:spacing w:val="10"/>
          <w:sz w:val="24"/>
          <w:szCs w:val="24"/>
          <w:rtl/>
        </w:rPr>
        <w:t xml:space="preserve">סמכות שאמורים להיות מוגבלים למרחב המקצועי יפעלו את פעולתם וישפיעו גם במרחב הפרטי; ולחילופין, שיקולים ואינטרסים פרטיים ישבשו את תקינות פעולתן של זירות מקצועיות. </w:t>
      </w:r>
    </w:p>
    <w:p w:rsidR="009A5F29" w:rsidRPr="00373B46" w:rsidRDefault="004E14DF" w:rsidP="00613546">
      <w:pPr>
        <w:spacing w:line="360" w:lineRule="auto"/>
        <w:jc w:val="both"/>
        <w:rPr>
          <w:rFonts w:ascii="David" w:eastAsia="Times New Roman" w:hAnsi="David" w:cs="David"/>
          <w:spacing w:val="10"/>
          <w:sz w:val="24"/>
          <w:szCs w:val="24"/>
          <w:rtl/>
        </w:rPr>
      </w:pPr>
      <w:r w:rsidRPr="00373B46">
        <w:rPr>
          <w:rFonts w:ascii="David" w:eastAsia="Times New Roman" w:hAnsi="David" w:cs="David"/>
          <w:spacing w:val="10"/>
          <w:sz w:val="24"/>
          <w:szCs w:val="24"/>
          <w:u w:val="single"/>
          <w:rtl/>
        </w:rPr>
        <w:t xml:space="preserve">ואשר לטענה </w:t>
      </w:r>
      <w:r w:rsidRPr="00373B46">
        <w:rPr>
          <w:rFonts w:ascii="David" w:eastAsia="Times New Roman" w:hAnsi="David" w:cs="David" w:hint="cs"/>
          <w:spacing w:val="10"/>
          <w:sz w:val="24"/>
          <w:szCs w:val="24"/>
          <w:u w:val="single"/>
          <w:rtl/>
        </w:rPr>
        <w:t xml:space="preserve">שהעלה שחם בהקשר הנדון </w:t>
      </w:r>
      <w:r w:rsidRPr="00373B46">
        <w:rPr>
          <w:rFonts w:ascii="David" w:eastAsia="Times New Roman" w:hAnsi="David" w:cs="David"/>
          <w:spacing w:val="10"/>
          <w:sz w:val="24"/>
          <w:szCs w:val="24"/>
          <w:u w:val="single"/>
          <w:rtl/>
        </w:rPr>
        <w:t>בדבר פגיעה בחופש המיני של הפרט או פלישה לאוטונומיה של הפרט</w:t>
      </w:r>
      <w:r w:rsidRPr="00373B46">
        <w:rPr>
          <w:rFonts w:ascii="David" w:eastAsia="Times New Roman" w:hAnsi="David" w:cs="David" w:hint="cs"/>
          <w:spacing w:val="10"/>
          <w:sz w:val="24"/>
          <w:szCs w:val="24"/>
          <w:rtl/>
        </w:rPr>
        <w:t xml:space="preserve">. </w:t>
      </w:r>
    </w:p>
    <w:p w:rsidR="00613546" w:rsidRPr="00373B46" w:rsidRDefault="004E14DF" w:rsidP="00613546">
      <w:pPr>
        <w:spacing w:line="360" w:lineRule="auto"/>
        <w:jc w:val="both"/>
        <w:rPr>
          <w:rFonts w:ascii="David" w:eastAsia="Times New Roman" w:hAnsi="David" w:cs="David"/>
          <w:spacing w:val="10"/>
          <w:sz w:val="24"/>
          <w:szCs w:val="24"/>
          <w:rtl/>
        </w:rPr>
      </w:pPr>
      <w:r w:rsidRPr="00373B46">
        <w:rPr>
          <w:rFonts w:ascii="David" w:eastAsia="Times New Roman" w:hAnsi="David" w:cs="David" w:hint="cs"/>
          <w:spacing w:val="10"/>
          <w:sz w:val="24"/>
          <w:szCs w:val="24"/>
          <w:rtl/>
        </w:rPr>
        <w:t>סבורני, כי ההתייחסות לקשרים מיניים בעבודה כמכשול למנהל תקין בזירה זו, מזהה נכונה את החשש שהעירוב בין יחסי מרות מקצועיים לבין יחסים אינטימיים אישיים יוצר בעיה מערכתית ומעורר חשש למשוא פנים, לשיקולים זרים, לניצול כוח ולהיווצרות תחושות של אי אמון במערכת. גישה זו מתיישבת היטב עם השאיפה המעוגנת בעבירת הפרת האמונים והיא למנוע השחתה של השירות הציבורי, בין היתר, באמצעים מיניים.</w:t>
      </w:r>
    </w:p>
    <w:p w:rsidR="00613546" w:rsidRPr="00373B46" w:rsidRDefault="004E14DF" w:rsidP="00613546">
      <w:pPr>
        <w:spacing w:line="360" w:lineRule="auto"/>
        <w:jc w:val="both"/>
        <w:rPr>
          <w:rFonts w:ascii="David" w:eastAsia="Times New Roman" w:hAnsi="David" w:cs="David"/>
          <w:spacing w:val="10"/>
          <w:sz w:val="24"/>
          <w:szCs w:val="24"/>
          <w:rtl/>
        </w:rPr>
      </w:pPr>
      <w:r w:rsidRPr="00373B46">
        <w:rPr>
          <w:rFonts w:ascii="David" w:eastAsia="Times New Roman" w:hAnsi="David" w:cs="David" w:hint="cs"/>
          <w:spacing w:val="10"/>
          <w:sz w:val="24"/>
          <w:szCs w:val="24"/>
          <w:rtl/>
        </w:rPr>
        <w:t xml:space="preserve">במקרה דנן, המדובר בשיטת מיזוג שבין יחסים אינטימיים עם כפיפות לבין עיסוק בתנאי שירותן במשטרה שפיתח שחם והפעיל לאורך שנים. ככל שחיתות, יש בה ניצול לרעה של כוח עודף כדי להשיג טובות הנאה אישיות שאינן נובעות מן התפקיד ואינן קשורות בביצועו. ניצול הסמכות, הכוח והשררה שניתנו לשחם בשירות הציבורי כדי לפעול במסגרת תפקידו לשם סיפוק מאווייו המיניים </w:t>
      </w:r>
      <w:r w:rsidRPr="00373B46">
        <w:rPr>
          <w:rFonts w:ascii="David" w:eastAsia="Times New Roman" w:hAnsi="David" w:cs="David"/>
          <w:spacing w:val="10"/>
          <w:sz w:val="24"/>
          <w:szCs w:val="24"/>
          <w:rtl/>
        </w:rPr>
        <w:t>–</w:t>
      </w:r>
      <w:r w:rsidRPr="00373B46">
        <w:rPr>
          <w:rFonts w:ascii="David" w:eastAsia="Times New Roman" w:hAnsi="David" w:cs="David" w:hint="cs"/>
          <w:spacing w:val="10"/>
          <w:sz w:val="24"/>
          <w:szCs w:val="24"/>
          <w:rtl/>
        </w:rPr>
        <w:t xml:space="preserve"> משחית את הארגון, ומשווה להתנהגות זו משמעות של מעילה באמון הציבור, כלומר </w:t>
      </w:r>
      <w:r w:rsidRPr="00373B46">
        <w:rPr>
          <w:rFonts w:ascii="David" w:eastAsia="Times New Roman" w:hAnsi="David" w:cs="David"/>
          <w:spacing w:val="10"/>
          <w:sz w:val="24"/>
          <w:szCs w:val="24"/>
          <w:rtl/>
        </w:rPr>
        <w:t>–</w:t>
      </w:r>
      <w:r w:rsidRPr="00373B46">
        <w:rPr>
          <w:rFonts w:ascii="David" w:eastAsia="Times New Roman" w:hAnsi="David" w:cs="David" w:hint="cs"/>
          <w:spacing w:val="10"/>
          <w:sz w:val="24"/>
          <w:szCs w:val="24"/>
          <w:rtl/>
        </w:rPr>
        <w:t xml:space="preserve"> מעשה של הפרת אמונים. כך, בכל מסגרת עבודה בשירות הציבורי, וכך ביתר שאת במסגרת המשטרה </w:t>
      </w:r>
      <w:r w:rsidRPr="00373B46">
        <w:rPr>
          <w:rFonts w:ascii="David" w:eastAsia="Times New Roman" w:hAnsi="David" w:cs="David"/>
          <w:spacing w:val="10"/>
          <w:sz w:val="24"/>
          <w:szCs w:val="24"/>
          <w:rtl/>
        </w:rPr>
        <w:t>–</w:t>
      </w:r>
      <w:r w:rsidRPr="00373B46">
        <w:rPr>
          <w:rFonts w:ascii="David" w:eastAsia="Times New Roman" w:hAnsi="David" w:cs="David" w:hint="cs"/>
          <w:spacing w:val="10"/>
          <w:sz w:val="24"/>
          <w:szCs w:val="24"/>
          <w:rtl/>
        </w:rPr>
        <w:t xml:space="preserve"> ארגון בעל מבנה היררכי קשיח וברור, שדורש מעובדיו ציות, ושבו יכולת הסירוב לדרישה כלשהי מצד בעל הדרגה הגבוהה היא מצומצמת ביותר, אם אפשרית בכלל, ומימוש הסירוב נושא עמו השלכות פוטנציאליות קשות על הסרבן. בארגון כזה </w:t>
      </w:r>
      <w:r w:rsidRPr="00373B46">
        <w:rPr>
          <w:rFonts w:ascii="David" w:eastAsia="Times New Roman" w:hAnsi="David" w:cs="David"/>
          <w:spacing w:val="10"/>
          <w:sz w:val="24"/>
          <w:szCs w:val="24"/>
          <w:rtl/>
        </w:rPr>
        <w:t>–</w:t>
      </w:r>
      <w:r w:rsidRPr="00373B46">
        <w:rPr>
          <w:rFonts w:ascii="David" w:eastAsia="Times New Roman" w:hAnsi="David" w:cs="David" w:hint="cs"/>
          <w:spacing w:val="10"/>
          <w:sz w:val="24"/>
          <w:szCs w:val="24"/>
          <w:rtl/>
        </w:rPr>
        <w:t xml:space="preserve"> ניצול המעמד והדרגה לצורך מימוש מאווים מיניים הוא בעל חומרה ייחודית</w:t>
      </w:r>
      <w:r w:rsidR="00AD69A0">
        <w:rPr>
          <w:rFonts w:ascii="David" w:eastAsia="Times New Roman" w:hAnsi="David" w:cs="David" w:hint="cs"/>
          <w:spacing w:val="10"/>
          <w:sz w:val="24"/>
          <w:szCs w:val="24"/>
          <w:rtl/>
        </w:rPr>
        <w:t>.</w:t>
      </w:r>
    </w:p>
    <w:p w:rsidR="00613546" w:rsidRPr="00373B46" w:rsidRDefault="004E14DF" w:rsidP="00613546">
      <w:pPr>
        <w:spacing w:line="360" w:lineRule="auto"/>
        <w:jc w:val="both"/>
        <w:rPr>
          <w:rFonts w:ascii="David" w:eastAsia="Times New Roman" w:hAnsi="David" w:cs="David"/>
          <w:spacing w:val="10"/>
          <w:sz w:val="24"/>
          <w:szCs w:val="24"/>
          <w:rtl/>
        </w:rPr>
      </w:pPr>
      <w:r w:rsidRPr="00373B46">
        <w:rPr>
          <w:rFonts w:ascii="David" w:eastAsia="Times New Roman" w:hAnsi="David" w:cs="David" w:hint="cs"/>
          <w:spacing w:val="10"/>
          <w:sz w:val="24"/>
          <w:szCs w:val="24"/>
          <w:rtl/>
        </w:rPr>
        <w:t xml:space="preserve">מן הראוי להבהיר, כי </w:t>
      </w:r>
      <w:r w:rsidRPr="00373B46">
        <w:rPr>
          <w:rFonts w:ascii="David" w:eastAsia="Times New Roman" w:hAnsi="David" w:cs="David"/>
          <w:spacing w:val="10"/>
          <w:sz w:val="24"/>
          <w:szCs w:val="24"/>
          <w:rtl/>
        </w:rPr>
        <w:t>כאשר דנים ב</w:t>
      </w:r>
      <w:r w:rsidRPr="00373B46">
        <w:rPr>
          <w:rFonts w:ascii="David" w:eastAsia="Times New Roman" w:hAnsi="David" w:cs="David" w:hint="cs"/>
          <w:spacing w:val="10"/>
          <w:sz w:val="24"/>
          <w:szCs w:val="24"/>
          <w:rtl/>
        </w:rPr>
        <w:t>טענ</w:t>
      </w:r>
      <w:r w:rsidRPr="00373B46">
        <w:rPr>
          <w:rFonts w:ascii="David" w:eastAsia="Times New Roman" w:hAnsi="David" w:cs="David"/>
          <w:spacing w:val="10"/>
          <w:sz w:val="24"/>
          <w:szCs w:val="24"/>
          <w:rtl/>
        </w:rPr>
        <w:t xml:space="preserve">ה זו, הסוגיה העומדת לדיון אינה </w:t>
      </w:r>
      <w:r w:rsidRPr="00373B46">
        <w:rPr>
          <w:rFonts w:ascii="David" w:eastAsia="Times New Roman" w:hAnsi="David" w:cs="David" w:hint="cs"/>
          <w:spacing w:val="10"/>
          <w:sz w:val="24"/>
          <w:szCs w:val="24"/>
          <w:rtl/>
        </w:rPr>
        <w:t xml:space="preserve">כלל ועיקר </w:t>
      </w:r>
      <w:r w:rsidRPr="00373B46">
        <w:rPr>
          <w:rFonts w:ascii="David" w:eastAsia="Times New Roman" w:hAnsi="David" w:cs="David"/>
          <w:spacing w:val="10"/>
          <w:sz w:val="24"/>
          <w:szCs w:val="24"/>
          <w:rtl/>
        </w:rPr>
        <w:t>בשאלה</w:t>
      </w:r>
      <w:r w:rsidRPr="00373B46">
        <w:rPr>
          <w:rFonts w:ascii="David" w:eastAsia="Times New Roman" w:hAnsi="David" w:cs="David" w:hint="cs"/>
          <w:spacing w:val="10"/>
          <w:sz w:val="24"/>
          <w:szCs w:val="24"/>
          <w:rtl/>
        </w:rPr>
        <w:t xml:space="preserve"> הכללית </w:t>
      </w:r>
      <w:r w:rsidRPr="00373B46">
        <w:rPr>
          <w:rFonts w:ascii="David" w:eastAsia="Times New Roman" w:hAnsi="David" w:cs="David"/>
          <w:spacing w:val="10"/>
          <w:sz w:val="24"/>
          <w:szCs w:val="24"/>
          <w:rtl/>
        </w:rPr>
        <w:t xml:space="preserve">בדבר פגיעה בחופש המיני בין בגירים, </w:t>
      </w:r>
      <w:r w:rsidRPr="00373B46">
        <w:rPr>
          <w:rFonts w:ascii="David" w:eastAsia="Times New Roman" w:hAnsi="David" w:cs="David" w:hint="cs"/>
          <w:spacing w:val="10"/>
          <w:sz w:val="24"/>
          <w:szCs w:val="24"/>
          <w:rtl/>
        </w:rPr>
        <w:t>אלא אך ורק ב</w:t>
      </w:r>
      <w:r w:rsidRPr="00373B46">
        <w:rPr>
          <w:rFonts w:ascii="David" w:eastAsia="Times New Roman" w:hAnsi="David" w:cs="David"/>
          <w:spacing w:val="10"/>
          <w:sz w:val="24"/>
          <w:szCs w:val="24"/>
          <w:rtl/>
        </w:rPr>
        <w:t xml:space="preserve">קונטקסט המסוים והקונקרטי של </w:t>
      </w:r>
      <w:r w:rsidRPr="00373B46">
        <w:rPr>
          <w:rFonts w:ascii="David" w:eastAsia="Times New Roman" w:hAnsi="David" w:cs="David" w:hint="cs"/>
          <w:spacing w:val="10"/>
          <w:sz w:val="24"/>
          <w:szCs w:val="24"/>
          <w:rtl/>
        </w:rPr>
        <w:t>קיום י</w:t>
      </w:r>
      <w:r w:rsidRPr="00373B46">
        <w:rPr>
          <w:rFonts w:ascii="David" w:eastAsia="Times New Roman" w:hAnsi="David" w:cs="David"/>
          <w:spacing w:val="10"/>
          <w:sz w:val="24"/>
          <w:szCs w:val="24"/>
          <w:rtl/>
        </w:rPr>
        <w:t xml:space="preserve">חסים מיניים </w:t>
      </w:r>
      <w:r w:rsidRPr="00373B46">
        <w:rPr>
          <w:rFonts w:ascii="David" w:eastAsia="Times New Roman" w:hAnsi="David" w:cs="David" w:hint="cs"/>
          <w:spacing w:val="10"/>
          <w:sz w:val="24"/>
          <w:szCs w:val="24"/>
          <w:rtl/>
        </w:rPr>
        <w:t xml:space="preserve">במסגרת העבודה, בתוך ארגון היררכי, </w:t>
      </w:r>
      <w:r w:rsidRPr="00373B46">
        <w:rPr>
          <w:rFonts w:ascii="David" w:eastAsia="Times New Roman" w:hAnsi="David" w:cs="David"/>
          <w:spacing w:val="10"/>
          <w:sz w:val="24"/>
          <w:szCs w:val="24"/>
          <w:rtl/>
        </w:rPr>
        <w:t xml:space="preserve">בין עובד ציבור </w:t>
      </w:r>
      <w:r w:rsidRPr="00373B46">
        <w:rPr>
          <w:rFonts w:ascii="David" w:eastAsia="Times New Roman" w:hAnsi="David" w:cs="David" w:hint="cs"/>
          <w:spacing w:val="10"/>
          <w:sz w:val="24"/>
          <w:szCs w:val="24"/>
          <w:rtl/>
        </w:rPr>
        <w:t xml:space="preserve">בעל דרגה גבוהה </w:t>
      </w:r>
      <w:r w:rsidRPr="00373B46">
        <w:rPr>
          <w:rFonts w:ascii="David" w:eastAsia="Times New Roman" w:hAnsi="David" w:cs="David"/>
          <w:spacing w:val="10"/>
          <w:sz w:val="24"/>
          <w:szCs w:val="24"/>
          <w:rtl/>
        </w:rPr>
        <w:t>לכפ</w:t>
      </w:r>
      <w:r w:rsidRPr="00373B46">
        <w:rPr>
          <w:rFonts w:ascii="David" w:eastAsia="Times New Roman" w:hAnsi="David" w:cs="David" w:hint="cs"/>
          <w:spacing w:val="10"/>
          <w:sz w:val="24"/>
          <w:szCs w:val="24"/>
          <w:rtl/>
        </w:rPr>
        <w:t>י</w:t>
      </w:r>
      <w:r w:rsidRPr="00373B46">
        <w:rPr>
          <w:rFonts w:ascii="David" w:eastAsia="Times New Roman" w:hAnsi="David" w:cs="David"/>
          <w:spacing w:val="10"/>
          <w:sz w:val="24"/>
          <w:szCs w:val="24"/>
          <w:rtl/>
        </w:rPr>
        <w:t>פה לו</w:t>
      </w:r>
      <w:r w:rsidRPr="00373B46">
        <w:rPr>
          <w:rFonts w:ascii="David" w:eastAsia="Times New Roman" w:hAnsi="David" w:cs="David" w:hint="cs"/>
          <w:spacing w:val="10"/>
          <w:sz w:val="24"/>
          <w:szCs w:val="24"/>
          <w:rtl/>
        </w:rPr>
        <w:t xml:space="preserve">.  </w:t>
      </w:r>
    </w:p>
    <w:p w:rsidR="00613546" w:rsidRPr="00373B46" w:rsidRDefault="005C0466" w:rsidP="00613546">
      <w:pPr>
        <w:spacing w:line="360" w:lineRule="auto"/>
        <w:jc w:val="both"/>
        <w:rPr>
          <w:rFonts w:ascii="David" w:eastAsia="Times New Roman" w:hAnsi="David" w:cs="David"/>
          <w:spacing w:val="10"/>
          <w:sz w:val="24"/>
          <w:szCs w:val="24"/>
          <w:rtl/>
        </w:rPr>
      </w:pPr>
      <w:r>
        <w:rPr>
          <w:rFonts w:ascii="David" w:eastAsia="Times New Roman" w:hAnsi="David" w:cs="David" w:hint="cs"/>
          <w:spacing w:val="10"/>
          <w:sz w:val="24"/>
          <w:szCs w:val="24"/>
          <w:rtl/>
        </w:rPr>
        <w:t xml:space="preserve">רוצה לומר. </w:t>
      </w:r>
      <w:r w:rsidR="004E14DF" w:rsidRPr="00373B46">
        <w:rPr>
          <w:rFonts w:ascii="David" w:eastAsia="Times New Roman" w:hAnsi="David" w:cs="David" w:hint="cs"/>
          <w:spacing w:val="10"/>
          <w:sz w:val="24"/>
          <w:szCs w:val="24"/>
          <w:rtl/>
        </w:rPr>
        <w:t xml:space="preserve">העבירה של הפרת האמונים מוקדשת כל כולה למאבק בשחיתות בשירות הציבורי, וזו לטעמי נקודת המוצא לבחינת הסוגיה. </w:t>
      </w:r>
      <w:r w:rsidR="004E14DF" w:rsidRPr="00373B46">
        <w:rPr>
          <w:rFonts w:ascii="David" w:eastAsia="Times New Roman" w:hAnsi="David" w:cs="David"/>
          <w:spacing w:val="10"/>
          <w:sz w:val="24"/>
          <w:szCs w:val="24"/>
          <w:rtl/>
        </w:rPr>
        <w:t>תכלית זו</w:t>
      </w:r>
      <w:r w:rsidR="004E14DF" w:rsidRPr="00373B46">
        <w:rPr>
          <w:rFonts w:ascii="David" w:eastAsia="Times New Roman" w:hAnsi="David" w:cs="David" w:hint="cs"/>
          <w:spacing w:val="10"/>
          <w:sz w:val="24"/>
          <w:szCs w:val="24"/>
          <w:rtl/>
        </w:rPr>
        <w:t>,</w:t>
      </w:r>
      <w:r w:rsidR="004E14DF" w:rsidRPr="00373B46">
        <w:rPr>
          <w:rFonts w:ascii="David" w:eastAsia="Times New Roman" w:hAnsi="David" w:cs="David"/>
          <w:spacing w:val="10"/>
          <w:sz w:val="24"/>
          <w:szCs w:val="24"/>
          <w:rtl/>
        </w:rPr>
        <w:t xml:space="preserve"> </w:t>
      </w:r>
      <w:r w:rsidR="004E14DF" w:rsidRPr="00373B46">
        <w:rPr>
          <w:rFonts w:ascii="David" w:eastAsia="Times New Roman" w:hAnsi="David" w:cs="David" w:hint="cs"/>
          <w:spacing w:val="10"/>
          <w:sz w:val="24"/>
          <w:szCs w:val="24"/>
          <w:rtl/>
        </w:rPr>
        <w:t xml:space="preserve">כשהיא נבחנת בקונטקסט של קיום יחסים אינטימיים בין עובד ציבור בעל סמכות לכפיפה, </w:t>
      </w:r>
      <w:r w:rsidR="004E14DF" w:rsidRPr="00373B46">
        <w:rPr>
          <w:rFonts w:ascii="David" w:eastAsia="Times New Roman" w:hAnsi="David" w:cs="David"/>
          <w:spacing w:val="10"/>
          <w:sz w:val="24"/>
          <w:szCs w:val="24"/>
          <w:rtl/>
        </w:rPr>
        <w:t>אינה ממוקדת ב</w:t>
      </w:r>
      <w:r w:rsidR="004E14DF" w:rsidRPr="00373B46">
        <w:rPr>
          <w:rFonts w:ascii="David" w:eastAsia="Times New Roman" w:hAnsi="David" w:cs="David" w:hint="cs"/>
          <w:spacing w:val="10"/>
          <w:sz w:val="24"/>
          <w:szCs w:val="24"/>
          <w:rtl/>
        </w:rPr>
        <w:t>הגנה על ה</w:t>
      </w:r>
      <w:r w:rsidR="004E14DF" w:rsidRPr="00373B46">
        <w:rPr>
          <w:rFonts w:ascii="David" w:eastAsia="Times New Roman" w:hAnsi="David" w:cs="David"/>
          <w:spacing w:val="10"/>
          <w:sz w:val="24"/>
          <w:szCs w:val="24"/>
          <w:rtl/>
        </w:rPr>
        <w:t>כפיפה או בפגיעה בה, אלא</w:t>
      </w:r>
      <w:r w:rsidR="004E14DF" w:rsidRPr="00373B46">
        <w:rPr>
          <w:rFonts w:ascii="David" w:eastAsia="Times New Roman" w:hAnsi="David" w:cs="David" w:hint="cs"/>
          <w:spacing w:val="10"/>
          <w:sz w:val="24"/>
          <w:szCs w:val="24"/>
          <w:rtl/>
        </w:rPr>
        <w:t xml:space="preserve"> בפגיעה בציבור ובהגנה על תפקודו התקין של המנהל הציבורי ועל אמון הציבור בו. פגיעה הנובעת מהתנהגותו הפסולה של עובד הציבור, שביטויה בניצול </w:t>
      </w:r>
      <w:r w:rsidR="004E14DF" w:rsidRPr="00373B46">
        <w:rPr>
          <w:rFonts w:ascii="David" w:eastAsia="Times New Roman" w:hAnsi="David" w:cs="David" w:hint="cs"/>
          <w:spacing w:val="10"/>
          <w:sz w:val="24"/>
          <w:szCs w:val="24"/>
          <w:rtl/>
        </w:rPr>
        <w:lastRenderedPageBreak/>
        <w:t xml:space="preserve">של פערי הכוחות למינוף וסיפוק צרכים אישיים. </w:t>
      </w:r>
      <w:r w:rsidR="004E14DF" w:rsidRPr="00373B46">
        <w:rPr>
          <w:rFonts w:ascii="David" w:eastAsia="Times New Roman" w:hAnsi="David" w:cs="David"/>
          <w:spacing w:val="10"/>
          <w:sz w:val="24"/>
          <w:szCs w:val="24"/>
          <w:rtl/>
        </w:rPr>
        <w:t>טובת ההנאה שצומחת לבעל הסמכות בנסיבות כאלה היא הנגועה בשחיתות</w:t>
      </w:r>
      <w:r w:rsidR="004E14DF" w:rsidRPr="00373B46">
        <w:rPr>
          <w:rFonts w:ascii="David" w:eastAsia="Times New Roman" w:hAnsi="David" w:cs="David" w:hint="cs"/>
          <w:spacing w:val="10"/>
          <w:sz w:val="24"/>
          <w:szCs w:val="24"/>
          <w:rtl/>
        </w:rPr>
        <w:t xml:space="preserve">. </w:t>
      </w:r>
      <w:r w:rsidR="004E14DF" w:rsidRPr="00373B46">
        <w:rPr>
          <w:rFonts w:ascii="David" w:eastAsia="Times New Roman" w:hAnsi="David" w:cs="David"/>
          <w:spacing w:val="10"/>
          <w:sz w:val="24"/>
          <w:szCs w:val="24"/>
          <w:rtl/>
        </w:rPr>
        <w:t>מטרת</w:t>
      </w:r>
      <w:r w:rsidR="004E14DF" w:rsidRPr="00373B46">
        <w:rPr>
          <w:rFonts w:ascii="David" w:eastAsia="Times New Roman" w:hAnsi="David" w:cs="David" w:hint="cs"/>
          <w:spacing w:val="10"/>
          <w:sz w:val="24"/>
          <w:szCs w:val="24"/>
          <w:rtl/>
        </w:rPr>
        <w:t xml:space="preserve"> העבירה בהקשר הנדון היא </w:t>
      </w:r>
      <w:r w:rsidR="004E14DF" w:rsidRPr="00373B46">
        <w:rPr>
          <w:rFonts w:ascii="David" w:eastAsia="Times New Roman" w:hAnsi="David" w:cs="David"/>
          <w:spacing w:val="10"/>
          <w:sz w:val="24"/>
          <w:szCs w:val="24"/>
          <w:rtl/>
        </w:rPr>
        <w:t>למנוע עירוב של סמכות וכוח עם יחסים אינטימיים בארגון היררכי בו קיימים פערי כוחות בין בעלי התפקידים.</w:t>
      </w:r>
      <w:r w:rsidR="004E14DF" w:rsidRPr="00373B46">
        <w:rPr>
          <w:rFonts w:ascii="David" w:eastAsia="Times New Roman" w:hAnsi="David" w:cs="David" w:hint="cs"/>
          <w:spacing w:val="10"/>
          <w:sz w:val="24"/>
          <w:szCs w:val="24"/>
          <w:rtl/>
        </w:rPr>
        <w:t xml:space="preserve"> הטעם לכך נעוץ בהכרה, שהכוח המיוחד הנלווה לתפקיד הבכיר ולמעמד הרם, מאפשר לדמויות סמכותיות להוביל אנשים הכפופים להם לשיתוף פעולה או לציות, גם אם פורמלית סמכותם אינה כוללת כוחות אלה, וזאת בשעה ש</w:t>
      </w:r>
      <w:r w:rsidR="004E14DF" w:rsidRPr="00373B46">
        <w:rPr>
          <w:rFonts w:ascii="David" w:eastAsia="Times New Roman" w:hAnsi="David" w:cs="David"/>
          <w:spacing w:val="10"/>
          <w:sz w:val="24"/>
          <w:szCs w:val="24"/>
          <w:rtl/>
        </w:rPr>
        <w:t xml:space="preserve">החיים הפרטיים אמורים להישאר מחוץ לשדרת הכוח והסמכות </w:t>
      </w:r>
      <w:r w:rsidR="004E14DF" w:rsidRPr="00373B46">
        <w:rPr>
          <w:rFonts w:ascii="David" w:eastAsia="Times New Roman" w:hAnsi="David" w:cs="David" w:hint="cs"/>
          <w:spacing w:val="10"/>
          <w:sz w:val="24"/>
          <w:szCs w:val="24"/>
          <w:rtl/>
        </w:rPr>
        <w:t xml:space="preserve">ולהיות מונחים על ידי נורמות של שוויון במובן הרחב והעמוק של המושג. </w:t>
      </w:r>
      <w:r w:rsidR="004E14DF" w:rsidRPr="00373B46">
        <w:rPr>
          <w:rFonts w:ascii="David" w:eastAsia="Times New Roman" w:hAnsi="David" w:cs="David"/>
          <w:spacing w:val="10"/>
          <w:sz w:val="24"/>
          <w:szCs w:val="24"/>
          <w:rtl/>
        </w:rPr>
        <w:t xml:space="preserve">תכליתה </w:t>
      </w:r>
      <w:r w:rsidR="004E14DF" w:rsidRPr="00373B46">
        <w:rPr>
          <w:rFonts w:ascii="David" w:eastAsia="Times New Roman" w:hAnsi="David" w:cs="David" w:hint="cs"/>
          <w:spacing w:val="10"/>
          <w:sz w:val="24"/>
          <w:szCs w:val="24"/>
          <w:rtl/>
        </w:rPr>
        <w:t xml:space="preserve">של העבירה אפוא </w:t>
      </w:r>
      <w:r w:rsidR="004E14DF" w:rsidRPr="00373B46">
        <w:rPr>
          <w:rFonts w:ascii="David" w:eastAsia="Times New Roman" w:hAnsi="David" w:cs="David"/>
          <w:spacing w:val="10"/>
          <w:sz w:val="24"/>
          <w:szCs w:val="24"/>
          <w:rtl/>
        </w:rPr>
        <w:t>כפולה - להבטיח שבעלי הסמכות והכוח לא ישתמשו בכוחם ובסמכותם כלפי הכפופים להם</w:t>
      </w:r>
      <w:r w:rsidR="004E14DF" w:rsidRPr="00373B46">
        <w:rPr>
          <w:rFonts w:ascii="David" w:eastAsia="Times New Roman" w:hAnsi="David" w:cs="David" w:hint="cs"/>
          <w:spacing w:val="10"/>
          <w:sz w:val="24"/>
          <w:szCs w:val="24"/>
          <w:rtl/>
        </w:rPr>
        <w:t xml:space="preserve"> לסיפוק מאוויים ואינטרסי</w:t>
      </w:r>
      <w:r w:rsidR="004E14DF" w:rsidRPr="00373B46">
        <w:rPr>
          <w:rFonts w:ascii="David" w:eastAsia="Times New Roman" w:hAnsi="David" w:cs="David" w:hint="eastAsia"/>
          <w:spacing w:val="10"/>
          <w:sz w:val="24"/>
          <w:szCs w:val="24"/>
          <w:rtl/>
        </w:rPr>
        <w:t>ם</w:t>
      </w:r>
      <w:r w:rsidR="004E14DF" w:rsidRPr="00373B46">
        <w:rPr>
          <w:rFonts w:ascii="David" w:eastAsia="Times New Roman" w:hAnsi="David" w:cs="David" w:hint="cs"/>
          <w:spacing w:val="10"/>
          <w:sz w:val="24"/>
          <w:szCs w:val="24"/>
          <w:rtl/>
        </w:rPr>
        <w:t xml:space="preserve"> פרטיים, ובה בעת לשמור ולהגן על</w:t>
      </w:r>
      <w:r w:rsidR="004E14DF" w:rsidRPr="00373B46">
        <w:rPr>
          <w:rFonts w:ascii="David" w:eastAsia="Times New Roman" w:hAnsi="David" w:cs="David"/>
          <w:spacing w:val="10"/>
          <w:sz w:val="24"/>
          <w:szCs w:val="24"/>
          <w:rtl/>
        </w:rPr>
        <w:t xml:space="preserve"> האינטרס הציבורי עליו הם מופקדים</w:t>
      </w:r>
      <w:r w:rsidR="004E14DF" w:rsidRPr="00373B46">
        <w:rPr>
          <w:rFonts w:ascii="David" w:eastAsia="Times New Roman" w:hAnsi="David" w:cs="David" w:hint="cs"/>
          <w:spacing w:val="10"/>
          <w:sz w:val="24"/>
          <w:szCs w:val="24"/>
          <w:rtl/>
        </w:rPr>
        <w:t>.</w:t>
      </w:r>
      <w:r w:rsidR="004E14DF" w:rsidRPr="00373B46">
        <w:rPr>
          <w:rFonts w:ascii="David" w:eastAsia="Times New Roman" w:hAnsi="David" w:cs="David"/>
          <w:spacing w:val="10"/>
          <w:sz w:val="24"/>
          <w:szCs w:val="24"/>
          <w:rtl/>
        </w:rPr>
        <w:t xml:space="preserve"> הרציונל העומד בבסיסו של האיסור </w:t>
      </w:r>
      <w:r w:rsidR="004E14DF" w:rsidRPr="00373B46">
        <w:rPr>
          <w:rFonts w:ascii="David" w:eastAsia="Times New Roman" w:hAnsi="David" w:cs="David" w:hint="cs"/>
          <w:spacing w:val="10"/>
          <w:sz w:val="24"/>
          <w:szCs w:val="24"/>
          <w:rtl/>
        </w:rPr>
        <w:t>מעוגן</w:t>
      </w:r>
      <w:r w:rsidR="004E14DF" w:rsidRPr="00373B46">
        <w:rPr>
          <w:rFonts w:ascii="David" w:eastAsia="Times New Roman" w:hAnsi="David" w:cs="David"/>
          <w:spacing w:val="10"/>
          <w:sz w:val="24"/>
          <w:szCs w:val="24"/>
          <w:rtl/>
        </w:rPr>
        <w:t xml:space="preserve"> </w:t>
      </w:r>
      <w:r w:rsidR="00723D65">
        <w:rPr>
          <w:rFonts w:ascii="David" w:eastAsia="Times New Roman" w:hAnsi="David" w:cs="David" w:hint="cs"/>
          <w:spacing w:val="10"/>
          <w:sz w:val="24"/>
          <w:szCs w:val="24"/>
          <w:rtl/>
        </w:rPr>
        <w:t xml:space="preserve">אפוא </w:t>
      </w:r>
      <w:r w:rsidR="004E14DF" w:rsidRPr="00373B46">
        <w:rPr>
          <w:rFonts w:ascii="David" w:eastAsia="Times New Roman" w:hAnsi="David" w:cs="David"/>
          <w:spacing w:val="10"/>
          <w:sz w:val="24"/>
          <w:szCs w:val="24"/>
          <w:rtl/>
        </w:rPr>
        <w:t xml:space="preserve">בפוטנציאל הנזק שלו לאינטרס הציבורי עליו מופקד עובד הציבור. </w:t>
      </w:r>
    </w:p>
    <w:p w:rsidR="00613546" w:rsidRPr="00373B46" w:rsidRDefault="004E14DF" w:rsidP="00613546">
      <w:pPr>
        <w:spacing w:line="360" w:lineRule="auto"/>
        <w:jc w:val="both"/>
        <w:rPr>
          <w:rFonts w:ascii="David" w:eastAsia="Times New Roman" w:hAnsi="David" w:cs="David"/>
          <w:spacing w:val="10"/>
          <w:sz w:val="24"/>
          <w:szCs w:val="24"/>
          <w:rtl/>
        </w:rPr>
      </w:pPr>
      <w:r w:rsidRPr="00373B46">
        <w:rPr>
          <w:rFonts w:ascii="David" w:eastAsia="Times New Roman" w:hAnsi="David" w:cs="David" w:hint="cs"/>
          <w:spacing w:val="10"/>
          <w:sz w:val="24"/>
          <w:szCs w:val="24"/>
          <w:rtl/>
        </w:rPr>
        <w:t xml:space="preserve">כאמור, בענייננו, אין ולא צריך להיות קושי מיוחד לזהות את התנהלותו של שחם </w:t>
      </w:r>
      <w:proofErr w:type="spellStart"/>
      <w:r w:rsidRPr="00373B46">
        <w:rPr>
          <w:rFonts w:ascii="David" w:eastAsia="Times New Roman" w:hAnsi="David" w:cs="David" w:hint="cs"/>
          <w:spacing w:val="10"/>
          <w:sz w:val="24"/>
          <w:szCs w:val="24"/>
          <w:rtl/>
        </w:rPr>
        <w:t>ככזו</w:t>
      </w:r>
      <w:proofErr w:type="spellEnd"/>
      <w:r w:rsidRPr="00373B46">
        <w:rPr>
          <w:rFonts w:ascii="David" w:eastAsia="Times New Roman" w:hAnsi="David" w:cs="David" w:hint="cs"/>
          <w:spacing w:val="10"/>
          <w:sz w:val="24"/>
          <w:szCs w:val="24"/>
          <w:rtl/>
        </w:rPr>
        <w:t xml:space="preserve"> המגבשת את מעשיו לעבירה של מרמה והפרת אמונים. המדובר בהתנהלות כוללת, ממושכת וחוזרת של קצין משטרה בכיר המצוי ברום ההירארכיה הארגונית, שרק מעטים בכירים ממנו, היוצר שוב ושוב זיקה אישית חריגה ואסורה על פי הדין המשמעתי וכללי ההתנהלות המחייבים בדמות קשרים מיניים עם שוטרות צעירות שדרגתן נמוכה, תוך ניצול מעמדו ותפקידו, כל זאת מבלי לחשוף את דבר הזיקה החריגה. כך, אף מבלי שאותו קצין ייזקק להחליט בעניינן של השוטרות. ובמקרה דנן </w:t>
      </w:r>
      <w:r w:rsidRPr="00373B46">
        <w:rPr>
          <w:rFonts w:ascii="David" w:eastAsia="Times New Roman" w:hAnsi="David" w:cs="David"/>
          <w:spacing w:val="10"/>
          <w:sz w:val="24"/>
          <w:szCs w:val="24"/>
          <w:rtl/>
        </w:rPr>
        <w:t>–</w:t>
      </w:r>
      <w:r w:rsidRPr="00373B46">
        <w:rPr>
          <w:rFonts w:ascii="David" w:eastAsia="Times New Roman" w:hAnsi="David" w:cs="David" w:hint="cs"/>
          <w:spacing w:val="10"/>
          <w:sz w:val="24"/>
          <w:szCs w:val="24"/>
          <w:rtl/>
        </w:rPr>
        <w:t xml:space="preserve"> קל וחומר שכך, בשים לב לכך ששחם לא טרח למשוך את ידיו מקבלת החלטות בעניינן. כל אלה מבססים פגיעה מהותית בכול שלושת הערכים </w:t>
      </w:r>
      <w:r w:rsidRPr="00373B46">
        <w:rPr>
          <w:rFonts w:ascii="David" w:eastAsia="Times New Roman" w:hAnsi="David" w:cs="David"/>
          <w:spacing w:val="10"/>
          <w:sz w:val="24"/>
          <w:szCs w:val="24"/>
          <w:rtl/>
        </w:rPr>
        <w:t>–</w:t>
      </w:r>
      <w:r w:rsidRPr="00373B46">
        <w:rPr>
          <w:rFonts w:ascii="David" w:eastAsia="Times New Roman" w:hAnsi="David" w:cs="David" w:hint="cs"/>
          <w:spacing w:val="10"/>
          <w:sz w:val="24"/>
          <w:szCs w:val="24"/>
          <w:rtl/>
        </w:rPr>
        <w:t xml:space="preserve"> פגיעה אמון הציבור בעובדי הציבור, פגיעה מהותית בטוהר המידות ופגיעה מהותית בתקינות המנהל. </w:t>
      </w:r>
    </w:p>
    <w:p w:rsidR="00613546" w:rsidRPr="00373B46" w:rsidRDefault="004E14DF" w:rsidP="000A5565">
      <w:pPr>
        <w:spacing w:after="0" w:line="360" w:lineRule="auto"/>
        <w:jc w:val="both"/>
        <w:rPr>
          <w:rFonts w:ascii="David" w:hAnsi="David" w:cs="David"/>
          <w:color w:val="000000" w:themeColor="text1"/>
          <w:sz w:val="24"/>
          <w:szCs w:val="24"/>
          <w:u w:val="single"/>
          <w:rtl/>
        </w:rPr>
      </w:pPr>
      <w:r w:rsidRPr="00373B46">
        <w:rPr>
          <w:rFonts w:ascii="David" w:eastAsia="Times New Roman" w:hAnsi="David" w:cs="David" w:hint="cs"/>
          <w:spacing w:val="10"/>
          <w:sz w:val="24"/>
          <w:szCs w:val="24"/>
          <w:u w:val="single"/>
          <w:rtl/>
        </w:rPr>
        <w:t>משמעתי ופלילי</w:t>
      </w:r>
      <w:r w:rsidRPr="00373B46">
        <w:rPr>
          <w:rFonts w:ascii="David" w:hAnsi="David" w:cs="David" w:hint="cs"/>
          <w:color w:val="FF0000"/>
          <w:sz w:val="24"/>
          <w:szCs w:val="24"/>
          <w:u w:val="single"/>
          <w:rtl/>
        </w:rPr>
        <w:t xml:space="preserve"> </w:t>
      </w:r>
      <w:r w:rsidRPr="00373B46">
        <w:rPr>
          <w:rFonts w:ascii="David" w:hAnsi="David" w:cs="David" w:hint="cs"/>
          <w:color w:val="000000" w:themeColor="text1"/>
          <w:sz w:val="24"/>
          <w:szCs w:val="24"/>
          <w:u w:val="single"/>
          <w:rtl/>
        </w:rPr>
        <w:t xml:space="preserve"> </w:t>
      </w:r>
    </w:p>
    <w:p w:rsidR="00613546" w:rsidRDefault="004E14DF" w:rsidP="000A5565">
      <w:pPr>
        <w:spacing w:after="0" w:line="360" w:lineRule="auto"/>
        <w:jc w:val="both"/>
        <w:rPr>
          <w:rFonts w:ascii="David" w:eastAsia="Times New Roman" w:hAnsi="David" w:cs="David"/>
          <w:spacing w:val="10"/>
          <w:sz w:val="24"/>
          <w:szCs w:val="24"/>
          <w:rtl/>
        </w:rPr>
      </w:pPr>
      <w:r w:rsidRPr="00373B46">
        <w:rPr>
          <w:rFonts w:ascii="David" w:eastAsia="Times New Roman" w:hAnsi="David" w:cs="David" w:hint="cs"/>
          <w:spacing w:val="10"/>
          <w:sz w:val="24"/>
          <w:szCs w:val="24"/>
          <w:rtl/>
        </w:rPr>
        <w:t xml:space="preserve">עם זאת, אין פירוש הדבר שכל אימת שעובד הציבור מקיים יחסים אינטימיים מוסכמים עם כפיפות, עולה הדבר כדי עבירה פלילית. עבירת הפרת האמונים דורשת מן השופט להלך על חבל דק המפריד בין האיסור הפלילי מזה, ובין הפגם האסתטי או המוסרי מזה (פרשת גרוסמן). לעולם יש </w:t>
      </w:r>
      <w:proofErr w:type="spellStart"/>
      <w:r w:rsidRPr="00373B46">
        <w:rPr>
          <w:rFonts w:ascii="David" w:eastAsia="Times New Roman" w:hAnsi="David" w:cs="David" w:hint="cs"/>
          <w:spacing w:val="10"/>
          <w:sz w:val="24"/>
          <w:szCs w:val="24"/>
          <w:rtl/>
        </w:rPr>
        <w:t>ליתן</w:t>
      </w:r>
      <w:proofErr w:type="spellEnd"/>
      <w:r w:rsidRPr="00373B46">
        <w:rPr>
          <w:rFonts w:ascii="David" w:eastAsia="Times New Roman" w:hAnsi="David" w:cs="David" w:hint="cs"/>
          <w:spacing w:val="10"/>
          <w:sz w:val="24"/>
          <w:szCs w:val="24"/>
          <w:rtl/>
        </w:rPr>
        <w:t xml:space="preserve"> את הדעת על מכלול הנסיבות הרלוונטיות, שעשויות להשתנות ממקרה למקרה.</w:t>
      </w:r>
    </w:p>
    <w:p w:rsidR="000A5565" w:rsidRPr="00373B46" w:rsidRDefault="000A5565" w:rsidP="000A5565">
      <w:pPr>
        <w:spacing w:after="0" w:line="360" w:lineRule="auto"/>
        <w:jc w:val="both"/>
        <w:rPr>
          <w:rFonts w:ascii="David" w:eastAsia="Times New Roman" w:hAnsi="David" w:cs="David"/>
          <w:spacing w:val="10"/>
          <w:sz w:val="24"/>
          <w:szCs w:val="24"/>
          <w:rtl/>
        </w:rPr>
      </w:pPr>
    </w:p>
    <w:p w:rsidR="00613546" w:rsidRPr="005C0466" w:rsidRDefault="004E14DF" w:rsidP="00613546">
      <w:pPr>
        <w:spacing w:line="360" w:lineRule="auto"/>
        <w:jc w:val="both"/>
        <w:rPr>
          <w:rFonts w:ascii="David" w:eastAsia="Times New Roman" w:hAnsi="David" w:cs="David"/>
          <w:b/>
          <w:bCs/>
          <w:spacing w:val="10"/>
          <w:sz w:val="24"/>
          <w:szCs w:val="24"/>
          <w:u w:val="single"/>
          <w:rtl/>
        </w:rPr>
      </w:pPr>
      <w:r w:rsidRPr="005C0466">
        <w:rPr>
          <w:rFonts w:ascii="David" w:eastAsia="Times New Roman" w:hAnsi="David" w:cs="David" w:hint="cs"/>
          <w:b/>
          <w:bCs/>
          <w:spacing w:val="10"/>
          <w:sz w:val="24"/>
          <w:szCs w:val="24"/>
          <w:u w:val="single"/>
          <w:rtl/>
        </w:rPr>
        <w:t xml:space="preserve">מן הכלל אל הפרט </w:t>
      </w:r>
      <w:r w:rsidRPr="005C0466">
        <w:rPr>
          <w:rFonts w:ascii="David" w:eastAsia="Times New Roman" w:hAnsi="David" w:cs="David"/>
          <w:b/>
          <w:bCs/>
          <w:spacing w:val="10"/>
          <w:sz w:val="24"/>
          <w:szCs w:val="24"/>
          <w:u w:val="single"/>
          <w:rtl/>
        </w:rPr>
        <w:t>–</w:t>
      </w:r>
      <w:r w:rsidRPr="005C0466">
        <w:rPr>
          <w:rFonts w:ascii="David" w:eastAsia="Times New Roman" w:hAnsi="David" w:cs="David" w:hint="cs"/>
          <w:b/>
          <w:bCs/>
          <w:spacing w:val="10"/>
          <w:sz w:val="24"/>
          <w:szCs w:val="24"/>
          <w:u w:val="single"/>
          <w:rtl/>
        </w:rPr>
        <w:t xml:space="preserve"> מדוע חורג המקרה הנדון מהמתחם המשמעתי ועובר למתחם הפלילי</w:t>
      </w:r>
    </w:p>
    <w:p w:rsidR="00F41C1E" w:rsidRPr="00373B46" w:rsidRDefault="004E14DF" w:rsidP="0008665D">
      <w:pPr>
        <w:spacing w:line="360" w:lineRule="auto"/>
        <w:jc w:val="both"/>
        <w:rPr>
          <w:rFonts w:ascii="David" w:eastAsia="Times New Roman" w:hAnsi="David" w:cs="David"/>
          <w:spacing w:val="10"/>
          <w:sz w:val="24"/>
          <w:szCs w:val="24"/>
          <w:rtl/>
        </w:rPr>
      </w:pPr>
      <w:r w:rsidRPr="00373B46">
        <w:rPr>
          <w:rFonts w:ascii="David" w:eastAsia="Times New Roman" w:hAnsi="David" w:cs="David" w:hint="cs"/>
          <w:spacing w:val="10"/>
          <w:sz w:val="24"/>
          <w:szCs w:val="24"/>
          <w:rtl/>
        </w:rPr>
        <w:lastRenderedPageBreak/>
        <w:t xml:space="preserve">בעניינו של שחם, </w:t>
      </w:r>
      <w:r w:rsidR="00746BAE">
        <w:rPr>
          <w:rFonts w:ascii="David" w:eastAsia="Times New Roman" w:hAnsi="David" w:cs="David" w:hint="cs"/>
          <w:spacing w:val="10"/>
          <w:sz w:val="24"/>
          <w:szCs w:val="24"/>
          <w:rtl/>
        </w:rPr>
        <w:t>הדברים, כך נראה, "דוברים בעד</w:t>
      </w:r>
      <w:r w:rsidRPr="00373B46">
        <w:rPr>
          <w:rFonts w:ascii="David" w:eastAsia="Times New Roman" w:hAnsi="David" w:cs="David" w:hint="cs"/>
          <w:spacing w:val="10"/>
          <w:sz w:val="24"/>
          <w:szCs w:val="24"/>
          <w:rtl/>
        </w:rPr>
        <w:t>ם" ובנקל יש לקבוע כי אין במישור המשמעתי כדי לתת מענה הולם ומידתי לפרשה, וכי יש בהתנהלותו כדי לבסס את ההרשעה בעבירה של מרמה והפרת אמונים. המדובר בקביעה נורמטיבית, המתייחסת לנסיבות הייחודיות בעניינו של שחם ולמידת חומרתן, אשר מסיטות, לדעתי,  את מעשיו מהמרחב ה"אפור" למרחב ה"שחו</w:t>
      </w:r>
      <w:r w:rsidR="0008665D">
        <w:rPr>
          <w:rFonts w:ascii="David" w:eastAsia="Times New Roman" w:hAnsi="David" w:cs="David" w:hint="cs"/>
          <w:spacing w:val="10"/>
          <w:sz w:val="24"/>
          <w:szCs w:val="24"/>
          <w:rtl/>
        </w:rPr>
        <w:t>ר" הפלילי, כפי שאלו יובאו להלן.</w:t>
      </w:r>
    </w:p>
    <w:p w:rsidR="005338C1" w:rsidRPr="005C0466" w:rsidRDefault="004E14DF" w:rsidP="000A5565">
      <w:pPr>
        <w:pStyle w:val="a3"/>
        <w:numPr>
          <w:ilvl w:val="0"/>
          <w:numId w:val="2"/>
        </w:numPr>
        <w:spacing w:after="0" w:line="360" w:lineRule="auto"/>
        <w:jc w:val="both"/>
        <w:rPr>
          <w:rFonts w:ascii="David" w:eastAsia="Times New Roman" w:hAnsi="David" w:cs="David"/>
          <w:spacing w:val="10"/>
          <w:sz w:val="24"/>
          <w:szCs w:val="24"/>
          <w:u w:val="single"/>
        </w:rPr>
      </w:pPr>
      <w:r w:rsidRPr="005C0466">
        <w:rPr>
          <w:rFonts w:ascii="David" w:eastAsia="Times New Roman" w:hAnsi="David" w:cs="David" w:hint="cs"/>
          <w:spacing w:val="10"/>
          <w:sz w:val="24"/>
          <w:szCs w:val="24"/>
          <w:u w:val="single"/>
          <w:rtl/>
        </w:rPr>
        <w:t>מעמדו של שחם</w:t>
      </w:r>
    </w:p>
    <w:p w:rsidR="000B49F6" w:rsidRDefault="004E14DF" w:rsidP="000B49F6">
      <w:pPr>
        <w:spacing w:after="100" w:afterAutospacing="1" w:line="360" w:lineRule="auto"/>
        <w:jc w:val="both"/>
        <w:rPr>
          <w:rFonts w:ascii="David" w:eastAsia="Times New Roman" w:hAnsi="David" w:cs="David"/>
          <w:spacing w:val="10"/>
          <w:sz w:val="24"/>
          <w:szCs w:val="24"/>
          <w:rtl/>
        </w:rPr>
      </w:pPr>
      <w:r w:rsidRPr="005338C1">
        <w:rPr>
          <w:rFonts w:ascii="David" w:eastAsia="Times New Roman" w:hAnsi="David" w:cs="David" w:hint="cs"/>
          <w:spacing w:val="10"/>
          <w:sz w:val="24"/>
          <w:szCs w:val="24"/>
          <w:rtl/>
        </w:rPr>
        <w:t>יש</w:t>
      </w:r>
      <w:r w:rsidRPr="005338C1">
        <w:rPr>
          <w:rFonts w:ascii="David" w:eastAsia="Times New Roman" w:hAnsi="David" w:cs="David"/>
          <w:spacing w:val="10"/>
          <w:sz w:val="24"/>
          <w:szCs w:val="24"/>
          <w:rtl/>
        </w:rPr>
        <w:t xml:space="preserve"> לתת את הדעת לרום מעמדו של שחם, שכיהן בתקופה הרלוונטית בשורה של תפקידים בכירים ביותר במשטרת ישראל, בין היתר, כסגן מפקד מחוז בדרגת תת ניצב וכמפקד מחוז בדרגת ניצב. שחם מילא תפקיד ביצועי רם מעלה, והשפעתו באותן שנים על השירות הציבורי ועל משטרת ישראל בכללה הייתה רבה, ואף מכריעה במחוז ירושלים עליו פיקד. במסגרת תפקידיו, נתונים היו בידיו סמכויות רבות ושיקול דעת רחב, לעיתים בלעדי, במגוון נושאים, לרבות כאלה הקשורים לתנאי השירות של השוטרות הזוטרות. בהתחשב במעמדו, שומה היה עליו להקפיד ואף ביתר שאת על כללי ההתנהלות המחייבים אותו באופן אישי כעובד ציבור, הפועל כאורגן של הרשות המנהלית. </w:t>
      </w:r>
    </w:p>
    <w:p w:rsidR="00613546" w:rsidRPr="00373B46" w:rsidRDefault="004E14DF" w:rsidP="000B49F6">
      <w:pPr>
        <w:spacing w:after="100" w:afterAutospacing="1" w:line="360" w:lineRule="auto"/>
        <w:jc w:val="both"/>
        <w:rPr>
          <w:rFonts w:ascii="David" w:eastAsia="Times New Roman" w:hAnsi="David" w:cs="David"/>
          <w:spacing w:val="10"/>
          <w:sz w:val="24"/>
          <w:szCs w:val="24"/>
        </w:rPr>
      </w:pPr>
      <w:r w:rsidRPr="00373B46">
        <w:rPr>
          <w:rFonts w:ascii="David" w:eastAsia="Times New Roman" w:hAnsi="David" w:cs="David" w:hint="cs"/>
          <w:spacing w:val="10"/>
          <w:sz w:val="24"/>
          <w:szCs w:val="24"/>
          <w:rtl/>
        </w:rPr>
        <w:t>היותו של שחם מפקד בכיר ורם מעמד אליו נושאים עיניים אלפי שוטרים כפיפים, אשר אמון על תחומים רבים המצויים במרכז סדר היום הציבורי, מסיטה את חריגתו מן הכללים, ההוראות והחובות החלים עליו מהתחום המשמעתי בלבד לתחום הפלילי</w:t>
      </w:r>
    </w:p>
    <w:p w:rsidR="00613546" w:rsidRDefault="004E14DF" w:rsidP="00613546">
      <w:pPr>
        <w:spacing w:after="0" w:line="360" w:lineRule="auto"/>
        <w:jc w:val="both"/>
        <w:rPr>
          <w:rFonts w:ascii="David" w:eastAsia="Times New Roman" w:hAnsi="David" w:cs="David"/>
          <w:spacing w:val="10"/>
          <w:sz w:val="24"/>
          <w:szCs w:val="24"/>
          <w:rtl/>
        </w:rPr>
      </w:pPr>
      <w:r w:rsidRPr="00373B46">
        <w:rPr>
          <w:rFonts w:ascii="David" w:eastAsia="Times New Roman" w:hAnsi="David" w:cs="David" w:hint="cs"/>
          <w:spacing w:val="10"/>
          <w:sz w:val="24"/>
          <w:szCs w:val="24"/>
          <w:rtl/>
        </w:rPr>
        <w:t>מעבר לכך, מן הראוי להזכיר בהקשר הנדון מספר התבטאויות של השוטרות, שיש בהן כדי לשפוך אור כיצד נחוו הדברים על ידן בהיבט של עוצמת המעמד</w:t>
      </w:r>
      <w:r w:rsidR="000B49F6">
        <w:rPr>
          <w:rFonts w:ascii="David" w:eastAsia="Times New Roman" w:hAnsi="David" w:cs="David" w:hint="cs"/>
          <w:spacing w:val="10"/>
          <w:sz w:val="24"/>
          <w:szCs w:val="24"/>
          <w:rtl/>
        </w:rPr>
        <w:t xml:space="preserve"> והסמכות ששידר שחם והשפעתם עליהן (ציטוט מתוך דברי השוטרות)</w:t>
      </w:r>
      <w:r w:rsidR="00A24606">
        <w:rPr>
          <w:rFonts w:ascii="David" w:eastAsia="Times New Roman" w:hAnsi="David" w:cs="David" w:hint="cs"/>
          <w:spacing w:val="10"/>
          <w:sz w:val="24"/>
          <w:szCs w:val="24"/>
          <w:rtl/>
        </w:rPr>
        <w:t>.</w:t>
      </w:r>
    </w:p>
    <w:p w:rsidR="00A24606" w:rsidRDefault="00A24606" w:rsidP="00613546">
      <w:pPr>
        <w:spacing w:after="0" w:line="360" w:lineRule="auto"/>
        <w:jc w:val="both"/>
        <w:rPr>
          <w:rFonts w:ascii="David" w:eastAsia="Times New Roman" w:hAnsi="David" w:cs="David"/>
          <w:spacing w:val="10"/>
          <w:sz w:val="24"/>
          <w:szCs w:val="24"/>
          <w:rtl/>
        </w:rPr>
      </w:pPr>
    </w:p>
    <w:p w:rsidR="005338C1" w:rsidRPr="005C0466" w:rsidRDefault="004E14DF" w:rsidP="000A5565">
      <w:pPr>
        <w:pStyle w:val="a3"/>
        <w:numPr>
          <w:ilvl w:val="0"/>
          <w:numId w:val="2"/>
        </w:numPr>
        <w:spacing w:after="0" w:line="360" w:lineRule="auto"/>
        <w:jc w:val="both"/>
        <w:rPr>
          <w:rFonts w:ascii="David" w:eastAsia="Times New Roman" w:hAnsi="David" w:cs="David"/>
          <w:spacing w:val="10"/>
          <w:sz w:val="24"/>
          <w:szCs w:val="24"/>
          <w:u w:val="single"/>
        </w:rPr>
      </w:pPr>
      <w:r w:rsidRPr="005C0466">
        <w:rPr>
          <w:rFonts w:ascii="David" w:eastAsia="Times New Roman" w:hAnsi="David" w:cs="David" w:hint="cs"/>
          <w:spacing w:val="10"/>
          <w:sz w:val="24"/>
          <w:szCs w:val="24"/>
          <w:u w:val="single"/>
          <w:rtl/>
        </w:rPr>
        <w:t>הארגון במסגרתו נוצרה והתקיימה ההתנהלות של שחם</w:t>
      </w:r>
    </w:p>
    <w:p w:rsidR="00613546" w:rsidRPr="005338C1" w:rsidRDefault="004E14DF" w:rsidP="000A5565">
      <w:pPr>
        <w:spacing w:after="0" w:line="360" w:lineRule="auto"/>
        <w:jc w:val="both"/>
        <w:rPr>
          <w:rFonts w:ascii="David" w:eastAsia="Times New Roman" w:hAnsi="David" w:cs="David"/>
          <w:spacing w:val="10"/>
          <w:sz w:val="24"/>
          <w:szCs w:val="24"/>
          <w:rtl/>
        </w:rPr>
      </w:pPr>
      <w:r w:rsidRPr="005338C1">
        <w:rPr>
          <w:rFonts w:ascii="David" w:eastAsia="Times New Roman" w:hAnsi="David" w:cs="David" w:hint="cs"/>
          <w:spacing w:val="10"/>
          <w:sz w:val="24"/>
          <w:szCs w:val="24"/>
          <w:rtl/>
        </w:rPr>
        <w:t xml:space="preserve">יש לייחס חומרה יתרה למעשים אשר סוטים מנורמות ההתנהגות הנדרשות מעובד מדינה, כאשר אלו מתבצעים בארגון אוכף חוק כמו המשטרה, שערכי היושר, האמת, הצדק ושמירת החוק הם אבני היסוד עליהן היא מושתתת. ההתנהגות המיוחסת לשחם מצביעה על הפרה חמורה של חובת האמון הנדרשת משוטר במדים, כלפי תפקידו וכלפי מערך המשטרה עליו נמנה. כמי שאמונים על אכיפת החוק, ראוי כי אנשי המשטרה יגלו רגישות והקפדה מיוחדת לפן הערכי והמוסרי שבמעשיהם, יעמדו בנורמות התנהגות גבוהות במיוחד וישמשו דוגמה ומופת לציבור הרחב </w:t>
      </w:r>
      <w:r w:rsidRPr="005338C1">
        <w:rPr>
          <w:rFonts w:ascii="David" w:eastAsia="Times New Roman" w:hAnsi="David" w:cs="David"/>
          <w:spacing w:val="10"/>
          <w:sz w:val="24"/>
          <w:szCs w:val="24"/>
          <w:rtl/>
        </w:rPr>
        <w:t>–</w:t>
      </w:r>
      <w:r w:rsidRPr="005338C1">
        <w:rPr>
          <w:rFonts w:ascii="David" w:eastAsia="Times New Roman" w:hAnsi="David" w:cs="David" w:hint="cs"/>
          <w:spacing w:val="10"/>
          <w:sz w:val="24"/>
          <w:szCs w:val="24"/>
          <w:rtl/>
        </w:rPr>
        <w:t xml:space="preserve"> וזאת לנוכח חשיבותם של יחסי האמון שבין הקהילה למשטרה. </w:t>
      </w:r>
    </w:p>
    <w:p w:rsidR="0028754E" w:rsidRPr="00373B46" w:rsidRDefault="004E14DF" w:rsidP="0028754E">
      <w:pPr>
        <w:spacing w:line="360" w:lineRule="auto"/>
        <w:jc w:val="both"/>
        <w:rPr>
          <w:rFonts w:ascii="David" w:eastAsia="Times New Roman" w:hAnsi="David" w:cs="David"/>
          <w:spacing w:val="10"/>
          <w:sz w:val="24"/>
          <w:szCs w:val="24"/>
        </w:rPr>
      </w:pPr>
      <w:r w:rsidRPr="00373B46">
        <w:rPr>
          <w:rFonts w:ascii="David" w:eastAsia="Times New Roman" w:hAnsi="David" w:cs="David"/>
          <w:spacing w:val="10"/>
          <w:sz w:val="24"/>
          <w:szCs w:val="24"/>
          <w:rtl/>
        </w:rPr>
        <w:lastRenderedPageBreak/>
        <w:t xml:space="preserve">סיכומו של דבר, כפי שקבע בית המשפט העליון בפרשת גלילי –  הפער העצום בין שחם לשמונה השוטרות, מבחינת הגיל, המעמד, הסמכות, המרות והדרגה - מהווה "קרקע להצמחת עשבים שוטים של ניצול לרעה של סמכות ומרות". האיסור הפלילי על הפרת אמונים נועד בדיוק למנוע מקרים מסוג זה, בהם עובדי ציבור עושים שימוש לרעה בכוח השלטון, במילותיו של בית המשפט העליון: </w:t>
      </w:r>
    </w:p>
    <w:p w:rsidR="0028754E" w:rsidRPr="00373B46" w:rsidRDefault="004E14DF" w:rsidP="000B49F6">
      <w:pPr>
        <w:spacing w:after="100" w:afterAutospacing="1" w:line="360" w:lineRule="auto"/>
        <w:jc w:val="both"/>
        <w:rPr>
          <w:rFonts w:ascii="David" w:eastAsia="Times New Roman" w:hAnsi="David" w:cs="David"/>
          <w:spacing w:val="10"/>
          <w:sz w:val="24"/>
          <w:szCs w:val="24"/>
          <w:rtl/>
        </w:rPr>
      </w:pPr>
      <w:r w:rsidRPr="00373B46">
        <w:rPr>
          <w:rFonts w:ascii="David" w:eastAsia="Times New Roman" w:hAnsi="David" w:cs="David" w:hint="cs"/>
          <w:spacing w:val="10"/>
          <w:sz w:val="24"/>
          <w:szCs w:val="24"/>
          <w:rtl/>
        </w:rPr>
        <w:t>שו</w:t>
      </w:r>
      <w:r w:rsidRPr="00373B46">
        <w:rPr>
          <w:rFonts w:ascii="David" w:eastAsia="Times New Roman" w:hAnsi="David" w:cs="David"/>
          <w:spacing w:val="10"/>
          <w:sz w:val="24"/>
          <w:szCs w:val="24"/>
          <w:rtl/>
        </w:rPr>
        <w:t xml:space="preserve">מה עלינו להבחין בחובת האמון הייחודית המוטלת על עובדי הציבור בשירות המשטרה. אמון הציבור באנשי המשטרה הוא יסוד פעולתה, ובלעדיו היא אינה יכולה למלא את תפקידה כראוי. היבט ייחודי זה, נפקד מהמקרה עליו ביקש שחם להסתמך בטענתו למדיניות שמפלה כלפיו מצד המדינה, ולפיכך אין להקיש ממנו לענייננו. </w:t>
      </w:r>
    </w:p>
    <w:p w:rsidR="00613546" w:rsidRPr="005C0466" w:rsidRDefault="004E14DF" w:rsidP="000B49F6">
      <w:pPr>
        <w:pStyle w:val="a3"/>
        <w:numPr>
          <w:ilvl w:val="0"/>
          <w:numId w:val="2"/>
        </w:numPr>
        <w:spacing w:after="0" w:line="360" w:lineRule="auto"/>
        <w:jc w:val="both"/>
        <w:rPr>
          <w:rFonts w:ascii="David" w:eastAsia="Times New Roman" w:hAnsi="David" w:cs="David"/>
          <w:spacing w:val="10"/>
          <w:sz w:val="24"/>
          <w:szCs w:val="24"/>
          <w:u w:val="single"/>
        </w:rPr>
      </w:pPr>
      <w:r w:rsidRPr="005C0466">
        <w:rPr>
          <w:rFonts w:ascii="David" w:eastAsia="Times New Roman" w:hAnsi="David" w:cs="David" w:hint="cs"/>
          <w:spacing w:val="10"/>
          <w:sz w:val="24"/>
          <w:szCs w:val="24"/>
          <w:u w:val="single"/>
          <w:rtl/>
        </w:rPr>
        <w:t>מעמדן של השוטרות</w:t>
      </w:r>
    </w:p>
    <w:p w:rsidR="000B49F6" w:rsidRDefault="005338C1" w:rsidP="000B49F6">
      <w:pPr>
        <w:spacing w:after="0" w:line="360" w:lineRule="auto"/>
        <w:jc w:val="both"/>
        <w:rPr>
          <w:rFonts w:ascii="David" w:eastAsia="Times New Roman" w:hAnsi="David" w:cs="David"/>
          <w:spacing w:val="10"/>
          <w:sz w:val="24"/>
          <w:szCs w:val="24"/>
          <w:rtl/>
        </w:rPr>
      </w:pPr>
      <w:r>
        <w:rPr>
          <w:rFonts w:ascii="David" w:eastAsia="Times New Roman" w:hAnsi="David" w:cs="David" w:hint="cs"/>
          <w:spacing w:val="10"/>
          <w:sz w:val="24"/>
          <w:szCs w:val="24"/>
          <w:rtl/>
        </w:rPr>
        <w:t>יש גם לציין, שכל שמונה</w:t>
      </w:r>
      <w:r w:rsidR="004E14DF" w:rsidRPr="00373B46">
        <w:rPr>
          <w:rFonts w:ascii="David" w:eastAsia="Times New Roman" w:hAnsi="David" w:cs="David" w:hint="cs"/>
          <w:spacing w:val="10"/>
          <w:sz w:val="24"/>
          <w:szCs w:val="24"/>
          <w:rtl/>
        </w:rPr>
        <w:t xml:space="preserve"> השוטרות עמן יצר שחם קשרים אינטימיים בעלי אופי מיני הן שוטרות בדרגות נמוכות, בתפקידים זוטרים, שהיו כפופות אליו </w:t>
      </w:r>
      <w:r w:rsidR="004E14DF" w:rsidRPr="00373B46">
        <w:rPr>
          <w:rFonts w:ascii="David" w:eastAsia="Times New Roman" w:hAnsi="David" w:cs="David"/>
          <w:spacing w:val="10"/>
          <w:sz w:val="24"/>
          <w:szCs w:val="24"/>
          <w:rtl/>
        </w:rPr>
        <w:t>–</w:t>
      </w:r>
      <w:r w:rsidR="004E14DF" w:rsidRPr="00373B46">
        <w:rPr>
          <w:rFonts w:ascii="David" w:eastAsia="Times New Roman" w:hAnsi="David" w:cs="David" w:hint="cs"/>
          <w:spacing w:val="10"/>
          <w:sz w:val="24"/>
          <w:szCs w:val="24"/>
          <w:rtl/>
        </w:rPr>
        <w:t xml:space="preserve"> בין במישרין ובין בעקיפין </w:t>
      </w:r>
      <w:r w:rsidR="004E14DF" w:rsidRPr="00373B46">
        <w:rPr>
          <w:rFonts w:ascii="David" w:eastAsia="Times New Roman" w:hAnsi="David" w:cs="David"/>
          <w:spacing w:val="10"/>
          <w:sz w:val="24"/>
          <w:szCs w:val="24"/>
          <w:rtl/>
        </w:rPr>
        <w:t>–</w:t>
      </w:r>
      <w:r w:rsidR="004E14DF" w:rsidRPr="00373B46">
        <w:rPr>
          <w:rFonts w:ascii="David" w:eastAsia="Times New Roman" w:hAnsi="David" w:cs="David" w:hint="cs"/>
          <w:spacing w:val="10"/>
          <w:sz w:val="24"/>
          <w:szCs w:val="24"/>
          <w:rtl/>
        </w:rPr>
        <w:t xml:space="preserve"> ומצויות במורד ההירארכיה הפיקודית, חלקן אף שוטרות בשירות חובה. בהקשר זה, דומה כי גם אם אין יחסי כפיפות ישירים, יש לעיתים פערי כוחות בין אדם בעל שררה, השפעה וכוח מתוקף תפקידו או מעמדו הציבורי ובין הנזקקים לשירותיו, ובנסיבות אלו </w:t>
      </w:r>
      <w:r w:rsidR="004E14DF" w:rsidRPr="00373B46">
        <w:rPr>
          <w:rFonts w:ascii="David" w:eastAsia="Times New Roman" w:hAnsi="David" w:cs="David"/>
          <w:spacing w:val="10"/>
          <w:sz w:val="24"/>
          <w:szCs w:val="24"/>
          <w:rtl/>
        </w:rPr>
        <w:t>–</w:t>
      </w:r>
      <w:r w:rsidR="004E14DF" w:rsidRPr="00373B46">
        <w:rPr>
          <w:rFonts w:ascii="David" w:eastAsia="Times New Roman" w:hAnsi="David" w:cs="David" w:hint="cs"/>
          <w:spacing w:val="10"/>
          <w:sz w:val="24"/>
          <w:szCs w:val="24"/>
          <w:rtl/>
        </w:rPr>
        <w:t xml:space="preserve"> יש כדי לצמצם את יכולת ההתנגדות של השוטרות. כנזכר לעיל, ביחסים שבין מפקד בכיר לפקודתו טמון באופן אינהרנטי חוסר שוויון מהותי. וודאי שכך כאשר אלו מתקיימים במערכת היררכית כמו המשטרה. שמונת השוטרות לא פגשו את שחם במקום ניטראלי ושוויוני, אלא פגשו בו במסגרת שבה שחם קצין בכיר מאוד, מבוגר, כריזמטי, </w:t>
      </w:r>
      <w:proofErr w:type="spellStart"/>
      <w:r w:rsidR="004E14DF" w:rsidRPr="00373B46">
        <w:rPr>
          <w:rFonts w:ascii="David" w:eastAsia="Times New Roman" w:hAnsi="David" w:cs="David" w:hint="cs"/>
          <w:spacing w:val="10"/>
          <w:sz w:val="24"/>
          <w:szCs w:val="24"/>
          <w:rtl/>
        </w:rPr>
        <w:t>שהכל</w:t>
      </w:r>
      <w:proofErr w:type="spellEnd"/>
      <w:r w:rsidR="004E14DF" w:rsidRPr="00373B46">
        <w:rPr>
          <w:rFonts w:ascii="David" w:eastAsia="Times New Roman" w:hAnsi="David" w:cs="David" w:hint="cs"/>
          <w:spacing w:val="10"/>
          <w:sz w:val="24"/>
          <w:szCs w:val="24"/>
          <w:rtl/>
        </w:rPr>
        <w:t xml:space="preserve"> סרים למרותו, והן שוטרות צעירות, כפופות לו באופן ישיר או עקיף, שאמורות, כך או אחרת, להעניק לו שירותים מקצועיים. </w:t>
      </w:r>
    </w:p>
    <w:p w:rsidR="00884CF0" w:rsidRPr="00373B46" w:rsidRDefault="004E14DF" w:rsidP="000B49F6">
      <w:pPr>
        <w:spacing w:after="0" w:line="360" w:lineRule="auto"/>
        <w:jc w:val="both"/>
        <w:rPr>
          <w:rFonts w:ascii="David" w:eastAsia="Times New Roman" w:hAnsi="David" w:cs="David"/>
          <w:spacing w:val="10"/>
          <w:sz w:val="24"/>
          <w:szCs w:val="24"/>
          <w:rtl/>
        </w:rPr>
      </w:pPr>
      <w:r w:rsidRPr="00373B46">
        <w:rPr>
          <w:rFonts w:ascii="David" w:eastAsia="Times New Roman" w:hAnsi="David" w:cs="David" w:hint="cs"/>
          <w:spacing w:val="10"/>
          <w:sz w:val="24"/>
          <w:szCs w:val="24"/>
          <w:rtl/>
        </w:rPr>
        <w:t xml:space="preserve">בהקשר זה ראיתי לצטט מהדברים שאמרו השוטרות בעדותן, שממחישים באופן בלתי אמצעי כי עסקינן בדיוק בתופעה זו </w:t>
      </w:r>
      <w:r w:rsidRPr="00373B46">
        <w:rPr>
          <w:rFonts w:ascii="David" w:eastAsia="Times New Roman" w:hAnsi="David" w:cs="David"/>
          <w:spacing w:val="10"/>
          <w:sz w:val="24"/>
          <w:szCs w:val="24"/>
          <w:rtl/>
        </w:rPr>
        <w:t>–</w:t>
      </w:r>
      <w:r w:rsidRPr="00373B46">
        <w:rPr>
          <w:rFonts w:ascii="David" w:eastAsia="Times New Roman" w:hAnsi="David" w:cs="David" w:hint="cs"/>
          <w:spacing w:val="10"/>
          <w:sz w:val="24"/>
          <w:szCs w:val="24"/>
          <w:rtl/>
        </w:rPr>
        <w:t xml:space="preserve"> הרכנת ראש של הכפופים והשלמה מאולצת עם התנהגות מינית מצד בעלי הסמכות הבכירים. הדמיון בין תיאורן של השוטרות את הסיטואציה הבעייתית אליה נקלעו והדילמה בפניה עמדו - אומר דרשני.</w:t>
      </w:r>
    </w:p>
    <w:p w:rsidR="00AD69A0" w:rsidRDefault="004E14DF" w:rsidP="000A5565">
      <w:pPr>
        <w:spacing w:after="0" w:line="360" w:lineRule="auto"/>
        <w:jc w:val="both"/>
        <w:rPr>
          <w:rFonts w:ascii="David" w:eastAsia="Times New Roman" w:hAnsi="David" w:cs="David"/>
          <w:spacing w:val="10"/>
          <w:sz w:val="24"/>
          <w:szCs w:val="24"/>
          <w:rtl/>
        </w:rPr>
      </w:pPr>
      <w:r w:rsidRPr="00373B46">
        <w:rPr>
          <w:rFonts w:ascii="David" w:eastAsia="Times New Roman" w:hAnsi="David" w:cs="David" w:hint="cs"/>
          <w:spacing w:val="10"/>
          <w:sz w:val="24"/>
          <w:szCs w:val="24"/>
          <w:rtl/>
        </w:rPr>
        <w:t>להשקפתי, וויתור על הכנסת התנהלות לא תקינה ולא ראויה זו אל תוך התחום הפלילי, כמוהו ככניעה לנורמות אלו של ניצול המעמד ועוצמת התפקיד לסיפוק מאווים אישיים, ומתן לגיטימציה לקיומן.</w:t>
      </w:r>
    </w:p>
    <w:p w:rsidR="000A5565" w:rsidRDefault="000A5565" w:rsidP="000A5565">
      <w:pPr>
        <w:spacing w:after="0" w:line="360" w:lineRule="auto"/>
        <w:jc w:val="both"/>
        <w:rPr>
          <w:rFonts w:ascii="David" w:eastAsia="Times New Roman" w:hAnsi="David" w:cs="David"/>
          <w:spacing w:val="10"/>
          <w:sz w:val="24"/>
          <w:szCs w:val="24"/>
          <w:rtl/>
        </w:rPr>
      </w:pPr>
    </w:p>
    <w:p w:rsidR="00613546" w:rsidRPr="005C0466" w:rsidRDefault="004E14DF" w:rsidP="000A5565">
      <w:pPr>
        <w:pStyle w:val="a3"/>
        <w:numPr>
          <w:ilvl w:val="0"/>
          <w:numId w:val="2"/>
        </w:numPr>
        <w:spacing w:after="0" w:line="360" w:lineRule="auto"/>
        <w:jc w:val="both"/>
        <w:rPr>
          <w:rFonts w:ascii="David" w:eastAsia="Times New Roman" w:hAnsi="David" w:cs="David"/>
          <w:spacing w:val="10"/>
          <w:sz w:val="24"/>
          <w:szCs w:val="24"/>
          <w:u w:val="single"/>
        </w:rPr>
      </w:pPr>
      <w:r w:rsidRPr="005C0466">
        <w:rPr>
          <w:rFonts w:ascii="David" w:eastAsia="Times New Roman" w:hAnsi="David" w:cs="David" w:hint="cs"/>
          <w:spacing w:val="10"/>
          <w:sz w:val="24"/>
          <w:szCs w:val="24"/>
          <w:u w:val="single"/>
          <w:rtl/>
        </w:rPr>
        <w:t>הנסיבות האישיות של השוטרות</w:t>
      </w:r>
      <w:r w:rsidR="005338C1" w:rsidRPr="005C0466">
        <w:rPr>
          <w:rFonts w:ascii="David" w:eastAsia="Times New Roman" w:hAnsi="David" w:cs="David" w:hint="cs"/>
          <w:spacing w:val="10"/>
          <w:sz w:val="24"/>
          <w:szCs w:val="24"/>
          <w:u w:val="single"/>
          <w:rtl/>
        </w:rPr>
        <w:t xml:space="preserve"> ומספר השוטרות</w:t>
      </w:r>
    </w:p>
    <w:p w:rsidR="00F41C1E" w:rsidRDefault="004E14DF" w:rsidP="000A5565">
      <w:pPr>
        <w:spacing w:after="0" w:line="360" w:lineRule="auto"/>
        <w:jc w:val="both"/>
        <w:rPr>
          <w:rFonts w:ascii="David" w:eastAsia="Times New Roman" w:hAnsi="David" w:cs="David"/>
          <w:spacing w:val="10"/>
          <w:sz w:val="24"/>
          <w:szCs w:val="24"/>
          <w:rtl/>
        </w:rPr>
      </w:pPr>
      <w:r w:rsidRPr="00373B46">
        <w:rPr>
          <w:rFonts w:ascii="David" w:eastAsia="Times New Roman" w:hAnsi="David" w:cs="David" w:hint="cs"/>
          <w:spacing w:val="10"/>
          <w:sz w:val="24"/>
          <w:szCs w:val="24"/>
          <w:rtl/>
        </w:rPr>
        <w:lastRenderedPageBreak/>
        <w:t xml:space="preserve">בייחוד אמורים הדברים שעה ששחם ביצע את המעשים לא רק תוך ניצול מעמדו, כפיפותן של השוטרות ופערי הכוחות ביניהם, אלא גם תוך ניצול נסיבותיהן האישיות של השוטרות, כפי שנחשפו בפניו מכוח תפקידו. </w:t>
      </w:r>
    </w:p>
    <w:p w:rsidR="00F36204" w:rsidRPr="00F36204" w:rsidRDefault="004E14DF" w:rsidP="00F36204">
      <w:pPr>
        <w:spacing w:line="360" w:lineRule="auto"/>
        <w:jc w:val="both"/>
        <w:rPr>
          <w:rFonts w:ascii="David" w:eastAsia="Times New Roman" w:hAnsi="David" w:cs="David"/>
          <w:spacing w:val="10"/>
          <w:sz w:val="24"/>
          <w:szCs w:val="24"/>
        </w:rPr>
      </w:pPr>
      <w:r w:rsidRPr="00F36204">
        <w:rPr>
          <w:rFonts w:ascii="David" w:eastAsia="Times New Roman" w:hAnsi="David" w:cs="David" w:hint="cs"/>
          <w:spacing w:val="10"/>
          <w:sz w:val="24"/>
          <w:szCs w:val="24"/>
          <w:rtl/>
        </w:rPr>
        <w:t xml:space="preserve">יש להתחשב </w:t>
      </w:r>
      <w:r w:rsidR="005338C1">
        <w:rPr>
          <w:rFonts w:ascii="David" w:eastAsia="Times New Roman" w:hAnsi="David" w:cs="David" w:hint="cs"/>
          <w:spacing w:val="10"/>
          <w:sz w:val="24"/>
          <w:szCs w:val="24"/>
          <w:rtl/>
        </w:rPr>
        <w:t xml:space="preserve">גם </w:t>
      </w:r>
      <w:r w:rsidRPr="00F36204">
        <w:rPr>
          <w:rFonts w:ascii="David" w:eastAsia="Times New Roman" w:hAnsi="David" w:cs="David" w:hint="cs"/>
          <w:spacing w:val="10"/>
          <w:sz w:val="24"/>
          <w:szCs w:val="24"/>
          <w:rtl/>
        </w:rPr>
        <w:t xml:space="preserve">בהיקף מעשיו של שחם. כפי שנקבע בהכרעת הדין שחם יצר קשרים בעלי אופי מיני עם שמונה שוטרות שונות. עם חמש מתוכן קיים יחסים אינטימיים. בכך יש כדי להעיד שלא מדובר במקרה בודד של קשר אינטימי חד פעמי, בבחינת אפיזודה חולפת, אלא בהתנהלות חוזרת ונשנית - מספר רב של פעמים, מול מספר שוטרות, </w:t>
      </w:r>
      <w:proofErr w:type="spellStart"/>
      <w:r w:rsidRPr="00F36204">
        <w:rPr>
          <w:rFonts w:ascii="David" w:eastAsia="Times New Roman" w:hAnsi="David" w:cs="David" w:hint="cs"/>
          <w:spacing w:val="10"/>
          <w:sz w:val="24"/>
          <w:szCs w:val="24"/>
          <w:rtl/>
        </w:rPr>
        <w:t>שהיתה</w:t>
      </w:r>
      <w:proofErr w:type="spellEnd"/>
      <w:r w:rsidRPr="00F36204">
        <w:rPr>
          <w:rFonts w:ascii="David" w:eastAsia="Times New Roman" w:hAnsi="David" w:cs="David" w:hint="cs"/>
          <w:spacing w:val="10"/>
          <w:sz w:val="24"/>
          <w:szCs w:val="24"/>
          <w:rtl/>
        </w:rPr>
        <w:t xml:space="preserve"> גם כרוכה באיסור משמעתי.</w:t>
      </w:r>
    </w:p>
    <w:p w:rsidR="00884CF0" w:rsidRPr="005C0466" w:rsidRDefault="004E14DF" w:rsidP="000A5565">
      <w:pPr>
        <w:pStyle w:val="a3"/>
        <w:numPr>
          <w:ilvl w:val="0"/>
          <w:numId w:val="2"/>
        </w:numPr>
        <w:spacing w:after="0" w:line="360" w:lineRule="auto"/>
        <w:jc w:val="both"/>
        <w:rPr>
          <w:rFonts w:ascii="David" w:eastAsia="Times New Roman" w:hAnsi="David" w:cs="David"/>
          <w:spacing w:val="10"/>
          <w:sz w:val="24"/>
          <w:szCs w:val="24"/>
          <w:u w:val="single"/>
          <w:rtl/>
        </w:rPr>
      </w:pPr>
      <w:r w:rsidRPr="005C0466">
        <w:rPr>
          <w:rFonts w:ascii="David" w:eastAsia="Times New Roman" w:hAnsi="David" w:cs="David" w:hint="cs"/>
          <w:spacing w:val="10"/>
          <w:sz w:val="24"/>
          <w:szCs w:val="24"/>
          <w:u w:val="single"/>
          <w:rtl/>
        </w:rPr>
        <w:t>התנהלות שנמשכה שנים</w:t>
      </w:r>
    </w:p>
    <w:p w:rsidR="000B49F6" w:rsidRPr="00373B46" w:rsidRDefault="004E14DF" w:rsidP="005C0466">
      <w:pPr>
        <w:spacing w:after="100" w:afterAutospacing="1" w:line="360" w:lineRule="auto"/>
        <w:jc w:val="both"/>
        <w:rPr>
          <w:rFonts w:ascii="David" w:eastAsia="Times New Roman" w:hAnsi="David" w:cs="David"/>
          <w:spacing w:val="10"/>
          <w:sz w:val="24"/>
          <w:szCs w:val="24"/>
        </w:rPr>
      </w:pPr>
      <w:r w:rsidRPr="00373B46">
        <w:rPr>
          <w:rFonts w:ascii="David" w:eastAsia="Times New Roman" w:hAnsi="David" w:cs="David"/>
          <w:spacing w:val="10"/>
          <w:sz w:val="24"/>
          <w:szCs w:val="24"/>
          <w:rtl/>
        </w:rPr>
        <w:t xml:space="preserve">שיקול המידתיות רלוונטי אף למשך התקופה במהלכה עירב שחם – חזור וערב – בין קשרים אינטימיים בעלי אופי מיני לבין עבודתו המקצועית. גם בהיבט זה, אין המדובר במעידה הקשורה לתקופה מסוימת וממוקדת בחייו של שחם. הקשרים האינטימיים שרקם התנהלו במשך חמש שנים ארוכות – בין שנת 2007 ועד לשנת 2012 – כאשר בשנים אלו כיהן, כאמור, במגוון תפקידי פיקוד בכירים במשטרת ישראל. דומה, כי יצירת קשרים אינטימיים עם </w:t>
      </w:r>
      <w:r w:rsidR="004D343C">
        <w:rPr>
          <w:rFonts w:ascii="David" w:eastAsia="Times New Roman" w:hAnsi="David" w:cs="David" w:hint="cs"/>
          <w:spacing w:val="10"/>
          <w:sz w:val="24"/>
          <w:szCs w:val="24"/>
          <w:rtl/>
        </w:rPr>
        <w:t>מספר לא מבוטל ש</w:t>
      </w:r>
      <w:r w:rsidR="009A5F29" w:rsidRPr="00373B46">
        <w:rPr>
          <w:rFonts w:ascii="David" w:eastAsia="Times New Roman" w:hAnsi="David" w:cs="David" w:hint="cs"/>
          <w:spacing w:val="10"/>
          <w:sz w:val="24"/>
          <w:szCs w:val="24"/>
          <w:rtl/>
        </w:rPr>
        <w:t xml:space="preserve">ל </w:t>
      </w:r>
      <w:r w:rsidRPr="00373B46">
        <w:rPr>
          <w:rFonts w:ascii="David" w:eastAsia="Times New Roman" w:hAnsi="David" w:cs="David"/>
          <w:spacing w:val="10"/>
          <w:sz w:val="24"/>
          <w:szCs w:val="24"/>
          <w:rtl/>
        </w:rPr>
        <w:t>שוטרות זוטרות הפכה אפוא לשגרת חייו של שחם, שראה בארגון מקור לא אכזב לסיפוק מאווייו המיניים. כפי שיובא להלן, התיאור העובדתי של מעשיו של שחם משקף תמונה קשה של התנהלות סדרתית, שיטתית, תוך חזרה על דפוס פעולה דומה – יצירת תנאים שיאפשרו לו נגישות לשוטרות, הימור על התמסרותן לו בהסתמך על תפקידו, מעמדו, כוחו ומרותו – כל זאת תוך ניצול נסיבותיהן האישיות של השוטרות, כפי שנחשפו בפניו מכוח תפקידו וחולשת מעמדן.</w:t>
      </w:r>
    </w:p>
    <w:p w:rsidR="000B49F6" w:rsidRPr="005C0466" w:rsidRDefault="004E14DF" w:rsidP="000B49F6">
      <w:pPr>
        <w:pStyle w:val="a3"/>
        <w:numPr>
          <w:ilvl w:val="0"/>
          <w:numId w:val="2"/>
        </w:numPr>
        <w:spacing w:after="0" w:line="360" w:lineRule="auto"/>
        <w:jc w:val="both"/>
        <w:rPr>
          <w:rFonts w:ascii="David" w:eastAsia="Times New Roman" w:hAnsi="David" w:cs="David"/>
          <w:spacing w:val="10"/>
          <w:sz w:val="24"/>
          <w:szCs w:val="24"/>
          <w:u w:val="single"/>
        </w:rPr>
      </w:pPr>
      <w:r w:rsidRPr="005C0466">
        <w:rPr>
          <w:rFonts w:ascii="David" w:eastAsia="Times New Roman" w:hAnsi="David" w:cs="David" w:hint="cs"/>
          <w:spacing w:val="10"/>
          <w:sz w:val="24"/>
          <w:szCs w:val="24"/>
          <w:u w:val="single"/>
          <w:rtl/>
        </w:rPr>
        <w:t>א</w:t>
      </w:r>
      <w:r w:rsidR="00884CF0" w:rsidRPr="005C0466">
        <w:rPr>
          <w:rFonts w:ascii="David" w:eastAsia="Times New Roman" w:hAnsi="David" w:cs="David" w:hint="cs"/>
          <w:spacing w:val="10"/>
          <w:sz w:val="24"/>
          <w:szCs w:val="24"/>
          <w:u w:val="single"/>
          <w:rtl/>
        </w:rPr>
        <w:t>ופי הקשרים</w:t>
      </w:r>
    </w:p>
    <w:p w:rsidR="00884CF0" w:rsidRPr="000B49F6" w:rsidRDefault="004E14DF" w:rsidP="000B49F6">
      <w:pPr>
        <w:spacing w:after="0" w:line="360" w:lineRule="auto"/>
        <w:jc w:val="both"/>
        <w:rPr>
          <w:rFonts w:ascii="David" w:eastAsia="Times New Roman" w:hAnsi="David" w:cs="David"/>
          <w:spacing w:val="10"/>
          <w:sz w:val="24"/>
          <w:szCs w:val="24"/>
          <w:rtl/>
        </w:rPr>
      </w:pPr>
      <w:r w:rsidRPr="000B49F6">
        <w:rPr>
          <w:rFonts w:ascii="David" w:eastAsia="Times New Roman" w:hAnsi="David" w:cs="David"/>
          <w:spacing w:val="10"/>
          <w:sz w:val="24"/>
          <w:szCs w:val="24"/>
          <w:rtl/>
        </w:rPr>
        <w:t>הקשר החריג בין שחם לשוטרות כלל התקשרויות טלפוניות אינטנסיביות, מפגשים מיניים מזדמנים וקשר אינטימי מתמשך – אשר התקיים הן במהלך שגרת עבודתם, לעיתים במשרדו של שחם, ברכבו או במתקן משטרתי – והן מחוצה לה, בביתו הפרטי, בבית אמו ובמקומות שונים בארץ. מאפיינים אלו מעידים כי מעשיו של שחם אינם בבחינת "טעות בשיקול דעת" או מעידה רגעית – אלא מהווים התנהלות שיטתית, ממושכת ופסולה, בעלת היבט פלילי</w:t>
      </w:r>
      <w:r w:rsidR="00AD69A0" w:rsidRPr="000B49F6">
        <w:rPr>
          <w:rFonts w:ascii="David" w:eastAsia="Times New Roman" w:hAnsi="David" w:cs="David" w:hint="cs"/>
          <w:spacing w:val="10"/>
          <w:sz w:val="24"/>
          <w:szCs w:val="24"/>
          <w:rtl/>
        </w:rPr>
        <w:t>.</w:t>
      </w:r>
    </w:p>
    <w:p w:rsidR="000A5565" w:rsidRPr="00373B46" w:rsidRDefault="000A5565" w:rsidP="000A5565">
      <w:pPr>
        <w:spacing w:after="0" w:line="360" w:lineRule="auto"/>
        <w:jc w:val="both"/>
        <w:rPr>
          <w:rFonts w:ascii="David" w:eastAsia="Times New Roman" w:hAnsi="David" w:cs="David"/>
          <w:spacing w:val="10"/>
          <w:sz w:val="24"/>
          <w:szCs w:val="24"/>
        </w:rPr>
      </w:pPr>
    </w:p>
    <w:p w:rsidR="00613546" w:rsidRPr="005C0466" w:rsidRDefault="004E14DF" w:rsidP="000A5565">
      <w:pPr>
        <w:pStyle w:val="a3"/>
        <w:numPr>
          <w:ilvl w:val="0"/>
          <w:numId w:val="2"/>
        </w:numPr>
        <w:spacing w:after="0" w:line="360" w:lineRule="auto"/>
        <w:jc w:val="both"/>
        <w:rPr>
          <w:rFonts w:ascii="David" w:eastAsia="Times New Roman" w:hAnsi="David" w:cs="David"/>
          <w:spacing w:val="10"/>
          <w:sz w:val="24"/>
          <w:szCs w:val="24"/>
          <w:u w:val="single"/>
        </w:rPr>
      </w:pPr>
      <w:r w:rsidRPr="005C0466">
        <w:rPr>
          <w:rFonts w:ascii="David" w:eastAsia="Times New Roman" w:hAnsi="David" w:cs="David" w:hint="cs"/>
          <w:spacing w:val="10"/>
          <w:sz w:val="24"/>
          <w:szCs w:val="24"/>
          <w:u w:val="single"/>
          <w:rtl/>
        </w:rPr>
        <w:t>קבלת החלטות בעניינן של השוטרות</w:t>
      </w:r>
    </w:p>
    <w:p w:rsidR="00613546" w:rsidRPr="00373B46" w:rsidRDefault="004E14DF" w:rsidP="000A5565">
      <w:pPr>
        <w:spacing w:after="0" w:line="360" w:lineRule="auto"/>
        <w:jc w:val="both"/>
        <w:rPr>
          <w:rFonts w:ascii="David" w:eastAsia="Times New Roman" w:hAnsi="David" w:cs="David"/>
          <w:spacing w:val="10"/>
          <w:sz w:val="24"/>
          <w:szCs w:val="24"/>
          <w:rtl/>
        </w:rPr>
      </w:pPr>
      <w:r w:rsidRPr="00373B46">
        <w:rPr>
          <w:rFonts w:ascii="David" w:eastAsia="Times New Roman" w:hAnsi="David" w:cs="David" w:hint="cs"/>
          <w:spacing w:val="10"/>
          <w:sz w:val="24"/>
          <w:szCs w:val="24"/>
          <w:rtl/>
        </w:rPr>
        <w:t xml:space="preserve">עד כה לא נזקקנו כלל למושג של ניגוד עניינים כמרכיב בגיבוש העבירה. נקדים ונאמר, שהוספת מושג זה למסגרת הדיון אך מחזקת את הנטען עד כה, ועוד אשוב ואתייחס לסוגיה </w:t>
      </w:r>
      <w:r w:rsidRPr="00373B46">
        <w:rPr>
          <w:rFonts w:ascii="David" w:eastAsia="Times New Roman" w:hAnsi="David" w:cs="David" w:hint="cs"/>
          <w:spacing w:val="10"/>
          <w:sz w:val="24"/>
          <w:szCs w:val="24"/>
          <w:rtl/>
        </w:rPr>
        <w:lastRenderedPageBreak/>
        <w:t xml:space="preserve">זו בהרחבה המשך הדברים. לעת הזו אציין, כי העובדה ששחם טיפל בעניינן של השוטרות עמן קיים יחסים אינטימיים - בין אם במהלך הקשר ובין אם לאחריו </w:t>
      </w:r>
      <w:r w:rsidRPr="00373B46">
        <w:rPr>
          <w:rFonts w:ascii="David" w:eastAsia="Times New Roman" w:hAnsi="David" w:cs="David"/>
          <w:spacing w:val="10"/>
          <w:sz w:val="24"/>
          <w:szCs w:val="24"/>
          <w:rtl/>
        </w:rPr>
        <w:t>–</w:t>
      </w:r>
      <w:r w:rsidRPr="00373B46">
        <w:rPr>
          <w:rFonts w:ascii="David" w:eastAsia="Times New Roman" w:hAnsi="David" w:cs="David" w:hint="cs"/>
          <w:spacing w:val="10"/>
          <w:sz w:val="24"/>
          <w:szCs w:val="24"/>
          <w:rtl/>
        </w:rPr>
        <w:t xml:space="preserve"> היא בעלת חשיבות מהותית לבחינת השאלה האם עצם קיומם של היחסים, בנסיבות האופפות אותם, מהווה עבירה של מרמה והפרת אמונים. זאת, נדגיש, אף מבלי להכריע בעוצמת הפעולות ובשאלה האם הן חוצות את הרף הפלילי של ניגוד העניינים. </w:t>
      </w:r>
    </w:p>
    <w:p w:rsidR="00613546" w:rsidRPr="00373B46" w:rsidRDefault="004E14DF" w:rsidP="000B49F6">
      <w:pPr>
        <w:spacing w:after="100" w:afterAutospacing="1" w:line="360" w:lineRule="auto"/>
        <w:jc w:val="both"/>
        <w:rPr>
          <w:rFonts w:ascii="David" w:eastAsia="Times New Roman" w:hAnsi="David" w:cs="David"/>
          <w:spacing w:val="10"/>
          <w:sz w:val="24"/>
          <w:szCs w:val="24"/>
          <w:rtl/>
        </w:rPr>
      </w:pPr>
      <w:r w:rsidRPr="00373B46">
        <w:rPr>
          <w:rFonts w:ascii="David" w:eastAsia="Times New Roman" w:hAnsi="David" w:cs="David" w:hint="cs"/>
          <w:spacing w:val="10"/>
          <w:sz w:val="24"/>
          <w:szCs w:val="24"/>
          <w:rtl/>
        </w:rPr>
        <w:t>רוצה לומר. שחם יצר קשרים אינטימיים עם השוטרות, תוך שעשה מעת לעת שימוש בסמכויות שהוענקו לו מתוקף תפקידו, לרבות יצירת התנאים שאפשרו קשר אינטימי עמן, וייתכן שעל מנת לקדם את עניינן האישי בו. עובדות אלה תורמות בבירור למסקנה שאין המדובר בהתנהגות פגומה מבחינת אתית בלבד, אלא בהתנהגות שההיבט הדומיננטי בה הוא בעל אופי פלילי. גם אם שחם לא היה מקבל החלטות אלו בפועל, הרי שדי בעצם מודעתו לכך שבעתיד הוא עלול להתבקש להכריע הכרעות מקצועיות ניהוליות בעניינן של השוטרות, על מנת להכניסו, מניה וביה, למצב של ניגוד עניינים. המדובר אפוא, בניגוד עניינים אינהרנטי.</w:t>
      </w:r>
    </w:p>
    <w:p w:rsidR="00613546" w:rsidRPr="005C0466" w:rsidRDefault="004E14DF" w:rsidP="000B49F6">
      <w:pPr>
        <w:pStyle w:val="a3"/>
        <w:numPr>
          <w:ilvl w:val="0"/>
          <w:numId w:val="2"/>
        </w:numPr>
        <w:spacing w:after="0" w:line="360" w:lineRule="auto"/>
        <w:jc w:val="both"/>
        <w:rPr>
          <w:rFonts w:ascii="David" w:eastAsia="Times New Roman" w:hAnsi="David" w:cs="David"/>
          <w:spacing w:val="10"/>
          <w:sz w:val="24"/>
          <w:szCs w:val="24"/>
          <w:u w:val="single"/>
        </w:rPr>
      </w:pPr>
      <w:r w:rsidRPr="005C0466">
        <w:rPr>
          <w:rFonts w:ascii="David" w:eastAsia="Times New Roman" w:hAnsi="David" w:cs="David" w:hint="cs"/>
          <w:spacing w:val="10"/>
          <w:sz w:val="24"/>
          <w:szCs w:val="24"/>
          <w:u w:val="single"/>
          <w:rtl/>
        </w:rPr>
        <w:t>היוזמה</w:t>
      </w:r>
    </w:p>
    <w:p w:rsidR="00613546" w:rsidRPr="00373B46" w:rsidRDefault="004E14DF" w:rsidP="000B49F6">
      <w:pPr>
        <w:spacing w:after="0" w:line="360" w:lineRule="auto"/>
        <w:jc w:val="both"/>
        <w:rPr>
          <w:rFonts w:ascii="David" w:eastAsia="Times New Roman" w:hAnsi="David" w:cs="David"/>
          <w:spacing w:val="10"/>
          <w:sz w:val="24"/>
          <w:szCs w:val="24"/>
          <w:rtl/>
        </w:rPr>
      </w:pPr>
      <w:r w:rsidRPr="00373B46">
        <w:rPr>
          <w:rFonts w:ascii="David" w:eastAsia="Times New Roman" w:hAnsi="David" w:cs="David" w:hint="cs"/>
          <w:spacing w:val="10"/>
          <w:sz w:val="24"/>
          <w:szCs w:val="24"/>
          <w:rtl/>
        </w:rPr>
        <w:t xml:space="preserve">לטענת המדינה, שגה בית המשפט בכך שנמנע מקביעת עובדות ברורות וחדות באשר לנסיבות יצירת הקשרים בין שחם לשוטרות </w:t>
      </w:r>
      <w:r w:rsidRPr="00373B46">
        <w:rPr>
          <w:rFonts w:ascii="David" w:eastAsia="Times New Roman" w:hAnsi="David" w:cs="David"/>
          <w:spacing w:val="10"/>
          <w:sz w:val="24"/>
          <w:szCs w:val="24"/>
          <w:rtl/>
        </w:rPr>
        <w:t>–</w:t>
      </w:r>
      <w:r w:rsidRPr="00373B46">
        <w:rPr>
          <w:rFonts w:ascii="David" w:eastAsia="Times New Roman" w:hAnsi="David" w:cs="David" w:hint="cs"/>
          <w:spacing w:val="10"/>
          <w:sz w:val="24"/>
          <w:szCs w:val="24"/>
          <w:rtl/>
        </w:rPr>
        <w:t xml:space="preserve"> לרבות שאלת היוזמה לקשרים אלה. אולם, ידוע ונהיר לכל, כי אין זה תפקידה של ערכאת הערעור להשלים את החסר העובדתי בהכרעת הדין של הערכאה הדיונית. עם זאת, ומבלי לקבוע מסמרות בעניין, ראיתי לנכון לציין, כי סוגית היוזמה אינה מהווה אינדיקציה מוחלטת בבחינת השאלה האם מגע מיני בין מעביד לעובד יסודו בניצול מרות ביחסי עבודה, שכן כל מקרה צריך להיבחן על פי נסיבותיו שלו. </w:t>
      </w:r>
    </w:p>
    <w:p w:rsidR="000F1996" w:rsidRDefault="004E14DF" w:rsidP="00A24606">
      <w:pPr>
        <w:spacing w:line="360" w:lineRule="auto"/>
        <w:jc w:val="both"/>
        <w:rPr>
          <w:rFonts w:ascii="David" w:eastAsia="Times New Roman" w:hAnsi="David" w:cs="David"/>
          <w:spacing w:val="10"/>
          <w:sz w:val="24"/>
          <w:szCs w:val="24"/>
          <w:rtl/>
        </w:rPr>
      </w:pPr>
      <w:r w:rsidRPr="00373B46">
        <w:rPr>
          <w:rFonts w:ascii="David" w:eastAsia="Times New Roman" w:hAnsi="David" w:cs="David" w:hint="cs"/>
          <w:spacing w:val="10"/>
          <w:sz w:val="24"/>
          <w:szCs w:val="24"/>
          <w:rtl/>
        </w:rPr>
        <w:t xml:space="preserve">ברי, כי אין לתלות כל חשיבות לכך שהיוזמה לקיום יחסים אינטימיים הגיעה מצדו של העובד/ת. אכן, ייתכנו מקרים שבהם אף אם המגע המיני הוא תוצאה של יוזמה מינית מצד העובד/ת </w:t>
      </w:r>
      <w:r w:rsidRPr="00373B46">
        <w:rPr>
          <w:rFonts w:ascii="David" w:eastAsia="Times New Roman" w:hAnsi="David" w:cs="David"/>
          <w:spacing w:val="10"/>
          <w:sz w:val="24"/>
          <w:szCs w:val="24"/>
          <w:rtl/>
        </w:rPr>
        <w:t>–</w:t>
      </w:r>
      <w:r w:rsidRPr="00373B46">
        <w:rPr>
          <w:rFonts w:ascii="David" w:eastAsia="Times New Roman" w:hAnsi="David" w:cs="David" w:hint="cs"/>
          <w:spacing w:val="10"/>
          <w:sz w:val="24"/>
          <w:szCs w:val="24"/>
          <w:rtl/>
        </w:rPr>
        <w:t xml:space="preserve"> ייחשב המעביד כמי שמנצל את מרותו לקבלת טובות הנאה מיניות.</w:t>
      </w:r>
    </w:p>
    <w:p w:rsidR="00613546" w:rsidRPr="005C0466" w:rsidRDefault="004E14DF" w:rsidP="000B49F6">
      <w:pPr>
        <w:pStyle w:val="a3"/>
        <w:numPr>
          <w:ilvl w:val="0"/>
          <w:numId w:val="2"/>
        </w:numPr>
        <w:spacing w:after="0" w:line="360" w:lineRule="auto"/>
        <w:jc w:val="both"/>
        <w:rPr>
          <w:rFonts w:ascii="David" w:eastAsia="Times New Roman" w:hAnsi="David" w:cs="David"/>
          <w:spacing w:val="10"/>
          <w:sz w:val="24"/>
          <w:szCs w:val="24"/>
          <w:u w:val="single"/>
        </w:rPr>
      </w:pPr>
      <w:r w:rsidRPr="005C0466">
        <w:rPr>
          <w:rFonts w:ascii="David" w:eastAsia="Times New Roman" w:hAnsi="David" w:cs="David" w:hint="cs"/>
          <w:spacing w:val="10"/>
          <w:sz w:val="24"/>
          <w:szCs w:val="24"/>
          <w:u w:val="single"/>
          <w:rtl/>
        </w:rPr>
        <w:t>שמירת הסוד</w:t>
      </w:r>
    </w:p>
    <w:p w:rsidR="00F41C1E" w:rsidRDefault="004E14DF" w:rsidP="000B49F6">
      <w:pPr>
        <w:spacing w:after="0" w:line="360" w:lineRule="auto"/>
        <w:jc w:val="both"/>
        <w:rPr>
          <w:rFonts w:ascii="David" w:eastAsia="Times New Roman" w:hAnsi="David" w:cs="David"/>
          <w:spacing w:val="10"/>
          <w:sz w:val="24"/>
          <w:szCs w:val="24"/>
          <w:rtl/>
        </w:rPr>
      </w:pPr>
      <w:r w:rsidRPr="00373B46">
        <w:rPr>
          <w:rFonts w:ascii="David" w:eastAsia="Times New Roman" w:hAnsi="David" w:cs="David" w:hint="cs"/>
          <w:spacing w:val="10"/>
          <w:sz w:val="24"/>
          <w:szCs w:val="24"/>
          <w:rtl/>
        </w:rPr>
        <w:t xml:space="preserve">אקדים ואומר בהקשר הנדון, הסוגיה של שמירת היחסים האינטימיים בסוד וסוגיית יחסי התלות שנוצרו אשר נלווית לה, מקומה בדיון בשאלת ניגוד העניינים והיא תידון בהרחבה בהמשך, אך חלקה רלוונטי גם לבירור שאלה זו </w:t>
      </w:r>
      <w:r w:rsidRPr="00373B46">
        <w:rPr>
          <w:rFonts w:ascii="David" w:eastAsia="Times New Roman" w:hAnsi="David" w:cs="David"/>
          <w:spacing w:val="10"/>
          <w:sz w:val="24"/>
          <w:szCs w:val="24"/>
          <w:rtl/>
        </w:rPr>
        <w:t>–</w:t>
      </w:r>
      <w:r w:rsidRPr="00373B46">
        <w:rPr>
          <w:rFonts w:ascii="David" w:eastAsia="Times New Roman" w:hAnsi="David" w:cs="David" w:hint="cs"/>
          <w:spacing w:val="10"/>
          <w:sz w:val="24"/>
          <w:szCs w:val="24"/>
          <w:rtl/>
        </w:rPr>
        <w:t xml:space="preserve"> קרי, לשאלה האם קיום היחסים כשלעצמם עולה בנסיבות הספציפיות כדי עבירה של מרמה והפרת אמונים. הדעת נותנת, שסודיות זו העצימה את כוחו של שחם ואת אפשרותו להתנהל כפי שהתנהל במהלך השנים, דהיינו, להיכנס בכל פעם מחדש לקשרים ויחסים שחורגים מתפקידו ולקיימם לאורך זמן. </w:t>
      </w:r>
      <w:r w:rsidRPr="00373B46">
        <w:rPr>
          <w:rFonts w:ascii="David" w:eastAsia="Times New Roman" w:hAnsi="David" w:cs="David" w:hint="cs"/>
          <w:spacing w:val="10"/>
          <w:sz w:val="24"/>
          <w:szCs w:val="24"/>
          <w:rtl/>
        </w:rPr>
        <w:lastRenderedPageBreak/>
        <w:t>שחם יכול היה לסמוך היטב על השוטרות הזוטרות שלא תחשופנה את הסוד, בין היתר, מחמת המחיר הכבד שהן עלולות בעצמן לשלם בגינו.</w:t>
      </w:r>
    </w:p>
    <w:p w:rsidR="000B49F6" w:rsidRPr="00373B46" w:rsidRDefault="000B49F6" w:rsidP="000B49F6">
      <w:pPr>
        <w:spacing w:after="0" w:line="360" w:lineRule="auto"/>
        <w:jc w:val="both"/>
        <w:rPr>
          <w:rFonts w:ascii="David" w:eastAsia="Times New Roman" w:hAnsi="David" w:cs="David"/>
          <w:spacing w:val="10"/>
          <w:sz w:val="24"/>
          <w:szCs w:val="24"/>
        </w:rPr>
      </w:pPr>
    </w:p>
    <w:p w:rsidR="00613546" w:rsidRPr="005C0466" w:rsidRDefault="004E14DF" w:rsidP="000B49F6">
      <w:pPr>
        <w:pStyle w:val="a3"/>
        <w:numPr>
          <w:ilvl w:val="0"/>
          <w:numId w:val="2"/>
        </w:numPr>
        <w:spacing w:after="0" w:line="360" w:lineRule="auto"/>
        <w:jc w:val="both"/>
        <w:rPr>
          <w:rFonts w:ascii="David" w:eastAsia="Times New Roman" w:hAnsi="David" w:cs="David"/>
          <w:spacing w:val="10"/>
          <w:sz w:val="24"/>
          <w:szCs w:val="24"/>
          <w:u w:val="single"/>
        </w:rPr>
      </w:pPr>
      <w:r w:rsidRPr="005C0466">
        <w:rPr>
          <w:rFonts w:ascii="David" w:eastAsia="Times New Roman" w:hAnsi="David" w:cs="David" w:hint="cs"/>
          <w:spacing w:val="10"/>
          <w:sz w:val="24"/>
          <w:szCs w:val="24"/>
          <w:u w:val="single"/>
          <w:rtl/>
        </w:rPr>
        <w:t>השפעת היוזמה והסוד על המכלול (השפעה "פנים ארגונית")</w:t>
      </w:r>
    </w:p>
    <w:p w:rsidR="00884CF0" w:rsidRPr="00373B46" w:rsidRDefault="004E14DF" w:rsidP="000B49F6">
      <w:pPr>
        <w:spacing w:after="0" w:line="360" w:lineRule="auto"/>
        <w:jc w:val="both"/>
        <w:rPr>
          <w:rFonts w:ascii="David" w:eastAsia="Times New Roman" w:hAnsi="David" w:cs="David"/>
          <w:spacing w:val="10"/>
          <w:sz w:val="24"/>
          <w:szCs w:val="24"/>
          <w:rtl/>
        </w:rPr>
      </w:pPr>
      <w:r w:rsidRPr="00373B46">
        <w:rPr>
          <w:rFonts w:ascii="David" w:eastAsia="Times New Roman" w:hAnsi="David" w:cs="David"/>
          <w:spacing w:val="10"/>
          <w:sz w:val="24"/>
          <w:szCs w:val="24"/>
          <w:rtl/>
        </w:rPr>
        <w:t>סבורני, כי יש להסכים עם טענת המדינה, לפיה שגה בית המשפט בכך שהתעלם מהעובדות בסוגיית היוזמה והסוד וממשמעותן לצורך הכרעה בשאלה האם נעברה עבירת הפרת האמונים. ברור לחלוטין כי יש לתת את הדעת להשלכות האפשריות של חשיפת הסוד והשפעתו על אמון הציבור בעובדי הציבור – אחד הערכים המוגנים על-ידי העבירה של מרמה והפרת האמונים. את פוטנציאל ההשפעה של חשיפת מעשיו והתנהלותו של שחם ניתן לחלק לשניים: ההשפעה הפנים ארגונית בשורות המשטרה ובשרשרת הפיקוד – בה אתמקד בחלק זה, וההשפעה בקרב הציבור הרחב – עליה ארחיב בהמשך.</w:t>
      </w:r>
    </w:p>
    <w:p w:rsidR="000B49F6" w:rsidRDefault="004E14DF" w:rsidP="005C0466">
      <w:pPr>
        <w:spacing w:line="360" w:lineRule="auto"/>
        <w:jc w:val="both"/>
        <w:rPr>
          <w:rFonts w:ascii="David" w:eastAsia="Times New Roman" w:hAnsi="David" w:cs="David"/>
          <w:spacing w:val="10"/>
          <w:sz w:val="24"/>
          <w:szCs w:val="24"/>
          <w:rtl/>
        </w:rPr>
      </w:pPr>
      <w:r w:rsidRPr="00373B46">
        <w:rPr>
          <w:rFonts w:ascii="David" w:eastAsia="Times New Roman" w:hAnsi="David" w:cs="David"/>
          <w:spacing w:val="10"/>
          <w:sz w:val="24"/>
          <w:szCs w:val="24"/>
          <w:rtl/>
        </w:rPr>
        <w:t xml:space="preserve">אכן, עובד ציבור בכיר משמש דוגמה לכפופים לו. מתוקף מעמדו, משמש הוא דוגמא ומופת לעובדים האחרים באותו הארגון. "הרמת מסך" מעל ההתנהלות הכוללת של שחם – ניצול מעמדו כדי ליזום יחסים אינטימיים, אף אם בהסכמה, תוך שמירה על עצם קיומם בסוד – וחשיפתה לציבור כלל השוטרים והשוטרות, המפקדים והפקודים – פוגעת קשות באמון השוטרים במפקדיהם. כך, אף אם לא היה נאלץ לקבל החלטות בעניינן, וכך וודאי כאשר נאלץ ואף קיבל בפועל החלטות מעין אלו. אמון זה טמון באופיו של שירות המדינה, אשר לא יוכל למלא את תפקידו ולקיים ייעודו – אשר שמו מעיד עליו – אם לא יקיימו העובדים את ההוראות החלים עליהם. לא כל שכן, כאשר עסקינן בגוף האמון על אכיפת החוק במדינת ישראל. המסר הברור שהעביר שחם לחבריו לעבודה הוא שמדובר במעשים לגיטימיים, שניתן לחקות – ושאם לו מותר, אז כך גם להם. </w:t>
      </w:r>
    </w:p>
    <w:p w:rsidR="00884CF0" w:rsidRPr="00373B46" w:rsidRDefault="004E14DF" w:rsidP="000B49F6">
      <w:pPr>
        <w:spacing w:after="0" w:line="360" w:lineRule="auto"/>
        <w:jc w:val="both"/>
        <w:rPr>
          <w:rFonts w:ascii="David" w:eastAsia="Times New Roman" w:hAnsi="David" w:cs="David"/>
          <w:spacing w:val="10"/>
          <w:sz w:val="24"/>
          <w:szCs w:val="24"/>
          <w:rtl/>
        </w:rPr>
      </w:pPr>
      <w:proofErr w:type="spellStart"/>
      <w:r w:rsidRPr="00E341AB">
        <w:rPr>
          <w:rFonts w:ascii="David" w:eastAsia="Times New Roman" w:hAnsi="David" w:cs="David" w:hint="cs"/>
          <w:b/>
          <w:bCs/>
          <w:spacing w:val="10"/>
          <w:sz w:val="24"/>
          <w:szCs w:val="24"/>
          <w:rtl/>
        </w:rPr>
        <w:t>יב</w:t>
      </w:r>
      <w:proofErr w:type="spellEnd"/>
      <w:r w:rsidRPr="00E341AB">
        <w:rPr>
          <w:rFonts w:ascii="David" w:eastAsia="Times New Roman" w:hAnsi="David" w:cs="David" w:hint="cs"/>
          <w:b/>
          <w:bCs/>
          <w:spacing w:val="10"/>
          <w:sz w:val="24"/>
          <w:szCs w:val="24"/>
          <w:rtl/>
        </w:rPr>
        <w:t>.</w:t>
      </w:r>
      <w:r>
        <w:rPr>
          <w:rFonts w:ascii="David" w:eastAsia="Times New Roman" w:hAnsi="David" w:cs="David" w:hint="cs"/>
          <w:spacing w:val="10"/>
          <w:sz w:val="24"/>
          <w:szCs w:val="24"/>
          <w:rtl/>
        </w:rPr>
        <w:t xml:space="preserve"> </w:t>
      </w:r>
      <w:r w:rsidRPr="005C0466">
        <w:rPr>
          <w:rFonts w:ascii="David" w:eastAsia="Times New Roman" w:hAnsi="David" w:cs="David" w:hint="cs"/>
          <w:spacing w:val="10"/>
          <w:sz w:val="24"/>
          <w:szCs w:val="24"/>
          <w:u w:val="single"/>
          <w:rtl/>
        </w:rPr>
        <w:t>ההשפעה על הציבור הרחב</w:t>
      </w:r>
    </w:p>
    <w:p w:rsidR="00884CF0" w:rsidRPr="00373B46" w:rsidRDefault="004E14DF" w:rsidP="000B49F6">
      <w:pPr>
        <w:spacing w:after="0" w:line="360" w:lineRule="auto"/>
        <w:jc w:val="both"/>
        <w:rPr>
          <w:rFonts w:ascii="David" w:hAnsi="David" w:cs="David"/>
          <w:spacing w:val="10"/>
          <w:rtl/>
        </w:rPr>
      </w:pPr>
      <w:r w:rsidRPr="00373B46">
        <w:rPr>
          <w:rFonts w:ascii="David" w:eastAsia="Times New Roman" w:hAnsi="David" w:cs="David"/>
          <w:spacing w:val="10"/>
          <w:sz w:val="24"/>
          <w:szCs w:val="24"/>
          <w:rtl/>
        </w:rPr>
        <w:t>"</w:t>
      </w:r>
      <w:r w:rsidRPr="008D0CAF">
        <w:rPr>
          <w:rFonts w:ascii="David" w:eastAsia="Times New Roman" w:hAnsi="David" w:cs="David"/>
          <w:b/>
          <w:bCs/>
          <w:spacing w:val="10"/>
          <w:sz w:val="24"/>
          <w:szCs w:val="24"/>
          <w:rtl/>
        </w:rPr>
        <w:t>לשונו של סעיף זה רחבה דייה כדי לכלול בו מעשה שאינו רק אירוע פנימי, אלא גם פוגע בתדמית של השירות הציבורי ומערער את אמון הציבור בו. מעשה כזה מעורר 'אותו חשד ואותה לזות שפתיים הפוגעים באמון הציבור בטוהר השירות והשורות....</w:t>
      </w:r>
      <w:r w:rsidRPr="00373B46">
        <w:rPr>
          <w:rFonts w:ascii="David" w:eastAsia="Times New Roman" w:hAnsi="David" w:cs="David"/>
          <w:spacing w:val="10"/>
          <w:sz w:val="24"/>
          <w:szCs w:val="24"/>
          <w:rtl/>
        </w:rPr>
        <w:t>" (</w:t>
      </w:r>
      <w:r w:rsidRPr="008D0CAF">
        <w:rPr>
          <w:rFonts w:ascii="David" w:eastAsia="Times New Roman" w:hAnsi="David" w:cs="David"/>
          <w:b/>
          <w:bCs/>
          <w:spacing w:val="10"/>
          <w:sz w:val="24"/>
          <w:szCs w:val="24"/>
          <w:rtl/>
        </w:rPr>
        <w:t>פרשת גנות</w:t>
      </w:r>
      <w:r w:rsidRPr="00373B46">
        <w:rPr>
          <w:rFonts w:ascii="David" w:eastAsia="Times New Roman" w:hAnsi="David" w:cs="David"/>
          <w:spacing w:val="10"/>
          <w:sz w:val="24"/>
          <w:szCs w:val="24"/>
          <w:rtl/>
        </w:rPr>
        <w:t>, עמ׳ 389) (ההדגשות אינן במקור, מ.ד). אמון זה הוא תנאי הכרחי לתפקודם של עובדי הציבור, והוא חיוני לשמירה על המסגרות החברתיות – "</w:t>
      </w:r>
      <w:r w:rsidRPr="008D0CAF">
        <w:rPr>
          <w:rFonts w:ascii="David" w:eastAsia="Times New Roman" w:hAnsi="David" w:cs="David"/>
          <w:b/>
          <w:bCs/>
          <w:spacing w:val="10"/>
          <w:sz w:val="24"/>
          <w:szCs w:val="24"/>
          <w:rtl/>
        </w:rPr>
        <w:t>תדמיתו של השירות הציבורי בעיני הציבור, האמון שרוחש הציבור לתקינות פעולותיו וטוהר המידות של עובדיו הם תנאים הכרחיים לקיומו של שלטון תקין, ועל-כן הינם אינטרסים חברתיים, הראויים להגנת המשפט הפלילי</w:t>
      </w:r>
      <w:r w:rsidRPr="00373B46">
        <w:rPr>
          <w:rFonts w:ascii="David" w:eastAsia="Times New Roman" w:hAnsi="David" w:cs="David"/>
          <w:spacing w:val="10"/>
          <w:sz w:val="24"/>
          <w:szCs w:val="24"/>
          <w:rtl/>
        </w:rPr>
        <w:t xml:space="preserve">" (ע״פ 121/88 </w:t>
      </w:r>
      <w:r w:rsidRPr="0046561B">
        <w:rPr>
          <w:rFonts w:ascii="David" w:eastAsia="Times New Roman" w:hAnsi="David" w:cs="David"/>
          <w:b/>
          <w:bCs/>
          <w:spacing w:val="10"/>
          <w:sz w:val="24"/>
          <w:szCs w:val="24"/>
          <w:rtl/>
        </w:rPr>
        <w:t>מדינת ישראל נ׳ מרדכי דרוויש</w:t>
      </w:r>
      <w:r w:rsidRPr="00373B46">
        <w:rPr>
          <w:rFonts w:ascii="David" w:eastAsia="Times New Roman" w:hAnsi="David" w:cs="David"/>
          <w:spacing w:val="10"/>
          <w:sz w:val="24"/>
          <w:szCs w:val="24"/>
          <w:rtl/>
        </w:rPr>
        <w:t xml:space="preserve">, מה (2) 663, 692). החשש לניצול לרעה של סמכויות המעמד והתפקיד, הפגיעה בחובת הנאמנות של העובד הבכיר והחשש לפעולה בניגוד עניינים – כל אלה מלווים קיום יחסים אינטימיים בין עובד </w:t>
      </w:r>
      <w:r w:rsidRPr="00373B46">
        <w:rPr>
          <w:rFonts w:ascii="David" w:eastAsia="Times New Roman" w:hAnsi="David" w:cs="David"/>
          <w:spacing w:val="10"/>
          <w:sz w:val="24"/>
          <w:szCs w:val="24"/>
          <w:rtl/>
        </w:rPr>
        <w:lastRenderedPageBreak/>
        <w:t>בכיר לכפיפה, וכל אלה אף מכוונים בבירור לאותם שלושת אינטרסים המוגנים על ידי העבירה של מרמה והפרת אמונים.</w:t>
      </w:r>
      <w:r w:rsidRPr="00373B46">
        <w:rPr>
          <w:rFonts w:ascii="David" w:hAnsi="David" w:cs="David"/>
          <w:spacing w:val="10"/>
          <w:rtl/>
        </w:rPr>
        <w:t xml:space="preserve"> </w:t>
      </w:r>
    </w:p>
    <w:p w:rsidR="00884CF0" w:rsidRPr="00373B46" w:rsidRDefault="004E14DF" w:rsidP="009A5F29">
      <w:pPr>
        <w:spacing w:line="360" w:lineRule="auto"/>
        <w:jc w:val="both"/>
        <w:rPr>
          <w:rFonts w:ascii="David" w:eastAsia="Times New Roman" w:hAnsi="David" w:cs="David"/>
          <w:spacing w:val="10"/>
          <w:sz w:val="24"/>
          <w:szCs w:val="24"/>
        </w:rPr>
      </w:pPr>
      <w:r w:rsidRPr="00373B46">
        <w:rPr>
          <w:rFonts w:ascii="David" w:eastAsia="Times New Roman" w:hAnsi="David" w:cs="David"/>
          <w:spacing w:val="10"/>
          <w:sz w:val="24"/>
          <w:szCs w:val="24"/>
          <w:rtl/>
        </w:rPr>
        <w:t xml:space="preserve">אי האמון ברשויות אכיפת החוק עלול לגרור אי אמון כללי, או להשריש את האמונה שכל בני האדם מושחתים ומוצדק לפעול באופן מושחת. מצב שבו הציבור מניח שרשויות השלטון במדינה פועלות על פי אמות מידה ״מקולקלות״, עלול להוביל לכך שגם אמות המידה שיסגל הציבור עצמו - בין במגעיו עם רשויות השלטון ובין במסגרת האינטראקציות המתקיימות בחברה האזרחית - יהיו אמות מידה ירודות (מנחם </w:t>
      </w:r>
      <w:proofErr w:type="spellStart"/>
      <w:r w:rsidRPr="00373B46">
        <w:rPr>
          <w:rFonts w:ascii="David" w:eastAsia="Times New Roman" w:hAnsi="David" w:cs="David"/>
          <w:spacing w:val="10"/>
          <w:sz w:val="24"/>
          <w:szCs w:val="24"/>
          <w:rtl/>
        </w:rPr>
        <w:t>מאוטנר</w:t>
      </w:r>
      <w:proofErr w:type="spellEnd"/>
      <w:r w:rsidRPr="00373B46">
        <w:rPr>
          <w:rFonts w:ascii="David" w:eastAsia="Times New Roman" w:hAnsi="David" w:cs="David"/>
          <w:spacing w:val="10"/>
          <w:sz w:val="24"/>
          <w:szCs w:val="24"/>
          <w:rtl/>
        </w:rPr>
        <w:t xml:space="preserve"> ״אחריות ציבורית ואחריות משפטית: על הגבולות שבין המשפט והתרבות הפוליטית״, בתוך: מנחם </w:t>
      </w:r>
      <w:proofErr w:type="spellStart"/>
      <w:r w:rsidRPr="00373B46">
        <w:rPr>
          <w:rFonts w:ascii="David" w:eastAsia="Times New Roman" w:hAnsi="David" w:cs="David"/>
          <w:spacing w:val="10"/>
          <w:sz w:val="24"/>
          <w:szCs w:val="24"/>
          <w:rtl/>
        </w:rPr>
        <w:t>מאוטנר</w:t>
      </w:r>
      <w:proofErr w:type="spellEnd"/>
      <w:r w:rsidRPr="00373B46">
        <w:rPr>
          <w:rFonts w:ascii="David" w:eastAsia="Times New Roman" w:hAnsi="David" w:cs="David"/>
          <w:spacing w:val="10"/>
          <w:sz w:val="24"/>
          <w:szCs w:val="24"/>
          <w:rtl/>
        </w:rPr>
        <w:t xml:space="preserve">, משפט ותרבות, </w:t>
      </w:r>
      <w:r w:rsidRPr="00A535D3">
        <w:rPr>
          <w:rFonts w:ascii="David" w:eastAsia="Times New Roman" w:hAnsi="David" w:cs="David"/>
          <w:spacing w:val="10"/>
          <w:sz w:val="24"/>
          <w:szCs w:val="24"/>
          <w:rtl/>
        </w:rPr>
        <w:t>ר</w:t>
      </w:r>
      <w:r w:rsidR="00A535D3" w:rsidRPr="00A535D3">
        <w:rPr>
          <w:rFonts w:ascii="David" w:eastAsia="Times New Roman" w:hAnsi="David" w:cs="David" w:hint="cs"/>
          <w:spacing w:val="10"/>
          <w:sz w:val="24"/>
          <w:szCs w:val="24"/>
          <w:rtl/>
        </w:rPr>
        <w:t>מ</w:t>
      </w:r>
      <w:r w:rsidRPr="00A535D3">
        <w:rPr>
          <w:rFonts w:ascii="David" w:eastAsia="Times New Roman" w:hAnsi="David" w:cs="David"/>
          <w:spacing w:val="10"/>
          <w:sz w:val="24"/>
          <w:szCs w:val="24"/>
          <w:rtl/>
        </w:rPr>
        <w:t>ת</w:t>
      </w:r>
      <w:r w:rsidRPr="00373B46">
        <w:rPr>
          <w:rFonts w:ascii="David" w:eastAsia="Times New Roman" w:hAnsi="David" w:cs="David"/>
          <w:spacing w:val="10"/>
          <w:sz w:val="24"/>
          <w:szCs w:val="24"/>
          <w:rtl/>
        </w:rPr>
        <w:t xml:space="preserve"> גן: הוצאת אוניברסיטת בר-אילן, מ״ח 326-315)</w:t>
      </w:r>
    </w:p>
    <w:p w:rsidR="00613546" w:rsidRPr="00373B46" w:rsidRDefault="004E14DF" w:rsidP="00613546">
      <w:pPr>
        <w:spacing w:line="360" w:lineRule="auto"/>
        <w:jc w:val="both"/>
        <w:rPr>
          <w:rFonts w:ascii="David" w:eastAsia="Times New Roman" w:hAnsi="David" w:cs="David"/>
          <w:spacing w:val="10"/>
          <w:sz w:val="24"/>
          <w:szCs w:val="24"/>
          <w:rtl/>
        </w:rPr>
      </w:pPr>
      <w:r w:rsidRPr="00373B46">
        <w:rPr>
          <w:rFonts w:ascii="David" w:eastAsia="Times New Roman" w:hAnsi="David" w:cs="David" w:hint="cs"/>
          <w:spacing w:val="10"/>
          <w:sz w:val="24"/>
          <w:szCs w:val="24"/>
          <w:rtl/>
        </w:rPr>
        <w:t xml:space="preserve">בסיכומו של דבר, כאשר אנו משקללים את כלל הנתונים שפורטו לעיל: רום מעמדו של שחם; את מאפייניו הייחודים של ארגון המשטרה; את מעמדן של השוטרות; את נסיבותיהן האישיות; את מספר השוטרות; את משך השנים; את אופי הקשרים האינטימיים; את קבלת ההחלטות של שחם בעניינן; את שמירתם בסוד ואת ההשפעה של כל אלו הן מבחינה פנים ארגונית והן מבחינת כלל הציבור </w:t>
      </w:r>
      <w:r w:rsidRPr="00373B46">
        <w:rPr>
          <w:rFonts w:ascii="David" w:eastAsia="Times New Roman" w:hAnsi="David" w:cs="David"/>
          <w:spacing w:val="10"/>
          <w:sz w:val="24"/>
          <w:szCs w:val="24"/>
          <w:rtl/>
        </w:rPr>
        <w:t>–</w:t>
      </w:r>
      <w:r w:rsidRPr="00373B46">
        <w:rPr>
          <w:rFonts w:ascii="David" w:eastAsia="Times New Roman" w:hAnsi="David" w:cs="David" w:hint="cs"/>
          <w:spacing w:val="10"/>
          <w:sz w:val="24"/>
          <w:szCs w:val="24"/>
          <w:rtl/>
        </w:rPr>
        <w:t xml:space="preserve"> התשובה לשאלה אם מעשיו פגעו בערכים המוגנים הניצבים בבסיס העבירה באופן הממלא אחר יסודותיה </w:t>
      </w:r>
      <w:r w:rsidRPr="00373B46">
        <w:rPr>
          <w:rFonts w:ascii="David" w:eastAsia="Times New Roman" w:hAnsi="David" w:cs="David"/>
          <w:spacing w:val="10"/>
          <w:sz w:val="24"/>
          <w:szCs w:val="24"/>
          <w:rtl/>
        </w:rPr>
        <w:t>–</w:t>
      </w:r>
      <w:r w:rsidRPr="00373B46">
        <w:rPr>
          <w:rFonts w:ascii="David" w:eastAsia="Times New Roman" w:hAnsi="David" w:cs="David" w:hint="cs"/>
          <w:spacing w:val="10"/>
          <w:sz w:val="24"/>
          <w:szCs w:val="24"/>
          <w:rtl/>
        </w:rPr>
        <w:t xml:space="preserve"> הופכת מובנת מאליה, באופן שהתנהלותו נצבעת בצבע "השחור" של עבירה פלילית. </w:t>
      </w:r>
    </w:p>
    <w:p w:rsidR="00613546" w:rsidRPr="00373B46" w:rsidRDefault="004E14DF" w:rsidP="00613546">
      <w:pPr>
        <w:spacing w:line="360" w:lineRule="auto"/>
        <w:jc w:val="both"/>
        <w:rPr>
          <w:rFonts w:ascii="David" w:eastAsia="Times New Roman" w:hAnsi="David" w:cs="David"/>
          <w:spacing w:val="10"/>
          <w:sz w:val="24"/>
          <w:szCs w:val="24"/>
          <w:rtl/>
        </w:rPr>
      </w:pPr>
      <w:r w:rsidRPr="00373B46">
        <w:rPr>
          <w:rFonts w:ascii="David" w:eastAsia="Times New Roman" w:hAnsi="David" w:cs="David" w:hint="cs"/>
          <w:spacing w:val="10"/>
          <w:sz w:val="24"/>
          <w:szCs w:val="24"/>
          <w:rtl/>
        </w:rPr>
        <w:t>הנה כי כן, לא עצם יצירת הקשרים האינטימיים עם שוטרות זוטרות היא המגבשת את פליליו</w:t>
      </w:r>
      <w:r w:rsidRPr="00373B46">
        <w:rPr>
          <w:rFonts w:ascii="David" w:eastAsia="Times New Roman" w:hAnsi="David" w:cs="David" w:hint="eastAsia"/>
          <w:spacing w:val="10"/>
          <w:sz w:val="24"/>
          <w:szCs w:val="24"/>
          <w:rtl/>
        </w:rPr>
        <w:t>ת</w:t>
      </w:r>
      <w:r w:rsidRPr="00373B46">
        <w:rPr>
          <w:rFonts w:ascii="David" w:eastAsia="Times New Roman" w:hAnsi="David" w:cs="David" w:hint="cs"/>
          <w:spacing w:val="10"/>
          <w:sz w:val="24"/>
          <w:szCs w:val="24"/>
          <w:rtl/>
        </w:rPr>
        <w:t xml:space="preserve"> המעשה, כי אם עצם יצירת הקשרים האינטימיים עם שוטרות זוטרות בצירוף הנסיבות האופפות אותה. </w:t>
      </w:r>
    </w:p>
    <w:p w:rsidR="000F1996" w:rsidRPr="00373B46" w:rsidRDefault="004E14DF" w:rsidP="00A24606">
      <w:pPr>
        <w:spacing w:line="360" w:lineRule="auto"/>
        <w:jc w:val="both"/>
        <w:rPr>
          <w:rFonts w:ascii="David" w:eastAsia="Times New Roman" w:hAnsi="David" w:cs="David"/>
          <w:b/>
          <w:bCs/>
          <w:spacing w:val="10"/>
          <w:sz w:val="24"/>
          <w:szCs w:val="24"/>
          <w:u w:val="single"/>
          <w:rtl/>
        </w:rPr>
      </w:pPr>
      <w:r w:rsidRPr="00373B46">
        <w:rPr>
          <w:rFonts w:ascii="David" w:eastAsia="Times New Roman" w:hAnsi="David" w:cs="David"/>
          <w:b/>
          <w:bCs/>
          <w:spacing w:val="10"/>
          <w:sz w:val="24"/>
          <w:szCs w:val="24"/>
          <w:u w:val="single"/>
          <w:rtl/>
        </w:rPr>
        <w:t>האם די בדפוס התנהלותו של שחם – בקבלת החלטות בעניינם של השוטרות – בהיותו במצב של ניגוד עניינים – כדי להכניסו לגדר העבירה הפלילית של מרמה והפרת האמונים?</w:t>
      </w:r>
    </w:p>
    <w:p w:rsidR="00613546" w:rsidRPr="00373B46" w:rsidRDefault="00C3494E" w:rsidP="005C0466">
      <w:pPr>
        <w:spacing w:after="0" w:line="360" w:lineRule="auto"/>
        <w:jc w:val="both"/>
        <w:rPr>
          <w:rFonts w:ascii="David" w:eastAsia="Times New Roman" w:hAnsi="David" w:cs="David"/>
          <w:spacing w:val="10"/>
          <w:sz w:val="24"/>
          <w:szCs w:val="24"/>
          <w:u w:val="single"/>
          <w:rtl/>
        </w:rPr>
      </w:pPr>
      <w:r>
        <w:rPr>
          <w:rFonts w:ascii="David" w:eastAsia="Times New Roman" w:hAnsi="David" w:cs="David" w:hint="cs"/>
          <w:spacing w:val="10"/>
          <w:sz w:val="24"/>
          <w:szCs w:val="24"/>
          <w:u w:val="single"/>
          <w:rtl/>
        </w:rPr>
        <w:t>מהו ניגוד עניינים,</w:t>
      </w:r>
      <w:r w:rsidR="004E14DF" w:rsidRPr="00373B46">
        <w:rPr>
          <w:rFonts w:ascii="David" w:eastAsia="Times New Roman" w:hAnsi="David" w:cs="David" w:hint="cs"/>
          <w:spacing w:val="10"/>
          <w:sz w:val="24"/>
          <w:szCs w:val="24"/>
          <w:u w:val="single"/>
          <w:rtl/>
        </w:rPr>
        <w:t xml:space="preserve"> ואימתי ניגוד עניינים יהווה הפרת אמונים?</w:t>
      </w:r>
    </w:p>
    <w:p w:rsidR="00613546" w:rsidRDefault="004E14DF" w:rsidP="005C0466">
      <w:pPr>
        <w:spacing w:after="0" w:line="360" w:lineRule="auto"/>
        <w:jc w:val="both"/>
        <w:rPr>
          <w:rFonts w:ascii="David" w:eastAsia="Times New Roman" w:hAnsi="David" w:cs="David"/>
          <w:spacing w:val="10"/>
          <w:sz w:val="24"/>
          <w:szCs w:val="24"/>
          <w:rtl/>
        </w:rPr>
      </w:pPr>
      <w:r w:rsidRPr="00373B46">
        <w:rPr>
          <w:rFonts w:ascii="David" w:eastAsia="Times New Roman" w:hAnsi="David" w:cs="David" w:hint="cs"/>
          <w:spacing w:val="10"/>
          <w:sz w:val="24"/>
          <w:szCs w:val="24"/>
          <w:rtl/>
        </w:rPr>
        <w:t xml:space="preserve">בפרשת שבס, שכזכור הוכרעה במסגרת דיון נוסף, קיבל בית המשפט את עמדת השופט מצא בע״פ 332/01 </w:t>
      </w:r>
      <w:r w:rsidRPr="00373B46">
        <w:rPr>
          <w:rFonts w:ascii="David" w:eastAsia="Times New Roman" w:hAnsi="David" w:cs="David" w:hint="cs"/>
          <w:b/>
          <w:bCs/>
          <w:spacing w:val="10"/>
          <w:sz w:val="24"/>
          <w:szCs w:val="24"/>
          <w:rtl/>
        </w:rPr>
        <w:t>מדינת ישראל נ׳ שמעון שבס</w:t>
      </w:r>
      <w:r w:rsidRPr="00373B46">
        <w:rPr>
          <w:rFonts w:ascii="David" w:eastAsia="Times New Roman" w:hAnsi="David" w:cs="David" w:hint="cs"/>
          <w:spacing w:val="10"/>
          <w:sz w:val="24"/>
          <w:szCs w:val="24"/>
          <w:rtl/>
        </w:rPr>
        <w:t xml:space="preserve">, </w:t>
      </w:r>
      <w:proofErr w:type="spellStart"/>
      <w:r w:rsidRPr="00373B46">
        <w:rPr>
          <w:rFonts w:ascii="David" w:eastAsia="Times New Roman" w:hAnsi="David" w:cs="David" w:hint="cs"/>
          <w:spacing w:val="10"/>
          <w:sz w:val="24"/>
          <w:szCs w:val="24"/>
          <w:rtl/>
        </w:rPr>
        <w:t>נז</w:t>
      </w:r>
      <w:proofErr w:type="spellEnd"/>
      <w:r w:rsidRPr="00373B46">
        <w:rPr>
          <w:rFonts w:ascii="David" w:eastAsia="Times New Roman" w:hAnsi="David" w:cs="David" w:hint="cs"/>
          <w:spacing w:val="10"/>
          <w:sz w:val="24"/>
          <w:szCs w:val="24"/>
          <w:rtl/>
        </w:rPr>
        <w:t xml:space="preserve">(2) 496 (להלן: </w:t>
      </w:r>
      <w:r w:rsidRPr="00182EA2">
        <w:rPr>
          <w:rFonts w:ascii="David" w:eastAsia="Times New Roman" w:hAnsi="David" w:cs="David" w:hint="cs"/>
          <w:spacing w:val="10"/>
          <w:sz w:val="24"/>
          <w:szCs w:val="24"/>
          <w:rtl/>
        </w:rPr>
        <w:t>"</w:t>
      </w:r>
      <w:r w:rsidRPr="00373B46">
        <w:rPr>
          <w:rFonts w:ascii="David" w:eastAsia="Times New Roman" w:hAnsi="David" w:cs="David" w:hint="cs"/>
          <w:b/>
          <w:bCs/>
          <w:spacing w:val="10"/>
          <w:sz w:val="24"/>
          <w:szCs w:val="24"/>
          <w:rtl/>
        </w:rPr>
        <w:t>פסק דין שב"ס</w:t>
      </w:r>
      <w:r w:rsidRPr="00182EA2">
        <w:rPr>
          <w:rFonts w:ascii="David" w:eastAsia="Times New Roman" w:hAnsi="David" w:cs="David" w:hint="cs"/>
          <w:spacing w:val="10"/>
          <w:sz w:val="24"/>
          <w:szCs w:val="24"/>
          <w:rtl/>
        </w:rPr>
        <w:t>"</w:t>
      </w:r>
      <w:r w:rsidRPr="00373B46">
        <w:rPr>
          <w:rFonts w:ascii="David" w:eastAsia="Times New Roman" w:hAnsi="David" w:cs="David" w:hint="cs"/>
          <w:spacing w:val="10"/>
          <w:sz w:val="24"/>
          <w:szCs w:val="24"/>
          <w:rtl/>
        </w:rPr>
        <w:t>) שלא די בניגוד עניינים בלבד על מנת לגבש עבירת הפרת האמונים, ונדרש ״פן מחמיר נוסף״. פן מחמיר זה מתבטא בדרישה כי תתקיים פגיעה מהותית בערך המוגן</w:t>
      </w:r>
      <w:r w:rsidR="005C0466">
        <w:rPr>
          <w:rFonts w:ascii="David" w:eastAsia="Times New Roman" w:hAnsi="David" w:cs="David" w:hint="cs"/>
          <w:spacing w:val="10"/>
          <w:sz w:val="24"/>
          <w:szCs w:val="24"/>
          <w:rtl/>
        </w:rPr>
        <w:t xml:space="preserve">. </w:t>
      </w:r>
      <w:r w:rsidRPr="00373B46">
        <w:rPr>
          <w:rFonts w:ascii="David" w:eastAsia="Times New Roman" w:hAnsi="David" w:cs="David" w:hint="cs"/>
          <w:spacing w:val="10"/>
          <w:sz w:val="24"/>
          <w:szCs w:val="24"/>
          <w:rtl/>
        </w:rPr>
        <w:t xml:space="preserve">פירושו של דבר, הימצאות במצב של ניגוד עניינים מקיימת את היסוד העובדתי של העבירה אם היא פוגעת פגיעה מהותית באחד מהערכים המוגנים על-ידי האיסור הפלילי של הפרת אמונים </w:t>
      </w:r>
      <w:r w:rsidRPr="00373B46">
        <w:rPr>
          <w:rFonts w:ascii="David" w:eastAsia="Times New Roman" w:hAnsi="David" w:cs="David"/>
          <w:spacing w:val="10"/>
          <w:sz w:val="24"/>
          <w:szCs w:val="24"/>
          <w:rtl/>
        </w:rPr>
        <w:t>–</w:t>
      </w:r>
      <w:r w:rsidRPr="00373B46">
        <w:rPr>
          <w:rFonts w:ascii="David" w:eastAsia="Times New Roman" w:hAnsi="David" w:cs="David" w:hint="cs"/>
          <w:spacing w:val="10"/>
          <w:sz w:val="24"/>
          <w:szCs w:val="24"/>
          <w:rtl/>
        </w:rPr>
        <w:t xml:space="preserve"> אמון הציבור בעובדי הציבור; טוהר המידות של עובדי הציבור; ותקינות פעולות המנהל הציבורי. בית המשפט העליון פסק שאין הגדרה גורפת ובלעדית לניגוד עניינים המגיע לכדי </w:t>
      </w:r>
      <w:r w:rsidRPr="00373B46">
        <w:rPr>
          <w:rFonts w:ascii="David" w:eastAsia="Times New Roman" w:hAnsi="David" w:cs="David" w:hint="cs"/>
          <w:spacing w:val="10"/>
          <w:sz w:val="24"/>
          <w:szCs w:val="24"/>
          <w:rtl/>
        </w:rPr>
        <w:lastRenderedPageBreak/>
        <w:t xml:space="preserve">עבירה של הפרת אמונים, וכל מקרה יש לבחון לגופו </w:t>
      </w:r>
      <w:r w:rsidRPr="00373B46">
        <w:rPr>
          <w:rFonts w:ascii="David" w:eastAsia="Times New Roman" w:hAnsi="David" w:cs="David"/>
          <w:spacing w:val="10"/>
          <w:sz w:val="24"/>
          <w:szCs w:val="24"/>
          <w:rtl/>
        </w:rPr>
        <w:t>–</w:t>
      </w:r>
      <w:r w:rsidRPr="00373B46">
        <w:rPr>
          <w:rFonts w:ascii="David" w:eastAsia="Times New Roman" w:hAnsi="David" w:cs="David" w:hint="cs"/>
          <w:spacing w:val="10"/>
          <w:sz w:val="24"/>
          <w:szCs w:val="24"/>
          <w:rtl/>
        </w:rPr>
        <w:t xml:space="preserve"> </w:t>
      </w:r>
      <w:r w:rsidRPr="00373B46">
        <w:rPr>
          <w:rFonts w:ascii="David" w:eastAsia="Times New Roman" w:hAnsi="David" w:cs="David" w:hint="cs"/>
          <w:b/>
          <w:bCs/>
          <w:spacing w:val="10"/>
          <w:sz w:val="24"/>
          <w:szCs w:val="24"/>
          <w:rtl/>
        </w:rPr>
        <w:t xml:space="preserve">״לא כל ניגוד עניינים גורר פגיעה מהותית באינטרס המוגן. זו תלויה במהותו ובאופיו של ניגוד העניינים״ </w:t>
      </w:r>
      <w:r w:rsidRPr="00373B46">
        <w:rPr>
          <w:rFonts w:ascii="David" w:eastAsia="Times New Roman" w:hAnsi="David" w:cs="David" w:hint="cs"/>
          <w:spacing w:val="10"/>
          <w:sz w:val="24"/>
          <w:szCs w:val="24"/>
          <w:rtl/>
        </w:rPr>
        <w:t>(שם, עמ׳ 419). בבסיס הפרט ההתנהגותי שבעבירה של הפרת אמונים אם כן, מונח ניגוד עניינים מסוגים שונים</w:t>
      </w:r>
      <w:r w:rsidR="00E341AB">
        <w:rPr>
          <w:rFonts w:ascii="David" w:eastAsia="Times New Roman" w:hAnsi="David" w:cs="David" w:hint="cs"/>
          <w:spacing w:val="10"/>
          <w:sz w:val="24"/>
          <w:szCs w:val="24"/>
          <w:rtl/>
        </w:rPr>
        <w:t>.</w:t>
      </w:r>
    </w:p>
    <w:p w:rsidR="00A24606" w:rsidRPr="00E341AB" w:rsidRDefault="00A24606" w:rsidP="005C0466">
      <w:pPr>
        <w:spacing w:after="0" w:line="360" w:lineRule="auto"/>
        <w:jc w:val="both"/>
        <w:rPr>
          <w:rFonts w:ascii="David" w:eastAsia="Times New Roman" w:hAnsi="David" w:cs="David"/>
          <w:spacing w:val="10"/>
          <w:sz w:val="24"/>
          <w:szCs w:val="24"/>
          <w:rtl/>
        </w:rPr>
      </w:pPr>
    </w:p>
    <w:p w:rsidR="00613546" w:rsidRPr="00373B46" w:rsidRDefault="004E14DF" w:rsidP="00884CF0">
      <w:pPr>
        <w:spacing w:line="360" w:lineRule="auto"/>
        <w:jc w:val="both"/>
        <w:rPr>
          <w:rFonts w:ascii="David" w:eastAsia="Times New Roman" w:hAnsi="David" w:cs="David"/>
          <w:spacing w:val="10"/>
          <w:sz w:val="24"/>
          <w:szCs w:val="24"/>
          <w:u w:val="single"/>
          <w:rtl/>
        </w:rPr>
      </w:pPr>
      <w:r w:rsidRPr="00373B46">
        <w:rPr>
          <w:rFonts w:ascii="David" w:eastAsia="Times New Roman" w:hAnsi="David" w:cs="David" w:hint="cs"/>
          <w:spacing w:val="10"/>
          <w:sz w:val="24"/>
          <w:szCs w:val="24"/>
          <w:rtl/>
        </w:rPr>
        <w:t>על מנת להכריע האם ניגוד עניינים מסוים פוגע פגיעה מהותית באינטרס המוגן, נקבעה רשימה חלקית של שיקולים, שאינם בגדר רשימה סגורה וממצה</w:t>
      </w:r>
      <w:r w:rsidR="005C0466" w:rsidRPr="00A24606">
        <w:rPr>
          <w:rFonts w:ascii="David" w:eastAsia="Times New Roman" w:hAnsi="David" w:cs="David" w:hint="cs"/>
          <w:spacing w:val="10"/>
          <w:sz w:val="24"/>
          <w:szCs w:val="24"/>
          <w:rtl/>
        </w:rPr>
        <w:t>.</w:t>
      </w:r>
    </w:p>
    <w:p w:rsidR="00613546" w:rsidRDefault="004E14DF" w:rsidP="005C0466">
      <w:pPr>
        <w:spacing w:after="0" w:line="360" w:lineRule="auto"/>
        <w:jc w:val="both"/>
        <w:rPr>
          <w:rFonts w:ascii="David" w:eastAsia="Times New Roman" w:hAnsi="David" w:cs="David"/>
          <w:spacing w:val="10"/>
          <w:sz w:val="24"/>
          <w:szCs w:val="24"/>
          <w:rtl/>
        </w:rPr>
      </w:pPr>
      <w:r w:rsidRPr="00373B46">
        <w:rPr>
          <w:rFonts w:ascii="David" w:eastAsia="Times New Roman" w:hAnsi="David" w:cs="David" w:hint="cs"/>
          <w:spacing w:val="10"/>
          <w:sz w:val="24"/>
          <w:szCs w:val="24"/>
          <w:rtl/>
        </w:rPr>
        <w:t xml:space="preserve">בשלב זה ראיתי לחרוג לרגע מהדיון ולומר מספר מילים על הזיקה בין קיום מערכת יחסים אינטימית של עובד ציבור בכיר עם כפיפה להיקלעותו הבלתי נמנעת למצב של ניגוד עניינים. </w:t>
      </w:r>
    </w:p>
    <w:p w:rsidR="00A24606" w:rsidRPr="00373B46" w:rsidRDefault="00A24606" w:rsidP="005C0466">
      <w:pPr>
        <w:spacing w:after="0" w:line="360" w:lineRule="auto"/>
        <w:jc w:val="both"/>
        <w:rPr>
          <w:rFonts w:ascii="David" w:eastAsia="Times New Roman" w:hAnsi="David" w:cs="David"/>
          <w:spacing w:val="10"/>
          <w:sz w:val="24"/>
          <w:szCs w:val="24"/>
          <w:rtl/>
        </w:rPr>
      </w:pPr>
    </w:p>
    <w:p w:rsidR="00613546" w:rsidRDefault="004E14DF" w:rsidP="005C0466">
      <w:pPr>
        <w:spacing w:after="0" w:line="360" w:lineRule="auto"/>
        <w:jc w:val="both"/>
        <w:rPr>
          <w:rFonts w:ascii="David" w:eastAsia="Times New Roman" w:hAnsi="David" w:cs="David"/>
          <w:spacing w:val="10"/>
          <w:sz w:val="24"/>
          <w:szCs w:val="24"/>
          <w:rtl/>
        </w:rPr>
      </w:pPr>
      <w:r w:rsidRPr="00373B46">
        <w:rPr>
          <w:rFonts w:ascii="David" w:eastAsia="Times New Roman" w:hAnsi="David" w:cs="David" w:hint="cs"/>
          <w:spacing w:val="10"/>
          <w:sz w:val="24"/>
          <w:szCs w:val="24"/>
          <w:rtl/>
        </w:rPr>
        <w:t>האיסור על קיומם של יחסים אינטימיים עם כפיפה קשור קשר בל ינותק לאיסור להיכנס למצב של נ</w:t>
      </w:r>
      <w:r w:rsidR="00182EA2">
        <w:rPr>
          <w:rFonts w:ascii="David" w:eastAsia="Times New Roman" w:hAnsi="David" w:cs="David" w:hint="cs"/>
          <w:spacing w:val="10"/>
          <w:sz w:val="24"/>
          <w:szCs w:val="24"/>
          <w:rtl/>
        </w:rPr>
        <w:t xml:space="preserve">יגוד עניינים, במובן של "הא בהא </w:t>
      </w:r>
      <w:proofErr w:type="spellStart"/>
      <w:r w:rsidR="0008665D" w:rsidRPr="0008665D">
        <w:rPr>
          <w:rFonts w:ascii="David" w:eastAsia="Times New Roman" w:hAnsi="David" w:cs="David" w:hint="cs"/>
          <w:spacing w:val="10"/>
          <w:sz w:val="24"/>
          <w:szCs w:val="24"/>
          <w:rtl/>
        </w:rPr>
        <w:t>ת</w:t>
      </w:r>
      <w:r w:rsidRPr="0008665D">
        <w:rPr>
          <w:rFonts w:ascii="David" w:eastAsia="Times New Roman" w:hAnsi="David" w:cs="David" w:hint="cs"/>
          <w:spacing w:val="10"/>
          <w:sz w:val="24"/>
          <w:szCs w:val="24"/>
          <w:rtl/>
        </w:rPr>
        <w:t>לי</w:t>
      </w:r>
      <w:r w:rsidR="0008665D">
        <w:rPr>
          <w:rFonts w:ascii="David" w:eastAsia="Times New Roman" w:hAnsi="David" w:cs="David" w:hint="cs"/>
          <w:spacing w:val="10"/>
          <w:sz w:val="24"/>
          <w:szCs w:val="24"/>
          <w:rtl/>
        </w:rPr>
        <w:t>א</w:t>
      </w:r>
      <w:proofErr w:type="spellEnd"/>
      <w:r w:rsidRPr="00373B46">
        <w:rPr>
          <w:rFonts w:ascii="David" w:eastAsia="Times New Roman" w:hAnsi="David" w:cs="David" w:hint="cs"/>
          <w:spacing w:val="10"/>
          <w:sz w:val="24"/>
          <w:szCs w:val="24"/>
          <w:rtl/>
        </w:rPr>
        <w:t xml:space="preserve">". </w:t>
      </w:r>
      <w:r w:rsidRPr="00373B46">
        <w:rPr>
          <w:rFonts w:ascii="David" w:eastAsia="Times New Roman" w:hAnsi="David" w:cs="David"/>
          <w:spacing w:val="10"/>
          <w:sz w:val="24"/>
          <w:szCs w:val="24"/>
          <w:rtl/>
        </w:rPr>
        <w:t>המדובר בקשר גורדי</w:t>
      </w:r>
      <w:r w:rsidRPr="00373B46">
        <w:rPr>
          <w:rFonts w:ascii="David" w:eastAsia="Times New Roman" w:hAnsi="David" w:cs="David" w:hint="cs"/>
          <w:spacing w:val="10"/>
          <w:sz w:val="24"/>
          <w:szCs w:val="24"/>
          <w:rtl/>
        </w:rPr>
        <w:t xml:space="preserve">, מורכב ובעייתי </w:t>
      </w:r>
      <w:r w:rsidRPr="00373B46">
        <w:rPr>
          <w:rFonts w:ascii="David" w:eastAsia="Times New Roman" w:hAnsi="David" w:cs="David"/>
          <w:spacing w:val="10"/>
          <w:sz w:val="24"/>
          <w:szCs w:val="24"/>
          <w:rtl/>
        </w:rPr>
        <w:t>שאינו ניתן להתרה ממשית</w:t>
      </w:r>
      <w:r w:rsidRPr="00373B46">
        <w:rPr>
          <w:rFonts w:ascii="David" w:eastAsia="Times New Roman" w:hAnsi="David" w:cs="David" w:hint="cs"/>
          <w:spacing w:val="10"/>
          <w:sz w:val="24"/>
          <w:szCs w:val="24"/>
          <w:rtl/>
        </w:rPr>
        <w:t xml:space="preserve">, גם לא בחלוף זמן, משום שעצם קיומה של מערכת יחסים כזו בתוך ארגון היררכי מוביל בהכרח את הבכיר לתוך "שדה מוקשים" של התנגשות בלתי נמנעת בין המישור האישי למישור המקצועי. זאת מהטעם, שעובד הציבור לא רק שאינו יכול להבטיח מראש שדרכו ודרכה של הכפיפה לא יצטלבו בעתיד, אלא להיפך. ברי כי מתוקף תפקידו וכוח סמכותו יהא עליו להיות מעורה ולקבל החלטות בענייניה של הכפיפה, ולכן, במציאות זו, קם מאליו </w:t>
      </w:r>
      <w:r w:rsidRPr="00373B46">
        <w:rPr>
          <w:rFonts w:ascii="David" w:eastAsia="Times New Roman" w:hAnsi="David" w:cs="David"/>
          <w:spacing w:val="10"/>
          <w:sz w:val="24"/>
          <w:szCs w:val="24"/>
          <w:rtl/>
        </w:rPr>
        <w:t xml:space="preserve">חשש לאפליה או </w:t>
      </w:r>
      <w:r w:rsidRPr="00373B46">
        <w:rPr>
          <w:rFonts w:ascii="David" w:eastAsia="Times New Roman" w:hAnsi="David" w:cs="David" w:hint="cs"/>
          <w:spacing w:val="10"/>
          <w:sz w:val="24"/>
          <w:szCs w:val="24"/>
          <w:rtl/>
        </w:rPr>
        <w:t>ל</w:t>
      </w:r>
      <w:r w:rsidRPr="00373B46">
        <w:rPr>
          <w:rFonts w:ascii="David" w:eastAsia="Times New Roman" w:hAnsi="David" w:cs="David"/>
          <w:spacing w:val="10"/>
          <w:sz w:val="24"/>
          <w:szCs w:val="24"/>
          <w:rtl/>
        </w:rPr>
        <w:t xml:space="preserve">העדפה, או </w:t>
      </w:r>
      <w:r w:rsidRPr="00373B46">
        <w:rPr>
          <w:rFonts w:ascii="David" w:eastAsia="Times New Roman" w:hAnsi="David" w:cs="David" w:hint="cs"/>
          <w:spacing w:val="10"/>
          <w:sz w:val="24"/>
          <w:szCs w:val="24"/>
          <w:rtl/>
        </w:rPr>
        <w:t>ל</w:t>
      </w:r>
      <w:r w:rsidRPr="00373B46">
        <w:rPr>
          <w:rFonts w:ascii="David" w:eastAsia="Times New Roman" w:hAnsi="David" w:cs="David"/>
          <w:spacing w:val="10"/>
          <w:sz w:val="24"/>
          <w:szCs w:val="24"/>
          <w:rtl/>
        </w:rPr>
        <w:t xml:space="preserve">מעורבות של שיקולים זרים </w:t>
      </w:r>
      <w:r w:rsidRPr="00373B46">
        <w:rPr>
          <w:rFonts w:ascii="David" w:eastAsia="Times New Roman" w:hAnsi="David" w:cs="David" w:hint="cs"/>
          <w:spacing w:val="10"/>
          <w:sz w:val="24"/>
          <w:szCs w:val="24"/>
          <w:rtl/>
        </w:rPr>
        <w:t>באופן שייכלא אותו במצב של ניגוד עניינים. ה</w:t>
      </w:r>
      <w:r w:rsidRPr="00373B46">
        <w:rPr>
          <w:rFonts w:ascii="David" w:eastAsia="Times New Roman" w:hAnsi="David" w:cs="David"/>
          <w:spacing w:val="10"/>
          <w:sz w:val="24"/>
          <w:szCs w:val="24"/>
          <w:rtl/>
        </w:rPr>
        <w:t>פ</w:t>
      </w:r>
      <w:r w:rsidRPr="00373B46">
        <w:rPr>
          <w:rFonts w:ascii="David" w:eastAsia="Times New Roman" w:hAnsi="David" w:cs="David" w:hint="cs"/>
          <w:spacing w:val="10"/>
          <w:sz w:val="24"/>
          <w:szCs w:val="24"/>
          <w:rtl/>
        </w:rPr>
        <w:t>סול</w:t>
      </w:r>
      <w:r w:rsidRPr="00373B46">
        <w:rPr>
          <w:rFonts w:ascii="David" w:eastAsia="Times New Roman" w:hAnsi="David" w:cs="David"/>
          <w:spacing w:val="10"/>
          <w:sz w:val="24"/>
          <w:szCs w:val="24"/>
          <w:rtl/>
        </w:rPr>
        <w:t xml:space="preserve"> נעוץ </w:t>
      </w:r>
      <w:r w:rsidRPr="00373B46">
        <w:rPr>
          <w:rFonts w:ascii="David" w:eastAsia="Times New Roman" w:hAnsi="David" w:cs="David" w:hint="cs"/>
          <w:spacing w:val="10"/>
          <w:sz w:val="24"/>
          <w:szCs w:val="24"/>
          <w:rtl/>
        </w:rPr>
        <w:t xml:space="preserve">אפוא </w:t>
      </w:r>
      <w:r w:rsidRPr="00373B46">
        <w:rPr>
          <w:rFonts w:ascii="David" w:eastAsia="Times New Roman" w:hAnsi="David" w:cs="David"/>
          <w:spacing w:val="10"/>
          <w:sz w:val="24"/>
          <w:szCs w:val="24"/>
          <w:rtl/>
        </w:rPr>
        <w:t>בהשפעתו של הקשר האינטימי</w:t>
      </w:r>
      <w:r w:rsidRPr="00373B46">
        <w:rPr>
          <w:rFonts w:ascii="David" w:eastAsia="Times New Roman" w:hAnsi="David" w:cs="David" w:hint="cs"/>
          <w:spacing w:val="10"/>
          <w:sz w:val="24"/>
          <w:szCs w:val="24"/>
          <w:rtl/>
        </w:rPr>
        <w:t xml:space="preserve"> - </w:t>
      </w:r>
      <w:r w:rsidRPr="00373B46">
        <w:rPr>
          <w:rFonts w:ascii="David" w:eastAsia="Times New Roman" w:hAnsi="David" w:cs="David"/>
          <w:spacing w:val="10"/>
          <w:sz w:val="24"/>
          <w:szCs w:val="24"/>
          <w:rtl/>
        </w:rPr>
        <w:t xml:space="preserve">במודע או שלא במודע </w:t>
      </w:r>
      <w:r w:rsidRPr="00373B46">
        <w:rPr>
          <w:rFonts w:ascii="David" w:eastAsia="Times New Roman" w:hAnsi="David" w:cs="David" w:hint="cs"/>
          <w:spacing w:val="10"/>
          <w:sz w:val="24"/>
          <w:szCs w:val="24"/>
          <w:rtl/>
        </w:rPr>
        <w:t xml:space="preserve">- </w:t>
      </w:r>
      <w:r w:rsidRPr="00373B46">
        <w:rPr>
          <w:rFonts w:ascii="David" w:eastAsia="Times New Roman" w:hAnsi="David" w:cs="David"/>
          <w:spacing w:val="10"/>
          <w:sz w:val="24"/>
          <w:szCs w:val="24"/>
          <w:rtl/>
        </w:rPr>
        <w:t xml:space="preserve">על מקבל ההחלטה </w:t>
      </w:r>
      <w:r w:rsidRPr="00373B46">
        <w:rPr>
          <w:rFonts w:ascii="David" w:eastAsia="Times New Roman" w:hAnsi="David" w:cs="David" w:hint="cs"/>
          <w:spacing w:val="10"/>
          <w:sz w:val="24"/>
          <w:szCs w:val="24"/>
          <w:rtl/>
        </w:rPr>
        <w:t xml:space="preserve">לנהוג באופן אובייקטיבי, חסר פניות, ובעיקר </w:t>
      </w:r>
      <w:r w:rsidRPr="00373B46">
        <w:rPr>
          <w:rFonts w:ascii="David" w:eastAsia="Times New Roman" w:hAnsi="David" w:cs="David"/>
          <w:spacing w:val="10"/>
          <w:sz w:val="24"/>
          <w:szCs w:val="24"/>
          <w:rtl/>
        </w:rPr>
        <w:t xml:space="preserve">ביכולת האנושית לערוך הפרדה ברורה ומבדלת </w:t>
      </w:r>
      <w:r w:rsidRPr="00373B46">
        <w:rPr>
          <w:rFonts w:ascii="David" w:eastAsia="Times New Roman" w:hAnsi="David" w:cs="David" w:hint="cs"/>
          <w:spacing w:val="10"/>
          <w:sz w:val="24"/>
          <w:szCs w:val="24"/>
          <w:rtl/>
        </w:rPr>
        <w:t xml:space="preserve">בין האינטרס הציבורי עליו הוא מופקד לבין האינטרס הפרטי </w:t>
      </w:r>
      <w:r w:rsidRPr="00373B46">
        <w:rPr>
          <w:rFonts w:ascii="David" w:eastAsia="Times New Roman" w:hAnsi="David" w:cs="David"/>
          <w:spacing w:val="10"/>
          <w:sz w:val="24"/>
          <w:szCs w:val="24"/>
          <w:rtl/>
        </w:rPr>
        <w:t>–</w:t>
      </w:r>
      <w:r w:rsidRPr="00373B46">
        <w:rPr>
          <w:rFonts w:ascii="David" w:eastAsia="Times New Roman" w:hAnsi="David" w:cs="David" w:hint="cs"/>
          <w:spacing w:val="10"/>
          <w:sz w:val="24"/>
          <w:szCs w:val="24"/>
          <w:rtl/>
        </w:rPr>
        <w:t xml:space="preserve"> אישי ולקבל החלטה "אובייקטיבית". במילים אחרות. הקשרים האינטימיים בשל טיבם ואופיים הם אלה שמפרים את נקודת האיזון בין פעולות לגיטימיות של עובד הציבור לפעולות הלוקות או נגועות בהשפעה של שיקולים או אינטרסים זרים.</w:t>
      </w:r>
    </w:p>
    <w:p w:rsidR="00A24606" w:rsidRDefault="00A24606" w:rsidP="005C0466">
      <w:pPr>
        <w:spacing w:after="0" w:line="360" w:lineRule="auto"/>
        <w:jc w:val="both"/>
        <w:rPr>
          <w:rFonts w:ascii="David" w:eastAsia="Times New Roman" w:hAnsi="David" w:cs="David"/>
          <w:spacing w:val="10"/>
          <w:sz w:val="24"/>
          <w:szCs w:val="24"/>
          <w:rtl/>
        </w:rPr>
      </w:pPr>
    </w:p>
    <w:p w:rsidR="00613546" w:rsidRPr="00373B46" w:rsidRDefault="004E14DF" w:rsidP="00613546">
      <w:pPr>
        <w:spacing w:line="360" w:lineRule="auto"/>
        <w:jc w:val="both"/>
        <w:rPr>
          <w:rFonts w:ascii="David" w:eastAsia="Times New Roman" w:hAnsi="David" w:cs="David"/>
          <w:spacing w:val="10"/>
          <w:sz w:val="24"/>
          <w:szCs w:val="24"/>
          <w:u w:val="single"/>
          <w:rtl/>
        </w:rPr>
      </w:pPr>
      <w:r w:rsidRPr="00373B46">
        <w:rPr>
          <w:rFonts w:ascii="David" w:eastAsia="Times New Roman" w:hAnsi="David" w:cs="David" w:hint="cs"/>
          <w:spacing w:val="10"/>
          <w:sz w:val="24"/>
          <w:szCs w:val="24"/>
          <w:u w:val="single"/>
          <w:rtl/>
        </w:rPr>
        <w:t>ועתה, מן הכלל אל הפרט</w:t>
      </w:r>
    </w:p>
    <w:p w:rsidR="00613546" w:rsidRPr="00373B46" w:rsidRDefault="004E14DF" w:rsidP="00613546">
      <w:pPr>
        <w:spacing w:line="360" w:lineRule="auto"/>
        <w:jc w:val="both"/>
        <w:rPr>
          <w:rFonts w:ascii="David" w:eastAsia="Times New Roman" w:hAnsi="David" w:cs="David"/>
          <w:spacing w:val="10"/>
          <w:sz w:val="24"/>
          <w:szCs w:val="24"/>
          <w:u w:val="single"/>
          <w:rtl/>
        </w:rPr>
      </w:pPr>
      <w:r w:rsidRPr="00373B46">
        <w:rPr>
          <w:rFonts w:ascii="David" w:eastAsia="Times New Roman" w:hAnsi="David" w:cs="David" w:hint="cs"/>
          <w:spacing w:val="10"/>
          <w:sz w:val="24"/>
          <w:szCs w:val="24"/>
          <w:rtl/>
        </w:rPr>
        <w:t>בענייננו, אין מחלוקת בשאלה האם שחם פעל במצבים של ניגוד עניינים כאשר טיפל בענייני השוטרות, חרף העובדה שקודם לכן או תוך כדי קיים עמן יחסים אינטימיים כאלה או אחרים. זוהי קביעתו המפורשת של בית המשפט, בהתייחסו לפרשה הראשונה, השנייה, השלישית, הרביעית והשמינית</w:t>
      </w:r>
      <w:r w:rsidRPr="000F1996">
        <w:rPr>
          <w:rFonts w:ascii="David" w:eastAsia="Times New Roman" w:hAnsi="David" w:cs="David" w:hint="cs"/>
          <w:spacing w:val="10"/>
          <w:sz w:val="24"/>
          <w:szCs w:val="24"/>
          <w:rtl/>
        </w:rPr>
        <w:t>.</w:t>
      </w:r>
    </w:p>
    <w:p w:rsidR="00613546" w:rsidRPr="00373B46" w:rsidRDefault="004E14DF" w:rsidP="00613546">
      <w:pPr>
        <w:overflowPunct w:val="0"/>
        <w:autoSpaceDE w:val="0"/>
        <w:autoSpaceDN w:val="0"/>
        <w:adjustRightInd w:val="0"/>
        <w:spacing w:line="360" w:lineRule="auto"/>
        <w:jc w:val="both"/>
        <w:rPr>
          <w:rFonts w:ascii="David" w:eastAsia="Times New Roman" w:hAnsi="David" w:cs="David"/>
          <w:spacing w:val="10"/>
          <w:sz w:val="24"/>
          <w:szCs w:val="24"/>
          <w:rtl/>
        </w:rPr>
      </w:pPr>
      <w:r w:rsidRPr="00373B46">
        <w:rPr>
          <w:rFonts w:ascii="David" w:eastAsia="Times New Roman" w:hAnsi="David" w:cs="David" w:hint="cs"/>
          <w:spacing w:val="10"/>
          <w:sz w:val="24"/>
          <w:szCs w:val="24"/>
          <w:rtl/>
        </w:rPr>
        <w:lastRenderedPageBreak/>
        <w:t xml:space="preserve">עיקרו של הערעור מופנה אם כן להכרעת בית המשפט, לפיה הפעולות בכל אחת מחמש הפרשות היו בעוצמה חלשה של ניגוד עניינים, שאין בה כדי להוות תשתית לביסוס עבירה פלילית. עם זאת, יוער, כי ביחס לפרשה השנייה והשמינית, קבע בית המשפט כי אף שניגוד העניינים אינו בעוצמה החוצה את הרף הפלילי, עצם קיומו היה צריך להוביל לכך ששחם ימשוך את ידו מהטיפול בבקשותיהן של השוטרות. </w:t>
      </w:r>
    </w:p>
    <w:p w:rsidR="00613546" w:rsidRPr="00373B46" w:rsidRDefault="004E14DF" w:rsidP="00613546">
      <w:pPr>
        <w:spacing w:line="360" w:lineRule="auto"/>
        <w:jc w:val="both"/>
        <w:rPr>
          <w:rFonts w:ascii="David" w:eastAsia="Times New Roman" w:hAnsi="David" w:cs="David"/>
          <w:spacing w:val="10"/>
          <w:sz w:val="24"/>
          <w:szCs w:val="24"/>
          <w:rtl/>
        </w:rPr>
      </w:pPr>
      <w:r w:rsidRPr="00373B46">
        <w:rPr>
          <w:rFonts w:ascii="David" w:eastAsia="Times New Roman" w:hAnsi="David" w:cs="David" w:hint="cs"/>
          <w:spacing w:val="10"/>
          <w:sz w:val="24"/>
          <w:szCs w:val="24"/>
          <w:rtl/>
        </w:rPr>
        <w:t xml:space="preserve">כאן סבורני גם המקום לומר, כי </w:t>
      </w:r>
      <w:r w:rsidRPr="00373B46">
        <w:rPr>
          <w:rFonts w:ascii="David" w:eastAsia="Times New Roman" w:hAnsi="David" w:cs="David"/>
          <w:spacing w:val="10"/>
          <w:sz w:val="24"/>
          <w:szCs w:val="24"/>
          <w:rtl/>
        </w:rPr>
        <w:t>בניתוח מסכת הראיות שהוצגה בפניו בודד בית המשפט כול מקרה ומקרה בנפרד - גם בתוך כול אחת ואחת מהפרשות, שקל כל אדן ואדן בהתנהגותו של שחם בפני עצמו, ובדרך זו פירק את הפסיפס העובדתי שנפרש לפניו</w:t>
      </w:r>
      <w:r w:rsidRPr="00373B46">
        <w:rPr>
          <w:rFonts w:ascii="David" w:eastAsia="Times New Roman" w:hAnsi="David" w:cs="David" w:hint="cs"/>
          <w:spacing w:val="10"/>
          <w:sz w:val="24"/>
          <w:szCs w:val="24"/>
          <w:rtl/>
        </w:rPr>
        <w:t xml:space="preserve"> </w:t>
      </w:r>
      <w:r w:rsidRPr="00373B46">
        <w:rPr>
          <w:rFonts w:ascii="David" w:eastAsia="Times New Roman" w:hAnsi="David" w:cs="David"/>
          <w:spacing w:val="10"/>
          <w:sz w:val="24"/>
          <w:szCs w:val="24"/>
          <w:rtl/>
        </w:rPr>
        <w:t>לגורמים</w:t>
      </w:r>
      <w:r w:rsidRPr="00373B46">
        <w:rPr>
          <w:rFonts w:ascii="David" w:eastAsia="Times New Roman" w:hAnsi="David" w:cs="David" w:hint="cs"/>
          <w:spacing w:val="10"/>
          <w:sz w:val="24"/>
          <w:szCs w:val="24"/>
          <w:rtl/>
        </w:rPr>
        <w:t xml:space="preserve"> </w:t>
      </w:r>
      <w:r w:rsidRPr="00373B46">
        <w:rPr>
          <w:rFonts w:ascii="David" w:eastAsia="Times New Roman" w:hAnsi="David" w:cs="David"/>
          <w:spacing w:val="10"/>
          <w:sz w:val="24"/>
          <w:szCs w:val="24"/>
          <w:rtl/>
        </w:rPr>
        <w:t xml:space="preserve">וניתח אותם כעומדים בפני עצמם, ולא כחלקיו של אותו שלם. לולא נהג כך, </w:t>
      </w:r>
      <w:proofErr w:type="spellStart"/>
      <w:r w:rsidRPr="00373B46">
        <w:rPr>
          <w:rFonts w:ascii="David" w:eastAsia="Times New Roman" w:hAnsi="David" w:cs="David"/>
          <w:spacing w:val="10"/>
          <w:sz w:val="24"/>
          <w:szCs w:val="24"/>
          <w:rtl/>
        </w:rPr>
        <w:t>היתה</w:t>
      </w:r>
      <w:proofErr w:type="spellEnd"/>
      <w:r w:rsidRPr="00373B46">
        <w:rPr>
          <w:rFonts w:ascii="David" w:eastAsia="Times New Roman" w:hAnsi="David" w:cs="David"/>
          <w:spacing w:val="10"/>
          <w:sz w:val="24"/>
          <w:szCs w:val="24"/>
          <w:rtl/>
        </w:rPr>
        <w:t xml:space="preserve"> מצטיירת בפניו תמונה מפלילה, ממנה מתגבשת במלוא עוצמתה ורוחב יריעותיה עבירה של מרמה והפרת אמונים בכול הפרשות בהן</w:t>
      </w:r>
      <w:r w:rsidRPr="00373B46">
        <w:rPr>
          <w:rFonts w:ascii="David" w:eastAsia="Times New Roman" w:hAnsi="David" w:cs="David" w:hint="cs"/>
          <w:spacing w:val="10"/>
          <w:sz w:val="24"/>
          <w:szCs w:val="24"/>
          <w:rtl/>
        </w:rPr>
        <w:t xml:space="preserve"> התקיימו קשרים בעלי אופי מיני </w:t>
      </w:r>
      <w:r w:rsidRPr="00373B46">
        <w:rPr>
          <w:rFonts w:ascii="David" w:eastAsia="Times New Roman" w:hAnsi="David" w:cs="David"/>
          <w:spacing w:val="10"/>
          <w:sz w:val="24"/>
          <w:szCs w:val="24"/>
          <w:rtl/>
        </w:rPr>
        <w:t>–</w:t>
      </w:r>
      <w:r w:rsidRPr="00373B46">
        <w:rPr>
          <w:rFonts w:ascii="David" w:eastAsia="Times New Roman" w:hAnsi="David" w:cs="David" w:hint="cs"/>
          <w:spacing w:val="10"/>
          <w:sz w:val="24"/>
          <w:szCs w:val="24"/>
          <w:rtl/>
        </w:rPr>
        <w:t xml:space="preserve"> אינטימי בין שחם לשוטרות. </w:t>
      </w:r>
      <w:r w:rsidRPr="00373B46">
        <w:rPr>
          <w:rFonts w:ascii="David" w:eastAsia="Times New Roman" w:hAnsi="David" w:cs="David"/>
          <w:spacing w:val="10"/>
          <w:sz w:val="24"/>
          <w:szCs w:val="24"/>
          <w:rtl/>
        </w:rPr>
        <w:t>פירוק כול מקרה ומקרה לגורמים ולתת-גורמים וניתוחם במנותק מהקונטקסט של התנהלו</w:t>
      </w:r>
      <w:r w:rsidRPr="00373B46">
        <w:rPr>
          <w:rFonts w:ascii="David" w:eastAsia="Times New Roman" w:hAnsi="David" w:cs="David" w:hint="cs"/>
          <w:spacing w:val="10"/>
          <w:sz w:val="24"/>
          <w:szCs w:val="24"/>
          <w:rtl/>
        </w:rPr>
        <w:t>ת</w:t>
      </w:r>
      <w:r w:rsidRPr="00373B46">
        <w:rPr>
          <w:rFonts w:ascii="David" w:eastAsia="Times New Roman" w:hAnsi="David" w:cs="David"/>
          <w:spacing w:val="10"/>
          <w:sz w:val="24"/>
          <w:szCs w:val="24"/>
          <w:rtl/>
        </w:rPr>
        <w:t xml:space="preserve"> חוזרת ונשנית</w:t>
      </w:r>
      <w:r w:rsidRPr="00373B46">
        <w:rPr>
          <w:rFonts w:ascii="David" w:eastAsia="Times New Roman" w:hAnsi="David" w:cs="David" w:hint="cs"/>
          <w:spacing w:val="10"/>
          <w:sz w:val="24"/>
          <w:szCs w:val="24"/>
          <w:rtl/>
        </w:rPr>
        <w:t xml:space="preserve">, בעלת דפוסים אופייניים, </w:t>
      </w:r>
      <w:r w:rsidRPr="00373B46">
        <w:rPr>
          <w:rFonts w:ascii="David" w:eastAsia="Times New Roman" w:hAnsi="David" w:cs="David"/>
          <w:spacing w:val="10"/>
          <w:sz w:val="24"/>
          <w:szCs w:val="24"/>
          <w:rtl/>
        </w:rPr>
        <w:t xml:space="preserve">מדללת ומעוותת את </w:t>
      </w:r>
      <w:r w:rsidRPr="00373B46">
        <w:rPr>
          <w:rFonts w:ascii="David" w:eastAsia="Times New Roman" w:hAnsi="David" w:cs="David" w:hint="cs"/>
          <w:spacing w:val="10"/>
          <w:sz w:val="24"/>
          <w:szCs w:val="24"/>
          <w:rtl/>
        </w:rPr>
        <w:t xml:space="preserve">התמונה הראייתית שהונחה בפני בית המשפט. </w:t>
      </w:r>
      <w:r w:rsidRPr="00373B46">
        <w:rPr>
          <w:rFonts w:ascii="David" w:eastAsia="Times New Roman" w:hAnsi="David" w:cs="David"/>
          <w:spacing w:val="10"/>
          <w:sz w:val="24"/>
          <w:szCs w:val="24"/>
          <w:rtl/>
        </w:rPr>
        <w:t>רוצה לומר, בחינת כ</w:t>
      </w:r>
      <w:r w:rsidRPr="00373B46">
        <w:rPr>
          <w:rFonts w:ascii="David" w:eastAsia="Times New Roman" w:hAnsi="David" w:cs="David" w:hint="cs"/>
          <w:spacing w:val="10"/>
          <w:sz w:val="24"/>
          <w:szCs w:val="24"/>
          <w:rtl/>
        </w:rPr>
        <w:t>ל</w:t>
      </w:r>
      <w:r w:rsidRPr="00373B46">
        <w:rPr>
          <w:rFonts w:ascii="David" w:eastAsia="Times New Roman" w:hAnsi="David" w:cs="David"/>
          <w:spacing w:val="10"/>
          <w:sz w:val="24"/>
          <w:szCs w:val="24"/>
          <w:rtl/>
        </w:rPr>
        <w:t xml:space="preserve"> פרט ופרט של כול מקרה ומקרה כעומד בפני עצמו ובמנותק מכול השאר, משל המדובר במקרה בודד וחד פעמי</w:t>
      </w:r>
      <w:r w:rsidRPr="00373B46">
        <w:rPr>
          <w:rFonts w:ascii="David" w:eastAsia="Times New Roman" w:hAnsi="David" w:cs="David" w:hint="cs"/>
          <w:spacing w:val="10"/>
          <w:sz w:val="24"/>
          <w:szCs w:val="24"/>
          <w:rtl/>
        </w:rPr>
        <w:t xml:space="preserve">, בעל משקל סגולי דל ואזוטרי, ולא בחלק אינטגרלי מתצרף גדול ומשמעותי שהפך למסה, </w:t>
      </w:r>
      <w:r w:rsidRPr="00373B46">
        <w:rPr>
          <w:rFonts w:ascii="David" w:eastAsia="Times New Roman" w:hAnsi="David" w:cs="David"/>
          <w:spacing w:val="10"/>
          <w:sz w:val="24"/>
          <w:szCs w:val="24"/>
          <w:rtl/>
        </w:rPr>
        <w:t xml:space="preserve">חוטא לתמונה </w:t>
      </w:r>
      <w:r w:rsidRPr="00373B46">
        <w:rPr>
          <w:rFonts w:ascii="David" w:eastAsia="Times New Roman" w:hAnsi="David" w:cs="David" w:hint="cs"/>
          <w:spacing w:val="10"/>
          <w:sz w:val="24"/>
          <w:szCs w:val="24"/>
          <w:rtl/>
        </w:rPr>
        <w:t xml:space="preserve">השלמה והחמורה </w:t>
      </w:r>
      <w:r w:rsidRPr="00373B46">
        <w:rPr>
          <w:rFonts w:ascii="David" w:eastAsia="Times New Roman" w:hAnsi="David" w:cs="David"/>
          <w:spacing w:val="10"/>
          <w:sz w:val="24"/>
          <w:szCs w:val="24"/>
          <w:rtl/>
        </w:rPr>
        <w:t>המתגבשת מכלל המעשים</w:t>
      </w:r>
      <w:r w:rsidRPr="00373B46">
        <w:rPr>
          <w:rFonts w:ascii="David" w:eastAsia="Times New Roman" w:hAnsi="David" w:cs="David" w:hint="cs"/>
          <w:spacing w:val="10"/>
          <w:sz w:val="24"/>
          <w:szCs w:val="24"/>
          <w:rtl/>
        </w:rPr>
        <w:t xml:space="preserve">. </w:t>
      </w:r>
      <w:r w:rsidRPr="00373B46">
        <w:rPr>
          <w:rFonts w:ascii="David" w:eastAsia="Times New Roman" w:hAnsi="David" w:cs="David"/>
          <w:spacing w:val="10"/>
          <w:sz w:val="24"/>
          <w:szCs w:val="24"/>
          <w:rtl/>
        </w:rPr>
        <w:t xml:space="preserve">זו המלמדת על התנהלות סדרתית ולאורך שנים, בעלת קווים דומים ואופייניים, שטבועה בה פגיעה אינהרנטית ומובהקת בשלושת הערכים – טוהר המידות, אמון הציבור ומנהל תקין – ערכים המוגנים על ידי העבירה. </w:t>
      </w:r>
    </w:p>
    <w:p w:rsidR="00613546" w:rsidRPr="00373B46" w:rsidRDefault="004E14DF" w:rsidP="00613546">
      <w:pPr>
        <w:spacing w:line="360" w:lineRule="auto"/>
        <w:jc w:val="both"/>
        <w:rPr>
          <w:rFonts w:ascii="David" w:eastAsia="Times New Roman" w:hAnsi="David" w:cs="David"/>
          <w:spacing w:val="10"/>
          <w:sz w:val="24"/>
          <w:szCs w:val="24"/>
          <w:u w:val="single"/>
          <w:rtl/>
        </w:rPr>
      </w:pPr>
      <w:r w:rsidRPr="00373B46">
        <w:rPr>
          <w:rFonts w:ascii="David" w:eastAsia="Times New Roman" w:hAnsi="David" w:cs="David" w:hint="cs"/>
          <w:spacing w:val="10"/>
          <w:sz w:val="24"/>
          <w:szCs w:val="24"/>
          <w:rtl/>
        </w:rPr>
        <w:t>אי לכך, משקיבלתי את טענת המדינה, כי מכלול התנהלותו של שחם בכל הפרשות כולן מקיים את העבירה של מרמה והפרת אמונים, מתייתר הצורך לדון בשאלה האם כל פעולה בניגוד עניינים כשלעצמה פוגעת פגיעה מהותית באינטרס המוגן של העבירה, ולפיכך מקיימת את היסוד העובדתי בה.</w:t>
      </w:r>
    </w:p>
    <w:p w:rsidR="00613546" w:rsidRPr="00373B46" w:rsidRDefault="004E14DF" w:rsidP="00613546">
      <w:pPr>
        <w:overflowPunct w:val="0"/>
        <w:autoSpaceDE w:val="0"/>
        <w:autoSpaceDN w:val="0"/>
        <w:adjustRightInd w:val="0"/>
        <w:spacing w:line="360" w:lineRule="auto"/>
        <w:jc w:val="both"/>
        <w:rPr>
          <w:rFonts w:ascii="David" w:eastAsia="Times New Roman" w:hAnsi="David" w:cs="David"/>
          <w:spacing w:val="10"/>
          <w:sz w:val="24"/>
          <w:szCs w:val="24"/>
          <w:rtl/>
        </w:rPr>
      </w:pPr>
      <w:r w:rsidRPr="00373B46">
        <w:rPr>
          <w:rFonts w:ascii="David" w:eastAsia="Times New Roman" w:hAnsi="David" w:cs="David" w:hint="cs"/>
          <w:spacing w:val="10"/>
          <w:sz w:val="24"/>
          <w:szCs w:val="24"/>
          <w:rtl/>
        </w:rPr>
        <w:t>למעלה מן הנדרש, ראיתי לנכון להתייחס למבחני העזר בהם הסתייע בית המשפט לצורך הכרעה בשאלת עוצמת ניגוד העניינים בו היה נתון שחם, ולאופן יישומם על נסיבות המקרה הנדון. דגש מיוחד יינתן לדיון במבחנים ספציפיים, מהם הסתייגה המדינה בערעורה: מבחן המשנה הראשון, מבחן המשנה השני, ומבחן המשנה השישי.</w:t>
      </w:r>
    </w:p>
    <w:p w:rsidR="00884CF0" w:rsidRPr="00373B46" w:rsidRDefault="004E14DF" w:rsidP="000B49F6">
      <w:pPr>
        <w:overflowPunct w:val="0"/>
        <w:autoSpaceDE w:val="0"/>
        <w:autoSpaceDN w:val="0"/>
        <w:adjustRightInd w:val="0"/>
        <w:spacing w:after="0" w:line="360" w:lineRule="auto"/>
        <w:jc w:val="both"/>
        <w:rPr>
          <w:rFonts w:ascii="David" w:eastAsia="Times New Roman" w:hAnsi="David" w:cs="David"/>
          <w:b/>
          <w:bCs/>
          <w:spacing w:val="10"/>
          <w:sz w:val="24"/>
          <w:szCs w:val="24"/>
          <w:rtl/>
        </w:rPr>
      </w:pPr>
      <w:r w:rsidRPr="00373B46">
        <w:rPr>
          <w:rFonts w:ascii="David" w:eastAsia="Times New Roman" w:hAnsi="David" w:cs="David"/>
          <w:b/>
          <w:bCs/>
          <w:spacing w:val="10"/>
          <w:sz w:val="24"/>
          <w:szCs w:val="24"/>
          <w:rtl/>
        </w:rPr>
        <w:t>אופי הקשרים</w:t>
      </w:r>
      <w:r w:rsidRPr="00373B46">
        <w:rPr>
          <w:rFonts w:ascii="David" w:hAnsi="David" w:cs="David"/>
          <w:b/>
          <w:bCs/>
          <w:spacing w:val="10"/>
          <w:u w:val="single"/>
          <w:rtl/>
        </w:rPr>
        <w:t xml:space="preserve"> </w:t>
      </w:r>
    </w:p>
    <w:p w:rsidR="00884CF0" w:rsidRDefault="004E14DF" w:rsidP="000B49F6">
      <w:pPr>
        <w:overflowPunct w:val="0"/>
        <w:autoSpaceDE w:val="0"/>
        <w:autoSpaceDN w:val="0"/>
        <w:adjustRightInd w:val="0"/>
        <w:spacing w:after="0" w:line="360" w:lineRule="auto"/>
        <w:jc w:val="both"/>
        <w:rPr>
          <w:rFonts w:ascii="David" w:eastAsia="Times New Roman" w:hAnsi="David" w:cs="David"/>
          <w:spacing w:val="10"/>
          <w:sz w:val="24"/>
          <w:szCs w:val="24"/>
          <w:rtl/>
        </w:rPr>
      </w:pPr>
      <w:r w:rsidRPr="00373B46">
        <w:rPr>
          <w:rFonts w:ascii="David" w:eastAsia="Times New Roman" w:hAnsi="David" w:cs="David"/>
          <w:spacing w:val="10"/>
          <w:sz w:val="24"/>
          <w:szCs w:val="24"/>
          <w:rtl/>
        </w:rPr>
        <w:t xml:space="preserve">הקשרים שבין שחם לבין השוטרות שפעל בעניינן, אלה הניצבים ברקע הפעולה, ושעליהם מבוסס ניגוד העניינים, הם קשרים אינטימיים, אשר כללו התקשרויות טלפוניות </w:t>
      </w:r>
      <w:r w:rsidRPr="00373B46">
        <w:rPr>
          <w:rFonts w:ascii="David" w:eastAsia="Times New Roman" w:hAnsi="David" w:cs="David"/>
          <w:spacing w:val="10"/>
          <w:sz w:val="24"/>
          <w:szCs w:val="24"/>
          <w:rtl/>
        </w:rPr>
        <w:lastRenderedPageBreak/>
        <w:t>אינטנסיביות ובחלק מהמקרים אף מפגשים מיניים מזדמנים. קשרים מעין אלו, בין אם ידועים לכל, קל וחומר כאשר נשמרים בסוד, הם קשרים המבוססים באופן אינהרנטי על קרבה פיזית, אינטימית ורגשית – והם שונים בתכלית מקשרים המבוססים על יחסים מקצועיים, כלכליים, ואפילו חבריים. התחושות של שני הצדדים במערכת היחסים – הן בפן האישי הרגשי, והן בפן הפיזי מיני, עומדות בעיניהן לאורך שנים, ובוודאי שאינן מתכלות ונעלמות בין לילה.</w:t>
      </w:r>
    </w:p>
    <w:p w:rsidR="000B49F6" w:rsidRPr="00373B46" w:rsidRDefault="000B49F6" w:rsidP="000B49F6">
      <w:pPr>
        <w:overflowPunct w:val="0"/>
        <w:autoSpaceDE w:val="0"/>
        <w:autoSpaceDN w:val="0"/>
        <w:adjustRightInd w:val="0"/>
        <w:spacing w:after="0" w:line="360" w:lineRule="auto"/>
        <w:jc w:val="both"/>
        <w:rPr>
          <w:rFonts w:ascii="David" w:eastAsia="Times New Roman" w:hAnsi="David" w:cs="David"/>
          <w:spacing w:val="10"/>
          <w:sz w:val="24"/>
          <w:szCs w:val="24"/>
          <w:rtl/>
        </w:rPr>
      </w:pPr>
    </w:p>
    <w:p w:rsidR="00884CF0" w:rsidRPr="00373B46" w:rsidRDefault="004E14DF" w:rsidP="000B49F6">
      <w:pPr>
        <w:overflowPunct w:val="0"/>
        <w:autoSpaceDE w:val="0"/>
        <w:autoSpaceDN w:val="0"/>
        <w:adjustRightInd w:val="0"/>
        <w:spacing w:after="0" w:line="360" w:lineRule="auto"/>
        <w:jc w:val="both"/>
        <w:rPr>
          <w:rFonts w:ascii="David" w:eastAsia="Times New Roman" w:hAnsi="David" w:cs="David"/>
          <w:b/>
          <w:bCs/>
          <w:spacing w:val="10"/>
          <w:sz w:val="24"/>
          <w:szCs w:val="24"/>
        </w:rPr>
      </w:pPr>
      <w:r w:rsidRPr="00373B46">
        <w:rPr>
          <w:rFonts w:ascii="David" w:eastAsia="Times New Roman" w:hAnsi="David" w:cs="David"/>
          <w:b/>
          <w:bCs/>
          <w:spacing w:val="10"/>
          <w:sz w:val="24"/>
          <w:szCs w:val="24"/>
          <w:rtl/>
        </w:rPr>
        <w:t>מעטה הסוד על קיומם של הקשרים</w:t>
      </w:r>
    </w:p>
    <w:p w:rsidR="00884CF0" w:rsidRDefault="004E14DF" w:rsidP="000B49F6">
      <w:pPr>
        <w:overflowPunct w:val="0"/>
        <w:autoSpaceDE w:val="0"/>
        <w:autoSpaceDN w:val="0"/>
        <w:adjustRightInd w:val="0"/>
        <w:spacing w:after="0" w:line="360" w:lineRule="auto"/>
        <w:jc w:val="both"/>
        <w:rPr>
          <w:rFonts w:ascii="David" w:eastAsia="Times New Roman" w:hAnsi="David" w:cs="David"/>
          <w:spacing w:val="10"/>
          <w:sz w:val="24"/>
          <w:szCs w:val="24"/>
          <w:rtl/>
        </w:rPr>
      </w:pPr>
      <w:r w:rsidRPr="00373B46">
        <w:rPr>
          <w:rFonts w:ascii="David" w:eastAsia="Times New Roman" w:hAnsi="David" w:cs="David"/>
          <w:spacing w:val="10"/>
          <w:sz w:val="24"/>
          <w:szCs w:val="24"/>
          <w:rtl/>
        </w:rPr>
        <w:t>עד כאן לא נזקקנו כלל לעובדה, כי הקשרים האסורים שקיים שחם עם השוטרות נשמרו בסוד על ידי שני הצדדים</w:t>
      </w:r>
      <w:r w:rsidR="00E341AB">
        <w:rPr>
          <w:rFonts w:ascii="David" w:eastAsia="Times New Roman" w:hAnsi="David" w:cs="David" w:hint="cs"/>
          <w:spacing w:val="10"/>
          <w:sz w:val="24"/>
          <w:szCs w:val="24"/>
          <w:rtl/>
        </w:rPr>
        <w:t>.</w:t>
      </w:r>
    </w:p>
    <w:p w:rsidR="00A24606" w:rsidRPr="00373B46" w:rsidRDefault="00A24606" w:rsidP="000B49F6">
      <w:pPr>
        <w:overflowPunct w:val="0"/>
        <w:autoSpaceDE w:val="0"/>
        <w:autoSpaceDN w:val="0"/>
        <w:adjustRightInd w:val="0"/>
        <w:spacing w:after="0" w:line="360" w:lineRule="auto"/>
        <w:jc w:val="both"/>
        <w:rPr>
          <w:rFonts w:ascii="David" w:eastAsia="Times New Roman" w:hAnsi="David" w:cs="David"/>
          <w:spacing w:val="10"/>
          <w:sz w:val="24"/>
          <w:szCs w:val="24"/>
          <w:rtl/>
        </w:rPr>
      </w:pPr>
    </w:p>
    <w:p w:rsidR="00884CF0" w:rsidRPr="00373B46" w:rsidRDefault="004E14DF" w:rsidP="009A5F29">
      <w:pPr>
        <w:overflowPunct w:val="0"/>
        <w:autoSpaceDE w:val="0"/>
        <w:autoSpaceDN w:val="0"/>
        <w:adjustRightInd w:val="0"/>
        <w:spacing w:line="360" w:lineRule="auto"/>
        <w:jc w:val="both"/>
        <w:rPr>
          <w:rFonts w:ascii="David" w:eastAsia="Times New Roman" w:hAnsi="David" w:cs="David"/>
          <w:spacing w:val="10"/>
          <w:sz w:val="24"/>
          <w:szCs w:val="24"/>
          <w:rtl/>
        </w:rPr>
      </w:pPr>
      <w:r w:rsidRPr="00373B46">
        <w:rPr>
          <w:rFonts w:ascii="David" w:eastAsia="Times New Roman" w:hAnsi="David" w:cs="David"/>
          <w:spacing w:val="10"/>
          <w:sz w:val="24"/>
          <w:szCs w:val="24"/>
          <w:rtl/>
        </w:rPr>
        <w:t>בעת יצירת היחסים, ידע שחם שבשל טיבם ובשל העובדה שהם מהווים עבירה משמעתית, יאלצו הוא והשוטרות לחסות את קיומם במעטה כבד של סודיות – מעטה, שהוא כשלעצמו, יחייב אותם להגיב ולפעול במצבים של ניגוד עניינים. והדברים אמורים ביתר שאת שעה שמתוקף תפקידו כמפקדן של השוטרות הזוטרות, ידע שחם כי יהיה צפוי לקבל החלטות בעניינן, מהלך שעלול לקלוע אותו בבוא העת למצב אינהרנטי של ניגוד עניינים חריף. וודאי כך, כאשר אחד הצדדים, או אף שניהם, מצוי במסגרת של נישואים. אף לא מיותר להניח, כי החשש המתמיד שמעשיו ייחשפו ברבים, העיב על יכולתו לקבל החלטות שקולות במצבים שבהם קיימת סתירה בין מחויבותו הפיקודית, ובין רצונו בהסתרת הקשר הפסול שקיים עם השוטרות.</w:t>
      </w:r>
    </w:p>
    <w:p w:rsidR="00884CF0" w:rsidRPr="00373B46" w:rsidRDefault="004E14DF" w:rsidP="00AD69A0">
      <w:pPr>
        <w:overflowPunct w:val="0"/>
        <w:autoSpaceDE w:val="0"/>
        <w:autoSpaceDN w:val="0"/>
        <w:adjustRightInd w:val="0"/>
        <w:spacing w:line="360" w:lineRule="auto"/>
        <w:jc w:val="both"/>
        <w:rPr>
          <w:rFonts w:ascii="David" w:eastAsia="Times New Roman" w:hAnsi="David" w:cs="David"/>
          <w:spacing w:val="10"/>
          <w:sz w:val="24"/>
          <w:szCs w:val="24"/>
          <w:rtl/>
        </w:rPr>
      </w:pPr>
      <w:r w:rsidRPr="00373B46">
        <w:rPr>
          <w:rFonts w:ascii="David" w:eastAsia="Times New Roman" w:hAnsi="David" w:cs="David"/>
          <w:spacing w:val="10"/>
          <w:sz w:val="24"/>
          <w:szCs w:val="24"/>
          <w:rtl/>
        </w:rPr>
        <w:t>בשים לב למערכות היחסים החריגות בין שחם לבין השוטרות הזוטרות, מאליו נוצרו יחסי תלות הדדים ביניהם: השוטרות היו תלויות בשחם, במוצא פיו ובהחלטותיו באשר לבקשות שהגישו, כמו גם באשר לבקשות עתידות שלהן, העשויות לבוא בפניו מתוקף תפקידו, ולהשפיע על המשך עתידן, תפקידן ושירותן במשטרה. שחם מצדו, היה תלוי בנכונותן של השוטרות לשמור את סודו בדבר הקשר החריג עמן, וזאת על מנת שלא ייווצר מבחינתו סיכון לחשיפת הסוד – חשיפה אשר עלולה הייתה לפגוע בסיכוייו להמשיך לכהן בתפקידו כקצין משטרה בכיר או להתקדם בשרשרת הפיקוד, ואף לסכן את אחדות משפחתו. כך אף קבע בית המשפט עצמו: ״</w:t>
      </w:r>
      <w:r w:rsidRPr="0046561B">
        <w:rPr>
          <w:rFonts w:ascii="David" w:eastAsia="Times New Roman" w:hAnsi="David" w:cs="David"/>
          <w:b/>
          <w:bCs/>
          <w:spacing w:val="10"/>
          <w:sz w:val="24"/>
          <w:szCs w:val="24"/>
          <w:rtl/>
        </w:rPr>
        <w:t>ניגוד עניינים זה מבוסס... גם על הבנת והפנמת משמעויות חשיפת הקשר</w:t>
      </w:r>
      <w:r w:rsidRPr="00373B46">
        <w:rPr>
          <w:rFonts w:ascii="David" w:eastAsia="Times New Roman" w:hAnsi="David" w:cs="David"/>
          <w:spacing w:val="10"/>
          <w:sz w:val="24"/>
          <w:szCs w:val="24"/>
          <w:rtl/>
        </w:rPr>
        <w:t xml:space="preserve">״ (עמ׳ 18 להכרעת הדין). הווה אומר, חששות אלו לא היו תיאורטיים בלבד אלא התגשמו בפועל שעה שמעשיו של שחם נחשפו לאור היום – הלכה למעשה, נפגעו סיכויו להמשך ולכהן בתפקידו כקצין משטרה בכיר, עת פוטר משירות המשטרה עם חשיפת הפרשה. שחם אם כן, היה מחויב לשוטרות בשל השותפות על שמירת </w:t>
      </w:r>
      <w:r w:rsidRPr="00373B46">
        <w:rPr>
          <w:rFonts w:ascii="David" w:eastAsia="Times New Roman" w:hAnsi="David" w:cs="David"/>
          <w:spacing w:val="10"/>
          <w:sz w:val="24"/>
          <w:szCs w:val="24"/>
          <w:rtl/>
        </w:rPr>
        <w:lastRenderedPageBreak/>
        <w:t xml:space="preserve">הסוד ולמחויבות זו </w:t>
      </w:r>
      <w:proofErr w:type="spellStart"/>
      <w:r w:rsidRPr="00373B46">
        <w:rPr>
          <w:rFonts w:ascii="David" w:eastAsia="Times New Roman" w:hAnsi="David" w:cs="David"/>
          <w:spacing w:val="10"/>
          <w:sz w:val="24"/>
          <w:szCs w:val="24"/>
          <w:rtl/>
        </w:rPr>
        <w:t>היתה</w:t>
      </w:r>
      <w:proofErr w:type="spellEnd"/>
      <w:r w:rsidRPr="00373B46">
        <w:rPr>
          <w:rFonts w:ascii="David" w:eastAsia="Times New Roman" w:hAnsi="David" w:cs="David"/>
          <w:spacing w:val="10"/>
          <w:sz w:val="24"/>
          <w:szCs w:val="24"/>
          <w:rtl/>
        </w:rPr>
        <w:t xml:space="preserve"> השפעה ממשית וישירה על עוצמתו של ניגוד העניינים. קביעה דומה ניתן למצוא בפרשת אולמרט, שם נימק השופט ג׳ובראן את קביעתו לעניין ניגוד העניינים העוצמתי בו היה נתון אולמרט, בין היתר, על בסיס העובדה לפיה: ״אולמרט היה מחויב לעו״ד מסר, גם בשל כך שהאחרון החזיק עבורו בסתר קופה סודית של מזומנים...״ (פס</w:t>
      </w:r>
      <w:r w:rsidR="00AD69A0">
        <w:rPr>
          <w:rFonts w:ascii="David" w:eastAsia="Times New Roman" w:hAnsi="David" w:cs="David" w:hint="cs"/>
          <w:spacing w:val="10"/>
          <w:sz w:val="24"/>
          <w:szCs w:val="24"/>
          <w:rtl/>
        </w:rPr>
        <w:t>קה</w:t>
      </w:r>
      <w:r w:rsidRPr="00373B46">
        <w:rPr>
          <w:rFonts w:ascii="David" w:eastAsia="Times New Roman" w:hAnsi="David" w:cs="David"/>
          <w:spacing w:val="10"/>
          <w:sz w:val="24"/>
          <w:szCs w:val="24"/>
          <w:rtl/>
        </w:rPr>
        <w:t xml:space="preserve"> 156 לחוות דעתו).</w:t>
      </w:r>
    </w:p>
    <w:p w:rsidR="005338C1" w:rsidRPr="00373B46" w:rsidRDefault="004E14DF" w:rsidP="005338C1">
      <w:pPr>
        <w:overflowPunct w:val="0"/>
        <w:autoSpaceDE w:val="0"/>
        <w:autoSpaceDN w:val="0"/>
        <w:adjustRightInd w:val="0"/>
        <w:spacing w:line="360" w:lineRule="auto"/>
        <w:jc w:val="both"/>
        <w:rPr>
          <w:rFonts w:ascii="David" w:eastAsia="Times New Roman" w:hAnsi="David" w:cs="David"/>
          <w:spacing w:val="10"/>
          <w:sz w:val="24"/>
          <w:szCs w:val="24"/>
          <w:rtl/>
        </w:rPr>
      </w:pPr>
      <w:r w:rsidRPr="00373B46">
        <w:rPr>
          <w:rFonts w:ascii="David" w:eastAsia="Times New Roman" w:hAnsi="David" w:cs="David"/>
          <w:spacing w:val="10"/>
          <w:sz w:val="24"/>
          <w:szCs w:val="24"/>
          <w:rtl/>
        </w:rPr>
        <w:t xml:space="preserve">סיכומו של דבר, הנסיבות הייחודית בענייננו, ״מכרסמות״ אפוא באופן משמעותי בתוקפו של מבחן המשנה האמור. בנסיבות אלו, הזמן אינו מאיין את עוצמת ההשפעה – נוכח אופיים המיוחד של הקשרים האינטימיים שקיים שחם עם השוטרות, וכול עוד הסוד הוא בעל השלכות – גם בחלוף שנים לאחר סיומם ניגוד העניינים לא התפוגג ומבחינה זו הוא נותר בעינו. </w:t>
      </w:r>
    </w:p>
    <w:p w:rsidR="00884CF0" w:rsidRPr="000B49F6" w:rsidRDefault="004E14DF" w:rsidP="000B49F6">
      <w:pPr>
        <w:pStyle w:val="NormalWeb"/>
        <w:bidi/>
        <w:spacing w:before="0" w:beforeAutospacing="0" w:after="0" w:afterAutospacing="0" w:line="360" w:lineRule="auto"/>
        <w:jc w:val="both"/>
        <w:rPr>
          <w:rFonts w:ascii="David" w:hAnsi="David" w:cs="David"/>
          <w:spacing w:val="10"/>
          <w:u w:val="single"/>
          <w:rtl/>
        </w:rPr>
      </w:pPr>
      <w:r w:rsidRPr="00373B46">
        <w:rPr>
          <w:rFonts w:ascii="David" w:hAnsi="David" w:cs="David"/>
          <w:spacing w:val="10"/>
          <w:u w:val="single"/>
          <w:rtl/>
        </w:rPr>
        <w:t>פעולות ״מינוריות יחסית״</w:t>
      </w:r>
    </w:p>
    <w:p w:rsidR="00884CF0" w:rsidRDefault="004E14DF" w:rsidP="005C0466">
      <w:pPr>
        <w:spacing w:after="0" w:line="360" w:lineRule="auto"/>
        <w:jc w:val="both"/>
        <w:rPr>
          <w:rFonts w:ascii="David" w:eastAsia="Times New Roman" w:hAnsi="David" w:cs="David"/>
          <w:spacing w:val="10"/>
          <w:sz w:val="24"/>
          <w:szCs w:val="24"/>
          <w:rtl/>
        </w:rPr>
      </w:pPr>
      <w:r w:rsidRPr="00373B46">
        <w:rPr>
          <w:rFonts w:ascii="David" w:eastAsia="Times New Roman" w:hAnsi="David" w:cs="David"/>
          <w:spacing w:val="10"/>
          <w:sz w:val="24"/>
          <w:szCs w:val="24"/>
          <w:rtl/>
        </w:rPr>
        <w:t>בית המשפט הגדיר את הפעולות שביצע שחם כ"מינוריות יחסית</w:t>
      </w:r>
      <w:r w:rsidR="00E341AB">
        <w:rPr>
          <w:rFonts w:ascii="David" w:eastAsia="Times New Roman" w:hAnsi="David" w:cs="David" w:hint="cs"/>
          <w:spacing w:val="10"/>
          <w:sz w:val="24"/>
          <w:szCs w:val="24"/>
          <w:rtl/>
        </w:rPr>
        <w:t>״.</w:t>
      </w:r>
      <w:r w:rsidR="006B5BB5">
        <w:rPr>
          <w:rFonts w:ascii="David" w:eastAsia="Times New Roman" w:hAnsi="David" w:cs="David" w:hint="cs"/>
          <w:spacing w:val="10"/>
          <w:sz w:val="24"/>
          <w:szCs w:val="24"/>
          <w:rtl/>
        </w:rPr>
        <w:t xml:space="preserve"> </w:t>
      </w:r>
      <w:r w:rsidRPr="00373B46">
        <w:rPr>
          <w:rFonts w:ascii="David" w:hAnsi="David" w:cs="David"/>
          <w:spacing w:val="10"/>
          <w:rtl/>
        </w:rPr>
        <w:t xml:space="preserve">איני רואה עמו את הדברים עין בעין. </w:t>
      </w:r>
    </w:p>
    <w:p w:rsidR="00A24606" w:rsidRPr="006B5BB5" w:rsidRDefault="00A24606" w:rsidP="005C0466">
      <w:pPr>
        <w:spacing w:after="0" w:line="360" w:lineRule="auto"/>
        <w:jc w:val="both"/>
        <w:rPr>
          <w:rFonts w:ascii="David" w:eastAsia="Times New Roman" w:hAnsi="David" w:cs="David"/>
          <w:spacing w:val="10"/>
          <w:sz w:val="24"/>
          <w:szCs w:val="24"/>
        </w:rPr>
      </w:pPr>
    </w:p>
    <w:p w:rsidR="00884CF0" w:rsidRDefault="004E14DF" w:rsidP="005C0466">
      <w:pPr>
        <w:pStyle w:val="NormalWeb"/>
        <w:bidi/>
        <w:spacing w:before="0" w:beforeAutospacing="0" w:after="0" w:afterAutospacing="0" w:line="360" w:lineRule="auto"/>
        <w:jc w:val="both"/>
        <w:rPr>
          <w:rFonts w:ascii="David" w:hAnsi="David" w:cs="David"/>
          <w:spacing w:val="10"/>
          <w:rtl/>
        </w:rPr>
      </w:pPr>
      <w:r w:rsidRPr="00373B46">
        <w:rPr>
          <w:rFonts w:ascii="David" w:hAnsi="David" w:cs="David"/>
          <w:spacing w:val="10"/>
          <w:rtl/>
        </w:rPr>
        <w:t xml:space="preserve">ראשית, אין בנתון זה כדי להשפיע על שאלת עוצמת ניגוד העניינים, וודאי לא כאשר עסקינן בעובד ציבור כה בכיר כמו שחם. בית המשפט העליון הרשיע לא אחת עובדי ציבור בעבירת הפרת האמונים, וזאת חרף העובדה שפעולותיו בניגוד עניינים היו מינוריות. דוגמה מובהקת לכך היא פרשת שבס, שהורשע בעבירה בגין התערבותו בפרויקטים של האחים </w:t>
      </w:r>
      <w:proofErr w:type="spellStart"/>
      <w:r w:rsidRPr="00373B46">
        <w:rPr>
          <w:rFonts w:ascii="David" w:hAnsi="David" w:cs="David"/>
          <w:spacing w:val="10"/>
          <w:rtl/>
        </w:rPr>
        <w:t>שולדנפריי</w:t>
      </w:r>
      <w:proofErr w:type="spellEnd"/>
      <w:r w:rsidRPr="00373B46">
        <w:rPr>
          <w:rFonts w:ascii="David" w:hAnsi="David" w:cs="David"/>
          <w:spacing w:val="10"/>
          <w:rtl/>
        </w:rPr>
        <w:t xml:space="preserve">, אליהם היה מקורב, חרף העובדה, </w:t>
      </w:r>
      <w:proofErr w:type="spellStart"/>
      <w:r w:rsidRPr="00373B46">
        <w:rPr>
          <w:rFonts w:ascii="David" w:hAnsi="David" w:cs="David"/>
          <w:spacing w:val="10"/>
          <w:rtl/>
        </w:rPr>
        <w:t>ש״</w:t>
      </w:r>
      <w:r w:rsidRPr="00373B46">
        <w:rPr>
          <w:rFonts w:ascii="David" w:hAnsi="David" w:cs="David"/>
          <w:b/>
          <w:bCs/>
          <w:spacing w:val="10"/>
          <w:rtl/>
        </w:rPr>
        <w:t>הזמן</w:t>
      </w:r>
      <w:proofErr w:type="spellEnd"/>
      <w:r w:rsidRPr="00373B46">
        <w:rPr>
          <w:rFonts w:ascii="David" w:hAnsi="David" w:cs="David"/>
          <w:b/>
          <w:bCs/>
          <w:spacing w:val="10"/>
          <w:rtl/>
        </w:rPr>
        <w:t xml:space="preserve"> שהוא הקדיש לכך היה מזערי, והתערבותו הייתה מינורית בהשוואה לפרויקטים רבים אחרים שגם בעניינם פעל״</w:t>
      </w:r>
      <w:r w:rsidRPr="00373B46">
        <w:rPr>
          <w:rFonts w:ascii="David" w:hAnsi="David" w:cs="David"/>
          <w:spacing w:val="10"/>
          <w:rtl/>
        </w:rPr>
        <w:t xml:space="preserve"> (</w:t>
      </w:r>
      <w:r w:rsidRPr="00373B46">
        <w:rPr>
          <w:rFonts w:ascii="David" w:hAnsi="David" w:cs="David"/>
          <w:b/>
          <w:bCs/>
          <w:spacing w:val="10"/>
          <w:rtl/>
        </w:rPr>
        <w:t>פרשת שבס</w:t>
      </w:r>
      <w:r w:rsidRPr="00373B46">
        <w:rPr>
          <w:rFonts w:ascii="David" w:hAnsi="David" w:cs="David"/>
          <w:spacing w:val="10"/>
          <w:rtl/>
        </w:rPr>
        <w:t xml:space="preserve">, עמ׳ 404) (ההדגשות אינן במקור, מ.ד). בהתייחס לעובדה זו, קבע במפורש הנשיא דאז ברק: </w:t>
      </w:r>
      <w:r w:rsidRPr="00373B46">
        <w:rPr>
          <w:rFonts w:ascii="David" w:hAnsi="David" w:cs="David"/>
          <w:b/>
          <w:bCs/>
          <w:spacing w:val="10"/>
          <w:rtl/>
        </w:rPr>
        <w:t xml:space="preserve">״העובדה </w:t>
      </w:r>
      <w:proofErr w:type="spellStart"/>
      <w:r w:rsidRPr="00373B46">
        <w:rPr>
          <w:rFonts w:ascii="David" w:hAnsi="David" w:cs="David"/>
          <w:b/>
          <w:bCs/>
          <w:spacing w:val="10"/>
          <w:rtl/>
        </w:rPr>
        <w:t>ששבס</w:t>
      </w:r>
      <w:proofErr w:type="spellEnd"/>
      <w:r w:rsidRPr="00373B46">
        <w:rPr>
          <w:rFonts w:ascii="David" w:hAnsi="David" w:cs="David"/>
          <w:b/>
          <w:bCs/>
          <w:spacing w:val="10"/>
          <w:rtl/>
        </w:rPr>
        <w:t xml:space="preserve"> הקדיש לעניין ״זמן מינורי״ אינה מעלה ואינה מורידה״. שיחה טלפונית של אדם במעמדו, גם אם היא קצרה, יכולה להיות משמעותית ורבת השפעה״</w:t>
      </w:r>
      <w:r w:rsidRPr="00373B46">
        <w:rPr>
          <w:rFonts w:ascii="David" w:hAnsi="David" w:cs="David"/>
          <w:spacing w:val="10"/>
          <w:rtl/>
        </w:rPr>
        <w:t xml:space="preserve"> (שם, עמ׳ 430). בהקשר זה, נראה כי הדברים יפים במיוחד לצורך הכרעה בעוצמת ניגוד העניינים של פעולתו של שחם בפרשה השמינית – שיחת טלפון למפקדו של בעלה של השוטרת ח.ח. לעמדה זו של הנשיא דאז ברק הצטרפה השופטת ביניש בקבעה כי </w:t>
      </w:r>
      <w:r w:rsidRPr="00373B46">
        <w:rPr>
          <w:rFonts w:ascii="David" w:hAnsi="David" w:cs="David"/>
          <w:b/>
          <w:bCs/>
          <w:spacing w:val="10"/>
          <w:rtl/>
        </w:rPr>
        <w:t xml:space="preserve">״מובן מאליו כי כל פעולה הנעשית על ידי אדם הנושא משרה בכירה כל כך היא בעלת השפעה רבה בקרב </w:t>
      </w:r>
      <w:proofErr w:type="spellStart"/>
      <w:r w:rsidRPr="00373B46">
        <w:rPr>
          <w:rFonts w:ascii="David" w:hAnsi="David" w:cs="David"/>
          <w:b/>
          <w:bCs/>
          <w:spacing w:val="10"/>
          <w:rtl/>
        </w:rPr>
        <w:t>המינהל</w:t>
      </w:r>
      <w:proofErr w:type="spellEnd"/>
      <w:r w:rsidRPr="00373B46">
        <w:rPr>
          <w:rFonts w:ascii="David" w:hAnsi="David" w:cs="David"/>
          <w:b/>
          <w:bCs/>
          <w:spacing w:val="10"/>
          <w:rtl/>
        </w:rPr>
        <w:t xml:space="preserve"> הציבורי״</w:t>
      </w:r>
      <w:r w:rsidRPr="00373B46">
        <w:rPr>
          <w:rFonts w:ascii="David" w:hAnsi="David" w:cs="David"/>
          <w:spacing w:val="10"/>
          <w:rtl/>
        </w:rPr>
        <w:t xml:space="preserve"> (שם, עמ׳ 459). קביעות אלו מאמצות הלכה למעשה את שקבעה הנשיאה נאור באותו עניין, בחוות דעתה במסגרת הערעור (בדעת מיעוט):  </w:t>
      </w:r>
      <w:r w:rsidRPr="00373B46">
        <w:rPr>
          <w:rFonts w:ascii="David" w:hAnsi="David" w:cs="David"/>
          <w:b/>
          <w:bCs/>
          <w:spacing w:val="10"/>
          <w:rtl/>
        </w:rPr>
        <w:t>״גם פעולה מינורית יחסית של עובד ציבור בעל עמדה בכירה יש בה פוטנציאל להשפיע הרבה יותר מפעולה אינטנסיבית של עובד ציבור זוטר״</w:t>
      </w:r>
      <w:r w:rsidRPr="00373B46">
        <w:rPr>
          <w:rFonts w:ascii="David" w:hAnsi="David" w:cs="David"/>
          <w:spacing w:val="10"/>
          <w:rtl/>
        </w:rPr>
        <w:t xml:space="preserve"> (עמ׳ 549 לפסק הדין שבערעור). כך אף לא מיותר להזכיר בשנית את שקבע בית המשפט בפרשת </w:t>
      </w:r>
      <w:proofErr w:type="spellStart"/>
      <w:r w:rsidRPr="00373B46">
        <w:rPr>
          <w:rFonts w:ascii="David" w:hAnsi="David" w:cs="David"/>
          <w:spacing w:val="10"/>
          <w:rtl/>
        </w:rPr>
        <w:t>סויסא</w:t>
      </w:r>
      <w:proofErr w:type="spellEnd"/>
      <w:r w:rsidRPr="00373B46">
        <w:rPr>
          <w:rFonts w:ascii="David" w:hAnsi="David" w:cs="David"/>
          <w:spacing w:val="10"/>
          <w:rtl/>
        </w:rPr>
        <w:t xml:space="preserve">: </w:t>
      </w:r>
      <w:r w:rsidRPr="00373B46">
        <w:rPr>
          <w:rFonts w:ascii="David" w:hAnsi="David" w:cs="David"/>
          <w:b/>
          <w:bCs/>
          <w:spacing w:val="10"/>
          <w:rtl/>
        </w:rPr>
        <w:t xml:space="preserve">״לאור </w:t>
      </w:r>
      <w:r w:rsidRPr="00373B46">
        <w:rPr>
          <w:rFonts w:ascii="David" w:hAnsi="David" w:cs="David"/>
          <w:b/>
          <w:bCs/>
          <w:spacing w:val="10"/>
          <w:rtl/>
        </w:rPr>
        <w:lastRenderedPageBreak/>
        <w:t>תפקידו המיוחד של השוטר וסמכויותיו, ולאור חשיפתו לציבור ומגעיו עמו, נדרשת מהשוטר הקפדה מיוחדת על קלה כחמורה כדי לקיים את אמון הציבור בו״</w:t>
      </w:r>
      <w:r w:rsidRPr="00373B46">
        <w:rPr>
          <w:rFonts w:ascii="David" w:hAnsi="David" w:cs="David"/>
          <w:spacing w:val="10"/>
          <w:rtl/>
        </w:rPr>
        <w:t xml:space="preserve"> (עמ׳ 783), (ההדגשות אינן במקור, מ.ד.).</w:t>
      </w:r>
    </w:p>
    <w:p w:rsidR="00A24606" w:rsidRPr="00373B46" w:rsidRDefault="00A24606" w:rsidP="00A24606">
      <w:pPr>
        <w:pStyle w:val="NormalWeb"/>
        <w:bidi/>
        <w:spacing w:before="0" w:beforeAutospacing="0" w:after="0" w:afterAutospacing="0" w:line="360" w:lineRule="auto"/>
        <w:jc w:val="both"/>
        <w:rPr>
          <w:rFonts w:ascii="David" w:hAnsi="David" w:cs="David"/>
          <w:spacing w:val="10"/>
          <w:rtl/>
        </w:rPr>
      </w:pPr>
    </w:p>
    <w:p w:rsidR="00884CF0" w:rsidRPr="00373B46" w:rsidRDefault="004E14DF" w:rsidP="00A24606">
      <w:pPr>
        <w:pStyle w:val="NormalWeb"/>
        <w:bidi/>
        <w:spacing w:before="0" w:beforeAutospacing="0" w:after="0" w:afterAutospacing="0" w:line="360" w:lineRule="auto"/>
        <w:jc w:val="both"/>
        <w:rPr>
          <w:rFonts w:ascii="David" w:hAnsi="David" w:cs="David"/>
          <w:spacing w:val="10"/>
          <w:rtl/>
        </w:rPr>
      </w:pPr>
      <w:r w:rsidRPr="00373B46">
        <w:rPr>
          <w:rFonts w:ascii="David" w:hAnsi="David" w:cs="David"/>
          <w:spacing w:val="10"/>
          <w:rtl/>
        </w:rPr>
        <w:t xml:space="preserve">שנית, להשקפתי, ככלל, הערכת עניין כ"מינורי" במובן זניח, או "טכני", תלויה ב"עיני המסתכל". לא מן הנמנע, שעניין מסוים יוגדר ככזה בהיבט הכללי או במבט על, אך יהא בעל משמעות רבה בהיבט האישי ואף במישור המקצועי של העובד שהעניין נוגע לו. במילים אחרות. ההגדרה של עניין כמינורי או </w:t>
      </w:r>
      <w:proofErr w:type="spellStart"/>
      <w:r w:rsidRPr="00373B46">
        <w:rPr>
          <w:rFonts w:ascii="David" w:hAnsi="David" w:cs="David"/>
          <w:spacing w:val="10"/>
          <w:rtl/>
        </w:rPr>
        <w:t>מג'ורי</w:t>
      </w:r>
      <w:proofErr w:type="spellEnd"/>
      <w:r w:rsidRPr="00373B46">
        <w:rPr>
          <w:rFonts w:ascii="David" w:hAnsi="David" w:cs="David"/>
          <w:spacing w:val="10"/>
          <w:rtl/>
        </w:rPr>
        <w:t xml:space="preserve"> היא במקרים רבים פונקציה של מידת החשיבות וההשפעה של ההחלטה על העובד והשלכותיה על חייו </w:t>
      </w:r>
      <w:r w:rsidR="004D343C">
        <w:rPr>
          <w:rFonts w:ascii="David" w:hAnsi="David" w:cs="David" w:hint="cs"/>
          <w:spacing w:val="10"/>
          <w:rtl/>
        </w:rPr>
        <w:t>-</w:t>
      </w:r>
      <w:r w:rsidR="00A24606">
        <w:rPr>
          <w:rFonts w:ascii="David" w:hAnsi="David" w:cs="David" w:hint="cs"/>
          <w:spacing w:val="10"/>
          <w:rtl/>
        </w:rPr>
        <w:t xml:space="preserve"> </w:t>
      </w:r>
      <w:r w:rsidRPr="00373B46">
        <w:rPr>
          <w:rFonts w:ascii="David" w:hAnsi="David" w:cs="David"/>
          <w:spacing w:val="10"/>
          <w:rtl/>
        </w:rPr>
        <w:t xml:space="preserve">האישיים או המקצועיים. </w:t>
      </w:r>
    </w:p>
    <w:p w:rsidR="00884CF0" w:rsidRPr="00373B46" w:rsidRDefault="00884CF0" w:rsidP="00884CF0">
      <w:pPr>
        <w:pStyle w:val="NormalWeb"/>
        <w:bidi/>
        <w:spacing w:before="0" w:beforeAutospacing="0" w:after="0" w:afterAutospacing="0" w:line="360" w:lineRule="auto"/>
        <w:jc w:val="both"/>
        <w:rPr>
          <w:rFonts w:ascii="David" w:hAnsi="David" w:cs="David"/>
          <w:spacing w:val="10"/>
          <w:rtl/>
        </w:rPr>
      </w:pPr>
    </w:p>
    <w:p w:rsidR="00884CF0" w:rsidRDefault="004E14DF" w:rsidP="00884CF0">
      <w:pPr>
        <w:pStyle w:val="NormalWeb"/>
        <w:bidi/>
        <w:spacing w:before="0" w:beforeAutospacing="0" w:after="0" w:afterAutospacing="0" w:line="360" w:lineRule="auto"/>
        <w:jc w:val="both"/>
        <w:rPr>
          <w:rFonts w:ascii="David" w:hAnsi="David" w:cs="David"/>
          <w:spacing w:val="10"/>
          <w:rtl/>
        </w:rPr>
      </w:pPr>
      <w:r w:rsidRPr="00373B46">
        <w:rPr>
          <w:rFonts w:ascii="David" w:hAnsi="David" w:cs="David"/>
          <w:spacing w:val="10"/>
          <w:rtl/>
        </w:rPr>
        <w:t xml:space="preserve">ואם נחזור לנסיבות המקרה שלפנינו. השאלה האם הפעולה של עובד הציבור בניגוד עניינים היא מהותית או מינורית אינה יכולה להיבחן ״במשקפיים אובייקטיביות״. הפעולות שביצע שחם בעניינן של השוטרות אינן מינוריות כלל ועיקר. הנושאים בהם טיפל שחם היו הרי גורל או למצער חשובים או משמעותיים עבור השוטרות. סבורני, כי בהכרעה האם עבר שחם את עבירת הפרת האמונים, יש לייחס חשיבות יתרה לעובדה שהוא נמנע מלמשוך את ידיו בטיפול בעניינים אלה. </w:t>
      </w:r>
    </w:p>
    <w:p w:rsidR="00A24606" w:rsidRPr="00373B46" w:rsidRDefault="00A24606" w:rsidP="00A24606">
      <w:pPr>
        <w:pStyle w:val="NormalWeb"/>
        <w:bidi/>
        <w:spacing w:before="0" w:beforeAutospacing="0" w:after="0" w:afterAutospacing="0" w:line="360" w:lineRule="auto"/>
        <w:jc w:val="both"/>
        <w:rPr>
          <w:rFonts w:ascii="David" w:hAnsi="David" w:cs="David"/>
          <w:spacing w:val="10"/>
          <w:rtl/>
        </w:rPr>
      </w:pPr>
    </w:p>
    <w:p w:rsidR="00884CF0" w:rsidRPr="00373B46" w:rsidRDefault="004E14DF" w:rsidP="00884CF0">
      <w:pPr>
        <w:pStyle w:val="NormalWeb"/>
        <w:bidi/>
        <w:spacing w:before="0" w:beforeAutospacing="0" w:after="0" w:afterAutospacing="0" w:line="360" w:lineRule="auto"/>
        <w:jc w:val="both"/>
        <w:rPr>
          <w:rFonts w:ascii="David" w:hAnsi="David" w:cs="David"/>
          <w:spacing w:val="10"/>
          <w:rtl/>
        </w:rPr>
      </w:pPr>
      <w:r w:rsidRPr="00373B46">
        <w:rPr>
          <w:rFonts w:ascii="David" w:hAnsi="David" w:cs="David"/>
          <w:spacing w:val="10"/>
          <w:rtl/>
        </w:rPr>
        <w:t>ברי לכל, כי החלטות שעניינן מעבר תחנה ממיקום גאוגרפי אחד לאחר, מעבר מתפקיד שטח לתפקיד מנהלי, שיבוץ לתפקיד חדש וקיצור תקופת שירות – כולן בעלות חשיבות רבה בעיניי השוטרות, וכולן עשויות להשפיע על מהלך חיי היום יום שלהן. על כך ניתן ללמוד גם מדברי השוטרות עצמן</w:t>
      </w:r>
      <w:r w:rsidR="00AD69A0">
        <w:rPr>
          <w:rFonts w:ascii="David" w:hAnsi="David" w:cs="David" w:hint="cs"/>
          <w:spacing w:val="10"/>
          <w:rtl/>
        </w:rPr>
        <w:t>.</w:t>
      </w:r>
    </w:p>
    <w:p w:rsidR="00A24606" w:rsidRDefault="004E14DF" w:rsidP="00A24606">
      <w:pPr>
        <w:pStyle w:val="NormalWeb"/>
        <w:bidi/>
        <w:spacing w:after="0" w:afterAutospacing="0" w:line="360" w:lineRule="auto"/>
        <w:jc w:val="both"/>
        <w:rPr>
          <w:rFonts w:ascii="David" w:hAnsi="David" w:cs="David"/>
          <w:spacing w:val="10"/>
          <w:rtl/>
        </w:rPr>
      </w:pPr>
      <w:r w:rsidRPr="00373B46">
        <w:rPr>
          <w:rFonts w:ascii="David" w:hAnsi="David" w:cs="David"/>
          <w:spacing w:val="10"/>
          <w:rtl/>
        </w:rPr>
        <w:t>נראה אם כן, שבמקרה דנן, בחינה של כל אמות המידה מובילה למסקנה, כי  עוצמת ניגוד העניינים בו היה נתון שחם עת פעל בעניינן של השוטרות חוצה את הרף הפלילי – וזאת, אף מבלי להידרש לבחינת מסקנתו של בית המשפט, לפיה שחם לא סטה מן השורה, שכן כאמור – סטייה מן השורה אינה הכרחית לצורך גיבוש העבירה.</w:t>
      </w:r>
    </w:p>
    <w:p w:rsidR="00A24606" w:rsidRPr="00373B46" w:rsidRDefault="00A24606" w:rsidP="00A24606">
      <w:pPr>
        <w:pStyle w:val="NormalWeb"/>
        <w:bidi/>
        <w:spacing w:after="0" w:afterAutospacing="0" w:line="360" w:lineRule="auto"/>
        <w:jc w:val="both"/>
        <w:rPr>
          <w:rFonts w:ascii="David" w:hAnsi="David" w:cs="David"/>
          <w:spacing w:val="10"/>
        </w:rPr>
      </w:pPr>
    </w:p>
    <w:p w:rsidR="00C3494E" w:rsidRDefault="004E14DF" w:rsidP="000B49F6">
      <w:pPr>
        <w:spacing w:after="120" w:line="360" w:lineRule="auto"/>
        <w:jc w:val="both"/>
        <w:rPr>
          <w:rFonts w:ascii="David" w:eastAsia="Times New Roman" w:hAnsi="David" w:cs="David"/>
          <w:spacing w:val="10"/>
          <w:sz w:val="24"/>
          <w:szCs w:val="24"/>
          <w:rtl/>
        </w:rPr>
      </w:pPr>
      <w:r w:rsidRPr="00373B46">
        <w:rPr>
          <w:rFonts w:ascii="David" w:eastAsia="Times New Roman" w:hAnsi="David" w:cs="David"/>
          <w:spacing w:val="10"/>
          <w:sz w:val="24"/>
          <w:szCs w:val="24"/>
          <w:rtl/>
        </w:rPr>
        <w:t xml:space="preserve">מסקנה זו מבוססת על הדמיון הרב שבין הקשרים האינטימיים שקיים שחם עם השוטרות לבין ״קירבת משפחה הדוקה ופעילה״, אליה התייחס הנשיא דאז ברק כאמור לעיל. דומה, כי השוואת הקשרים האינטימיים לקשרי משפחה כלל אינה נדרשת, שכן ממילא אין המדובר ״בהיכרות מזדמנת״. מסקנה זו מבוססת גם על העובדה שעסקינן בניגוד ענייניים </w:t>
      </w:r>
      <w:r w:rsidRPr="00373B46">
        <w:rPr>
          <w:rFonts w:ascii="David" w:eastAsia="Times New Roman" w:hAnsi="David" w:cs="David"/>
          <w:spacing w:val="10"/>
          <w:sz w:val="24"/>
          <w:szCs w:val="24"/>
          <w:rtl/>
        </w:rPr>
        <w:lastRenderedPageBreak/>
        <w:t>המבוסס על קשר אישי, להבדיל מניגוד עניינים המבוסס על קשר מוסדי – ועל כך הורחב בפירוט בפתח הדיון בסוגיה זו.</w:t>
      </w:r>
      <w:r w:rsidR="006B5BB5">
        <w:rPr>
          <w:rFonts w:ascii="David" w:eastAsia="Times New Roman" w:hAnsi="David" w:cs="David" w:hint="cs"/>
          <w:spacing w:val="10"/>
          <w:sz w:val="24"/>
          <w:szCs w:val="24"/>
          <w:rtl/>
        </w:rPr>
        <w:t xml:space="preserve"> </w:t>
      </w:r>
      <w:r w:rsidRPr="00373B46">
        <w:rPr>
          <w:rFonts w:ascii="David" w:eastAsia="Times New Roman" w:hAnsi="David" w:cs="David"/>
          <w:spacing w:val="10"/>
          <w:sz w:val="24"/>
          <w:szCs w:val="24"/>
          <w:rtl/>
        </w:rPr>
        <w:t xml:space="preserve">מסקנה זו מבוססת בנוסף גם על מעמדו הרם של שחם בארגון המשטרה, ועל היותו ״עובד הציבור הממונה על מספר רב של עובדים המבקשים ללמוד ממנו ולחקות אותו״. על כך, ציין בנוסף הנשיא ברק בפרשת שבס כי: ״כאשר עובד ציבור זה מצוי בניגוד עניינים הוא מקרין כלפי הכפופים לו וכלפי הציבור כולו את כישלונה של המערכת הציבורית, את שבירתם של הכלים הממלכתיים״ (עמ׳ 422). </w:t>
      </w:r>
    </w:p>
    <w:p w:rsidR="004D343C" w:rsidRPr="000B49F6" w:rsidRDefault="004D343C" w:rsidP="000B49F6">
      <w:pPr>
        <w:spacing w:after="120" w:line="360" w:lineRule="auto"/>
        <w:jc w:val="both"/>
        <w:rPr>
          <w:rFonts w:ascii="David" w:eastAsia="Times New Roman" w:hAnsi="David" w:cs="David"/>
          <w:spacing w:val="10"/>
          <w:sz w:val="24"/>
          <w:szCs w:val="24"/>
          <w:rtl/>
        </w:rPr>
      </w:pPr>
    </w:p>
    <w:p w:rsidR="00884CF0" w:rsidRPr="00E341AB" w:rsidRDefault="004E14DF" w:rsidP="00C3494E">
      <w:pPr>
        <w:spacing w:after="120" w:line="360" w:lineRule="auto"/>
        <w:jc w:val="both"/>
        <w:rPr>
          <w:rFonts w:ascii="David" w:eastAsia="Times New Roman" w:hAnsi="David" w:cs="David"/>
          <w:b/>
          <w:bCs/>
          <w:spacing w:val="10"/>
          <w:sz w:val="24"/>
          <w:szCs w:val="24"/>
          <w:u w:val="single"/>
          <w:rtl/>
        </w:rPr>
      </w:pPr>
      <w:r w:rsidRPr="00E341AB">
        <w:rPr>
          <w:rFonts w:ascii="David" w:eastAsia="Times New Roman" w:hAnsi="David" w:cs="David"/>
          <w:b/>
          <w:bCs/>
          <w:spacing w:val="10"/>
          <w:sz w:val="24"/>
          <w:szCs w:val="24"/>
          <w:u w:val="single"/>
          <w:rtl/>
        </w:rPr>
        <w:t>האם ניתן לצבור אסופה של ניגודי עניינים שאינם פליליים לכדי עבירה פלילית אחת של מרמה והפרת אמונים?</w:t>
      </w:r>
    </w:p>
    <w:p w:rsidR="000B49F6" w:rsidRDefault="004E14DF" w:rsidP="005C0466">
      <w:pPr>
        <w:spacing w:after="0" w:line="360" w:lineRule="auto"/>
        <w:jc w:val="both"/>
        <w:rPr>
          <w:rFonts w:ascii="David" w:eastAsia="Times New Roman" w:hAnsi="David" w:cs="David"/>
          <w:spacing w:val="10"/>
          <w:sz w:val="24"/>
          <w:szCs w:val="24"/>
          <w:rtl/>
        </w:rPr>
      </w:pPr>
      <w:r w:rsidRPr="00373B46">
        <w:rPr>
          <w:rFonts w:ascii="David" w:eastAsia="Times New Roman" w:hAnsi="David" w:cs="David"/>
          <w:spacing w:val="10"/>
          <w:sz w:val="24"/>
          <w:szCs w:val="24"/>
          <w:rtl/>
        </w:rPr>
        <w:t xml:space="preserve">אומר כבר עתה. לדעתי, יש לענות על שאלה זו בחיוב. </w:t>
      </w:r>
    </w:p>
    <w:p w:rsidR="00A24606" w:rsidRDefault="00A24606" w:rsidP="005C0466">
      <w:pPr>
        <w:spacing w:after="0" w:line="360" w:lineRule="auto"/>
        <w:jc w:val="both"/>
        <w:rPr>
          <w:rFonts w:ascii="David" w:eastAsia="Times New Roman" w:hAnsi="David" w:cs="David"/>
          <w:spacing w:val="10"/>
          <w:sz w:val="24"/>
          <w:szCs w:val="24"/>
          <w:rtl/>
        </w:rPr>
      </w:pPr>
    </w:p>
    <w:p w:rsidR="00884CF0" w:rsidRDefault="004E14DF" w:rsidP="005C0466">
      <w:pPr>
        <w:spacing w:after="0" w:line="360" w:lineRule="auto"/>
        <w:jc w:val="both"/>
        <w:rPr>
          <w:rFonts w:ascii="David" w:eastAsia="Times New Roman" w:hAnsi="David" w:cs="David"/>
          <w:spacing w:val="10"/>
          <w:sz w:val="24"/>
          <w:szCs w:val="24"/>
          <w:rtl/>
        </w:rPr>
      </w:pPr>
      <w:r w:rsidRPr="00373B46">
        <w:rPr>
          <w:rFonts w:ascii="David" w:eastAsia="Times New Roman" w:hAnsi="David" w:cs="David"/>
          <w:spacing w:val="10"/>
          <w:sz w:val="24"/>
          <w:szCs w:val="24"/>
          <w:rtl/>
        </w:rPr>
        <w:t xml:space="preserve">כאמור, איני מסכימה עם מסקנתו של בית המשפט, לפיה כל ניגוד עניינים שכזה, כשלעצמו, לא עלה כדי עבירה פלילית. יתר על כן, אפילו הייתה מסקנה זו מקובלת עלי, עדיין לא היה בכך כדי לפטור את שחם מהרשעה, שכן לשיטתי – ראוי במסגרת הנורמטיבית הקיימת לקבל את טענת המדינה בדבר קיומה של "תזת הצבירה". תרגומה של תזה זו בענייננו היא כי הצטברות הפעולות של שחם בניגוד עניינים מקיימת את יסודות עבירת המרמה והפרת האמונים, ולפיכך יש להרשיעו בה. </w:t>
      </w:r>
    </w:p>
    <w:p w:rsidR="005C0466" w:rsidRDefault="005C0466" w:rsidP="005C0466">
      <w:pPr>
        <w:spacing w:after="0" w:line="360" w:lineRule="auto"/>
        <w:jc w:val="both"/>
        <w:rPr>
          <w:rFonts w:ascii="David" w:eastAsia="Times New Roman" w:hAnsi="David" w:cs="David"/>
          <w:spacing w:val="10"/>
          <w:sz w:val="24"/>
          <w:szCs w:val="24"/>
          <w:rtl/>
        </w:rPr>
      </w:pPr>
    </w:p>
    <w:p w:rsidR="00016AEC" w:rsidRPr="00357530" w:rsidRDefault="004E14DF" w:rsidP="00016AEC">
      <w:pPr>
        <w:spacing w:line="360" w:lineRule="auto"/>
        <w:jc w:val="both"/>
        <w:rPr>
          <w:rFonts w:ascii="David" w:eastAsia="Times New Roman" w:hAnsi="David" w:cs="David"/>
          <w:spacing w:val="10"/>
          <w:sz w:val="24"/>
          <w:szCs w:val="24"/>
          <w:u w:val="single"/>
          <w:rtl/>
        </w:rPr>
      </w:pPr>
      <w:r w:rsidRPr="00357530">
        <w:rPr>
          <w:rFonts w:ascii="David" w:eastAsia="Times New Roman" w:hAnsi="David" w:cs="David" w:hint="cs"/>
          <w:spacing w:val="10"/>
          <w:sz w:val="24"/>
          <w:szCs w:val="24"/>
          <w:u w:val="single"/>
          <w:rtl/>
        </w:rPr>
        <w:t>הסמים</w:t>
      </w:r>
    </w:p>
    <w:p w:rsidR="00016AEC" w:rsidRPr="00357530" w:rsidRDefault="004E14DF" w:rsidP="00016AEC">
      <w:pPr>
        <w:spacing w:line="360" w:lineRule="auto"/>
        <w:jc w:val="both"/>
        <w:rPr>
          <w:rFonts w:ascii="David" w:eastAsia="Times New Roman" w:hAnsi="David" w:cs="David"/>
          <w:spacing w:val="10"/>
          <w:sz w:val="24"/>
          <w:szCs w:val="24"/>
          <w:rtl/>
        </w:rPr>
      </w:pPr>
      <w:r w:rsidRPr="00357530">
        <w:rPr>
          <w:rFonts w:ascii="David" w:eastAsia="Times New Roman" w:hAnsi="David" w:cs="David" w:hint="cs"/>
          <w:spacing w:val="10"/>
          <w:sz w:val="24"/>
          <w:szCs w:val="24"/>
          <w:rtl/>
        </w:rPr>
        <w:t xml:space="preserve">בית המשפט המחיש הבעייתיות בקבלת תזת הצבירה באמצעות הדוגמה הבאה </w:t>
      </w:r>
      <w:r w:rsidRPr="00357530">
        <w:rPr>
          <w:rFonts w:ascii="David" w:eastAsia="Times New Roman" w:hAnsi="David" w:cs="David"/>
          <w:spacing w:val="10"/>
          <w:sz w:val="24"/>
          <w:szCs w:val="24"/>
          <w:rtl/>
        </w:rPr>
        <w:t>–</w:t>
      </w:r>
      <w:r w:rsidRPr="00357530">
        <w:rPr>
          <w:rFonts w:ascii="David" w:eastAsia="Times New Roman" w:hAnsi="David" w:cs="David" w:hint="cs"/>
          <w:spacing w:val="10"/>
          <w:sz w:val="24"/>
          <w:szCs w:val="24"/>
          <w:rtl/>
        </w:rPr>
        <w:t xml:space="preserve"> </w:t>
      </w:r>
      <w:r w:rsidRPr="00357530">
        <w:rPr>
          <w:rFonts w:ascii="David" w:eastAsia="Times New Roman" w:hAnsi="David" w:cs="David" w:hint="cs"/>
          <w:b/>
          <w:bCs/>
          <w:spacing w:val="10"/>
          <w:sz w:val="24"/>
          <w:szCs w:val="24"/>
          <w:rtl/>
        </w:rPr>
        <w:t xml:space="preserve">"פלוני מחזיק לאורך השנים כמויות סם קטנות לצריכתו העצמית, אולם בכתב האישום שהוגש נגדו בוחרת התביעה שלא לייחס לו 10 עבירות של החזקת סם לצריכה עצמית, אלא לחבר מתמטית את כמויות הסם שנתפסו בחזקתו </w:t>
      </w:r>
      <w:r w:rsidRPr="00357530">
        <w:rPr>
          <w:rFonts w:ascii="David" w:eastAsia="Times New Roman" w:hAnsi="David" w:cs="David" w:hint="cs"/>
          <w:b/>
          <w:bCs/>
          <w:spacing w:val="10"/>
          <w:sz w:val="24"/>
          <w:szCs w:val="24"/>
          <w:u w:val="single"/>
          <w:rtl/>
        </w:rPr>
        <w:t>לאורך שנים</w:t>
      </w:r>
      <w:r w:rsidRPr="00357530">
        <w:rPr>
          <w:rFonts w:ascii="David" w:eastAsia="Times New Roman" w:hAnsi="David" w:cs="David" w:hint="cs"/>
          <w:b/>
          <w:bCs/>
          <w:spacing w:val="10"/>
          <w:sz w:val="24"/>
          <w:szCs w:val="24"/>
          <w:rtl/>
        </w:rPr>
        <w:t xml:space="preserve"> ולייחס לו עבירה אחת של החזקת סם שלא לצריכה עצמית על בסיס הכמות המצטברת, אף שפלוני מעולם לא החזיקה במצטבר"</w:t>
      </w:r>
      <w:r w:rsidRPr="00357530">
        <w:rPr>
          <w:rFonts w:ascii="David" w:eastAsia="Times New Roman" w:hAnsi="David" w:cs="David" w:hint="cs"/>
          <w:spacing w:val="10"/>
          <w:sz w:val="24"/>
          <w:szCs w:val="24"/>
          <w:rtl/>
        </w:rPr>
        <w:t xml:space="preserve"> (עמ' 142 להכרעת הדין) (ההדגשה במקור, מ.ד).</w:t>
      </w:r>
    </w:p>
    <w:p w:rsidR="005C0466" w:rsidRDefault="004E14DF" w:rsidP="005C0466">
      <w:pPr>
        <w:spacing w:after="0" w:line="360" w:lineRule="auto"/>
        <w:jc w:val="both"/>
        <w:rPr>
          <w:rFonts w:ascii="David" w:eastAsia="Times New Roman" w:hAnsi="David" w:cs="David"/>
          <w:spacing w:val="10"/>
          <w:sz w:val="24"/>
          <w:szCs w:val="24"/>
          <w:rtl/>
        </w:rPr>
      </w:pPr>
      <w:r w:rsidRPr="00357530">
        <w:rPr>
          <w:rFonts w:ascii="David" w:eastAsia="Times New Roman" w:hAnsi="David" w:cs="David" w:hint="cs"/>
          <w:spacing w:val="10"/>
          <w:sz w:val="24"/>
          <w:szCs w:val="24"/>
          <w:rtl/>
        </w:rPr>
        <w:t xml:space="preserve">סבורני, כי </w:t>
      </w:r>
      <w:r>
        <w:rPr>
          <w:rFonts w:ascii="David" w:eastAsia="Times New Roman" w:hAnsi="David" w:cs="David" w:hint="cs"/>
          <w:spacing w:val="10"/>
          <w:sz w:val="24"/>
          <w:szCs w:val="24"/>
          <w:rtl/>
        </w:rPr>
        <w:t xml:space="preserve">האנלוגיה </w:t>
      </w:r>
      <w:r w:rsidRPr="00357530">
        <w:rPr>
          <w:rFonts w:ascii="David" w:eastAsia="Times New Roman" w:hAnsi="David" w:cs="David" w:hint="cs"/>
          <w:spacing w:val="10"/>
          <w:sz w:val="24"/>
          <w:szCs w:val="24"/>
          <w:rtl/>
        </w:rPr>
        <w:t xml:space="preserve">שערך בית המשפט </w:t>
      </w:r>
      <w:r w:rsidRPr="00357530">
        <w:rPr>
          <w:rFonts w:ascii="David" w:eastAsia="Times New Roman" w:hAnsi="David" w:cs="David"/>
          <w:spacing w:val="10"/>
          <w:sz w:val="24"/>
          <w:szCs w:val="24"/>
          <w:rtl/>
        </w:rPr>
        <w:t>–</w:t>
      </w:r>
      <w:r w:rsidRPr="00357530">
        <w:rPr>
          <w:rFonts w:ascii="David" w:eastAsia="Times New Roman" w:hAnsi="David" w:cs="David" w:hint="cs"/>
          <w:spacing w:val="10"/>
          <w:sz w:val="24"/>
          <w:szCs w:val="24"/>
          <w:rtl/>
        </w:rPr>
        <w:t xml:space="preserve"> מהצטברות עבירות של החזקת סם לצריכה עצמית שעולה כדי עבירה אחת של החזקת סם שלא לצריכה עצמית, להצטברות ניגודי עניינים שעולה כדי עבירה אחת של מרמה והפרת אמונים </w:t>
      </w:r>
      <w:r w:rsidRPr="00357530">
        <w:rPr>
          <w:rFonts w:ascii="David" w:eastAsia="Times New Roman" w:hAnsi="David" w:cs="David"/>
          <w:spacing w:val="10"/>
          <w:sz w:val="24"/>
          <w:szCs w:val="24"/>
          <w:rtl/>
        </w:rPr>
        <w:t>–</w:t>
      </w:r>
      <w:r w:rsidRPr="00357530">
        <w:rPr>
          <w:rFonts w:ascii="David" w:eastAsia="Times New Roman" w:hAnsi="David" w:cs="David" w:hint="cs"/>
          <w:spacing w:val="10"/>
          <w:sz w:val="24"/>
          <w:szCs w:val="24"/>
          <w:rtl/>
        </w:rPr>
        <w:t xml:space="preserve"> היא אנלוגיה מוטעית. </w:t>
      </w:r>
    </w:p>
    <w:p w:rsidR="00016AEC" w:rsidRDefault="004E14DF" w:rsidP="005C0466">
      <w:pPr>
        <w:spacing w:after="0" w:line="360" w:lineRule="auto"/>
        <w:jc w:val="both"/>
        <w:rPr>
          <w:rFonts w:ascii="David" w:eastAsia="Times New Roman" w:hAnsi="David" w:cs="David"/>
          <w:spacing w:val="10"/>
          <w:sz w:val="24"/>
          <w:szCs w:val="24"/>
          <w:rtl/>
        </w:rPr>
      </w:pPr>
      <w:r w:rsidRPr="00357530">
        <w:rPr>
          <w:rFonts w:ascii="David" w:eastAsia="Times New Roman" w:hAnsi="David" w:cs="David" w:hint="cs"/>
          <w:spacing w:val="10"/>
          <w:sz w:val="24"/>
          <w:szCs w:val="24"/>
          <w:rtl/>
        </w:rPr>
        <w:t>עבירות סמים הן עבירות שמהותן תוחמת קו גבול ברור, שכן הן מוגדרות במונחים כמותיים של ספירת גרמים.</w:t>
      </w:r>
      <w:r>
        <w:rPr>
          <w:rFonts w:ascii="David" w:eastAsia="Times New Roman" w:hAnsi="David" w:cs="David" w:hint="cs"/>
          <w:spacing w:val="10"/>
          <w:sz w:val="24"/>
          <w:szCs w:val="24"/>
          <w:rtl/>
        </w:rPr>
        <w:t xml:space="preserve"> </w:t>
      </w:r>
      <w:r w:rsidRPr="00357530">
        <w:rPr>
          <w:rFonts w:ascii="David" w:eastAsia="Times New Roman" w:hAnsi="David" w:cs="David" w:hint="cs"/>
          <w:spacing w:val="10"/>
          <w:sz w:val="24"/>
          <w:szCs w:val="24"/>
          <w:rtl/>
        </w:rPr>
        <w:t xml:space="preserve">השוואת עבירת </w:t>
      </w:r>
      <w:r>
        <w:rPr>
          <w:rFonts w:ascii="David" w:eastAsia="Times New Roman" w:hAnsi="David" w:cs="David" w:hint="cs"/>
          <w:spacing w:val="10"/>
          <w:sz w:val="24"/>
          <w:szCs w:val="24"/>
          <w:rtl/>
        </w:rPr>
        <w:t>המרמה והפרת האמונים לעבירות מסוג</w:t>
      </w:r>
      <w:r w:rsidRPr="00357530">
        <w:rPr>
          <w:rFonts w:ascii="David" w:eastAsia="Times New Roman" w:hAnsi="David" w:cs="David" w:hint="cs"/>
          <w:spacing w:val="10"/>
          <w:sz w:val="24"/>
          <w:szCs w:val="24"/>
          <w:rtl/>
        </w:rPr>
        <w:t xml:space="preserve"> זה, מתעלמת מאופייה הייחודי של העבירה, אשר לה קו גבול עמום מן הבחינה האינהרנטית, </w:t>
      </w:r>
      <w:r w:rsidRPr="00357530">
        <w:rPr>
          <w:rFonts w:ascii="David" w:eastAsia="Times New Roman" w:hAnsi="David" w:cs="David" w:hint="cs"/>
          <w:spacing w:val="10"/>
          <w:sz w:val="24"/>
          <w:szCs w:val="24"/>
          <w:rtl/>
        </w:rPr>
        <w:lastRenderedPageBreak/>
        <w:t>כפי שכבר פורט לעיל. השוואה זו מתעלמת בנוסף מכך, שהיסוד העובדתי של עבירת החזקת סם שלא לצריכה עצמית שעניינו</w:t>
      </w:r>
      <w:r>
        <w:rPr>
          <w:rFonts w:ascii="David" w:eastAsia="Times New Roman" w:hAnsi="David" w:cs="David" w:hint="cs"/>
          <w:spacing w:val="10"/>
          <w:sz w:val="24"/>
          <w:szCs w:val="24"/>
          <w:rtl/>
        </w:rPr>
        <w:t xml:space="preserve"> "סחר" אינו מתמלא בתרחיש המתואר.</w:t>
      </w:r>
      <w:r w:rsidRPr="00357530">
        <w:rPr>
          <w:rFonts w:ascii="David" w:eastAsia="Times New Roman" w:hAnsi="David" w:cs="David" w:hint="cs"/>
          <w:spacing w:val="10"/>
          <w:sz w:val="24"/>
          <w:szCs w:val="24"/>
          <w:rtl/>
        </w:rPr>
        <w:t xml:space="preserve"> להבדיל מהיסוד העובדתי בעבירת המרמה והפרת האמונים, שכפי שקבעתי לעיל אכן מתקיים </w:t>
      </w:r>
      <w:r w:rsidRPr="00357530">
        <w:rPr>
          <w:rFonts w:ascii="David" w:eastAsia="Times New Roman" w:hAnsi="David" w:cs="David"/>
          <w:spacing w:val="10"/>
          <w:sz w:val="24"/>
          <w:szCs w:val="24"/>
          <w:rtl/>
        </w:rPr>
        <w:t>–</w:t>
      </w:r>
      <w:r w:rsidRPr="00357530">
        <w:rPr>
          <w:rFonts w:ascii="David" w:eastAsia="Times New Roman" w:hAnsi="David" w:cs="David" w:hint="cs"/>
          <w:spacing w:val="10"/>
          <w:sz w:val="24"/>
          <w:szCs w:val="24"/>
          <w:rtl/>
        </w:rPr>
        <w:t xml:space="preserve"> מצב ניגוד העניינים בו היה נתון שחם מקיים את היסוד העובדתי שכן הוא פוגע פגיעה מהותית באמון הציבור בעובדי הציבור, בטוהר המידות של עובדי הציבור ובתקינות פעולות המנהל הציבורי. </w:t>
      </w:r>
    </w:p>
    <w:p w:rsidR="00A24606" w:rsidRDefault="00A24606" w:rsidP="005C0466">
      <w:pPr>
        <w:spacing w:after="0" w:line="360" w:lineRule="auto"/>
        <w:jc w:val="both"/>
        <w:rPr>
          <w:rFonts w:ascii="David" w:eastAsia="Times New Roman" w:hAnsi="David" w:cs="David"/>
          <w:spacing w:val="10"/>
          <w:sz w:val="24"/>
          <w:szCs w:val="24"/>
          <w:rtl/>
        </w:rPr>
      </w:pPr>
    </w:p>
    <w:p w:rsidR="00A24606" w:rsidRDefault="00A24606" w:rsidP="005C0466">
      <w:pPr>
        <w:spacing w:after="0" w:line="360" w:lineRule="auto"/>
        <w:jc w:val="both"/>
        <w:rPr>
          <w:rFonts w:ascii="David" w:eastAsia="Times New Roman" w:hAnsi="David" w:cs="David"/>
          <w:spacing w:val="10"/>
          <w:sz w:val="24"/>
          <w:szCs w:val="24"/>
          <w:u w:val="single"/>
          <w:rtl/>
        </w:rPr>
      </w:pPr>
    </w:p>
    <w:p w:rsidR="00884CF0" w:rsidRDefault="004E14DF" w:rsidP="005C0466">
      <w:pPr>
        <w:spacing w:after="0" w:line="360" w:lineRule="auto"/>
        <w:jc w:val="both"/>
        <w:rPr>
          <w:rFonts w:ascii="David" w:eastAsia="Times New Roman" w:hAnsi="David" w:cs="David"/>
          <w:spacing w:val="10"/>
          <w:sz w:val="24"/>
          <w:szCs w:val="24"/>
          <w:u w:val="single"/>
          <w:rtl/>
        </w:rPr>
      </w:pPr>
      <w:r w:rsidRPr="00E341AB">
        <w:rPr>
          <w:rFonts w:ascii="David" w:eastAsia="Times New Roman" w:hAnsi="David" w:cs="David"/>
          <w:spacing w:val="10"/>
          <w:sz w:val="24"/>
          <w:szCs w:val="24"/>
          <w:u w:val="single"/>
          <w:rtl/>
        </w:rPr>
        <w:t>עמימותה של העבירה</w:t>
      </w:r>
    </w:p>
    <w:p w:rsidR="00A24606" w:rsidRPr="00E341AB" w:rsidRDefault="00A24606" w:rsidP="005C0466">
      <w:pPr>
        <w:spacing w:after="0" w:line="360" w:lineRule="auto"/>
        <w:jc w:val="both"/>
        <w:rPr>
          <w:rFonts w:ascii="David" w:eastAsia="Times New Roman" w:hAnsi="David" w:cs="David"/>
          <w:spacing w:val="10"/>
          <w:sz w:val="24"/>
          <w:szCs w:val="24"/>
          <w:u w:val="single"/>
          <w:rtl/>
        </w:rPr>
      </w:pPr>
    </w:p>
    <w:p w:rsidR="00884CF0" w:rsidRDefault="004E14DF" w:rsidP="005C0466">
      <w:pPr>
        <w:spacing w:after="0" w:line="360" w:lineRule="auto"/>
        <w:jc w:val="both"/>
        <w:rPr>
          <w:rFonts w:ascii="David" w:eastAsia="Times New Roman" w:hAnsi="David" w:cs="David"/>
          <w:spacing w:val="10"/>
          <w:sz w:val="24"/>
          <w:szCs w:val="24"/>
          <w:rtl/>
        </w:rPr>
      </w:pPr>
      <w:r w:rsidRPr="00373B46">
        <w:rPr>
          <w:rFonts w:ascii="David" w:eastAsia="Times New Roman" w:hAnsi="David" w:cs="David"/>
          <w:spacing w:val="10"/>
          <w:sz w:val="24"/>
          <w:szCs w:val="24"/>
          <w:rtl/>
        </w:rPr>
        <w:t>עמדנו בהרחבה על עמימותה של עבירת המרמה והפרת האמונים והשלכותיה של עמימות זו על פרשנות יסודותיה בפסיקה ובאקדמיה.</w:t>
      </w:r>
    </w:p>
    <w:p w:rsidR="00A24606" w:rsidRPr="00373B46" w:rsidRDefault="00A24606" w:rsidP="005C0466">
      <w:pPr>
        <w:spacing w:after="0" w:line="360" w:lineRule="auto"/>
        <w:jc w:val="both"/>
        <w:rPr>
          <w:rFonts w:ascii="David" w:eastAsia="Times New Roman" w:hAnsi="David" w:cs="David"/>
          <w:spacing w:val="10"/>
          <w:sz w:val="24"/>
          <w:szCs w:val="24"/>
          <w:rtl/>
        </w:rPr>
      </w:pPr>
    </w:p>
    <w:p w:rsidR="00884CF0" w:rsidRDefault="004E14DF" w:rsidP="000B49F6">
      <w:pPr>
        <w:spacing w:after="0" w:line="360" w:lineRule="auto"/>
        <w:jc w:val="both"/>
        <w:rPr>
          <w:rFonts w:ascii="David" w:eastAsia="Times New Roman" w:hAnsi="David" w:cs="David"/>
          <w:spacing w:val="10"/>
          <w:sz w:val="24"/>
          <w:szCs w:val="24"/>
          <w:rtl/>
        </w:rPr>
      </w:pPr>
      <w:r w:rsidRPr="00373B46">
        <w:rPr>
          <w:rFonts w:ascii="David" w:eastAsia="Times New Roman" w:hAnsi="David" w:cs="David"/>
          <w:spacing w:val="10"/>
          <w:sz w:val="24"/>
          <w:szCs w:val="24"/>
          <w:rtl/>
        </w:rPr>
        <w:t>דווקא עבירה ייחודית זו, המוגדרת באמצעות פגיעה מהותית באחד מתוך שלושת הערכים המוגנים על ידה, מחייבת, לטעמי, בחינה כוללת של מעשיו והתנהלותו של עובד הציבור כדי להכריע ביחס להתקיימותה או אי התקיימותה. היטיבה לתאר זאת המדינה בערעורה כדלקמן: "יש לבחון את המכלול, שכן הוא שעומד לבחינתו של הציבור שהאמון בו מופר; יש לבחון את המכלול כדי להעריך אם יש בו כדי פגיעה בטוהר המידות; יש לבחון את המכלול כדי לברר אם נפגע האינטרס הציבורי שעליו מופקד אותו עובד ציבור" (עמ' 17 להודעת הערעור).</w:t>
      </w:r>
    </w:p>
    <w:p w:rsidR="00A24606" w:rsidRPr="00373B46" w:rsidRDefault="00A24606" w:rsidP="000B49F6">
      <w:pPr>
        <w:spacing w:after="0" w:line="360" w:lineRule="auto"/>
        <w:jc w:val="both"/>
        <w:rPr>
          <w:rFonts w:ascii="David" w:eastAsia="Times New Roman" w:hAnsi="David" w:cs="David"/>
          <w:spacing w:val="10"/>
          <w:sz w:val="24"/>
          <w:szCs w:val="24"/>
          <w:rtl/>
        </w:rPr>
      </w:pPr>
    </w:p>
    <w:p w:rsidR="00F41C1E" w:rsidRDefault="004E14DF" w:rsidP="006B5BB5">
      <w:pPr>
        <w:spacing w:after="0" w:line="360" w:lineRule="auto"/>
        <w:jc w:val="both"/>
        <w:rPr>
          <w:rFonts w:ascii="David" w:eastAsia="Times New Roman" w:hAnsi="David" w:cs="David"/>
          <w:spacing w:val="10"/>
          <w:sz w:val="24"/>
          <w:szCs w:val="24"/>
          <w:rtl/>
        </w:rPr>
      </w:pPr>
      <w:r w:rsidRPr="00373B46">
        <w:rPr>
          <w:rFonts w:ascii="David" w:eastAsia="Times New Roman" w:hAnsi="David" w:cs="David"/>
          <w:spacing w:val="10"/>
          <w:sz w:val="24"/>
          <w:szCs w:val="24"/>
          <w:rtl/>
        </w:rPr>
        <w:t>ואכן, כפי שנקבע בפרשת שבס – על מנת שתתגבש העבירה של מרמה והפרת אמונים יש להוכיח כי עובד הציבור היה במצב של ניגוד עניינים חריף כשקיבל החלטות, ובלבד שמתקיימת פגיעה מהותית באמון הציבור, טוהר המידות או האינטרס הציבורי. הווה אומר – היסוד הנורמטיבי בדמות הפגיעה המהותית הוא היסוד המעורפל והבעייתי, והוא שקורא לבתי המשפט ליצוק לתוכו תוכן באופן שיעניק לו משמעות מעבר לקונספט הצר.</w:t>
      </w:r>
    </w:p>
    <w:p w:rsidR="006B5BB5" w:rsidRDefault="006B5BB5" w:rsidP="006B5BB5">
      <w:pPr>
        <w:spacing w:after="0" w:line="360" w:lineRule="auto"/>
        <w:jc w:val="both"/>
        <w:rPr>
          <w:rFonts w:ascii="David" w:eastAsia="Times New Roman" w:hAnsi="David" w:cs="David"/>
          <w:spacing w:val="10"/>
          <w:sz w:val="24"/>
          <w:szCs w:val="24"/>
          <w:rtl/>
        </w:rPr>
      </w:pPr>
    </w:p>
    <w:p w:rsidR="00781518" w:rsidRPr="00357530" w:rsidRDefault="004E14DF" w:rsidP="00781518">
      <w:pPr>
        <w:spacing w:line="360" w:lineRule="auto"/>
        <w:jc w:val="both"/>
        <w:rPr>
          <w:rFonts w:ascii="David" w:eastAsia="Times New Roman" w:hAnsi="David" w:cs="David"/>
          <w:spacing w:val="10"/>
          <w:sz w:val="24"/>
          <w:szCs w:val="24"/>
          <w:u w:val="single"/>
          <w:rtl/>
        </w:rPr>
      </w:pPr>
      <w:r w:rsidRPr="00357530">
        <w:rPr>
          <w:rFonts w:ascii="David" w:eastAsia="Times New Roman" w:hAnsi="David" w:cs="David" w:hint="cs"/>
          <w:spacing w:val="10"/>
          <w:sz w:val="24"/>
          <w:szCs w:val="24"/>
          <w:u w:val="single"/>
          <w:rtl/>
        </w:rPr>
        <w:t>הדין הקיים</w:t>
      </w:r>
    </w:p>
    <w:p w:rsidR="00781518" w:rsidRDefault="004E14DF" w:rsidP="005C0466">
      <w:pPr>
        <w:pStyle w:val="a3"/>
        <w:numPr>
          <w:ilvl w:val="0"/>
          <w:numId w:val="7"/>
        </w:numPr>
        <w:spacing w:after="0" w:line="360" w:lineRule="auto"/>
        <w:jc w:val="both"/>
        <w:rPr>
          <w:rFonts w:ascii="David" w:eastAsia="Times New Roman" w:hAnsi="David" w:cs="David"/>
          <w:spacing w:val="10"/>
          <w:sz w:val="24"/>
          <w:szCs w:val="24"/>
          <w:u w:val="single"/>
        </w:rPr>
      </w:pPr>
      <w:r w:rsidRPr="005C0466">
        <w:rPr>
          <w:rFonts w:ascii="David" w:eastAsia="Times New Roman" w:hAnsi="David" w:cs="David" w:hint="cs"/>
          <w:spacing w:val="10"/>
          <w:sz w:val="24"/>
          <w:szCs w:val="24"/>
          <w:u w:val="single"/>
          <w:rtl/>
        </w:rPr>
        <w:t xml:space="preserve">על המקרים שהציגה התביעה כהיקש להיתכנותה של תזת הצבירה </w:t>
      </w:r>
    </w:p>
    <w:p w:rsidR="00A24606" w:rsidRPr="005C0466" w:rsidRDefault="00A24606" w:rsidP="00A24606">
      <w:pPr>
        <w:pStyle w:val="a3"/>
        <w:spacing w:after="0" w:line="360" w:lineRule="auto"/>
        <w:ind w:left="360"/>
        <w:jc w:val="both"/>
        <w:rPr>
          <w:rFonts w:ascii="David" w:eastAsia="Times New Roman" w:hAnsi="David" w:cs="David"/>
          <w:spacing w:val="10"/>
          <w:sz w:val="24"/>
          <w:szCs w:val="24"/>
          <w:u w:val="single"/>
          <w:rtl/>
        </w:rPr>
      </w:pPr>
    </w:p>
    <w:p w:rsidR="00781518" w:rsidRDefault="004E14DF" w:rsidP="005C0466">
      <w:pPr>
        <w:spacing w:after="0" w:line="360" w:lineRule="auto"/>
        <w:jc w:val="both"/>
        <w:rPr>
          <w:rFonts w:ascii="David" w:eastAsia="Times New Roman" w:hAnsi="David" w:cs="David"/>
          <w:spacing w:val="10"/>
          <w:sz w:val="24"/>
          <w:szCs w:val="24"/>
          <w:rtl/>
        </w:rPr>
      </w:pPr>
      <w:r w:rsidRPr="00781518">
        <w:rPr>
          <w:rFonts w:ascii="David" w:eastAsia="Times New Roman" w:hAnsi="David" w:cs="David" w:hint="cs"/>
          <w:spacing w:val="10"/>
          <w:sz w:val="24"/>
          <w:szCs w:val="24"/>
          <w:rtl/>
        </w:rPr>
        <w:t xml:space="preserve">בהכרעת הדין קבע, בית המשפט כי "תזת הצבירה" לא הועמדה לבחינת בתי המשפט, וכי קיים קושי ליישב בינה לבין עקרון החוקיות. לאור זאת, דחה בית המשפט את ניסיונה של </w:t>
      </w:r>
      <w:r w:rsidRPr="00781518">
        <w:rPr>
          <w:rFonts w:ascii="David" w:eastAsia="Times New Roman" w:hAnsi="David" w:cs="David" w:hint="cs"/>
          <w:spacing w:val="10"/>
          <w:sz w:val="24"/>
          <w:szCs w:val="24"/>
          <w:rtl/>
        </w:rPr>
        <w:lastRenderedPageBreak/>
        <w:t>התביעה להקיש על היתכנותה ממספר פסקי דין אותן הציגה בפניו. אני חולקת על דעתו של בית המשפט.</w:t>
      </w:r>
      <w:r>
        <w:rPr>
          <w:rFonts w:ascii="David" w:eastAsia="Times New Roman" w:hAnsi="David" w:cs="David" w:hint="cs"/>
          <w:spacing w:val="10"/>
          <w:sz w:val="24"/>
          <w:szCs w:val="24"/>
          <w:rtl/>
        </w:rPr>
        <w:t xml:space="preserve"> </w:t>
      </w:r>
      <w:r w:rsidRPr="00781518">
        <w:rPr>
          <w:rFonts w:ascii="David" w:eastAsia="Times New Roman" w:hAnsi="David" w:cs="David" w:hint="cs"/>
          <w:spacing w:val="10"/>
          <w:sz w:val="24"/>
          <w:szCs w:val="24"/>
          <w:rtl/>
        </w:rPr>
        <w:t xml:space="preserve">דומה, שאין המדובר </w:t>
      </w:r>
      <w:proofErr w:type="spellStart"/>
      <w:r w:rsidRPr="00781518">
        <w:rPr>
          <w:rFonts w:ascii="David" w:eastAsia="Times New Roman" w:hAnsi="David" w:cs="David" w:hint="cs"/>
          <w:spacing w:val="10"/>
          <w:sz w:val="24"/>
          <w:szCs w:val="24"/>
          <w:rtl/>
        </w:rPr>
        <w:t>ב״תזה</w:t>
      </w:r>
      <w:proofErr w:type="spellEnd"/>
      <w:r w:rsidRPr="00781518">
        <w:rPr>
          <w:rFonts w:ascii="David" w:eastAsia="Times New Roman" w:hAnsi="David" w:cs="David" w:hint="cs"/>
          <w:spacing w:val="10"/>
          <w:sz w:val="24"/>
          <w:szCs w:val="24"/>
          <w:rtl/>
        </w:rPr>
        <w:t xml:space="preserve"> חדשנית״. כפי שציינה המדינה, בצדק, הפסיקה הכירה בכך שבחינת העבירה של מרמה והפרת האמונים אינה אמורה להיעשות תוך פירוק ההתנהלות לרכיבים רכיבים וניתוח כל רכיב כשלעצמו. בהתחשב בעמימותה של העבירה, עליה עמדתי לעיל </w:t>
      </w:r>
      <w:r w:rsidRPr="00781518">
        <w:rPr>
          <w:rFonts w:ascii="David" w:eastAsia="Times New Roman" w:hAnsi="David" w:cs="David"/>
          <w:spacing w:val="10"/>
          <w:sz w:val="24"/>
          <w:szCs w:val="24"/>
          <w:rtl/>
        </w:rPr>
        <w:t>–</w:t>
      </w:r>
      <w:r w:rsidRPr="00781518">
        <w:rPr>
          <w:rFonts w:ascii="David" w:eastAsia="Times New Roman" w:hAnsi="David" w:cs="David" w:hint="cs"/>
          <w:spacing w:val="10"/>
          <w:sz w:val="24"/>
          <w:szCs w:val="24"/>
          <w:rtl/>
        </w:rPr>
        <w:t xml:space="preserve"> יש לבחון אותה תוך הסתכלות על ההתנהלות הכוללת. </w:t>
      </w:r>
    </w:p>
    <w:p w:rsidR="00775EE7" w:rsidRPr="00357530" w:rsidRDefault="004E14DF" w:rsidP="00775EE7">
      <w:pPr>
        <w:spacing w:line="360" w:lineRule="auto"/>
        <w:jc w:val="both"/>
        <w:rPr>
          <w:rFonts w:ascii="David" w:eastAsia="Times New Roman" w:hAnsi="David" w:cs="David"/>
          <w:spacing w:val="10"/>
          <w:sz w:val="24"/>
          <w:szCs w:val="24"/>
          <w:rtl/>
        </w:rPr>
      </w:pPr>
      <w:r>
        <w:rPr>
          <w:rFonts w:ascii="David" w:eastAsia="Times New Roman" w:hAnsi="David" w:cs="David" w:hint="cs"/>
          <w:spacing w:val="10"/>
          <w:sz w:val="24"/>
          <w:szCs w:val="24"/>
          <w:rtl/>
        </w:rPr>
        <w:t xml:space="preserve">אכן, אין חולק, שהמערכת עובדתית של פסקי הדין שהציגה התביעה כהיקש להיתכנותה של תזת הצבירה אינה זהה למקרה שלפנינו. </w:t>
      </w:r>
      <w:r w:rsidRPr="00357530">
        <w:rPr>
          <w:rFonts w:ascii="David" w:eastAsia="Times New Roman" w:hAnsi="David" w:cs="David" w:hint="cs"/>
          <w:spacing w:val="10"/>
          <w:sz w:val="24"/>
          <w:szCs w:val="24"/>
          <w:rtl/>
        </w:rPr>
        <w:t>עם זאת, לא יהא זה מרחיק לכת לקבוע</w:t>
      </w:r>
      <w:r>
        <w:rPr>
          <w:rFonts w:ascii="David" w:eastAsia="Times New Roman" w:hAnsi="David" w:cs="David" w:hint="cs"/>
          <w:spacing w:val="10"/>
          <w:sz w:val="24"/>
          <w:szCs w:val="24"/>
          <w:rtl/>
        </w:rPr>
        <w:t>,</w:t>
      </w:r>
      <w:r w:rsidRPr="00357530">
        <w:rPr>
          <w:rFonts w:ascii="David" w:eastAsia="Times New Roman" w:hAnsi="David" w:cs="David" w:hint="cs"/>
          <w:spacing w:val="10"/>
          <w:sz w:val="24"/>
          <w:szCs w:val="24"/>
          <w:rtl/>
        </w:rPr>
        <w:t xml:space="preserve"> שקיימת זיקה לא מבוטלת בין פרשות אלו לבין המקרה דנן, חרף ההבחנות השונות שניתן לערוך בין הנסיבות של המקרים השונים. נראה שהמכנה המשותף, העקרוני והחשוב בענייננו, הוא הכרת הפסיקה בכך שגם כאשר מדובר בהתנהלות, תהא ככל שתהא, שרכיביה הנפרדים אינם מגבשים עבירה כשלעצמם </w:t>
      </w:r>
      <w:r w:rsidRPr="00357530">
        <w:rPr>
          <w:rFonts w:ascii="David" w:eastAsia="Times New Roman" w:hAnsi="David" w:cs="David"/>
          <w:spacing w:val="10"/>
          <w:sz w:val="24"/>
          <w:szCs w:val="24"/>
          <w:rtl/>
        </w:rPr>
        <w:t>–</w:t>
      </w:r>
      <w:r w:rsidRPr="00357530">
        <w:rPr>
          <w:rFonts w:ascii="David" w:eastAsia="Times New Roman" w:hAnsi="David" w:cs="David" w:hint="cs"/>
          <w:spacing w:val="10"/>
          <w:sz w:val="24"/>
          <w:szCs w:val="24"/>
          <w:rtl/>
        </w:rPr>
        <w:t xml:space="preserve"> יש שההצטברות פוגעת מהותית בערך המוגן על-ידי העבירה, ולפיכך </w:t>
      </w:r>
      <w:r w:rsidRPr="00357530">
        <w:rPr>
          <w:rFonts w:ascii="David" w:eastAsia="Times New Roman" w:hAnsi="David" w:cs="David"/>
          <w:spacing w:val="10"/>
          <w:sz w:val="24"/>
          <w:szCs w:val="24"/>
          <w:rtl/>
        </w:rPr>
        <w:t>–</w:t>
      </w:r>
      <w:r w:rsidRPr="00357530">
        <w:rPr>
          <w:rFonts w:ascii="David" w:eastAsia="Times New Roman" w:hAnsi="David" w:cs="David" w:hint="cs"/>
          <w:spacing w:val="10"/>
          <w:sz w:val="24"/>
          <w:szCs w:val="24"/>
          <w:rtl/>
        </w:rPr>
        <w:t xml:space="preserve"> מצדיקה בחינת העניין בכללותו באספקלריה של עבירה פלילית. לתפיסתי, פרשנות לפיה הקביעות הרלוונטיות בדבר החובה לבחון את מכלול ההתנהלות של עובד הציבור, חלות אך ורק בסיטואציה אחת, ספציפית, כפי שהתרחשה בפרשות אלו </w:t>
      </w:r>
      <w:r w:rsidRPr="00357530">
        <w:rPr>
          <w:rFonts w:ascii="David" w:eastAsia="Times New Roman" w:hAnsi="David" w:cs="David"/>
          <w:spacing w:val="10"/>
          <w:sz w:val="24"/>
          <w:szCs w:val="24"/>
          <w:rtl/>
        </w:rPr>
        <w:t>–</w:t>
      </w:r>
      <w:r w:rsidRPr="00357530">
        <w:rPr>
          <w:rFonts w:ascii="David" w:eastAsia="Times New Roman" w:hAnsi="David" w:cs="David" w:hint="cs"/>
          <w:spacing w:val="10"/>
          <w:sz w:val="24"/>
          <w:szCs w:val="24"/>
          <w:rtl/>
        </w:rPr>
        <w:t xml:space="preserve"> מחטיאה את מהות העבירה ותכליתה. פירוש דווקני כאמור אינו עולה בקנה אחד עם בחירתו של בית המשפט </w:t>
      </w:r>
      <w:r w:rsidRPr="00357530">
        <w:rPr>
          <w:rFonts w:ascii="David" w:eastAsia="Times New Roman" w:hAnsi="David" w:cs="David"/>
          <w:spacing w:val="10"/>
          <w:sz w:val="24"/>
          <w:szCs w:val="24"/>
          <w:rtl/>
        </w:rPr>
        <w:t>בפרשת שבס</w:t>
      </w:r>
      <w:r w:rsidRPr="00357530">
        <w:rPr>
          <w:rFonts w:ascii="David" w:eastAsia="Times New Roman" w:hAnsi="David" w:cs="David" w:hint="cs"/>
          <w:spacing w:val="10"/>
          <w:sz w:val="24"/>
          <w:szCs w:val="24"/>
          <w:rtl/>
        </w:rPr>
        <w:t xml:space="preserve"> להימנע מלתת לעבירה פירוש מצמצם, וזאת כדי לא לשלול מהחברה הישראלית מכשיר חשוב לשמירה על ערכי השירות הציבורי. ההכרח בבחינה כוללת </w:t>
      </w:r>
      <w:r>
        <w:rPr>
          <w:rFonts w:ascii="David" w:eastAsia="Times New Roman" w:hAnsi="David" w:cs="David" w:hint="cs"/>
          <w:spacing w:val="10"/>
          <w:sz w:val="24"/>
          <w:szCs w:val="24"/>
          <w:rtl/>
        </w:rPr>
        <w:t xml:space="preserve">של המעשים </w:t>
      </w:r>
      <w:r w:rsidRPr="00357530">
        <w:rPr>
          <w:rFonts w:ascii="David" w:eastAsia="Times New Roman" w:hAnsi="David" w:cs="David" w:hint="cs"/>
          <w:spacing w:val="10"/>
          <w:sz w:val="24"/>
          <w:szCs w:val="24"/>
          <w:rtl/>
        </w:rPr>
        <w:t>משקף לדעתי קביעה כללית, נורמטיבית, שבוודאי לא נתפרה על-ידי בתי המשפט</w:t>
      </w:r>
      <w:r>
        <w:rPr>
          <w:rFonts w:ascii="David" w:eastAsia="Times New Roman" w:hAnsi="David" w:cs="David" w:hint="cs"/>
          <w:spacing w:val="10"/>
          <w:sz w:val="24"/>
          <w:szCs w:val="24"/>
          <w:rtl/>
        </w:rPr>
        <w:t xml:space="preserve"> </w:t>
      </w:r>
      <w:r w:rsidRPr="00357530">
        <w:rPr>
          <w:rFonts w:ascii="David" w:eastAsia="Times New Roman" w:hAnsi="David" w:cs="David" w:hint="cs"/>
          <w:spacing w:val="10"/>
          <w:sz w:val="24"/>
          <w:szCs w:val="24"/>
          <w:rtl/>
        </w:rPr>
        <w:t>לפרשות אלה בלבד.</w:t>
      </w:r>
    </w:p>
    <w:p w:rsidR="00775EE7" w:rsidRDefault="004E14DF" w:rsidP="000B49F6">
      <w:pPr>
        <w:pStyle w:val="a3"/>
        <w:numPr>
          <w:ilvl w:val="0"/>
          <w:numId w:val="7"/>
        </w:numPr>
        <w:spacing w:after="0" w:line="360" w:lineRule="auto"/>
        <w:jc w:val="both"/>
        <w:rPr>
          <w:rFonts w:ascii="David" w:eastAsia="Times New Roman" w:hAnsi="David" w:cs="David"/>
          <w:spacing w:val="10"/>
          <w:sz w:val="24"/>
          <w:szCs w:val="24"/>
          <w:u w:val="single"/>
        </w:rPr>
      </w:pPr>
      <w:r w:rsidRPr="005C0466">
        <w:rPr>
          <w:rFonts w:ascii="David" w:eastAsia="Times New Roman" w:hAnsi="David" w:cs="David" w:hint="cs"/>
          <w:spacing w:val="10"/>
          <w:sz w:val="24"/>
          <w:szCs w:val="24"/>
          <w:u w:val="single"/>
          <w:rtl/>
        </w:rPr>
        <w:t>על המקרים, שלדעתי, אפשר להקיש מהם לענייננו</w:t>
      </w:r>
    </w:p>
    <w:p w:rsidR="00A24606" w:rsidRDefault="00A24606" w:rsidP="00A24606">
      <w:pPr>
        <w:pStyle w:val="a3"/>
        <w:spacing w:after="0" w:line="360" w:lineRule="auto"/>
        <w:ind w:left="360"/>
        <w:jc w:val="both"/>
        <w:rPr>
          <w:rFonts w:ascii="David" w:eastAsia="Times New Roman" w:hAnsi="David" w:cs="David"/>
          <w:spacing w:val="10"/>
          <w:sz w:val="24"/>
          <w:szCs w:val="24"/>
          <w:u w:val="single"/>
        </w:rPr>
      </w:pPr>
    </w:p>
    <w:p w:rsidR="00775EE7" w:rsidRDefault="004E14DF" w:rsidP="000B49F6">
      <w:pPr>
        <w:spacing w:after="0" w:line="360" w:lineRule="auto"/>
        <w:jc w:val="both"/>
        <w:rPr>
          <w:rFonts w:ascii="David" w:eastAsia="Times New Roman" w:hAnsi="David" w:cs="David"/>
          <w:spacing w:val="10"/>
          <w:sz w:val="24"/>
          <w:szCs w:val="24"/>
          <w:rtl/>
        </w:rPr>
      </w:pPr>
      <w:r w:rsidRPr="00775EE7">
        <w:rPr>
          <w:rFonts w:ascii="David" w:eastAsia="Times New Roman" w:hAnsi="David" w:cs="David" w:hint="cs"/>
          <w:spacing w:val="10"/>
          <w:sz w:val="24"/>
          <w:szCs w:val="24"/>
          <w:rtl/>
        </w:rPr>
        <w:t>אף אם אניח לטובתו של שחם כי אין להקיש מפרשות אלו לענייננו, הרי שגם בפרשת</w:t>
      </w:r>
      <w:r w:rsidRPr="00775EE7">
        <w:rPr>
          <w:rFonts w:ascii="David" w:eastAsia="Times New Roman" w:hAnsi="David" w:cs="David"/>
          <w:spacing w:val="10"/>
          <w:sz w:val="24"/>
          <w:szCs w:val="24"/>
          <w:rtl/>
        </w:rPr>
        <w:t xml:space="preserve"> מור</w:t>
      </w:r>
      <w:r w:rsidRPr="00775EE7">
        <w:rPr>
          <w:rFonts w:ascii="David" w:eastAsia="Times New Roman" w:hAnsi="David" w:cs="David" w:hint="cs"/>
          <w:spacing w:val="10"/>
          <w:sz w:val="24"/>
          <w:szCs w:val="24"/>
          <w:rtl/>
        </w:rPr>
        <w:t xml:space="preserve">, הדומה בנסיבותיו למקרה שלפנינו </w:t>
      </w:r>
      <w:r w:rsidRPr="00775EE7">
        <w:rPr>
          <w:rFonts w:ascii="David" w:eastAsia="Times New Roman" w:hAnsi="David" w:cs="David"/>
          <w:spacing w:val="10"/>
          <w:sz w:val="24"/>
          <w:szCs w:val="24"/>
          <w:rtl/>
        </w:rPr>
        <w:t>–</w:t>
      </w:r>
      <w:r w:rsidRPr="00775EE7">
        <w:rPr>
          <w:rFonts w:ascii="David" w:eastAsia="Times New Roman" w:hAnsi="David" w:cs="David" w:hint="cs"/>
          <w:spacing w:val="10"/>
          <w:sz w:val="24"/>
          <w:szCs w:val="24"/>
          <w:rtl/>
        </w:rPr>
        <w:t xml:space="preserve"> קבע בית המשפט העליון </w:t>
      </w:r>
      <w:proofErr w:type="spellStart"/>
      <w:r w:rsidRPr="00775EE7">
        <w:rPr>
          <w:rFonts w:ascii="David" w:eastAsia="Times New Roman" w:hAnsi="David" w:cs="David" w:hint="cs"/>
          <w:spacing w:val="10"/>
          <w:sz w:val="24"/>
          <w:szCs w:val="24"/>
          <w:rtl/>
        </w:rPr>
        <w:t>בכגון</w:t>
      </w:r>
      <w:proofErr w:type="spellEnd"/>
      <w:r w:rsidRPr="00775EE7">
        <w:rPr>
          <w:rFonts w:ascii="David" w:eastAsia="Times New Roman" w:hAnsi="David" w:cs="David" w:hint="cs"/>
          <w:spacing w:val="10"/>
          <w:sz w:val="24"/>
          <w:szCs w:val="24"/>
          <w:rtl/>
        </w:rPr>
        <w:t xml:space="preserve"> דא את נכונות בחינתם של הצטברות המעשים, קרי, את נכונותה של "תזת הצבירה". באותו עניין, אישר בית המשפט, הלכה למעשה, שהצטברות התנהלות חוזרת ונשנית, הכורכת הצעות מיניות של עובד בכיר לעובדות זוטרות יחד עם טיפול מקצועי-ניהולי באותן העובדות, עשויה להיכנס בגדר העבירה הפלילית של מרמה והפרת אמונים. </w:t>
      </w:r>
    </w:p>
    <w:p w:rsidR="00A24606" w:rsidRPr="00775EE7" w:rsidRDefault="00A24606" w:rsidP="000B49F6">
      <w:pPr>
        <w:spacing w:after="0" w:line="360" w:lineRule="auto"/>
        <w:jc w:val="both"/>
        <w:rPr>
          <w:rFonts w:ascii="David" w:eastAsia="Times New Roman" w:hAnsi="David" w:cs="David"/>
          <w:spacing w:val="10"/>
          <w:sz w:val="24"/>
          <w:szCs w:val="24"/>
          <w:rtl/>
        </w:rPr>
      </w:pPr>
    </w:p>
    <w:p w:rsidR="00E16EAC" w:rsidRPr="00951A74" w:rsidRDefault="004E14DF" w:rsidP="00E16EAC">
      <w:pPr>
        <w:spacing w:line="360" w:lineRule="auto"/>
        <w:jc w:val="both"/>
        <w:rPr>
          <w:rFonts w:ascii="David" w:eastAsia="Times New Roman" w:hAnsi="David" w:cs="David"/>
          <w:spacing w:val="10"/>
          <w:sz w:val="24"/>
          <w:szCs w:val="24"/>
          <w:rtl/>
        </w:rPr>
      </w:pPr>
      <w:r w:rsidRPr="00951A74">
        <w:rPr>
          <w:rFonts w:ascii="David" w:eastAsia="Times New Roman" w:hAnsi="David" w:cs="David" w:hint="cs"/>
          <w:spacing w:val="10"/>
          <w:sz w:val="24"/>
          <w:szCs w:val="24"/>
          <w:rtl/>
        </w:rPr>
        <w:t xml:space="preserve">אכן, בעניינו של </w:t>
      </w:r>
      <w:r w:rsidRPr="00951A74">
        <w:rPr>
          <w:rFonts w:ascii="David" w:eastAsia="Times New Roman" w:hAnsi="David" w:cs="David"/>
          <w:spacing w:val="10"/>
          <w:sz w:val="24"/>
          <w:szCs w:val="24"/>
          <w:rtl/>
        </w:rPr>
        <w:t>ניסים מור</w:t>
      </w:r>
      <w:r w:rsidRPr="00951A74">
        <w:rPr>
          <w:rFonts w:ascii="David" w:eastAsia="Times New Roman" w:hAnsi="David" w:cs="David" w:hint="cs"/>
          <w:spacing w:val="10"/>
          <w:sz w:val="24"/>
          <w:szCs w:val="24"/>
          <w:rtl/>
        </w:rPr>
        <w:t xml:space="preserve"> קיימים אלמנטים שאינם קיימים במקרה בו עסקינן, וביניהם אלמנט המרמה כלפי המתלוננות ואלמנט השימוש ביכולותיו כדי להשפיע ולסייע למתלוננות כדי לקדם את עניינו בהן. ואולם, מעבר לשני האלמנטים האמורים, העניין שלפנינו חמור עשרות מונים מפרשת</w:t>
      </w:r>
      <w:r w:rsidRPr="00951A74">
        <w:rPr>
          <w:rFonts w:ascii="David" w:eastAsia="Times New Roman" w:hAnsi="David" w:cs="David"/>
          <w:spacing w:val="10"/>
          <w:sz w:val="24"/>
          <w:szCs w:val="24"/>
          <w:rtl/>
        </w:rPr>
        <w:t xml:space="preserve"> מור</w:t>
      </w:r>
      <w:r w:rsidRPr="00951A74">
        <w:rPr>
          <w:rFonts w:ascii="David" w:eastAsia="Times New Roman" w:hAnsi="David" w:cs="David" w:hint="cs"/>
          <w:spacing w:val="10"/>
          <w:sz w:val="24"/>
          <w:szCs w:val="24"/>
          <w:rtl/>
        </w:rPr>
        <w:t xml:space="preserve"> </w:t>
      </w:r>
      <w:r w:rsidRPr="00951A74">
        <w:rPr>
          <w:rFonts w:ascii="David" w:eastAsia="Times New Roman" w:hAnsi="David" w:cs="David"/>
          <w:spacing w:val="10"/>
          <w:sz w:val="24"/>
          <w:szCs w:val="24"/>
          <w:rtl/>
        </w:rPr>
        <w:t>–</w:t>
      </w:r>
      <w:r w:rsidRPr="00951A74">
        <w:rPr>
          <w:rFonts w:ascii="David" w:eastAsia="Times New Roman" w:hAnsi="David" w:cs="David" w:hint="cs"/>
          <w:spacing w:val="10"/>
          <w:sz w:val="24"/>
          <w:szCs w:val="24"/>
          <w:rtl/>
        </w:rPr>
        <w:t xml:space="preserve"> מספר השוטרות והיקף התנהלותו של שחם </w:t>
      </w:r>
      <w:r w:rsidRPr="00951A74">
        <w:rPr>
          <w:rFonts w:ascii="David" w:eastAsia="Times New Roman" w:hAnsi="David" w:cs="David" w:hint="cs"/>
          <w:spacing w:val="10"/>
          <w:sz w:val="24"/>
          <w:szCs w:val="24"/>
          <w:rtl/>
        </w:rPr>
        <w:lastRenderedPageBreak/>
        <w:t>במהלך לא פחות מ- 5 שנים לעומת התנ</w:t>
      </w:r>
      <w:r>
        <w:rPr>
          <w:rFonts w:ascii="David" w:eastAsia="Times New Roman" w:hAnsi="David" w:cs="David" w:hint="cs"/>
          <w:spacing w:val="10"/>
          <w:sz w:val="24"/>
          <w:szCs w:val="24"/>
          <w:rtl/>
        </w:rPr>
        <w:t>הלותו של מור מול 3 שוטרות בלבד במה</w:t>
      </w:r>
      <w:r w:rsidRPr="00951A74">
        <w:rPr>
          <w:rFonts w:ascii="David" w:eastAsia="Times New Roman" w:hAnsi="David" w:cs="David" w:hint="cs"/>
          <w:spacing w:val="10"/>
          <w:sz w:val="24"/>
          <w:szCs w:val="24"/>
          <w:rtl/>
        </w:rPr>
        <w:t xml:space="preserve">לך כמחצית שנה אחת; יצירת קשרים אסורים וקיומם בענייננו של שחם, כאשר בחלק מן הפרשות נמשכו הקשרים זמן רב, לעומת מור שאך ניסה את מזלו ללא הצלחה. לנוכח הדמיון הרב בין דבריו הברורים של בית המשפט אשר נאמרו בהקשר של בכיר במשטרה שהורשע בעבירה של מרמה והפרת אמונים, על רקע קשרים אינטימיים שיצר וניהל עם שוטרות זוטרות עת כיהן כסמפכ"ל </w:t>
      </w:r>
      <w:r w:rsidRPr="00951A74">
        <w:rPr>
          <w:rFonts w:ascii="David" w:eastAsia="Times New Roman" w:hAnsi="David" w:cs="David"/>
          <w:spacing w:val="10"/>
          <w:sz w:val="24"/>
          <w:szCs w:val="24"/>
          <w:rtl/>
        </w:rPr>
        <w:t>–</w:t>
      </w:r>
      <w:r w:rsidRPr="00951A74">
        <w:rPr>
          <w:rFonts w:ascii="David" w:eastAsia="Times New Roman" w:hAnsi="David" w:cs="David" w:hint="cs"/>
          <w:spacing w:val="10"/>
          <w:sz w:val="24"/>
          <w:szCs w:val="24"/>
          <w:rtl/>
        </w:rPr>
        <w:t xml:space="preserve"> ההיקש מתבקש כמו מאליו, ויהא זה אך טבעי להקיש מפרשה זו לענייננו. </w:t>
      </w:r>
    </w:p>
    <w:p w:rsidR="005C0466" w:rsidRDefault="004E14DF" w:rsidP="004D343C">
      <w:pPr>
        <w:spacing w:line="360" w:lineRule="auto"/>
        <w:jc w:val="both"/>
        <w:rPr>
          <w:rFonts w:ascii="David" w:eastAsia="Times New Roman" w:hAnsi="David" w:cs="David"/>
          <w:spacing w:val="10"/>
          <w:sz w:val="24"/>
          <w:szCs w:val="24"/>
          <w:rtl/>
        </w:rPr>
      </w:pPr>
      <w:r w:rsidRPr="00951A74">
        <w:rPr>
          <w:rFonts w:ascii="David" w:eastAsia="Times New Roman" w:hAnsi="David" w:cs="David" w:hint="cs"/>
          <w:spacing w:val="10"/>
          <w:sz w:val="24"/>
          <w:szCs w:val="24"/>
          <w:rtl/>
        </w:rPr>
        <w:t>לנוכח האמור לעיל , סבורני</w:t>
      </w:r>
      <w:r>
        <w:rPr>
          <w:rFonts w:ascii="David" w:eastAsia="Times New Roman" w:hAnsi="David" w:cs="David" w:hint="cs"/>
          <w:spacing w:val="10"/>
          <w:sz w:val="24"/>
          <w:szCs w:val="24"/>
          <w:rtl/>
        </w:rPr>
        <w:t>,</w:t>
      </w:r>
      <w:r w:rsidRPr="00951A74">
        <w:rPr>
          <w:rFonts w:ascii="David" w:eastAsia="Times New Roman" w:hAnsi="David" w:cs="David" w:hint="cs"/>
          <w:spacing w:val="10"/>
          <w:sz w:val="24"/>
          <w:szCs w:val="24"/>
          <w:rtl/>
        </w:rPr>
        <w:t xml:space="preserve"> שיש בפסקי הדין הנזכרים לעיל כדי ללמד כי בית המשפט טעה בכך שדחה את טענת המדינה שעניינה הסתכלות על מכלול מעשיו והתנהלותו של שחם, וכן בקביעה כי טענה זו כמוה "כתזה חדשנית".</w:t>
      </w:r>
    </w:p>
    <w:p w:rsidR="00E16EAC" w:rsidRPr="00951A74" w:rsidRDefault="004E14DF" w:rsidP="00E16EAC">
      <w:pPr>
        <w:spacing w:line="360" w:lineRule="auto"/>
        <w:jc w:val="both"/>
        <w:rPr>
          <w:rFonts w:ascii="David" w:eastAsia="Times New Roman" w:hAnsi="David" w:cs="David"/>
          <w:spacing w:val="10"/>
          <w:sz w:val="24"/>
          <w:szCs w:val="24"/>
          <w:u w:val="single"/>
          <w:rtl/>
        </w:rPr>
      </w:pPr>
      <w:r w:rsidRPr="00951A74">
        <w:rPr>
          <w:rFonts w:ascii="David" w:eastAsia="Times New Roman" w:hAnsi="David" w:cs="David" w:hint="cs"/>
          <w:spacing w:val="10"/>
          <w:sz w:val="24"/>
          <w:szCs w:val="24"/>
          <w:u w:val="single"/>
          <w:rtl/>
        </w:rPr>
        <w:t>"לוגיקת הצבירה" בתחומי משפט אחרים</w:t>
      </w:r>
    </w:p>
    <w:p w:rsidR="006B5BB5" w:rsidRDefault="004E14DF" w:rsidP="006B5BB5">
      <w:pPr>
        <w:spacing w:after="0" w:line="360" w:lineRule="auto"/>
        <w:jc w:val="both"/>
        <w:rPr>
          <w:rFonts w:ascii="David" w:eastAsia="Times New Roman" w:hAnsi="David" w:cs="David"/>
          <w:spacing w:val="10"/>
          <w:sz w:val="24"/>
          <w:szCs w:val="24"/>
          <w:rtl/>
        </w:rPr>
      </w:pPr>
      <w:r w:rsidRPr="00951A74">
        <w:rPr>
          <w:rFonts w:ascii="David" w:eastAsia="Times New Roman" w:hAnsi="David" w:cs="David" w:hint="cs"/>
          <w:spacing w:val="10"/>
          <w:sz w:val="24"/>
          <w:szCs w:val="24"/>
          <w:rtl/>
        </w:rPr>
        <w:t>למעלה מן הנדרש, אדגיש כי לוגיקת הצבירה אינה זרה לעולם המשפט והיא הוכרה על-ידי בית המשפט העליון אף בתחומי משפט אחרים</w:t>
      </w:r>
      <w:r>
        <w:rPr>
          <w:rFonts w:ascii="David" w:eastAsia="Times New Roman" w:hAnsi="David" w:cs="David" w:hint="cs"/>
          <w:spacing w:val="10"/>
          <w:sz w:val="24"/>
          <w:szCs w:val="24"/>
          <w:rtl/>
        </w:rPr>
        <w:t xml:space="preserve">, </w:t>
      </w:r>
      <w:r w:rsidRPr="008D553E">
        <w:rPr>
          <w:rFonts w:ascii="David" w:eastAsia="Times New Roman" w:hAnsi="David" w:cs="David" w:hint="cs"/>
          <w:spacing w:val="10"/>
          <w:sz w:val="24"/>
          <w:szCs w:val="24"/>
          <w:rtl/>
        </w:rPr>
        <w:t>כפי שיודגם להלן.</w:t>
      </w:r>
      <w:r w:rsidRPr="00951A74">
        <w:rPr>
          <w:rFonts w:ascii="David" w:eastAsia="Times New Roman" w:hAnsi="David" w:cs="David" w:hint="cs"/>
          <w:spacing w:val="10"/>
          <w:sz w:val="24"/>
          <w:szCs w:val="24"/>
          <w:rtl/>
        </w:rPr>
        <w:t xml:space="preserve"> </w:t>
      </w:r>
    </w:p>
    <w:p w:rsidR="00A24606" w:rsidRDefault="00A24606" w:rsidP="006B5BB5">
      <w:pPr>
        <w:spacing w:after="0" w:line="360" w:lineRule="auto"/>
        <w:jc w:val="both"/>
        <w:rPr>
          <w:rFonts w:ascii="David" w:eastAsia="Times New Roman" w:hAnsi="David" w:cs="David"/>
          <w:spacing w:val="10"/>
          <w:sz w:val="24"/>
          <w:szCs w:val="24"/>
          <w:rtl/>
        </w:rPr>
      </w:pPr>
    </w:p>
    <w:p w:rsidR="00C3494E" w:rsidRPr="00781518" w:rsidRDefault="004E14DF" w:rsidP="000B49F6">
      <w:pPr>
        <w:spacing w:after="100" w:afterAutospacing="1" w:line="360" w:lineRule="auto"/>
        <w:jc w:val="both"/>
        <w:rPr>
          <w:rFonts w:ascii="David" w:eastAsia="Times New Roman" w:hAnsi="David" w:cs="David"/>
          <w:spacing w:val="10"/>
          <w:sz w:val="24"/>
          <w:szCs w:val="24"/>
          <w:rtl/>
        </w:rPr>
      </w:pPr>
      <w:r w:rsidRPr="00951A74">
        <w:rPr>
          <w:rFonts w:ascii="David" w:eastAsia="Times New Roman" w:hAnsi="David" w:cs="David" w:hint="cs"/>
          <w:spacing w:val="10"/>
          <w:sz w:val="24"/>
          <w:szCs w:val="24"/>
          <w:rtl/>
        </w:rPr>
        <w:t>כך למשל, ביטוי בפסיקה לאימוץ דעה דומה</w:t>
      </w:r>
      <w:r>
        <w:rPr>
          <w:rFonts w:ascii="David" w:eastAsia="Times New Roman" w:hAnsi="David" w:cs="David" w:hint="cs"/>
          <w:spacing w:val="10"/>
          <w:sz w:val="24"/>
          <w:szCs w:val="24"/>
          <w:rtl/>
        </w:rPr>
        <w:t>,</w:t>
      </w:r>
      <w:r w:rsidRPr="00951A74">
        <w:rPr>
          <w:rFonts w:ascii="David" w:eastAsia="Times New Roman" w:hAnsi="David" w:cs="David" w:hint="cs"/>
          <w:spacing w:val="10"/>
          <w:sz w:val="24"/>
          <w:szCs w:val="24"/>
          <w:rtl/>
        </w:rPr>
        <w:t xml:space="preserve"> התומכת בעמדה שהציגה המדינה בדבר קיומה של "תזת הצבירה", ניתן למצוא בתחום החוקתי, בשימוש החדשני שנעשה בדוקטרינת "האפקט המצטבר" </w:t>
      </w:r>
      <w:proofErr w:type="spellStart"/>
      <w:r w:rsidRPr="00951A74">
        <w:rPr>
          <w:rFonts w:ascii="David" w:eastAsia="Times New Roman" w:hAnsi="David" w:cs="David"/>
          <w:spacing w:val="10"/>
          <w:sz w:val="24"/>
          <w:szCs w:val="24"/>
          <w:rtl/>
        </w:rPr>
        <w:t>בבש"פ</w:t>
      </w:r>
      <w:proofErr w:type="spellEnd"/>
      <w:r w:rsidRPr="00951A74">
        <w:rPr>
          <w:rFonts w:ascii="David" w:eastAsia="Times New Roman" w:hAnsi="David" w:cs="David"/>
          <w:spacing w:val="10"/>
          <w:sz w:val="24"/>
          <w:szCs w:val="24"/>
          <w:rtl/>
        </w:rPr>
        <w:t xml:space="preserve"> 8823/07 </w:t>
      </w:r>
      <w:r w:rsidRPr="00951A74">
        <w:rPr>
          <w:rFonts w:ascii="David" w:eastAsia="Times New Roman" w:hAnsi="David" w:cs="David"/>
          <w:b/>
          <w:bCs/>
          <w:spacing w:val="10"/>
          <w:sz w:val="24"/>
          <w:szCs w:val="24"/>
          <w:rtl/>
        </w:rPr>
        <w:t>פלוני נ' מדינת ישראל</w:t>
      </w:r>
      <w:r w:rsidRPr="00951A74">
        <w:rPr>
          <w:rFonts w:ascii="David" w:eastAsia="Times New Roman" w:hAnsi="David" w:cs="David"/>
          <w:spacing w:val="10"/>
          <w:sz w:val="24"/>
          <w:szCs w:val="24"/>
          <w:rtl/>
        </w:rPr>
        <w:t xml:space="preserve"> </w:t>
      </w:r>
      <w:r>
        <w:rPr>
          <w:rFonts w:ascii="David" w:eastAsia="Times New Roman" w:hAnsi="David" w:cs="David" w:hint="cs"/>
          <w:spacing w:val="10"/>
          <w:sz w:val="24"/>
          <w:szCs w:val="24"/>
          <w:rtl/>
        </w:rPr>
        <w:t>(</w:t>
      </w:r>
      <w:r w:rsidRPr="00951A74">
        <w:rPr>
          <w:rFonts w:ascii="David" w:eastAsia="Times New Roman" w:hAnsi="David" w:cs="David"/>
          <w:spacing w:val="10"/>
          <w:sz w:val="24"/>
          <w:szCs w:val="24"/>
          <w:rtl/>
        </w:rPr>
        <w:t>11.2.2010)</w:t>
      </w:r>
      <w:r w:rsidRPr="00951A74">
        <w:rPr>
          <w:rFonts w:ascii="David" w:eastAsia="Times New Roman" w:hAnsi="David" w:cs="David" w:hint="cs"/>
          <w:spacing w:val="10"/>
          <w:sz w:val="24"/>
          <w:szCs w:val="24"/>
          <w:rtl/>
        </w:rPr>
        <w:t xml:space="preserve">, כפי שכונתה על-ידי שופטי ההרכב המורחב. </w:t>
      </w:r>
    </w:p>
    <w:p w:rsidR="00DD3E68" w:rsidRPr="00373B46" w:rsidRDefault="004E14DF" w:rsidP="000B49F6">
      <w:pPr>
        <w:spacing w:after="100" w:afterAutospacing="1" w:line="360" w:lineRule="auto"/>
        <w:jc w:val="both"/>
        <w:rPr>
          <w:rFonts w:ascii="David" w:eastAsia="Times New Roman" w:hAnsi="David" w:cs="David"/>
          <w:spacing w:val="10"/>
          <w:sz w:val="24"/>
          <w:szCs w:val="24"/>
          <w:rtl/>
        </w:rPr>
      </w:pPr>
      <w:r w:rsidRPr="00951A74">
        <w:rPr>
          <w:rFonts w:ascii="David" w:eastAsia="Times New Roman" w:hAnsi="David" w:cs="David" w:hint="cs"/>
          <w:spacing w:val="10"/>
          <w:sz w:val="24"/>
          <w:szCs w:val="24"/>
          <w:rtl/>
        </w:rPr>
        <w:t xml:space="preserve">דוגמה נוספת לתחום משפטי שבו בית המשפט מבצע </w:t>
      </w:r>
      <w:proofErr w:type="spellStart"/>
      <w:r w:rsidRPr="00951A74">
        <w:rPr>
          <w:rFonts w:ascii="David" w:eastAsia="Times New Roman" w:hAnsi="David" w:cs="David" w:hint="cs"/>
          <w:spacing w:val="10"/>
          <w:sz w:val="24"/>
          <w:szCs w:val="24"/>
          <w:rtl/>
        </w:rPr>
        <w:t>אגרגציה</w:t>
      </w:r>
      <w:proofErr w:type="spellEnd"/>
      <w:r w:rsidRPr="00951A74">
        <w:rPr>
          <w:rFonts w:ascii="David" w:eastAsia="Times New Roman" w:hAnsi="David" w:cs="David" w:hint="cs"/>
          <w:spacing w:val="10"/>
          <w:sz w:val="24"/>
          <w:szCs w:val="24"/>
          <w:rtl/>
        </w:rPr>
        <w:t xml:space="preserve">, בעיקר נורמטיבית, הוא המשפט המנהלי. אין כל קושי לאתר פסקי דין שניתן בהם משקל לאפקט המצטבר של פגמים בתחומי המשפט המנהלי השונים. כך למשל, אפשר לומר שתורת הפגמים בתהליך קבלת החלטה מנהלית מבוססת ברובה על </w:t>
      </w:r>
      <w:proofErr w:type="spellStart"/>
      <w:r w:rsidRPr="00951A74">
        <w:rPr>
          <w:rFonts w:ascii="David" w:eastAsia="Times New Roman" w:hAnsi="David" w:cs="David" w:hint="cs"/>
          <w:spacing w:val="10"/>
          <w:sz w:val="24"/>
          <w:szCs w:val="24"/>
          <w:rtl/>
        </w:rPr>
        <w:t>אגרגציה</w:t>
      </w:r>
      <w:proofErr w:type="spellEnd"/>
      <w:r w:rsidRPr="00951A74">
        <w:rPr>
          <w:rFonts w:ascii="David" w:eastAsia="Times New Roman" w:hAnsi="David" w:cs="David" w:hint="cs"/>
          <w:spacing w:val="10"/>
          <w:sz w:val="24"/>
          <w:szCs w:val="24"/>
          <w:rtl/>
        </w:rPr>
        <w:t xml:space="preserve"> נורמטיבית בין טענות</w:t>
      </w:r>
      <w:r>
        <w:rPr>
          <w:rFonts w:ascii="David" w:eastAsia="Times New Roman" w:hAnsi="David" w:cs="David" w:hint="cs"/>
          <w:spacing w:val="10"/>
          <w:sz w:val="24"/>
          <w:szCs w:val="24"/>
          <w:rtl/>
        </w:rPr>
        <w:t xml:space="preserve"> (לעניין זה ראו האסמכתאות</w:t>
      </w:r>
      <w:r w:rsidR="00ED203E">
        <w:rPr>
          <w:rFonts w:ascii="David" w:eastAsia="Times New Roman" w:hAnsi="David" w:cs="David" w:hint="cs"/>
          <w:spacing w:val="10"/>
          <w:sz w:val="24"/>
          <w:szCs w:val="24"/>
          <w:rtl/>
        </w:rPr>
        <w:t xml:space="preserve"> המופיעות</w:t>
      </w:r>
      <w:r>
        <w:rPr>
          <w:rFonts w:ascii="David" w:eastAsia="Times New Roman" w:hAnsi="David" w:cs="David" w:hint="cs"/>
          <w:spacing w:val="10"/>
          <w:sz w:val="24"/>
          <w:szCs w:val="24"/>
          <w:rtl/>
        </w:rPr>
        <w:t xml:space="preserve"> בפסק הדין המלא).</w:t>
      </w:r>
    </w:p>
    <w:p w:rsidR="00ED203E" w:rsidRDefault="004E14DF" w:rsidP="00C3494E">
      <w:pPr>
        <w:pStyle w:val="NormalWeb"/>
        <w:bidi/>
        <w:spacing w:before="0" w:beforeAutospacing="0" w:after="0" w:afterAutospacing="0" w:line="360" w:lineRule="auto"/>
        <w:jc w:val="both"/>
        <w:rPr>
          <w:rFonts w:ascii="David" w:hAnsi="David" w:cs="David"/>
          <w:spacing w:val="10"/>
          <w:rtl/>
        </w:rPr>
      </w:pPr>
      <w:r w:rsidRPr="00951A74">
        <w:rPr>
          <w:rFonts w:ascii="David" w:hAnsi="David" w:cs="David" w:hint="cs"/>
          <w:spacing w:val="10"/>
          <w:rtl/>
        </w:rPr>
        <w:t>לוגיקה דומה ניתן למצוא אף בתחום דיני החוזים, שבו ניתן לצרף מספר רכיבים בתוך עילה אחת</w:t>
      </w:r>
      <w:r w:rsidR="00ED203E">
        <w:rPr>
          <w:rFonts w:ascii="David" w:hAnsi="David" w:cs="David" w:hint="cs"/>
          <w:spacing w:val="10"/>
          <w:rtl/>
        </w:rPr>
        <w:t xml:space="preserve"> (לעניין זה ראו האסמכתאות המופיעות בפסק הדין המלא).</w:t>
      </w:r>
    </w:p>
    <w:p w:rsidR="00C3494E" w:rsidRDefault="00C3494E" w:rsidP="00C3494E">
      <w:pPr>
        <w:pStyle w:val="NormalWeb"/>
        <w:bidi/>
        <w:spacing w:before="0" w:beforeAutospacing="0" w:after="0" w:afterAutospacing="0" w:line="360" w:lineRule="auto"/>
        <w:jc w:val="both"/>
        <w:rPr>
          <w:rFonts w:ascii="David" w:hAnsi="David" w:cs="David"/>
          <w:spacing w:val="10"/>
          <w:rtl/>
        </w:rPr>
      </w:pPr>
    </w:p>
    <w:p w:rsidR="00ED203E" w:rsidRDefault="004E14DF" w:rsidP="006B5BB5">
      <w:pPr>
        <w:spacing w:after="0" w:line="360" w:lineRule="auto"/>
        <w:jc w:val="both"/>
        <w:rPr>
          <w:rFonts w:ascii="David" w:eastAsia="Times New Roman" w:hAnsi="David" w:cs="David"/>
          <w:spacing w:val="10"/>
          <w:sz w:val="24"/>
          <w:szCs w:val="24"/>
          <w:rtl/>
        </w:rPr>
      </w:pPr>
      <w:r w:rsidRPr="00951A74">
        <w:rPr>
          <w:rFonts w:ascii="David" w:eastAsia="Times New Roman" w:hAnsi="David" w:cs="David" w:hint="cs"/>
          <w:spacing w:val="10"/>
          <w:sz w:val="24"/>
          <w:szCs w:val="24"/>
          <w:rtl/>
        </w:rPr>
        <w:t>סקירת פסקי הדין מתחומי המשפט השונים תומכים במסקנה</w:t>
      </w:r>
      <w:r>
        <w:rPr>
          <w:rFonts w:ascii="David" w:eastAsia="Times New Roman" w:hAnsi="David" w:cs="David" w:hint="cs"/>
          <w:spacing w:val="10"/>
          <w:sz w:val="24"/>
          <w:szCs w:val="24"/>
          <w:rtl/>
        </w:rPr>
        <w:t>,</w:t>
      </w:r>
      <w:r w:rsidRPr="00951A74">
        <w:rPr>
          <w:rFonts w:ascii="David" w:eastAsia="Times New Roman" w:hAnsi="David" w:cs="David" w:hint="cs"/>
          <w:spacing w:val="10"/>
          <w:sz w:val="24"/>
          <w:szCs w:val="24"/>
          <w:rtl/>
        </w:rPr>
        <w:t xml:space="preserve"> לפיה יש לקבל טענת המדינה בדבר הצטברות ניגודי העניינים שבהם היה נתון שחם לכדי עבירה פלילית אחת של עבירת הפרת האמונים, אך מסקנה זו עומדת על רגליה שלה גם אם יהיה מי שיסבור כי אין להקיש מתחומים אלו לענייננו.</w:t>
      </w:r>
    </w:p>
    <w:p w:rsidR="00A24606" w:rsidRPr="0067450B" w:rsidRDefault="00A24606" w:rsidP="006B5BB5">
      <w:pPr>
        <w:spacing w:after="0" w:line="360" w:lineRule="auto"/>
        <w:jc w:val="both"/>
        <w:rPr>
          <w:rFonts w:ascii="David" w:eastAsia="Times New Roman" w:hAnsi="David" w:cs="David"/>
          <w:spacing w:val="10"/>
          <w:sz w:val="24"/>
          <w:szCs w:val="24"/>
          <w:rtl/>
        </w:rPr>
      </w:pPr>
    </w:p>
    <w:p w:rsidR="00ED203E" w:rsidRPr="00951A74" w:rsidRDefault="004E14DF" w:rsidP="00ED203E">
      <w:pPr>
        <w:spacing w:line="360" w:lineRule="auto"/>
        <w:jc w:val="both"/>
        <w:rPr>
          <w:rFonts w:ascii="David" w:eastAsia="Times New Roman" w:hAnsi="David" w:cs="David"/>
          <w:spacing w:val="10"/>
          <w:sz w:val="24"/>
          <w:szCs w:val="24"/>
          <w:rtl/>
        </w:rPr>
      </w:pPr>
      <w:r w:rsidRPr="00951A74">
        <w:rPr>
          <w:rFonts w:ascii="David" w:eastAsia="Times New Roman" w:hAnsi="David" w:cs="David" w:hint="cs"/>
          <w:spacing w:val="10"/>
          <w:sz w:val="24"/>
          <w:szCs w:val="24"/>
          <w:rtl/>
        </w:rPr>
        <w:t xml:space="preserve">לא נעלמה מעייני הטענה </w:t>
      </w:r>
      <w:r>
        <w:rPr>
          <w:rFonts w:ascii="David" w:eastAsia="Times New Roman" w:hAnsi="David" w:cs="David" w:hint="cs"/>
          <w:spacing w:val="10"/>
          <w:sz w:val="24"/>
          <w:szCs w:val="24"/>
          <w:rtl/>
        </w:rPr>
        <w:t xml:space="preserve">שנטענה </w:t>
      </w:r>
      <w:r w:rsidRPr="00951A74">
        <w:rPr>
          <w:rFonts w:ascii="David" w:eastAsia="Times New Roman" w:hAnsi="David" w:cs="David" w:hint="cs"/>
          <w:spacing w:val="10"/>
          <w:sz w:val="24"/>
          <w:szCs w:val="24"/>
          <w:rtl/>
        </w:rPr>
        <w:t>בעיקרי טיעוניו של שחם</w:t>
      </w:r>
      <w:r>
        <w:rPr>
          <w:rFonts w:ascii="David" w:eastAsia="Times New Roman" w:hAnsi="David" w:cs="David" w:hint="cs"/>
          <w:spacing w:val="10"/>
          <w:sz w:val="24"/>
          <w:szCs w:val="24"/>
          <w:rtl/>
        </w:rPr>
        <w:t>,</w:t>
      </w:r>
      <w:r w:rsidRPr="00951A74">
        <w:rPr>
          <w:rFonts w:ascii="David" w:eastAsia="Times New Roman" w:hAnsi="David" w:cs="David" w:hint="cs"/>
          <w:spacing w:val="10"/>
          <w:sz w:val="24"/>
          <w:szCs w:val="24"/>
          <w:rtl/>
        </w:rPr>
        <w:t xml:space="preserve"> כי יש בקבלת "תזת הצבירה" משום פגיעה בעיקרון החוקיות והכוונת התנהגות </w:t>
      </w:r>
      <w:proofErr w:type="spellStart"/>
      <w:r w:rsidRPr="00951A74">
        <w:rPr>
          <w:rFonts w:ascii="David" w:eastAsia="Times New Roman" w:hAnsi="David" w:cs="David" w:hint="cs"/>
          <w:spacing w:val="10"/>
          <w:sz w:val="24"/>
          <w:szCs w:val="24"/>
          <w:rtl/>
        </w:rPr>
        <w:t>המינהל</w:t>
      </w:r>
      <w:proofErr w:type="spellEnd"/>
      <w:r w:rsidRPr="00951A74">
        <w:rPr>
          <w:rFonts w:ascii="David" w:eastAsia="Times New Roman" w:hAnsi="David" w:cs="David" w:hint="cs"/>
          <w:spacing w:val="10"/>
          <w:sz w:val="24"/>
          <w:szCs w:val="24"/>
          <w:rtl/>
        </w:rPr>
        <w:t xml:space="preserve"> בבואו לכלכל את </w:t>
      </w:r>
      <w:r>
        <w:rPr>
          <w:rFonts w:ascii="David" w:eastAsia="Times New Roman" w:hAnsi="David" w:cs="David" w:hint="cs"/>
          <w:spacing w:val="10"/>
          <w:sz w:val="24"/>
          <w:szCs w:val="24"/>
          <w:rtl/>
        </w:rPr>
        <w:t xml:space="preserve">צעדיו. ואולם, הטענה הכללית, לפיה </w:t>
      </w:r>
      <w:r w:rsidRPr="00951A74">
        <w:rPr>
          <w:rFonts w:ascii="David" w:eastAsia="Times New Roman" w:hAnsi="David" w:cs="David" w:hint="cs"/>
          <w:spacing w:val="10"/>
          <w:sz w:val="24"/>
          <w:szCs w:val="24"/>
          <w:rtl/>
        </w:rPr>
        <w:t xml:space="preserve">התבוננות על מכלול מעשיו של שחם ועל דפוס התנהלותו במהלך שנים פוגעת בעיקרון החוקיות, כמוה כטענה כנגד חוקיותה של העבירה עצמה </w:t>
      </w:r>
      <w:r w:rsidRPr="00951A74">
        <w:rPr>
          <w:rFonts w:ascii="David" w:eastAsia="Times New Roman" w:hAnsi="David" w:cs="David"/>
          <w:spacing w:val="10"/>
          <w:sz w:val="24"/>
          <w:szCs w:val="24"/>
          <w:rtl/>
        </w:rPr>
        <w:t>–</w:t>
      </w:r>
      <w:r w:rsidRPr="00951A74">
        <w:rPr>
          <w:rFonts w:ascii="David" w:eastAsia="Times New Roman" w:hAnsi="David" w:cs="David" w:hint="cs"/>
          <w:spacing w:val="10"/>
          <w:sz w:val="24"/>
          <w:szCs w:val="24"/>
          <w:rtl/>
        </w:rPr>
        <w:t xml:space="preserve"> טענה אשר הושמ</w:t>
      </w:r>
      <w:r>
        <w:rPr>
          <w:rFonts w:ascii="David" w:eastAsia="Times New Roman" w:hAnsi="David" w:cs="David" w:hint="cs"/>
          <w:spacing w:val="10"/>
          <w:sz w:val="24"/>
          <w:szCs w:val="24"/>
          <w:rtl/>
        </w:rPr>
        <w:t xml:space="preserve">עה זה מכבר ע"י מלומדים </w:t>
      </w:r>
      <w:r w:rsidRPr="00951A74">
        <w:rPr>
          <w:rFonts w:ascii="David" w:eastAsia="Times New Roman" w:hAnsi="David" w:cs="David" w:hint="cs"/>
          <w:spacing w:val="10"/>
          <w:sz w:val="24"/>
          <w:szCs w:val="24"/>
          <w:rtl/>
        </w:rPr>
        <w:t xml:space="preserve">שונים, אך נדחתה מכל וכל בפסיקת בית המשפט העליון שקבעה כי התרופה למצב דברים זה אינה בביטולה של העבירה, אלא בפירושה הראוי (ראה </w:t>
      </w:r>
      <w:r w:rsidRPr="00481C74">
        <w:rPr>
          <w:rFonts w:ascii="David" w:eastAsia="Times New Roman" w:hAnsi="David" w:cs="David"/>
          <w:b/>
          <w:bCs/>
          <w:spacing w:val="10"/>
          <w:sz w:val="24"/>
          <w:szCs w:val="24"/>
          <w:rtl/>
        </w:rPr>
        <w:t>פרשת שבס</w:t>
      </w:r>
      <w:r w:rsidRPr="00951A74">
        <w:rPr>
          <w:rFonts w:ascii="David" w:eastAsia="Times New Roman" w:hAnsi="David" w:cs="David"/>
          <w:spacing w:val="10"/>
          <w:sz w:val="24"/>
          <w:szCs w:val="24"/>
          <w:rtl/>
        </w:rPr>
        <w:t>, עמ' 407</w:t>
      </w:r>
      <w:r w:rsidRPr="00951A74">
        <w:rPr>
          <w:rFonts w:ascii="David" w:eastAsia="Times New Roman" w:hAnsi="David" w:cs="David" w:hint="cs"/>
          <w:spacing w:val="10"/>
          <w:sz w:val="24"/>
          <w:szCs w:val="24"/>
          <w:rtl/>
        </w:rPr>
        <w:t xml:space="preserve">). אכן, בתחום הפלילי כחלק מעיקרון החוקיות עצמו, נדרשת שמירה על וודאות, על ביטחון ועל יכולת תכנון מראש של התנהגות הפרט. רמת וודאות זו צריכה להיות גבוהה, אך אין לדרוש וודאות מוחלטת. </w:t>
      </w:r>
    </w:p>
    <w:p w:rsidR="00ED203E" w:rsidRPr="00ED203E" w:rsidRDefault="004E14DF" w:rsidP="00ED203E">
      <w:pPr>
        <w:spacing w:line="360" w:lineRule="auto"/>
        <w:jc w:val="both"/>
        <w:rPr>
          <w:rFonts w:ascii="David" w:eastAsia="Times New Roman" w:hAnsi="David" w:cs="David"/>
          <w:spacing w:val="10"/>
          <w:sz w:val="24"/>
          <w:szCs w:val="24"/>
          <w:rtl/>
        </w:rPr>
      </w:pPr>
      <w:r w:rsidRPr="00951A74">
        <w:rPr>
          <w:rFonts w:ascii="David" w:eastAsia="Times New Roman" w:hAnsi="David" w:cs="David" w:hint="cs"/>
          <w:spacing w:val="10"/>
          <w:sz w:val="24"/>
          <w:szCs w:val="24"/>
          <w:rtl/>
        </w:rPr>
        <w:t xml:space="preserve">למרות הקושי הניכר ביישום תזה </w:t>
      </w:r>
      <w:r>
        <w:rPr>
          <w:rFonts w:ascii="David" w:eastAsia="Times New Roman" w:hAnsi="David" w:cs="David" w:hint="cs"/>
          <w:spacing w:val="10"/>
          <w:sz w:val="24"/>
          <w:szCs w:val="24"/>
          <w:rtl/>
        </w:rPr>
        <w:t>זו, קיימת ל</w:t>
      </w:r>
      <w:r w:rsidRPr="00951A74">
        <w:rPr>
          <w:rFonts w:ascii="David" w:eastAsia="Times New Roman" w:hAnsi="David" w:cs="David" w:hint="cs"/>
          <w:spacing w:val="10"/>
          <w:sz w:val="24"/>
          <w:szCs w:val="24"/>
          <w:rtl/>
        </w:rPr>
        <w:t>ד</w:t>
      </w:r>
      <w:r>
        <w:rPr>
          <w:rFonts w:ascii="David" w:eastAsia="Times New Roman" w:hAnsi="David" w:cs="David" w:hint="cs"/>
          <w:spacing w:val="10"/>
          <w:sz w:val="24"/>
          <w:szCs w:val="24"/>
          <w:rtl/>
        </w:rPr>
        <w:t>ע</w:t>
      </w:r>
      <w:r w:rsidRPr="00951A74">
        <w:rPr>
          <w:rFonts w:ascii="David" w:eastAsia="Times New Roman" w:hAnsi="David" w:cs="David" w:hint="cs"/>
          <w:spacing w:val="10"/>
          <w:sz w:val="24"/>
          <w:szCs w:val="24"/>
          <w:rtl/>
        </w:rPr>
        <w:t xml:space="preserve">תי הצדקה עקרונית לביצוע </w:t>
      </w:r>
      <w:proofErr w:type="spellStart"/>
      <w:r w:rsidRPr="00951A74">
        <w:rPr>
          <w:rFonts w:ascii="David" w:eastAsia="Times New Roman" w:hAnsi="David" w:cs="David" w:hint="cs"/>
          <w:spacing w:val="10"/>
          <w:sz w:val="24"/>
          <w:szCs w:val="24"/>
          <w:rtl/>
        </w:rPr>
        <w:t>אגרגציה</w:t>
      </w:r>
      <w:proofErr w:type="spellEnd"/>
      <w:r w:rsidRPr="00951A74">
        <w:rPr>
          <w:rFonts w:ascii="David" w:eastAsia="Times New Roman" w:hAnsi="David" w:cs="David" w:hint="cs"/>
          <w:spacing w:val="10"/>
          <w:sz w:val="24"/>
          <w:szCs w:val="24"/>
          <w:rtl/>
        </w:rPr>
        <w:t xml:space="preserve"> מסוג זה דווקא בעבירה של מרמה והפרת אמונים, בה אך מתבקש לבחון את מכלול מעשי</w:t>
      </w:r>
      <w:r>
        <w:rPr>
          <w:rFonts w:ascii="David" w:eastAsia="Times New Roman" w:hAnsi="David" w:cs="David" w:hint="cs"/>
          <w:spacing w:val="10"/>
          <w:sz w:val="24"/>
          <w:szCs w:val="24"/>
          <w:rtl/>
        </w:rPr>
        <w:t>ו והתנהלותו של עובד הציבור</w:t>
      </w:r>
      <w:r w:rsidRPr="00951A74">
        <w:rPr>
          <w:rFonts w:ascii="David" w:eastAsia="Times New Roman" w:hAnsi="David" w:cs="David" w:hint="cs"/>
          <w:spacing w:val="10"/>
          <w:sz w:val="24"/>
          <w:szCs w:val="24"/>
          <w:rtl/>
        </w:rPr>
        <w:t xml:space="preserve"> </w:t>
      </w:r>
      <w:r w:rsidRPr="00951A74">
        <w:rPr>
          <w:rFonts w:ascii="David" w:eastAsia="Times New Roman" w:hAnsi="David" w:cs="David"/>
          <w:spacing w:val="10"/>
          <w:sz w:val="24"/>
          <w:szCs w:val="24"/>
          <w:rtl/>
        </w:rPr>
        <w:t>–</w:t>
      </w:r>
      <w:r w:rsidRPr="00951A74">
        <w:rPr>
          <w:rFonts w:ascii="David" w:eastAsia="Times New Roman" w:hAnsi="David" w:cs="David" w:hint="cs"/>
          <w:spacing w:val="10"/>
          <w:sz w:val="24"/>
          <w:szCs w:val="24"/>
          <w:rtl/>
        </w:rPr>
        <w:t xml:space="preserve"> שכן רק התבוננות כוללת זו, מאפשרת לבחון את הפגיעה האמורה ואת עוצמתה.</w:t>
      </w:r>
    </w:p>
    <w:p w:rsidR="00884CF0" w:rsidRDefault="004E14DF" w:rsidP="005C0466">
      <w:pPr>
        <w:spacing w:after="0" w:line="360" w:lineRule="auto"/>
        <w:jc w:val="both"/>
        <w:rPr>
          <w:rFonts w:ascii="David" w:eastAsia="Times New Roman" w:hAnsi="David" w:cs="David"/>
          <w:spacing w:val="10"/>
          <w:sz w:val="24"/>
          <w:szCs w:val="24"/>
          <w:u w:val="single"/>
          <w:rtl/>
        </w:rPr>
      </w:pPr>
      <w:r w:rsidRPr="00ED203E">
        <w:rPr>
          <w:rFonts w:ascii="David" w:eastAsia="Times New Roman" w:hAnsi="David" w:cs="David"/>
          <w:spacing w:val="10"/>
          <w:sz w:val="24"/>
          <w:szCs w:val="24"/>
          <w:u w:val="single"/>
          <w:rtl/>
        </w:rPr>
        <w:t xml:space="preserve">לסיכום </w:t>
      </w:r>
    </w:p>
    <w:p w:rsidR="00A24606" w:rsidRPr="00ED203E" w:rsidRDefault="00A24606" w:rsidP="005C0466">
      <w:pPr>
        <w:spacing w:after="0" w:line="360" w:lineRule="auto"/>
        <w:jc w:val="both"/>
        <w:rPr>
          <w:rFonts w:ascii="David" w:eastAsia="Times New Roman" w:hAnsi="David" w:cs="David"/>
          <w:spacing w:val="10"/>
          <w:sz w:val="24"/>
          <w:szCs w:val="24"/>
          <w:u w:val="single"/>
          <w:rtl/>
        </w:rPr>
      </w:pPr>
    </w:p>
    <w:p w:rsidR="00884CF0" w:rsidRDefault="004E14DF" w:rsidP="005C0466">
      <w:pPr>
        <w:spacing w:after="0" w:line="360" w:lineRule="auto"/>
        <w:jc w:val="both"/>
        <w:rPr>
          <w:rFonts w:ascii="David" w:eastAsia="Times New Roman" w:hAnsi="David" w:cs="David"/>
          <w:spacing w:val="10"/>
          <w:sz w:val="24"/>
          <w:szCs w:val="24"/>
          <w:rtl/>
        </w:rPr>
      </w:pPr>
      <w:r w:rsidRPr="00373B46">
        <w:rPr>
          <w:rFonts w:ascii="David" w:eastAsia="Times New Roman" w:hAnsi="David" w:cs="David"/>
          <w:spacing w:val="10"/>
          <w:sz w:val="24"/>
          <w:szCs w:val="24"/>
          <w:rtl/>
        </w:rPr>
        <w:t>השאלה נכבדה, הדעות מגוונות וימים יגידו כיוון התפתחותה. הדיון "בתזת הצבירה" מעלה, כי השימוש בדוקטרינה מעורר שאלות חוקתיות ותאורטיות מורכבות, ואכן, טרם נדרש בית המשפט לניתוח מעמיק של התזה וסקירת מכלול ההיבטים הרלוונטיים ליישומה. ואולם, קשה לקבל את טענתו של שחם בדבר חדשנותה – דומה כי "תזת הצבירה", אף אם כונתה אחרת על-ידי בית המשפט או כלל לא כונתה, אינה זרה בנוף פסיקתו של בית המשפט העליון - הן בתחום המשפט הפלילי והן בתחומי משפט אחרים. התפיסה המשפטית העומדת ביסודה של התזה, לפיה נדרשת הסתכלות כוללת להבדיל מפירוק ההתנהלות לרכיבים וניתוח כל רכיב כשלעצמו, כבר הוצבה זה מכבר תחת המדוך השיפוטי. מסקירת הדיון השיפוטי שהתקיים בסוגיה זו, עולה בבירור שבית המשפט העליון נוטה לאמץ התפיסה, לא כל שכן לקבלה.</w:t>
      </w:r>
    </w:p>
    <w:p w:rsidR="005C0466" w:rsidRDefault="005C0466" w:rsidP="005C0466">
      <w:pPr>
        <w:spacing w:after="0" w:line="360" w:lineRule="auto"/>
        <w:jc w:val="both"/>
        <w:rPr>
          <w:rFonts w:ascii="David" w:eastAsia="Times New Roman" w:hAnsi="David" w:cs="David"/>
          <w:spacing w:val="10"/>
          <w:sz w:val="24"/>
          <w:szCs w:val="24"/>
          <w:rtl/>
        </w:rPr>
      </w:pPr>
    </w:p>
    <w:p w:rsidR="00A24606" w:rsidRDefault="004E14DF" w:rsidP="005C0466">
      <w:pPr>
        <w:spacing w:after="0" w:line="360" w:lineRule="auto"/>
        <w:jc w:val="both"/>
        <w:rPr>
          <w:rFonts w:ascii="David" w:eastAsia="Times New Roman" w:hAnsi="David" w:cs="David"/>
          <w:spacing w:val="10"/>
          <w:sz w:val="24"/>
          <w:szCs w:val="24"/>
          <w:u w:val="single"/>
          <w:rtl/>
        </w:rPr>
      </w:pPr>
      <w:r w:rsidRPr="00ED203E">
        <w:rPr>
          <w:rFonts w:ascii="David" w:eastAsia="Times New Roman" w:hAnsi="David" w:cs="David"/>
          <w:spacing w:val="10"/>
          <w:sz w:val="24"/>
          <w:szCs w:val="24"/>
          <w:u w:val="single"/>
          <w:rtl/>
        </w:rPr>
        <w:t>מן הכלל אל הפרט</w:t>
      </w:r>
    </w:p>
    <w:p w:rsidR="00884CF0" w:rsidRPr="00ED203E" w:rsidRDefault="004E14DF" w:rsidP="005C0466">
      <w:pPr>
        <w:spacing w:after="0" w:line="360" w:lineRule="auto"/>
        <w:jc w:val="both"/>
        <w:rPr>
          <w:rFonts w:ascii="David" w:eastAsia="Times New Roman" w:hAnsi="David" w:cs="David"/>
          <w:spacing w:val="10"/>
          <w:sz w:val="24"/>
          <w:szCs w:val="24"/>
          <w:u w:val="single"/>
          <w:rtl/>
        </w:rPr>
      </w:pPr>
      <w:r w:rsidRPr="00ED203E">
        <w:rPr>
          <w:rFonts w:ascii="David" w:eastAsia="Times New Roman" w:hAnsi="David" w:cs="David"/>
          <w:spacing w:val="10"/>
          <w:sz w:val="24"/>
          <w:szCs w:val="24"/>
          <w:u w:val="single"/>
          <w:rtl/>
        </w:rPr>
        <w:t xml:space="preserve"> </w:t>
      </w:r>
    </w:p>
    <w:p w:rsidR="00884CF0" w:rsidRDefault="004E14DF" w:rsidP="005C0466">
      <w:pPr>
        <w:spacing w:after="0" w:line="360" w:lineRule="auto"/>
        <w:jc w:val="both"/>
        <w:rPr>
          <w:rFonts w:ascii="David" w:eastAsia="Times New Roman" w:hAnsi="David" w:cs="David"/>
          <w:spacing w:val="10"/>
          <w:sz w:val="24"/>
          <w:szCs w:val="24"/>
          <w:rtl/>
        </w:rPr>
      </w:pPr>
      <w:r w:rsidRPr="00373B46">
        <w:rPr>
          <w:rFonts w:ascii="David" w:eastAsia="Times New Roman" w:hAnsi="David" w:cs="David"/>
          <w:spacing w:val="10"/>
          <w:sz w:val="24"/>
          <w:szCs w:val="24"/>
          <w:rtl/>
        </w:rPr>
        <w:t xml:space="preserve">בנסיבות המיוחדות של המקרה שלפנינו, ניתן ואף ראוי לצבור אסופת ניגודי העניינים שבהם היה נתון שחם, אף אם היינו סבורים שאינם פליליים, כל אחד כשלעצמו, לכדי עבירה פלילית אחת של מרמה והפרת אמונים. </w:t>
      </w:r>
    </w:p>
    <w:p w:rsidR="00A24606" w:rsidRPr="00373B46" w:rsidRDefault="00A24606" w:rsidP="005C0466">
      <w:pPr>
        <w:spacing w:after="0" w:line="360" w:lineRule="auto"/>
        <w:jc w:val="both"/>
        <w:rPr>
          <w:rFonts w:ascii="David" w:eastAsia="Times New Roman" w:hAnsi="David" w:cs="David"/>
          <w:spacing w:val="10"/>
          <w:sz w:val="24"/>
          <w:szCs w:val="24"/>
          <w:rtl/>
        </w:rPr>
      </w:pPr>
    </w:p>
    <w:p w:rsidR="00884CF0" w:rsidRPr="00373B46" w:rsidRDefault="004E14DF" w:rsidP="00884CF0">
      <w:pPr>
        <w:spacing w:line="360" w:lineRule="auto"/>
        <w:jc w:val="both"/>
        <w:rPr>
          <w:rFonts w:ascii="David" w:eastAsia="Times New Roman" w:hAnsi="David" w:cs="David"/>
          <w:spacing w:val="10"/>
          <w:sz w:val="24"/>
          <w:szCs w:val="24"/>
          <w:rtl/>
        </w:rPr>
      </w:pPr>
      <w:r w:rsidRPr="00373B46">
        <w:rPr>
          <w:rFonts w:ascii="David" w:eastAsia="Times New Roman" w:hAnsi="David" w:cs="David"/>
          <w:spacing w:val="10"/>
          <w:sz w:val="24"/>
          <w:szCs w:val="24"/>
          <w:rtl/>
        </w:rPr>
        <w:t xml:space="preserve">בחינת התנהלותו של שחם בכל הפרשות שנידונו לעיל, אינה מותירה מקום לספק כי מדובר בהתנהלות אשר חוצה את הרף הפלילי הנדרש </w:t>
      </w:r>
      <w:proofErr w:type="spellStart"/>
      <w:r w:rsidRPr="00373B46">
        <w:rPr>
          <w:rFonts w:ascii="David" w:eastAsia="Times New Roman" w:hAnsi="David" w:cs="David"/>
          <w:spacing w:val="10"/>
          <w:sz w:val="24"/>
          <w:szCs w:val="24"/>
          <w:rtl/>
        </w:rPr>
        <w:t>בכגון</w:t>
      </w:r>
      <w:proofErr w:type="spellEnd"/>
      <w:r w:rsidRPr="00373B46">
        <w:rPr>
          <w:rFonts w:ascii="David" w:eastAsia="Times New Roman" w:hAnsi="David" w:cs="David"/>
          <w:spacing w:val="10"/>
          <w:sz w:val="24"/>
          <w:szCs w:val="24"/>
          <w:rtl/>
        </w:rPr>
        <w:t xml:space="preserve"> דא, ולפיכך מגבשת בכללותה מעשה של הפרת אמונים, זאת כאמור אף מבלי להידרש לשאלה האם כל אחד מן המעשים המרכיבים התנהלות זו מגבש לבדו עבירה עצמאית אם לאו. בין בניצול מעמדו לצורך קשירת היחסים עם השוטרות הזוטרות, ובין בפועלו במצבים של ניגודי עניינים –  פגע שחם בכל הערכים המוגנים על-ידי עבירת המרמה והפרת האמונים.</w:t>
      </w:r>
    </w:p>
    <w:p w:rsidR="00884CF0" w:rsidRPr="00373B46" w:rsidRDefault="004E14DF" w:rsidP="00884CF0">
      <w:pPr>
        <w:spacing w:line="360" w:lineRule="auto"/>
        <w:jc w:val="both"/>
        <w:rPr>
          <w:rFonts w:ascii="David" w:eastAsia="Times New Roman" w:hAnsi="David" w:cs="David"/>
          <w:spacing w:val="10"/>
          <w:sz w:val="24"/>
          <w:szCs w:val="24"/>
          <w:rtl/>
        </w:rPr>
      </w:pPr>
      <w:r w:rsidRPr="00373B46">
        <w:rPr>
          <w:rFonts w:ascii="David" w:eastAsia="Times New Roman" w:hAnsi="David" w:cs="David"/>
          <w:spacing w:val="10"/>
          <w:sz w:val="24"/>
          <w:szCs w:val="24"/>
          <w:rtl/>
        </w:rPr>
        <w:t xml:space="preserve">קל וחומר שכך, כאשר מדובר בהתנהלות החוזרת על עצמה מספר משמעותי של פעמים ברמה של דפוס התנהלות סידרתי; כאשר ההתנהלות מתבצעת במהלך שנים ארוכות; כאשר מדובר בקצין משטרה כה בכיר; כאשר ההתנהלות נשמרת בסודיות; כאשר מדובר בקצין בתוך ארגון שאמור לאכוף את הדין גם בהקשר כשלפנינו, שבו השמירה על נורמות קריטית לפעילותו התקינה; כאשר מדובר בארגון היררכי מטבעו כמו המשטרה; כאשר חלק מן השוטרות הזוטרות היו במצבי מצוקה שנוצלו על ידי שחם; כאשר למצער חלק ממערכות היחסים נעשו ללא הסכמה, וכאשר מוסיף עובד הציבור ומקבל החלטות בעניינן של הכפיפות לו בהיותו במצב של ניגוד עניינים. </w:t>
      </w:r>
    </w:p>
    <w:p w:rsidR="00884CF0" w:rsidRPr="00373B46" w:rsidRDefault="004E14DF" w:rsidP="00884CF0">
      <w:pPr>
        <w:spacing w:line="360" w:lineRule="auto"/>
        <w:jc w:val="both"/>
        <w:rPr>
          <w:rFonts w:ascii="David" w:eastAsia="Times New Roman" w:hAnsi="David" w:cs="David"/>
          <w:spacing w:val="10"/>
          <w:sz w:val="24"/>
          <w:szCs w:val="24"/>
          <w:rtl/>
        </w:rPr>
      </w:pPr>
      <w:r w:rsidRPr="00373B46">
        <w:rPr>
          <w:rFonts w:ascii="David" w:eastAsia="Times New Roman" w:hAnsi="David" w:cs="David"/>
          <w:spacing w:val="10"/>
          <w:sz w:val="24"/>
          <w:szCs w:val="24"/>
          <w:rtl/>
        </w:rPr>
        <w:t xml:space="preserve">במילים אחרות. די בדפוס ההתנהלות של שחם ביצירת קשרים אינטימיים עם שוטרות צעירות, תוך שמירתם בסוד, תוך הפרת האיסורים על קיום יחסים ותוך העמדת עצמו במצב פוטנציאלי של ניגוד עניינים כדי להרשיעו בעבירה של הפרת אמונים. ודאי די בדפוס התנהלותו ופועלו, פעם אחר פעם, במצבים של ניגוד עניינים לאחר יצירת הקשרים וקיומם. על אחת כמה וכמה, כששני הדפוסים משתלבים גם יחד, ודאי שהם עולים כדי עבירה אחת של מרמה והפרת אמונים. היוצא מכול שהובא עד כה הוא, שהמסכת העובדתית שנפרשה בפני בית המשפט מובילה לדעתי למסקנה, כי המקרה הנדון נמצא בטריטוריה הפלילית של ליבת העבירה של מרמה והפרת אמונים - הרחק מעבר לאיסורים מוסריים, אתיים או משמעתיים גרידא.  </w:t>
      </w:r>
    </w:p>
    <w:p w:rsidR="00AA6D62" w:rsidRPr="00A24606" w:rsidRDefault="004E14DF" w:rsidP="00A24606">
      <w:pPr>
        <w:spacing w:line="360" w:lineRule="auto"/>
        <w:jc w:val="both"/>
        <w:rPr>
          <w:rFonts w:ascii="David" w:eastAsia="Times New Roman" w:hAnsi="David" w:cs="David"/>
          <w:spacing w:val="10"/>
          <w:sz w:val="24"/>
          <w:szCs w:val="24"/>
          <w:rtl/>
        </w:rPr>
      </w:pPr>
      <w:r w:rsidRPr="00373B46">
        <w:rPr>
          <w:rFonts w:ascii="David" w:eastAsia="Times New Roman" w:hAnsi="David" w:cs="David"/>
          <w:spacing w:val="10"/>
          <w:sz w:val="24"/>
          <w:szCs w:val="24"/>
          <w:rtl/>
        </w:rPr>
        <w:t>סיכומו של דבר, ולאור כול האמור לעיל, אציע לחברי לקבל את ערעור המדינה ולהרשיע את שחם בגין מכלול מעשיו בעבירה של מרמה והפרת אמונים.</w:t>
      </w:r>
    </w:p>
    <w:p w:rsidR="00884CF0" w:rsidRPr="00F46A8D" w:rsidRDefault="004E14DF" w:rsidP="00F46A8D">
      <w:pPr>
        <w:spacing w:line="360" w:lineRule="auto"/>
        <w:jc w:val="both"/>
        <w:rPr>
          <w:rFonts w:ascii="David" w:eastAsia="Times New Roman" w:hAnsi="David" w:cs="David"/>
          <w:b/>
          <w:bCs/>
          <w:spacing w:val="10"/>
          <w:sz w:val="24"/>
          <w:szCs w:val="24"/>
          <w:u w:val="single"/>
          <w:rtl/>
        </w:rPr>
      </w:pPr>
      <w:r w:rsidRPr="00373B46">
        <w:rPr>
          <w:rFonts w:ascii="David" w:eastAsia="Times New Roman" w:hAnsi="David" w:cs="David"/>
          <w:b/>
          <w:bCs/>
          <w:spacing w:val="10"/>
          <w:sz w:val="24"/>
          <w:szCs w:val="24"/>
          <w:u w:val="single"/>
          <w:rtl/>
        </w:rPr>
        <w:t xml:space="preserve">האם התנהלותו של שחם בפרשה השביעית עולה כדי עבירה של הטרדה מינית תוך ניצול יחסי מרות, ובפרט – האם מסרון אחד המורכב משיח בין הצדדים יכול כשלעצמו לקיים את </w:t>
      </w:r>
      <w:r w:rsidR="00F46A8D" w:rsidRPr="00951A74">
        <w:rPr>
          <w:rFonts w:ascii="David" w:eastAsia="Times New Roman" w:hAnsi="David" w:cs="David" w:hint="cs"/>
          <w:b/>
          <w:bCs/>
          <w:spacing w:val="10"/>
          <w:sz w:val="24"/>
          <w:szCs w:val="24"/>
          <w:u w:val="single"/>
          <w:rtl/>
        </w:rPr>
        <w:t>דרישת החוק להטרדה מינית לקיומן של "הצעות חוזרות בעלות אופי מיני"?</w:t>
      </w:r>
    </w:p>
    <w:p w:rsidR="00884CF0" w:rsidRDefault="004E14DF" w:rsidP="005C0466">
      <w:pPr>
        <w:spacing w:after="0" w:line="360" w:lineRule="auto"/>
        <w:jc w:val="both"/>
        <w:rPr>
          <w:rFonts w:ascii="David" w:eastAsia="Times New Roman" w:hAnsi="David" w:cs="David"/>
          <w:spacing w:val="10"/>
          <w:sz w:val="24"/>
          <w:szCs w:val="24"/>
          <w:u w:val="single"/>
          <w:rtl/>
        </w:rPr>
      </w:pPr>
      <w:r w:rsidRPr="00373B46">
        <w:rPr>
          <w:rFonts w:ascii="David" w:eastAsia="Times New Roman" w:hAnsi="David" w:cs="David"/>
          <w:spacing w:val="10"/>
          <w:sz w:val="24"/>
          <w:szCs w:val="24"/>
          <w:u w:val="single"/>
          <w:rtl/>
        </w:rPr>
        <w:t>השאלה המשפטית</w:t>
      </w:r>
    </w:p>
    <w:p w:rsidR="00A24606" w:rsidRPr="00373B46" w:rsidRDefault="00A24606" w:rsidP="005C0466">
      <w:pPr>
        <w:spacing w:after="0" w:line="360" w:lineRule="auto"/>
        <w:jc w:val="both"/>
        <w:rPr>
          <w:rFonts w:ascii="David" w:eastAsia="Times New Roman" w:hAnsi="David" w:cs="David"/>
          <w:spacing w:val="10"/>
          <w:sz w:val="24"/>
          <w:szCs w:val="24"/>
          <w:u w:val="single"/>
          <w:rtl/>
        </w:rPr>
      </w:pPr>
    </w:p>
    <w:p w:rsidR="00884CF0" w:rsidRPr="00373B46" w:rsidRDefault="004E14DF" w:rsidP="005C0466">
      <w:pPr>
        <w:spacing w:after="0" w:line="360" w:lineRule="auto"/>
        <w:jc w:val="both"/>
        <w:rPr>
          <w:rFonts w:ascii="David" w:eastAsia="Times New Roman" w:hAnsi="David" w:cs="David"/>
          <w:spacing w:val="10"/>
          <w:sz w:val="24"/>
          <w:szCs w:val="24"/>
          <w:rtl/>
        </w:rPr>
      </w:pPr>
      <w:r w:rsidRPr="00373B46">
        <w:rPr>
          <w:rFonts w:ascii="David" w:eastAsia="Times New Roman" w:hAnsi="David" w:cs="David"/>
          <w:spacing w:val="10"/>
          <w:sz w:val="24"/>
          <w:szCs w:val="24"/>
          <w:rtl/>
        </w:rPr>
        <w:t>השאלה המשפטית הדרושה הכרעה בענייננו היא זו: האם מספר ההצעות שהוצעו על-ידי שחם לכפיפתו במסגרת מסרון אחד מהוות הצעות חוזרות על-פי סעיף 3(א)(3) לחוק, או בלשונו של בית המשפט – האם הן מקיימות את דרישת החוק ״למוטיב חוזר״?</w:t>
      </w:r>
    </w:p>
    <w:p w:rsidR="00C3494E" w:rsidRDefault="004E14DF" w:rsidP="00C3494E">
      <w:pPr>
        <w:spacing w:line="360" w:lineRule="auto"/>
        <w:jc w:val="both"/>
        <w:rPr>
          <w:rFonts w:ascii="David" w:eastAsia="Times New Roman" w:hAnsi="David" w:cs="David"/>
          <w:spacing w:val="10"/>
          <w:sz w:val="24"/>
          <w:szCs w:val="24"/>
          <w:rtl/>
        </w:rPr>
      </w:pPr>
      <w:r w:rsidRPr="00373B46">
        <w:rPr>
          <w:rFonts w:ascii="David" w:eastAsia="Times New Roman" w:hAnsi="David" w:cs="David"/>
          <w:spacing w:val="10"/>
          <w:sz w:val="24"/>
          <w:szCs w:val="24"/>
          <w:rtl/>
        </w:rPr>
        <w:t>שאלה זו היא שאלה בעלת היבט משפטי נורמטיבי, לאמור – מהי המסגרת שבה משתכללת ההטרדה המינית: האם ״הצעות חוזרות״ יכולות להתרחש במהלך אירוע אחד?</w:t>
      </w:r>
      <w:r w:rsidR="00C3494E">
        <w:rPr>
          <w:rFonts w:ascii="David" w:eastAsia="Times New Roman" w:hAnsi="David" w:cs="David" w:hint="cs"/>
          <w:spacing w:val="10"/>
          <w:sz w:val="24"/>
          <w:szCs w:val="24"/>
          <w:rtl/>
        </w:rPr>
        <w:t xml:space="preserve"> </w:t>
      </w:r>
    </w:p>
    <w:p w:rsidR="00884CF0" w:rsidRPr="00373B46" w:rsidRDefault="004E14DF" w:rsidP="00C3494E">
      <w:pPr>
        <w:spacing w:line="360" w:lineRule="auto"/>
        <w:jc w:val="both"/>
        <w:rPr>
          <w:rFonts w:ascii="David" w:eastAsia="Times New Roman" w:hAnsi="David" w:cs="David"/>
          <w:spacing w:val="10"/>
          <w:sz w:val="24"/>
          <w:szCs w:val="24"/>
          <w:rtl/>
        </w:rPr>
      </w:pPr>
      <w:r w:rsidRPr="00373B46">
        <w:rPr>
          <w:rFonts w:ascii="David" w:eastAsia="Times New Roman" w:hAnsi="David" w:cs="David"/>
          <w:spacing w:val="10"/>
          <w:sz w:val="24"/>
          <w:szCs w:val="24"/>
          <w:rtl/>
        </w:rPr>
        <w:t xml:space="preserve">אני סבורה שהתשובה לשאלה זו היא חיובית, קרי, אין צורך במספר אירועים, ובענייננו – אין צורך במספר מסרונים – כדי להקים את אלמנט ״החזרה״ הקבוע </w:t>
      </w:r>
      <w:r w:rsidR="0008665D" w:rsidRPr="0008665D">
        <w:rPr>
          <w:rFonts w:ascii="David" w:eastAsia="Times New Roman" w:hAnsi="David" w:cs="David"/>
          <w:spacing w:val="10"/>
          <w:sz w:val="24"/>
          <w:szCs w:val="24"/>
          <w:rtl/>
        </w:rPr>
        <w:t>בחוק.</w:t>
      </w:r>
    </w:p>
    <w:p w:rsidR="00884CF0" w:rsidRDefault="004E14DF" w:rsidP="005C0466">
      <w:pPr>
        <w:pStyle w:val="a3"/>
        <w:numPr>
          <w:ilvl w:val="0"/>
          <w:numId w:val="5"/>
        </w:numPr>
        <w:spacing w:after="0" w:line="360" w:lineRule="auto"/>
        <w:jc w:val="both"/>
        <w:rPr>
          <w:rFonts w:ascii="David" w:eastAsia="Times New Roman" w:hAnsi="David" w:cs="David"/>
          <w:spacing w:val="10"/>
          <w:sz w:val="24"/>
          <w:szCs w:val="24"/>
        </w:rPr>
      </w:pPr>
      <w:r w:rsidRPr="007F4A40">
        <w:rPr>
          <w:rFonts w:ascii="David" w:eastAsia="Times New Roman" w:hAnsi="David" w:cs="David"/>
          <w:spacing w:val="10"/>
          <w:sz w:val="24"/>
          <w:szCs w:val="24"/>
          <w:rtl/>
        </w:rPr>
        <w:t>הפסיקה</w:t>
      </w:r>
    </w:p>
    <w:p w:rsidR="00A24606" w:rsidRPr="007F4A40" w:rsidRDefault="00A24606" w:rsidP="00A24606">
      <w:pPr>
        <w:pStyle w:val="a3"/>
        <w:spacing w:after="0" w:line="360" w:lineRule="auto"/>
        <w:ind w:left="360"/>
        <w:jc w:val="both"/>
        <w:rPr>
          <w:rFonts w:ascii="David" w:eastAsia="Times New Roman" w:hAnsi="David" w:cs="David"/>
          <w:spacing w:val="10"/>
          <w:sz w:val="24"/>
          <w:szCs w:val="24"/>
        </w:rPr>
      </w:pPr>
    </w:p>
    <w:p w:rsidR="00884CF0" w:rsidRPr="00373B46" w:rsidRDefault="004E14DF" w:rsidP="005C0466">
      <w:pPr>
        <w:spacing w:after="0" w:line="360" w:lineRule="auto"/>
        <w:jc w:val="both"/>
        <w:rPr>
          <w:rFonts w:ascii="David" w:eastAsia="Times New Roman" w:hAnsi="David" w:cs="David"/>
          <w:spacing w:val="10"/>
          <w:sz w:val="24"/>
          <w:szCs w:val="24"/>
          <w:rtl/>
        </w:rPr>
      </w:pPr>
      <w:r w:rsidRPr="00373B46">
        <w:rPr>
          <w:rFonts w:ascii="David" w:eastAsia="Times New Roman" w:hAnsi="David" w:cs="David"/>
          <w:spacing w:val="10"/>
          <w:sz w:val="24"/>
          <w:szCs w:val="24"/>
          <w:rtl/>
        </w:rPr>
        <w:t xml:space="preserve">הכרעת בית המשפט לא להרשיע את שחם בעבירה האמורה התבססה על העובדה כי מתוך שלושה מסרונים ששלח שחם לשוטרת ז.ז, רק מסרון אחד מתוכם הוכח כמכיל תוכן מיני פוגעני. כלומר, לתפיסת בית המשפט, אין במסרון אחד, קרי אירוע עובדתי אחד, כדי לקיים את דרישת החוק: ״יש להוכיח כי אין מדובר במקרה בודד אלא </w:t>
      </w:r>
      <w:proofErr w:type="spellStart"/>
      <w:r w:rsidRPr="00373B46">
        <w:rPr>
          <w:rFonts w:ascii="David" w:eastAsia="Times New Roman" w:hAnsi="David" w:cs="David"/>
          <w:spacing w:val="10"/>
          <w:sz w:val="24"/>
          <w:szCs w:val="24"/>
          <w:rtl/>
        </w:rPr>
        <w:t>ב״מוטיב</w:t>
      </w:r>
      <w:proofErr w:type="spellEnd"/>
      <w:r w:rsidRPr="00373B46">
        <w:rPr>
          <w:rFonts w:ascii="David" w:eastAsia="Times New Roman" w:hAnsi="David" w:cs="David"/>
          <w:spacing w:val="10"/>
          <w:sz w:val="24"/>
          <w:szCs w:val="24"/>
          <w:rtl/>
        </w:rPr>
        <w:t xml:space="preserve"> חוזר״ בהתנהגות הנאשם״ (עמ׳ 110 להכרעת הדין)</w:t>
      </w:r>
      <w:r w:rsidR="00182EA2">
        <w:rPr>
          <w:rFonts w:ascii="David" w:eastAsia="Times New Roman" w:hAnsi="David" w:cs="David" w:hint="cs"/>
          <w:spacing w:val="10"/>
          <w:sz w:val="24"/>
          <w:szCs w:val="24"/>
          <w:rtl/>
        </w:rPr>
        <w:t>,</w:t>
      </w:r>
      <w:r w:rsidRPr="00373B46">
        <w:rPr>
          <w:rFonts w:ascii="David" w:eastAsia="Times New Roman" w:hAnsi="David" w:cs="David"/>
          <w:spacing w:val="10"/>
          <w:sz w:val="24"/>
          <w:szCs w:val="24"/>
          <w:rtl/>
        </w:rPr>
        <w:t xml:space="preserve"> (ההדגשות אינן במקור, מ.ד</w:t>
      </w:r>
      <w:r w:rsidR="00182EA2">
        <w:rPr>
          <w:rFonts w:ascii="David" w:eastAsia="Times New Roman" w:hAnsi="David" w:cs="David" w:hint="cs"/>
          <w:spacing w:val="10"/>
          <w:sz w:val="24"/>
          <w:szCs w:val="24"/>
          <w:rtl/>
        </w:rPr>
        <w:t>.</w:t>
      </w:r>
      <w:r w:rsidRPr="00373B46">
        <w:rPr>
          <w:rFonts w:ascii="David" w:eastAsia="Times New Roman" w:hAnsi="David" w:cs="David"/>
          <w:spacing w:val="10"/>
          <w:sz w:val="24"/>
          <w:szCs w:val="24"/>
          <w:rtl/>
        </w:rPr>
        <w:t xml:space="preserve">). במילים אחרות, בית המשפט ראה במסרון הבודד ״הצעה אחת״ אשר אינה עומדת בתנאי של ״הצעות חוזרות״ כנדרש. </w:t>
      </w:r>
    </w:p>
    <w:p w:rsidR="00884CF0" w:rsidRPr="00373B46" w:rsidRDefault="004E14DF" w:rsidP="00C3494E">
      <w:pPr>
        <w:spacing w:line="360" w:lineRule="auto"/>
        <w:jc w:val="both"/>
        <w:rPr>
          <w:rFonts w:ascii="David" w:eastAsia="Times New Roman" w:hAnsi="David" w:cs="David"/>
          <w:spacing w:val="10"/>
          <w:sz w:val="24"/>
          <w:szCs w:val="24"/>
          <w:rtl/>
        </w:rPr>
      </w:pPr>
      <w:r w:rsidRPr="00373B46">
        <w:rPr>
          <w:rFonts w:ascii="David" w:eastAsia="Times New Roman" w:hAnsi="David" w:cs="David"/>
          <w:spacing w:val="10"/>
          <w:sz w:val="24"/>
          <w:szCs w:val="24"/>
          <w:rtl/>
        </w:rPr>
        <w:t>דעתי שונה. המדובר אמנם באירוע עובדתי אחד, אך התרחשו בו שתי הצעות נפרדות בעלות אופי מיני, שהופנו על-ידי שחם לשוטרת, ולכן מתקיים במעשה זה היסוד של ״הצעות חוזרות״ המופיע בסעיף 3(א)(3) לחוק.</w:t>
      </w:r>
      <w:r w:rsidR="00C3494E">
        <w:rPr>
          <w:rFonts w:ascii="David" w:eastAsia="Times New Roman" w:hAnsi="David" w:cs="David" w:hint="cs"/>
          <w:spacing w:val="10"/>
          <w:sz w:val="24"/>
          <w:szCs w:val="24"/>
          <w:rtl/>
        </w:rPr>
        <w:t xml:space="preserve"> </w:t>
      </w:r>
      <w:r w:rsidRPr="00373B46">
        <w:rPr>
          <w:rFonts w:ascii="David" w:eastAsia="Times New Roman" w:hAnsi="David" w:cs="David"/>
          <w:spacing w:val="10"/>
          <w:sz w:val="24"/>
          <w:szCs w:val="24"/>
          <w:rtl/>
        </w:rPr>
        <w:t>קביעה זו, לפיה די באירוע אחד כדי לכונן מעשה של הטרדה מינית האסור על-פי חוק, נקבעה זה מכבר על-ידי בית המשפט העליון.</w:t>
      </w:r>
    </w:p>
    <w:p w:rsidR="00884CF0" w:rsidRPr="00373B46" w:rsidRDefault="008E6FB7" w:rsidP="008E6FB7">
      <w:pPr>
        <w:spacing w:line="360" w:lineRule="auto"/>
        <w:jc w:val="both"/>
        <w:rPr>
          <w:rFonts w:ascii="David" w:eastAsia="Times New Roman" w:hAnsi="David" w:cs="David"/>
          <w:spacing w:val="10"/>
          <w:sz w:val="24"/>
          <w:szCs w:val="24"/>
          <w:rtl/>
        </w:rPr>
      </w:pPr>
      <w:r>
        <w:rPr>
          <w:rFonts w:ascii="David" w:eastAsia="Times New Roman" w:hAnsi="David" w:cs="David" w:hint="cs"/>
          <w:spacing w:val="10"/>
          <w:sz w:val="24"/>
          <w:szCs w:val="24"/>
          <w:rtl/>
        </w:rPr>
        <w:t>ומבחינת תוכנו</w:t>
      </w:r>
      <w:r w:rsidR="00AA6D62">
        <w:rPr>
          <w:rFonts w:ascii="David" w:eastAsia="Times New Roman" w:hAnsi="David" w:cs="David" w:hint="cs"/>
          <w:spacing w:val="10"/>
          <w:sz w:val="24"/>
          <w:szCs w:val="24"/>
          <w:rtl/>
        </w:rPr>
        <w:t>,</w:t>
      </w:r>
      <w:r>
        <w:rPr>
          <w:rFonts w:ascii="David" w:eastAsia="Times New Roman" w:hAnsi="David" w:cs="David" w:hint="cs"/>
          <w:spacing w:val="10"/>
          <w:sz w:val="24"/>
          <w:szCs w:val="24"/>
          <w:rtl/>
        </w:rPr>
        <w:t xml:space="preserve"> </w:t>
      </w:r>
      <w:r w:rsidR="00EE3554">
        <w:rPr>
          <w:rFonts w:ascii="David" w:eastAsia="Times New Roman" w:hAnsi="David" w:cs="David" w:hint="cs"/>
          <w:spacing w:val="10"/>
          <w:sz w:val="24"/>
          <w:szCs w:val="24"/>
          <w:rtl/>
        </w:rPr>
        <w:t>לית מאן דפליג</w:t>
      </w:r>
      <w:r w:rsidR="00AA6D62">
        <w:rPr>
          <w:rFonts w:ascii="David" w:eastAsia="Times New Roman" w:hAnsi="David" w:cs="David" w:hint="cs"/>
          <w:spacing w:val="10"/>
          <w:sz w:val="24"/>
          <w:szCs w:val="24"/>
          <w:rtl/>
        </w:rPr>
        <w:t>,</w:t>
      </w:r>
      <w:r w:rsidR="00EE3554">
        <w:rPr>
          <w:rFonts w:ascii="David" w:eastAsia="Times New Roman" w:hAnsi="David" w:cs="David" w:hint="cs"/>
          <w:spacing w:val="10"/>
          <w:sz w:val="24"/>
          <w:szCs w:val="24"/>
          <w:rtl/>
        </w:rPr>
        <w:t xml:space="preserve"> ש</w:t>
      </w:r>
      <w:r>
        <w:rPr>
          <w:rFonts w:ascii="David" w:eastAsia="Times New Roman" w:hAnsi="David" w:cs="David" w:hint="cs"/>
          <w:spacing w:val="10"/>
          <w:sz w:val="24"/>
          <w:szCs w:val="24"/>
          <w:rtl/>
        </w:rPr>
        <w:t>עסקינן</w:t>
      </w:r>
      <w:r w:rsidR="004E14DF" w:rsidRPr="00373B46">
        <w:rPr>
          <w:rFonts w:ascii="David" w:eastAsia="Times New Roman" w:hAnsi="David" w:cs="David"/>
          <w:spacing w:val="10"/>
          <w:sz w:val="24"/>
          <w:szCs w:val="24"/>
          <w:rtl/>
        </w:rPr>
        <w:t xml:space="preserve"> במסרון בעל גוון מיני מטריד – בו שחם פנה לשוטרת בשאלה המתמקדת במפורש במיניותה ״איזה צבע תחתונים וחזייה״ היא לובשת. השוטרת נמנעה במפגיע מתגובה, ולכך השיב שחם בפנייה חוזרת אליה באמצעות כיתוב של סימני שאלה. לבסוף, השוטרת הגיבה באופן מתחמק במסרון: ״אני מתלבשת כמו נזירה״, תגובה שמשתמע ממנה אלמנט ברור של דחיית המסר המיני. בנסיבות אלו, המסרונים מבטאים באופן ברור את רצונו של שחם לחתור לתקשורת בעלת גוון מיני בעוד שמתגובת הצד השני ניכר אי רצון לקיימה (כל זאת, כאמור – שעה שעסקינן בעבירה שבוצעה תוך ניצול מרות, שממילא השוטרת לא נדרשה להראות כי היא אינו מעוניינת בהצעתו זו). לדעתי, באופן עקרוני, ניתן לפרש את סימן השאלה כתהייה של השואל מדוע לא קיבל מענה. בנסיבות מסוימות, בהן מהות השאלה נועדה להשגת מידע קריטי שנחוץ </w:t>
      </w:r>
      <w:r w:rsidR="004E14DF" w:rsidRPr="00373B46">
        <w:rPr>
          <w:rFonts w:ascii="David" w:eastAsia="Times New Roman" w:hAnsi="David" w:cs="David"/>
          <w:spacing w:val="10"/>
          <w:sz w:val="24"/>
          <w:szCs w:val="24"/>
          <w:rtl/>
        </w:rPr>
        <w:lastRenderedPageBreak/>
        <w:t xml:space="preserve">לשואל, ייתכן ותהיה לשואל לגיטימציה לשאול את השאלה בשנית בווריאציות שונות (כמו סימן שאלה). ואולם, בענייננו – מהות השאלה לא נועדה להשגת מידע קריטי שנחוץ לשחם, אלא נועדה להשגת מידע אינטימי פרטי הנוגע למיניותה של השוטרת. בנסיבות אלו, סימן השאלה מהווה הצעה נוספת המתמקדת במיניותה של השוטרת, כאשר ברור שלשוטרת אין רצון להיענות לה, משעה שלא נענתה לה מלכתחילה. </w:t>
      </w:r>
    </w:p>
    <w:p w:rsidR="00C3494E" w:rsidRDefault="004E14DF" w:rsidP="00C3494E">
      <w:pPr>
        <w:pStyle w:val="a3"/>
        <w:numPr>
          <w:ilvl w:val="0"/>
          <w:numId w:val="5"/>
        </w:numPr>
        <w:spacing w:after="0" w:line="360" w:lineRule="auto"/>
        <w:jc w:val="both"/>
        <w:rPr>
          <w:rFonts w:ascii="David" w:eastAsia="Times New Roman" w:hAnsi="David" w:cs="David"/>
          <w:spacing w:val="10"/>
          <w:sz w:val="24"/>
          <w:szCs w:val="24"/>
        </w:rPr>
      </w:pPr>
      <w:r w:rsidRPr="00C3494E">
        <w:rPr>
          <w:rFonts w:ascii="David" w:eastAsia="Times New Roman" w:hAnsi="David" w:cs="David"/>
          <w:spacing w:val="10"/>
          <w:sz w:val="24"/>
          <w:szCs w:val="24"/>
          <w:rtl/>
        </w:rPr>
        <w:t>האם התקיים בענייננו יסוד ניצול המרות</w:t>
      </w:r>
      <w:r w:rsidR="00C3494E" w:rsidRPr="00C3494E">
        <w:rPr>
          <w:rFonts w:ascii="David" w:eastAsia="Times New Roman" w:hAnsi="David" w:cs="David" w:hint="cs"/>
          <w:spacing w:val="10"/>
          <w:sz w:val="24"/>
          <w:szCs w:val="24"/>
          <w:rtl/>
        </w:rPr>
        <w:t xml:space="preserve"> </w:t>
      </w:r>
    </w:p>
    <w:p w:rsidR="00A24606" w:rsidRPr="00C3494E" w:rsidRDefault="00A24606" w:rsidP="00A24606">
      <w:pPr>
        <w:pStyle w:val="a3"/>
        <w:spacing w:after="0" w:line="360" w:lineRule="auto"/>
        <w:ind w:left="360"/>
        <w:jc w:val="both"/>
        <w:rPr>
          <w:rFonts w:ascii="David" w:eastAsia="Times New Roman" w:hAnsi="David" w:cs="David"/>
          <w:spacing w:val="10"/>
          <w:sz w:val="24"/>
          <w:szCs w:val="24"/>
          <w:rtl/>
        </w:rPr>
      </w:pPr>
    </w:p>
    <w:p w:rsidR="00884CF0" w:rsidRDefault="004E14DF" w:rsidP="00C3494E">
      <w:pPr>
        <w:spacing w:after="0" w:line="360" w:lineRule="auto"/>
        <w:jc w:val="both"/>
        <w:rPr>
          <w:rFonts w:ascii="David" w:eastAsia="Times New Roman" w:hAnsi="David" w:cs="David"/>
          <w:spacing w:val="10"/>
          <w:sz w:val="24"/>
          <w:szCs w:val="24"/>
          <w:rtl/>
        </w:rPr>
      </w:pPr>
      <w:r w:rsidRPr="00C3494E">
        <w:rPr>
          <w:rFonts w:ascii="David" w:eastAsia="Times New Roman" w:hAnsi="David" w:cs="David"/>
          <w:spacing w:val="10"/>
          <w:sz w:val="24"/>
          <w:szCs w:val="24"/>
          <w:rtl/>
        </w:rPr>
        <w:t xml:space="preserve">ככלל, הגישה הנוהגת בבחינת השאלה האם ממונה ״ניצל את מרותו״ צריכה להיעשות בשים לב למכלול נסיבות העניין וההקשר בו המעשים התבצעו: קו פרשני זה, הבוחן את שאלת יסוד הניצול על פי מבחן כלל הנסיבות, ננקט אמנם בערעור על הליך משמעתי, אך אומץ בפרשת נוי – ולפיכך מהווה הלכה מחייבת. </w:t>
      </w:r>
    </w:p>
    <w:p w:rsidR="00A24606" w:rsidRPr="00C3494E" w:rsidRDefault="00A24606" w:rsidP="00C3494E">
      <w:pPr>
        <w:spacing w:after="0" w:line="360" w:lineRule="auto"/>
        <w:jc w:val="both"/>
        <w:rPr>
          <w:rFonts w:ascii="David" w:eastAsia="Times New Roman" w:hAnsi="David" w:cs="David"/>
          <w:spacing w:val="10"/>
          <w:sz w:val="24"/>
          <w:szCs w:val="24"/>
          <w:rtl/>
        </w:rPr>
      </w:pPr>
    </w:p>
    <w:p w:rsidR="00AA6D62" w:rsidRPr="00373B46" w:rsidRDefault="004E14DF" w:rsidP="00A24606">
      <w:pPr>
        <w:spacing w:line="360" w:lineRule="auto"/>
        <w:jc w:val="both"/>
        <w:rPr>
          <w:rFonts w:ascii="David" w:eastAsia="Times New Roman" w:hAnsi="David" w:cs="David"/>
          <w:spacing w:val="10"/>
          <w:sz w:val="24"/>
          <w:szCs w:val="24"/>
          <w:rtl/>
        </w:rPr>
      </w:pPr>
      <w:r w:rsidRPr="00373B46">
        <w:rPr>
          <w:rFonts w:ascii="David" w:eastAsia="Times New Roman" w:hAnsi="David" w:cs="David"/>
          <w:spacing w:val="10"/>
          <w:sz w:val="24"/>
          <w:szCs w:val="24"/>
          <w:rtl/>
        </w:rPr>
        <w:t>פרטי המקרה בענייננו – הפרש הגילאים הגדול בין שחם לבין השוטרת ז.ז (19 שנים); השפעתו הניכרת הברורה של שחם, כסגן מפקד מחוז ירושלים בדרגת תת ניצב, על מעמדה והמשך שירותה של השוטרת ז.ז, כאזרחית עובדת המשטרה, והיוזמה הפעילה שנקט שחם במהלך הקשר הטלפוני שקיים עם השוטרת – כל אלה אינם מותירים מקום לספק ששחם ניצל לרעה את יחסי המרות.</w:t>
      </w:r>
    </w:p>
    <w:p w:rsidR="007F4A40" w:rsidRPr="00A24606" w:rsidRDefault="004E14DF" w:rsidP="00A24606">
      <w:pPr>
        <w:pStyle w:val="a3"/>
        <w:numPr>
          <w:ilvl w:val="0"/>
          <w:numId w:val="5"/>
        </w:numPr>
        <w:spacing w:after="0" w:line="360" w:lineRule="auto"/>
        <w:jc w:val="both"/>
        <w:rPr>
          <w:rFonts w:ascii="David" w:eastAsia="Times New Roman" w:hAnsi="David" w:cs="David"/>
          <w:spacing w:val="10"/>
          <w:sz w:val="24"/>
          <w:szCs w:val="24"/>
          <w:rtl/>
        </w:rPr>
      </w:pPr>
      <w:r w:rsidRPr="00A24606">
        <w:rPr>
          <w:rFonts w:ascii="David" w:eastAsia="Times New Roman" w:hAnsi="David" w:cs="David"/>
          <w:spacing w:val="10"/>
          <w:sz w:val="24"/>
          <w:szCs w:val="24"/>
          <w:rtl/>
        </w:rPr>
        <w:t>חומרת המעמד</w:t>
      </w:r>
    </w:p>
    <w:p w:rsidR="00A24606" w:rsidRPr="00A24606" w:rsidRDefault="00A24606" w:rsidP="00A24606">
      <w:pPr>
        <w:pStyle w:val="a3"/>
        <w:spacing w:after="0" w:line="360" w:lineRule="auto"/>
        <w:ind w:left="360"/>
        <w:jc w:val="both"/>
        <w:rPr>
          <w:rFonts w:ascii="David" w:eastAsia="Times New Roman" w:hAnsi="David" w:cs="David"/>
          <w:spacing w:val="10"/>
          <w:sz w:val="24"/>
          <w:szCs w:val="24"/>
          <w:rtl/>
        </w:rPr>
      </w:pPr>
    </w:p>
    <w:p w:rsidR="00AD69A0" w:rsidRPr="00373B46" w:rsidRDefault="004E14DF" w:rsidP="00700CE2">
      <w:pPr>
        <w:spacing w:line="360" w:lineRule="auto"/>
        <w:jc w:val="both"/>
        <w:rPr>
          <w:rFonts w:ascii="David" w:eastAsia="Times New Roman" w:hAnsi="David" w:cs="David"/>
          <w:spacing w:val="10"/>
          <w:sz w:val="24"/>
          <w:szCs w:val="24"/>
        </w:rPr>
      </w:pPr>
      <w:r w:rsidRPr="00373B46">
        <w:rPr>
          <w:rFonts w:ascii="David" w:eastAsia="Times New Roman" w:hAnsi="David" w:cs="David"/>
          <w:spacing w:val="10"/>
          <w:sz w:val="24"/>
          <w:szCs w:val="24"/>
          <w:rtl/>
        </w:rPr>
        <w:t>אין ספק אם כן, שההתבטאויות של שחם כלפי השוטרת פסולות הן וחורגות מסטנדרט התנהגות תקין וראוי. יש בהן כדי להפלות נשים, לפגוע בכבודן, ולהקשות עליהן בהשתלבות כחברות שוות בעולם העבודה</w:t>
      </w:r>
    </w:p>
    <w:p w:rsidR="00884CF0" w:rsidRPr="00373B46" w:rsidRDefault="004E14DF" w:rsidP="00884CF0">
      <w:pPr>
        <w:spacing w:line="360" w:lineRule="auto"/>
        <w:jc w:val="both"/>
        <w:rPr>
          <w:rFonts w:ascii="David" w:eastAsia="Times New Roman" w:hAnsi="David" w:cs="David"/>
          <w:spacing w:val="10"/>
          <w:sz w:val="24"/>
          <w:szCs w:val="24"/>
        </w:rPr>
      </w:pPr>
      <w:r w:rsidRPr="00373B46">
        <w:rPr>
          <w:rFonts w:ascii="David" w:eastAsia="Times New Roman" w:hAnsi="David" w:cs="David"/>
          <w:spacing w:val="10"/>
          <w:sz w:val="24"/>
          <w:szCs w:val="24"/>
          <w:rtl/>
        </w:rPr>
        <w:t xml:space="preserve">אכן, מעשי הטרדה מינית הם חמורים כשלעצמם. הם חמורים פי כמה כאשר הם מתבצעים במסגרת שירות המדינה ואגב ניצול מרות; חומרה יתרה פי כמה נלווית להם כאשר הם נעשים בידי איש משטרה, הנדרש מכוח תפקידו כמי שאמון על מערכת אכיפת החוק להתנהגות ברמה אתית גבוהה במיוחד (פרשת </w:t>
      </w:r>
      <w:proofErr w:type="spellStart"/>
      <w:r w:rsidRPr="00373B46">
        <w:rPr>
          <w:rFonts w:ascii="David" w:eastAsia="Times New Roman" w:hAnsi="David" w:cs="David"/>
          <w:spacing w:val="10"/>
          <w:sz w:val="24"/>
          <w:szCs w:val="24"/>
          <w:rtl/>
        </w:rPr>
        <w:t>סדיק</w:t>
      </w:r>
      <w:proofErr w:type="spellEnd"/>
      <w:r w:rsidRPr="00373B46">
        <w:rPr>
          <w:rFonts w:ascii="David" w:eastAsia="Times New Roman" w:hAnsi="David" w:cs="David"/>
          <w:spacing w:val="10"/>
          <w:sz w:val="24"/>
          <w:szCs w:val="24"/>
          <w:rtl/>
        </w:rPr>
        <w:t>).</w:t>
      </w:r>
    </w:p>
    <w:p w:rsidR="00AA6D62" w:rsidRDefault="004E14DF" w:rsidP="00A24606">
      <w:pPr>
        <w:spacing w:line="360" w:lineRule="auto"/>
        <w:jc w:val="both"/>
        <w:rPr>
          <w:rFonts w:ascii="David" w:eastAsia="Times New Roman" w:hAnsi="David" w:cs="David"/>
          <w:spacing w:val="10"/>
          <w:sz w:val="24"/>
          <w:szCs w:val="24"/>
          <w:rtl/>
        </w:rPr>
      </w:pPr>
      <w:r w:rsidRPr="00373B46">
        <w:rPr>
          <w:rFonts w:ascii="David" w:eastAsia="Times New Roman" w:hAnsi="David" w:cs="David"/>
          <w:spacing w:val="10"/>
          <w:sz w:val="24"/>
          <w:szCs w:val="24"/>
          <w:rtl/>
        </w:rPr>
        <w:t>לאור כל האמור לעיל, ומשעה שהוכח יסוד ניצול המרות, ולאחר שהגעתי למסקנה שהתקיימה במקרה זה הדרישה ״להצעות חוזרות״, התוצאה היא, שאציע לחברי לקבל את ערעור המדינה ולהרשיע את שחם בעבירה של הטרדה מינית, עבירה לפי סעיף 5(א) בנסיבות סעיף (3)(א)(6)(ג) לחוק למניעת הטרדה מינית.</w:t>
      </w:r>
    </w:p>
    <w:p w:rsidR="00A24606" w:rsidRPr="00373B46" w:rsidRDefault="00A24606" w:rsidP="00A24606">
      <w:pPr>
        <w:spacing w:line="360" w:lineRule="auto"/>
        <w:jc w:val="both"/>
        <w:rPr>
          <w:rFonts w:ascii="David" w:eastAsia="Times New Roman" w:hAnsi="David" w:cs="David"/>
          <w:spacing w:val="10"/>
          <w:sz w:val="24"/>
          <w:szCs w:val="24"/>
          <w:rtl/>
        </w:rPr>
      </w:pPr>
    </w:p>
    <w:p w:rsidR="00B43B29" w:rsidRPr="00025337" w:rsidRDefault="004E14DF" w:rsidP="00B43B29">
      <w:pPr>
        <w:spacing w:line="360" w:lineRule="auto"/>
        <w:jc w:val="both"/>
        <w:rPr>
          <w:rFonts w:ascii="David" w:eastAsia="Times New Roman" w:hAnsi="David" w:cs="David"/>
          <w:b/>
          <w:bCs/>
          <w:spacing w:val="10"/>
          <w:sz w:val="28"/>
          <w:szCs w:val="28"/>
          <w:u w:val="single"/>
          <w:rtl/>
        </w:rPr>
      </w:pPr>
      <w:r w:rsidRPr="00025337">
        <w:rPr>
          <w:rFonts w:ascii="David" w:eastAsia="Times New Roman" w:hAnsi="David" w:cs="David"/>
          <w:b/>
          <w:bCs/>
          <w:spacing w:val="10"/>
          <w:sz w:val="28"/>
          <w:szCs w:val="28"/>
          <w:u w:val="single"/>
          <w:rtl/>
        </w:rPr>
        <w:t>ערעורו של שחם – דיון והכרעה</w:t>
      </w:r>
    </w:p>
    <w:p w:rsidR="00B43B29" w:rsidRPr="00373B46" w:rsidRDefault="004E14DF" w:rsidP="00B43B29">
      <w:pPr>
        <w:spacing w:line="360" w:lineRule="auto"/>
        <w:jc w:val="both"/>
        <w:rPr>
          <w:rFonts w:ascii="David" w:eastAsia="Times New Roman" w:hAnsi="David" w:cs="David"/>
          <w:spacing w:val="10"/>
          <w:sz w:val="24"/>
          <w:szCs w:val="24"/>
          <w:rtl/>
        </w:rPr>
      </w:pPr>
      <w:r w:rsidRPr="00373B46">
        <w:rPr>
          <w:rFonts w:ascii="David" w:eastAsia="Times New Roman" w:hAnsi="David" w:cs="David"/>
          <w:spacing w:val="10"/>
          <w:sz w:val="24"/>
          <w:szCs w:val="24"/>
          <w:rtl/>
        </w:rPr>
        <w:t xml:space="preserve">בבואי לדון בערעורו של שחם על הרשעתו בעבירה של מעשה מגונה לפי סעיף 348(ג) לחוק בגין מעשיו בפרשה השישית, נדרשת התייחסותי לשתי הטענות המרכזיות עליהן מבסס שחם את ערעורו. הראשונה, שגה בית המשפט עת קבע כי לא עומד לו הסייג של ״טעות במצב דברים״, והשנייה, שגה בית המשפט בקביעתו לפיה נישק את השוטרת ו.ו תוך החדרת לשונו לפיה. </w:t>
      </w:r>
    </w:p>
    <w:p w:rsidR="00B43B29" w:rsidRPr="00373B46" w:rsidRDefault="004E14DF" w:rsidP="00B43B29">
      <w:pPr>
        <w:spacing w:line="360" w:lineRule="auto"/>
        <w:jc w:val="both"/>
        <w:rPr>
          <w:rFonts w:ascii="David" w:eastAsia="Times New Roman" w:hAnsi="David" w:cs="David"/>
          <w:spacing w:val="10"/>
          <w:sz w:val="24"/>
          <w:szCs w:val="24"/>
          <w:rtl/>
        </w:rPr>
      </w:pPr>
      <w:r w:rsidRPr="00373B46">
        <w:rPr>
          <w:rFonts w:ascii="David" w:eastAsia="Times New Roman" w:hAnsi="David" w:cs="David"/>
          <w:spacing w:val="10"/>
          <w:sz w:val="24"/>
          <w:szCs w:val="24"/>
          <w:rtl/>
        </w:rPr>
        <w:t xml:space="preserve">אומר כבר עתה, בערעור זה ניצבת בפני שחם משוכה גבוהה שמקורה בכך, שהשגותיו כוונו כנגד ממצאי עובדה וקביעות מהימנות. כידוע, לעניין זה קובעת ההלכה הפסוקה שערכאת הערעור לא נוטה להתערב, זולת במקרים חריגים. לפיכך, ולאחר עיון בהודעת הערעור שהוגשה מטעמו של שחם, ולאחר שנשמעו בהרחבה טיעוני הצדדים בדיונים שנערכו לפנינו, הגעתי למסקנה כי דין הערעור להידחות. </w:t>
      </w:r>
      <w:r w:rsidR="00EE3554">
        <w:rPr>
          <w:rFonts w:ascii="David" w:eastAsia="Times New Roman" w:hAnsi="David" w:cs="David" w:hint="cs"/>
          <w:spacing w:val="10"/>
          <w:sz w:val="24"/>
          <w:szCs w:val="24"/>
          <w:rtl/>
        </w:rPr>
        <w:t xml:space="preserve">אלה נימוקי. </w:t>
      </w:r>
    </w:p>
    <w:p w:rsidR="00B43B29" w:rsidRPr="00373B46" w:rsidRDefault="004E14DF" w:rsidP="009A5F29">
      <w:pPr>
        <w:spacing w:line="360" w:lineRule="auto"/>
        <w:jc w:val="both"/>
        <w:rPr>
          <w:rFonts w:ascii="David" w:eastAsia="Times New Roman" w:hAnsi="David" w:cs="David"/>
          <w:spacing w:val="10"/>
          <w:sz w:val="24"/>
          <w:szCs w:val="24"/>
          <w:rtl/>
        </w:rPr>
      </w:pPr>
      <w:r w:rsidRPr="00373B46">
        <w:rPr>
          <w:rFonts w:ascii="David" w:eastAsia="Times New Roman" w:hAnsi="David" w:cs="David"/>
          <w:spacing w:val="10"/>
          <w:sz w:val="24"/>
          <w:szCs w:val="24"/>
          <w:rtl/>
        </w:rPr>
        <w:t>הכרעת בית המשפט בהתייחס לפרשה זו מנומקת ומפורטת כדבעי, והיא ניתנה לאחר בחינה מעמיקה של העדויות, התמודדות עם תמיהות או סתירות שהתעוררו בנוגע לגרסאות השונות והכרעה בהן.</w:t>
      </w:r>
    </w:p>
    <w:p w:rsidR="00B43B29" w:rsidRPr="00373B46" w:rsidRDefault="004E14DF" w:rsidP="00B43B29">
      <w:pPr>
        <w:spacing w:line="360" w:lineRule="auto"/>
        <w:jc w:val="both"/>
        <w:rPr>
          <w:rFonts w:ascii="David" w:eastAsia="Times New Roman" w:hAnsi="David" w:cs="David"/>
          <w:spacing w:val="10"/>
          <w:sz w:val="24"/>
          <w:szCs w:val="24"/>
        </w:rPr>
      </w:pPr>
      <w:r w:rsidRPr="00373B46">
        <w:rPr>
          <w:rFonts w:ascii="David" w:eastAsia="Times New Roman" w:hAnsi="David" w:cs="David"/>
          <w:spacing w:val="10"/>
          <w:sz w:val="24"/>
          <w:szCs w:val="24"/>
          <w:rtl/>
        </w:rPr>
        <w:t>לגופו של עניין, יש אף לדחות את טענתו של שחם, לפיה אמרתה של השוטרת ו.ו במח״ש, שהיוותה את העוגן להרשעתו בעבירה של מעשה מגונה, התקבלה מכוח סעיף 10א לפקודת הראיות על אף שלא נמצא לה חיזוק כנדרש.</w:t>
      </w:r>
    </w:p>
    <w:p w:rsidR="00B43B29" w:rsidRPr="00373B46" w:rsidRDefault="004E14DF" w:rsidP="00B43B29">
      <w:pPr>
        <w:spacing w:line="360" w:lineRule="auto"/>
        <w:jc w:val="both"/>
        <w:rPr>
          <w:rFonts w:ascii="David" w:eastAsia="Times New Roman" w:hAnsi="David" w:cs="David"/>
          <w:spacing w:val="10"/>
          <w:sz w:val="24"/>
          <w:szCs w:val="24"/>
          <w:rtl/>
        </w:rPr>
      </w:pPr>
      <w:r w:rsidRPr="00373B46">
        <w:rPr>
          <w:rFonts w:ascii="David" w:eastAsia="Times New Roman" w:hAnsi="David" w:cs="David"/>
          <w:spacing w:val="10"/>
          <w:sz w:val="24"/>
          <w:szCs w:val="24"/>
          <w:rtl/>
        </w:rPr>
        <w:t>בשולי הדברים אציין, שאיני רואה כל משמעות לשאלה האם מדובר בנשיקה הכוללת החדרת לשון או בנשיקה קלה על השפתיים. כפי שקבע בית המשפט, בחינת לשון החוק מלמדת כי אין בנמצא תיאור קונקרטי של מעשה אשר יקיים את יסודות העבירה, ויש לבחון כל מעשה בהקשר למטרה שלשמה נעשה. במקרה שלפנינו, ברי כי גם נשיקה על השפתיים, ללא החדרת לשון, אשר נעשתה לשם ״גירוי, סיפוק או ביזוי מיני״, חוסה תחת הגדרתו של החוק למעשה מגונה.</w:t>
      </w:r>
    </w:p>
    <w:p w:rsidR="00B43B29" w:rsidRPr="00373B46" w:rsidRDefault="004E14DF" w:rsidP="00B43B29">
      <w:pPr>
        <w:spacing w:line="360" w:lineRule="auto"/>
        <w:jc w:val="both"/>
        <w:rPr>
          <w:rFonts w:ascii="David" w:eastAsia="Times New Roman" w:hAnsi="David" w:cs="David"/>
          <w:spacing w:val="10"/>
          <w:sz w:val="24"/>
          <w:szCs w:val="24"/>
          <w:rtl/>
        </w:rPr>
      </w:pPr>
      <w:r w:rsidRPr="00373B46">
        <w:rPr>
          <w:rFonts w:ascii="David" w:eastAsia="Times New Roman" w:hAnsi="David" w:cs="David"/>
          <w:spacing w:val="10"/>
          <w:sz w:val="24"/>
          <w:szCs w:val="24"/>
          <w:rtl/>
        </w:rPr>
        <w:t xml:space="preserve">כך גם יש לדחות את טענתו של שחם, לפיה התמונה הראייתית שהוצגה בפני בית המשפט הייתה אמורה להובילו למסקנה הפוכה מזו אליה הגיעה, והיא כי מתקיים הסייג של טעות במצב דברים. </w:t>
      </w:r>
    </w:p>
    <w:p w:rsidR="00B43B29" w:rsidRPr="00373B46" w:rsidRDefault="004E14DF" w:rsidP="00B43B29">
      <w:pPr>
        <w:spacing w:line="360" w:lineRule="auto"/>
        <w:jc w:val="both"/>
        <w:rPr>
          <w:rFonts w:ascii="David" w:eastAsia="Times New Roman" w:hAnsi="David" w:cs="David"/>
          <w:spacing w:val="10"/>
          <w:sz w:val="24"/>
          <w:szCs w:val="24"/>
          <w:rtl/>
        </w:rPr>
      </w:pPr>
      <w:r w:rsidRPr="00373B46">
        <w:rPr>
          <w:rFonts w:ascii="David" w:eastAsia="Times New Roman" w:hAnsi="David" w:cs="David"/>
          <w:spacing w:val="10"/>
          <w:sz w:val="24"/>
          <w:szCs w:val="24"/>
          <w:rtl/>
        </w:rPr>
        <w:lastRenderedPageBreak/>
        <w:t xml:space="preserve">לסיום, ראיתי לנכון אף להתייחס לטענתו הכללית של שחם, אותה ציין בפתח ערעורו, לפיה ככל שהפרשה השישית בגינה הורשע הייתה עומדת לבדה – דינו היה מתברר בהליך משמעתי שכן מדובר בפרשה מינורית יחסית. </w:t>
      </w:r>
    </w:p>
    <w:p w:rsidR="00F41C1E" w:rsidRPr="00373B46" w:rsidRDefault="004E14DF" w:rsidP="0008665D">
      <w:pPr>
        <w:spacing w:line="360" w:lineRule="auto"/>
        <w:jc w:val="both"/>
        <w:rPr>
          <w:rFonts w:ascii="David" w:eastAsia="Times New Roman" w:hAnsi="David" w:cs="David"/>
          <w:spacing w:val="10"/>
          <w:sz w:val="24"/>
          <w:szCs w:val="24"/>
          <w:rtl/>
        </w:rPr>
      </w:pPr>
      <w:r w:rsidRPr="00373B46">
        <w:rPr>
          <w:rFonts w:ascii="David" w:eastAsia="Times New Roman" w:hAnsi="David" w:cs="David"/>
          <w:spacing w:val="10"/>
          <w:sz w:val="24"/>
          <w:szCs w:val="24"/>
          <w:rtl/>
        </w:rPr>
        <w:t xml:space="preserve">אין בידי לקבל טענה זו. המעשה בו הורשע שחם אינו מעשה מינורי כלל ועיקר, ועל כך מעידים תמלילי חקירתה של השוטרת ו.ו, בדבר האופן בו חוותה את האירוע בו עסקינן (ת/62 שורות 245-247). וודאי שלא כך הוא, בשים לב לנסיבות המחמירות האופפות את האירוע ומלמדות על חומרתו: הפער המשמעותי במעמד ובתפקיד שבין שחם לשוטרת, שמקבל משנה תוקף במערכת היררכית כמו משטרת ישראל; מיקום האירוע שהתרחש בתוך רכב משטרתי כאשר שחם מנצל את רכוש המשטרה כדי לבצע עבירת מין; נסיבות האירוע שקדמו לביצוע המעשה ובהן חשיפת מצוקתה של השוטרת בפניו של שחם, שהבטיח מצדו לסייע לה, והעובדה שהמעשה מהווה נדבך נוסף עליו מבוססת </w:t>
      </w:r>
      <w:proofErr w:type="spellStart"/>
      <w:r w:rsidRPr="00373B46">
        <w:rPr>
          <w:rFonts w:ascii="David" w:eastAsia="Times New Roman" w:hAnsi="David" w:cs="David"/>
          <w:spacing w:val="10"/>
          <w:sz w:val="24"/>
          <w:szCs w:val="24"/>
          <w:rtl/>
        </w:rPr>
        <w:t>האשמתו</w:t>
      </w:r>
      <w:proofErr w:type="spellEnd"/>
      <w:r w:rsidRPr="00373B46">
        <w:rPr>
          <w:rFonts w:ascii="David" w:eastAsia="Times New Roman" w:hAnsi="David" w:cs="David"/>
          <w:spacing w:val="10"/>
          <w:sz w:val="24"/>
          <w:szCs w:val="24"/>
          <w:rtl/>
        </w:rPr>
        <w:t xml:space="preserve"> בעבירה של מרמה והפרת אמונים, שמיוחסת לו בגין כל הפרשות יחד. </w:t>
      </w:r>
    </w:p>
    <w:p w:rsidR="00B43B29" w:rsidRPr="00373B46" w:rsidRDefault="004E14DF" w:rsidP="00850E44">
      <w:pPr>
        <w:spacing w:after="0" w:line="360" w:lineRule="auto"/>
        <w:jc w:val="both"/>
        <w:rPr>
          <w:rFonts w:ascii="David" w:eastAsia="Times New Roman" w:hAnsi="David" w:cs="David"/>
          <w:spacing w:val="10"/>
          <w:sz w:val="24"/>
          <w:szCs w:val="24"/>
          <w:rtl/>
        </w:rPr>
      </w:pPr>
      <w:r w:rsidRPr="00373B46">
        <w:rPr>
          <w:rFonts w:ascii="David" w:eastAsia="Times New Roman" w:hAnsi="David" w:cs="David"/>
          <w:spacing w:val="10"/>
          <w:sz w:val="24"/>
          <w:szCs w:val="24"/>
          <w:rtl/>
        </w:rPr>
        <w:t>נוכח המפורט לעיל, דין ערעורו של שחם להידחות.</w:t>
      </w:r>
      <w:r w:rsidR="0000471F">
        <w:rPr>
          <w:rFonts w:ascii="David" w:eastAsia="Times New Roman" w:hAnsi="David" w:cs="David" w:hint="cs"/>
          <w:spacing w:val="10"/>
          <w:sz w:val="24"/>
          <w:szCs w:val="24"/>
          <w:rtl/>
        </w:rPr>
        <w:t xml:space="preserve"> לפיכך, אציע לחבריי לדחות ערעור זה.</w:t>
      </w:r>
    </w:p>
    <w:p w:rsidR="00B43B29" w:rsidRDefault="00B43B29" w:rsidP="00B43B29">
      <w:pPr>
        <w:spacing w:line="360" w:lineRule="auto"/>
        <w:jc w:val="both"/>
        <w:rPr>
          <w:rFonts w:ascii="David" w:eastAsia="Times New Roman" w:hAnsi="David" w:cs="David"/>
          <w:spacing w:val="10"/>
          <w:sz w:val="24"/>
          <w:szCs w:val="24"/>
          <w:rtl/>
        </w:rPr>
      </w:pPr>
    </w:p>
    <w:tbl>
      <w:tblPr>
        <w:tblStyle w:val="a4"/>
        <w:bidiVisual/>
        <w:tblW w:w="3336" w:type="dxa"/>
        <w:tblInd w:w="63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336"/>
      </w:tblGrid>
      <w:tr w:rsidR="007A04DC" w:rsidTr="004F58EB">
        <w:tc>
          <w:tcPr>
            <w:tcW w:w="3336" w:type="dxa"/>
            <w:tcBorders>
              <w:top w:val="nil"/>
              <w:left w:val="nil"/>
              <w:bottom w:val="single" w:sz="4" w:space="0" w:color="auto"/>
              <w:right w:val="nil"/>
            </w:tcBorders>
            <w:vAlign w:val="center"/>
            <w:hideMark/>
          </w:tcPr>
          <w:p w:rsidR="004F58EB" w:rsidRDefault="004E14DF" w:rsidP="00EE7910">
            <w:pPr>
              <w:jc w:val="center"/>
              <w:rPr>
                <w:rFonts w:ascii="Courier New" w:hAnsi="Courier New"/>
                <w:b/>
                <w:bCs/>
                <w:rtl/>
              </w:rPr>
            </w:pPr>
            <w:r>
              <w:rPr>
                <w:rFonts w:ascii="Courier New" w:hAnsi="Courier New"/>
                <w:b/>
                <w:bCs/>
                <w:noProof/>
              </w:rPr>
              <w:drawing>
                <wp:inline distT="0" distB="0" distL="0" distR="0">
                  <wp:extent cx="1971675" cy="666750"/>
                  <wp:effectExtent l="0" t="0" r="9525" b="0"/>
                  <wp:docPr id="4" name="תמונה 4" descr="001827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904275" name="Picture 6" descr="001827294"/>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971675" cy="666750"/>
                          </a:xfrm>
                          <a:prstGeom prst="rect">
                            <a:avLst/>
                          </a:prstGeom>
                          <a:noFill/>
                          <a:ln>
                            <a:noFill/>
                          </a:ln>
                        </pic:spPr>
                      </pic:pic>
                    </a:graphicData>
                  </a:graphic>
                </wp:inline>
              </w:drawing>
            </w:r>
          </w:p>
        </w:tc>
      </w:tr>
      <w:tr w:rsidR="007A04DC" w:rsidTr="004F58EB">
        <w:tc>
          <w:tcPr>
            <w:tcW w:w="3336" w:type="dxa"/>
            <w:tcBorders>
              <w:top w:val="single" w:sz="4" w:space="0" w:color="auto"/>
              <w:left w:val="nil"/>
              <w:bottom w:val="nil"/>
              <w:right w:val="nil"/>
            </w:tcBorders>
            <w:hideMark/>
          </w:tcPr>
          <w:p w:rsidR="004F58EB" w:rsidRPr="004F58EB" w:rsidRDefault="004E14DF" w:rsidP="00EE7910">
            <w:pPr>
              <w:jc w:val="center"/>
              <w:rPr>
                <w:rFonts w:ascii="David" w:hAnsi="David" w:cs="David"/>
                <w:b/>
                <w:bCs/>
                <w:sz w:val="24"/>
                <w:szCs w:val="24"/>
                <w:rtl/>
              </w:rPr>
            </w:pPr>
            <w:r w:rsidRPr="004F58EB">
              <w:rPr>
                <w:rFonts w:ascii="David" w:hAnsi="David" w:cs="David"/>
                <w:b/>
                <w:bCs/>
                <w:sz w:val="24"/>
                <w:szCs w:val="24"/>
                <w:rtl/>
              </w:rPr>
              <w:t>מרים דיסקין, שופטת</w:t>
            </w:r>
            <w:r w:rsidR="000F1996">
              <w:rPr>
                <w:rFonts w:ascii="David" w:hAnsi="David" w:cs="David" w:hint="cs"/>
                <w:b/>
                <w:bCs/>
                <w:sz w:val="24"/>
                <w:szCs w:val="24"/>
                <w:rtl/>
              </w:rPr>
              <w:t xml:space="preserve"> עמיתה</w:t>
            </w:r>
          </w:p>
          <w:p w:rsidR="004F58EB" w:rsidRDefault="004E14DF" w:rsidP="00EE7910">
            <w:pPr>
              <w:jc w:val="center"/>
              <w:rPr>
                <w:rFonts w:ascii="Courier New" w:hAnsi="Courier New"/>
                <w:b/>
                <w:bCs/>
                <w:sz w:val="24"/>
                <w:szCs w:val="24"/>
              </w:rPr>
            </w:pPr>
            <w:r w:rsidRPr="004F58EB">
              <w:rPr>
                <w:rFonts w:ascii="David" w:hAnsi="David" w:cs="David"/>
                <w:b/>
                <w:bCs/>
                <w:sz w:val="24"/>
                <w:szCs w:val="24"/>
                <w:rtl/>
              </w:rPr>
              <w:t>אב"ד</w:t>
            </w:r>
          </w:p>
        </w:tc>
      </w:tr>
    </w:tbl>
    <w:p w:rsidR="00A24606" w:rsidRDefault="00A24606" w:rsidP="00B43B29">
      <w:pPr>
        <w:spacing w:line="360" w:lineRule="auto"/>
        <w:jc w:val="both"/>
        <w:rPr>
          <w:rFonts w:ascii="David" w:eastAsia="Times New Roman" w:hAnsi="David" w:cs="David"/>
          <w:b/>
          <w:bCs/>
          <w:spacing w:val="10"/>
          <w:sz w:val="28"/>
          <w:szCs w:val="28"/>
          <w:u w:val="single"/>
          <w:rtl/>
        </w:rPr>
      </w:pPr>
    </w:p>
    <w:p w:rsidR="002479F4" w:rsidRPr="00091099" w:rsidRDefault="004E14DF" w:rsidP="00B43B29">
      <w:pPr>
        <w:spacing w:line="360" w:lineRule="auto"/>
        <w:jc w:val="both"/>
        <w:rPr>
          <w:rFonts w:ascii="David" w:eastAsia="Times New Roman" w:hAnsi="David" w:cs="David"/>
          <w:b/>
          <w:bCs/>
          <w:spacing w:val="10"/>
          <w:sz w:val="28"/>
          <w:szCs w:val="28"/>
          <w:u w:val="single"/>
          <w:rtl/>
        </w:rPr>
      </w:pPr>
      <w:r w:rsidRPr="00091099">
        <w:rPr>
          <w:rFonts w:ascii="David" w:eastAsia="Times New Roman" w:hAnsi="David" w:cs="David" w:hint="cs"/>
          <w:b/>
          <w:bCs/>
          <w:spacing w:val="10"/>
          <w:sz w:val="28"/>
          <w:szCs w:val="28"/>
          <w:u w:val="single"/>
          <w:rtl/>
        </w:rPr>
        <w:t>השופט מרדכי לוי:</w:t>
      </w:r>
    </w:p>
    <w:p w:rsidR="002479F4" w:rsidRPr="00373B46" w:rsidRDefault="004E14DF" w:rsidP="0008665D">
      <w:pPr>
        <w:pStyle w:val="a5"/>
        <w:numPr>
          <w:ilvl w:val="0"/>
          <w:numId w:val="6"/>
        </w:numPr>
        <w:rPr>
          <w:rFonts w:ascii="David" w:hAnsi="David"/>
          <w:sz w:val="24"/>
          <w:szCs w:val="24"/>
        </w:rPr>
      </w:pPr>
      <w:r w:rsidRPr="00373B46">
        <w:rPr>
          <w:rFonts w:ascii="David" w:hAnsi="David"/>
          <w:sz w:val="24"/>
          <w:szCs w:val="24"/>
          <w:rtl/>
        </w:rPr>
        <w:t>אני מסכים</w:t>
      </w:r>
      <w:r w:rsidR="0008665D">
        <w:rPr>
          <w:rFonts w:ascii="David" w:hAnsi="David"/>
          <w:sz w:val="24"/>
          <w:szCs w:val="24"/>
          <w:rtl/>
        </w:rPr>
        <w:t xml:space="preserve"> לתוצאה שאליה הגיעה חברתי </w:t>
      </w:r>
      <w:proofErr w:type="spellStart"/>
      <w:r w:rsidR="0008665D">
        <w:rPr>
          <w:rFonts w:ascii="David" w:hAnsi="David"/>
          <w:sz w:val="24"/>
          <w:szCs w:val="24"/>
          <w:rtl/>
        </w:rPr>
        <w:t>האב"ד</w:t>
      </w:r>
      <w:proofErr w:type="spellEnd"/>
      <w:r w:rsidR="0008665D">
        <w:rPr>
          <w:rFonts w:ascii="David" w:hAnsi="David" w:hint="cs"/>
          <w:sz w:val="24"/>
          <w:szCs w:val="24"/>
          <w:rtl/>
        </w:rPr>
        <w:t xml:space="preserve">, </w:t>
      </w:r>
      <w:r w:rsidRPr="00373B46">
        <w:rPr>
          <w:rFonts w:ascii="David" w:hAnsi="David"/>
          <w:sz w:val="24"/>
          <w:szCs w:val="24"/>
          <w:rtl/>
        </w:rPr>
        <w:t>כב' השופטת מ' דיסקין, וכן למסקנותיה ולהנמקותיה, אשר בחוות דעתה המפורטת והמקיפה.</w:t>
      </w:r>
    </w:p>
    <w:p w:rsidR="002479F4" w:rsidRPr="00373B46" w:rsidRDefault="004E14DF" w:rsidP="000F1996">
      <w:pPr>
        <w:ind w:firstLine="360"/>
        <w:rPr>
          <w:rFonts w:ascii="David" w:hAnsi="David" w:cs="David"/>
          <w:b/>
          <w:bCs/>
          <w:sz w:val="24"/>
          <w:szCs w:val="24"/>
          <w:u w:val="single"/>
          <w:rtl/>
        </w:rPr>
      </w:pPr>
      <w:r w:rsidRPr="00373B46">
        <w:rPr>
          <w:rFonts w:ascii="David" w:hAnsi="David" w:cs="David"/>
          <w:sz w:val="24"/>
          <w:szCs w:val="24"/>
          <w:rtl/>
        </w:rPr>
        <w:t>עם זאת, ברצוני להוסיף הערות והדגשות אחדות.</w:t>
      </w:r>
    </w:p>
    <w:p w:rsidR="002479F4" w:rsidRPr="00373B46" w:rsidRDefault="004E14DF" w:rsidP="0008665D">
      <w:pPr>
        <w:pStyle w:val="a3"/>
        <w:numPr>
          <w:ilvl w:val="0"/>
          <w:numId w:val="6"/>
        </w:numPr>
        <w:spacing w:before="240" w:after="240" w:line="360" w:lineRule="auto"/>
        <w:jc w:val="both"/>
        <w:rPr>
          <w:rFonts w:ascii="David" w:hAnsi="David" w:cs="David"/>
          <w:sz w:val="24"/>
          <w:szCs w:val="24"/>
        </w:rPr>
      </w:pPr>
      <w:r w:rsidRPr="00373B46">
        <w:rPr>
          <w:rFonts w:ascii="David" w:hAnsi="David" w:cs="David"/>
          <w:sz w:val="24"/>
          <w:szCs w:val="24"/>
          <w:rtl/>
        </w:rPr>
        <w:t>כפי שבצדק ציינה המדינה בערעורה על הכרעת דינו של בית משפט קמא בעניינו של המשיב/המערער (להלן: "</w:t>
      </w:r>
      <w:r w:rsidRPr="00373B46">
        <w:rPr>
          <w:rFonts w:ascii="David" w:hAnsi="David" w:cs="David"/>
          <w:b/>
          <w:bCs/>
          <w:sz w:val="24"/>
          <w:szCs w:val="24"/>
          <w:rtl/>
        </w:rPr>
        <w:t>שחם</w:t>
      </w:r>
      <w:r w:rsidRPr="00373B46">
        <w:rPr>
          <w:rFonts w:ascii="David" w:hAnsi="David" w:cs="David"/>
          <w:sz w:val="24"/>
          <w:szCs w:val="24"/>
          <w:rtl/>
        </w:rPr>
        <w:t>" או "</w:t>
      </w:r>
      <w:r w:rsidRPr="00373B46">
        <w:rPr>
          <w:rFonts w:ascii="David" w:hAnsi="David" w:cs="David"/>
          <w:b/>
          <w:bCs/>
          <w:sz w:val="24"/>
          <w:szCs w:val="24"/>
          <w:rtl/>
        </w:rPr>
        <w:t>המשיב</w:t>
      </w:r>
      <w:r w:rsidRPr="00373B46">
        <w:rPr>
          <w:rFonts w:ascii="David" w:hAnsi="David" w:cs="David"/>
          <w:sz w:val="24"/>
          <w:szCs w:val="24"/>
          <w:rtl/>
        </w:rPr>
        <w:t>"), מדובר בערעור שהינו משפטי; זאת, בהבדל מערעורו של שחם, שהוא ערעור על ממצאי עובדה ומהימנות שנקבעו על ידי בית משפט קמא</w:t>
      </w:r>
      <w:r w:rsidRPr="0008665D">
        <w:rPr>
          <w:rFonts w:ascii="David" w:hAnsi="David" w:cs="David"/>
          <w:sz w:val="24"/>
          <w:szCs w:val="24"/>
          <w:rtl/>
        </w:rPr>
        <w:t>.</w:t>
      </w:r>
    </w:p>
    <w:p w:rsidR="002479F4" w:rsidRPr="00373B46" w:rsidRDefault="002479F4" w:rsidP="002479F4">
      <w:pPr>
        <w:pStyle w:val="a3"/>
        <w:ind w:left="360"/>
        <w:rPr>
          <w:rFonts w:ascii="David" w:hAnsi="David" w:cs="David"/>
          <w:sz w:val="24"/>
          <w:szCs w:val="24"/>
        </w:rPr>
      </w:pPr>
    </w:p>
    <w:p w:rsidR="002479F4" w:rsidRPr="00373B46" w:rsidRDefault="004E14DF" w:rsidP="002479F4">
      <w:pPr>
        <w:pStyle w:val="a3"/>
        <w:numPr>
          <w:ilvl w:val="0"/>
          <w:numId w:val="6"/>
        </w:numPr>
        <w:spacing w:before="240" w:after="240" w:line="360" w:lineRule="auto"/>
        <w:jc w:val="both"/>
        <w:rPr>
          <w:rFonts w:ascii="David" w:hAnsi="David" w:cs="David"/>
          <w:sz w:val="24"/>
          <w:szCs w:val="24"/>
        </w:rPr>
      </w:pPr>
      <w:r w:rsidRPr="00373B46">
        <w:rPr>
          <w:rFonts w:ascii="David" w:hAnsi="David" w:cs="David"/>
          <w:sz w:val="24"/>
          <w:szCs w:val="24"/>
          <w:rtl/>
        </w:rPr>
        <w:t xml:space="preserve">כזכור, ערעור המדינה כוון </w:t>
      </w:r>
      <w:r w:rsidRPr="00373B46">
        <w:rPr>
          <w:rFonts w:ascii="David" w:hAnsi="David" w:cs="David"/>
          <w:b/>
          <w:bCs/>
          <w:sz w:val="24"/>
          <w:szCs w:val="24"/>
          <w:rtl/>
        </w:rPr>
        <w:t>בעיקר</w:t>
      </w:r>
      <w:r w:rsidRPr="00373B46">
        <w:rPr>
          <w:rFonts w:ascii="David" w:hAnsi="David" w:cs="David"/>
          <w:sz w:val="24"/>
          <w:szCs w:val="24"/>
          <w:rtl/>
        </w:rPr>
        <w:t xml:space="preserve"> נגד זיכויו של המשיב מהעבירה של מרמה ו</w:t>
      </w:r>
      <w:r w:rsidRPr="00373B46">
        <w:rPr>
          <w:rFonts w:ascii="David" w:hAnsi="David" w:cs="David"/>
          <w:b/>
          <w:bCs/>
          <w:sz w:val="24"/>
          <w:szCs w:val="24"/>
          <w:rtl/>
        </w:rPr>
        <w:t>הפרת אמונים</w:t>
      </w:r>
      <w:r w:rsidRPr="00373B46">
        <w:rPr>
          <w:rFonts w:ascii="David" w:hAnsi="David" w:cs="David"/>
          <w:sz w:val="24"/>
          <w:szCs w:val="24"/>
          <w:rtl/>
        </w:rPr>
        <w:t>, לפי סעיף 284 לחוק העונשין... שיוחסה למשיב בכתב האישום – לצד עבירות נוספות, של מעשה מגונה ושל הטרדה מינית – בגין "</w:t>
      </w:r>
      <w:r w:rsidRPr="00373B46">
        <w:rPr>
          <w:rFonts w:ascii="David" w:hAnsi="David" w:cs="David"/>
          <w:b/>
          <w:bCs/>
          <w:sz w:val="24"/>
          <w:szCs w:val="24"/>
          <w:rtl/>
        </w:rPr>
        <w:t>התנהלותו הכוללת</w:t>
      </w:r>
      <w:r w:rsidRPr="00373B46">
        <w:rPr>
          <w:rFonts w:ascii="David" w:hAnsi="David" w:cs="David"/>
          <w:sz w:val="24"/>
          <w:szCs w:val="24"/>
          <w:rtl/>
        </w:rPr>
        <w:t>"</w:t>
      </w:r>
      <w:r w:rsidRPr="00373B46">
        <w:rPr>
          <w:rFonts w:ascii="David" w:hAnsi="David" w:cs="David"/>
          <w:b/>
          <w:bCs/>
          <w:sz w:val="24"/>
          <w:szCs w:val="24"/>
          <w:rtl/>
        </w:rPr>
        <w:t xml:space="preserve"> </w:t>
      </w:r>
      <w:r w:rsidRPr="00373B46">
        <w:rPr>
          <w:rFonts w:ascii="David" w:hAnsi="David" w:cs="David"/>
          <w:sz w:val="24"/>
          <w:szCs w:val="24"/>
          <w:rtl/>
        </w:rPr>
        <w:t>ו"</w:t>
      </w:r>
      <w:r w:rsidRPr="00373B46">
        <w:rPr>
          <w:rFonts w:ascii="David" w:hAnsi="David" w:cs="David"/>
          <w:b/>
          <w:bCs/>
          <w:sz w:val="24"/>
          <w:szCs w:val="24"/>
          <w:rtl/>
        </w:rPr>
        <w:t>המצטברת</w:t>
      </w:r>
      <w:r w:rsidRPr="00373B46">
        <w:rPr>
          <w:rFonts w:ascii="David" w:hAnsi="David" w:cs="David"/>
          <w:sz w:val="24"/>
          <w:szCs w:val="24"/>
          <w:rtl/>
        </w:rPr>
        <w:t xml:space="preserve">" של המשיב במסגרת </w:t>
      </w:r>
      <w:r w:rsidRPr="00373B46">
        <w:rPr>
          <w:rFonts w:ascii="David" w:hAnsi="David" w:cs="David"/>
          <w:sz w:val="24"/>
          <w:szCs w:val="24"/>
          <w:rtl/>
        </w:rPr>
        <w:lastRenderedPageBreak/>
        <w:t>שמונה פרשות שונות, כלפי שמונה שוטרות זוטרות וצעירות.... כפי שהובהר מראש ובאופן מפורש בכתב האישום</w:t>
      </w:r>
      <w:r w:rsidR="0008665D">
        <w:rPr>
          <w:rFonts w:ascii="David" w:hAnsi="David" w:cs="David"/>
          <w:sz w:val="24"/>
          <w:szCs w:val="24"/>
          <w:rtl/>
        </w:rPr>
        <w:t>.</w:t>
      </w:r>
    </w:p>
    <w:p w:rsidR="002479F4" w:rsidRPr="00373B46" w:rsidRDefault="002479F4" w:rsidP="002479F4">
      <w:pPr>
        <w:pStyle w:val="a3"/>
        <w:rPr>
          <w:rFonts w:ascii="David" w:hAnsi="David" w:cs="David"/>
          <w:sz w:val="24"/>
          <w:szCs w:val="24"/>
          <w:rtl/>
        </w:rPr>
      </w:pPr>
    </w:p>
    <w:p w:rsidR="002479F4" w:rsidRPr="00373B46" w:rsidRDefault="004E14DF" w:rsidP="002479F4">
      <w:pPr>
        <w:pStyle w:val="a3"/>
        <w:numPr>
          <w:ilvl w:val="0"/>
          <w:numId w:val="6"/>
        </w:numPr>
        <w:spacing w:before="240" w:after="240" w:line="360" w:lineRule="auto"/>
        <w:jc w:val="both"/>
        <w:rPr>
          <w:rFonts w:ascii="David" w:hAnsi="David" w:cs="David"/>
          <w:sz w:val="24"/>
          <w:szCs w:val="24"/>
        </w:rPr>
      </w:pPr>
      <w:r w:rsidRPr="00373B46">
        <w:rPr>
          <w:rFonts w:ascii="David" w:hAnsi="David" w:cs="David"/>
          <w:sz w:val="24"/>
          <w:szCs w:val="24"/>
          <w:rtl/>
        </w:rPr>
        <w:t xml:space="preserve">כפי שהערתי לב"כ המשיב, במהלך הדיון בערעור.... – בהבדל מאשר בעניינן של עבירות מין ... ככל שמדובר בעבירה...של הפרת אמונים, העדויות של חלק מהשוטרות בעניין הסכמתן למעשי המשיב, אינן כה מעניינות ורלוונטיות, אלא </w:t>
      </w:r>
      <w:r w:rsidRPr="00373B46">
        <w:rPr>
          <w:rFonts w:ascii="David" w:hAnsi="David" w:cs="David"/>
          <w:b/>
          <w:bCs/>
          <w:sz w:val="24"/>
          <w:szCs w:val="24"/>
          <w:rtl/>
        </w:rPr>
        <w:t>האינטרס הציבורי</w:t>
      </w:r>
      <w:r w:rsidRPr="00373B46">
        <w:rPr>
          <w:rFonts w:ascii="David" w:hAnsi="David" w:cs="David"/>
          <w:sz w:val="24"/>
          <w:szCs w:val="24"/>
          <w:rtl/>
        </w:rPr>
        <w:t xml:space="preserve">, אשר הוא זה העומד ביסודה של העבירה </w:t>
      </w:r>
      <w:r w:rsidR="0008665D" w:rsidRPr="0008665D">
        <w:rPr>
          <w:rFonts w:ascii="David" w:hAnsi="David" w:cs="David"/>
          <w:sz w:val="24"/>
          <w:szCs w:val="24"/>
          <w:rtl/>
        </w:rPr>
        <w:t>.</w:t>
      </w:r>
      <w:r w:rsidRPr="00373B46">
        <w:rPr>
          <w:rFonts w:ascii="David" w:hAnsi="David" w:cs="David"/>
          <w:sz w:val="24"/>
          <w:szCs w:val="24"/>
          <w:rtl/>
        </w:rPr>
        <w:t xml:space="preserve"> </w:t>
      </w:r>
    </w:p>
    <w:p w:rsidR="002479F4" w:rsidRPr="00373B46" w:rsidRDefault="002479F4" w:rsidP="002479F4">
      <w:pPr>
        <w:pStyle w:val="a3"/>
        <w:rPr>
          <w:rFonts w:ascii="David" w:hAnsi="David" w:cs="David"/>
          <w:sz w:val="24"/>
          <w:szCs w:val="24"/>
          <w:rtl/>
        </w:rPr>
      </w:pPr>
    </w:p>
    <w:p w:rsidR="002479F4" w:rsidRPr="00373B46" w:rsidRDefault="004E14DF" w:rsidP="002479F4">
      <w:pPr>
        <w:pStyle w:val="a3"/>
        <w:numPr>
          <w:ilvl w:val="0"/>
          <w:numId w:val="6"/>
        </w:numPr>
        <w:spacing w:before="240" w:after="240" w:line="360" w:lineRule="auto"/>
        <w:jc w:val="both"/>
        <w:rPr>
          <w:rFonts w:ascii="David" w:hAnsi="David" w:cs="David"/>
          <w:sz w:val="24"/>
          <w:szCs w:val="24"/>
        </w:rPr>
      </w:pPr>
      <w:r w:rsidRPr="00373B46">
        <w:rPr>
          <w:rFonts w:ascii="David" w:hAnsi="David" w:cs="David"/>
          <w:sz w:val="24"/>
          <w:szCs w:val="24"/>
          <w:rtl/>
        </w:rPr>
        <w:t>בהכרעת הדין ציין בית משפט קמא, בין השאר, כי "</w:t>
      </w:r>
      <w:r w:rsidRPr="00373B46">
        <w:rPr>
          <w:rFonts w:ascii="David" w:hAnsi="David" w:cs="David"/>
          <w:b/>
          <w:bCs/>
          <w:sz w:val="24"/>
          <w:szCs w:val="24"/>
          <w:rtl/>
        </w:rPr>
        <w:t xml:space="preserve">בחוק העונשין אין הוראת חוק מקבילה להוראת סעיף 130 לחוק השיפוט הצבאי שעניינה עבירה של 'התנהגות שאינה הולמת' </w:t>
      </w:r>
      <w:r w:rsidRPr="00373B46">
        <w:rPr>
          <w:rFonts w:ascii="David" w:hAnsi="David" w:cs="David"/>
          <w:sz w:val="24"/>
          <w:szCs w:val="24"/>
          <w:rtl/>
        </w:rPr>
        <w:t>...".</w:t>
      </w:r>
    </w:p>
    <w:p w:rsidR="002479F4" w:rsidRPr="00373B46" w:rsidRDefault="002479F4" w:rsidP="002479F4">
      <w:pPr>
        <w:pStyle w:val="a3"/>
        <w:rPr>
          <w:rFonts w:ascii="David" w:hAnsi="David" w:cs="David"/>
          <w:sz w:val="24"/>
          <w:szCs w:val="24"/>
          <w:rtl/>
        </w:rPr>
      </w:pPr>
    </w:p>
    <w:p w:rsidR="002479F4" w:rsidRPr="00373B46" w:rsidRDefault="004E14DF" w:rsidP="0008665D">
      <w:pPr>
        <w:pStyle w:val="a3"/>
        <w:numPr>
          <w:ilvl w:val="0"/>
          <w:numId w:val="6"/>
        </w:numPr>
        <w:spacing w:before="240" w:after="240" w:line="360" w:lineRule="auto"/>
        <w:jc w:val="both"/>
        <w:rPr>
          <w:rFonts w:ascii="David" w:hAnsi="David" w:cs="David"/>
          <w:sz w:val="24"/>
          <w:szCs w:val="24"/>
        </w:rPr>
      </w:pPr>
      <w:r w:rsidRPr="00373B46">
        <w:rPr>
          <w:rFonts w:ascii="David" w:hAnsi="David" w:cs="David"/>
          <w:sz w:val="24"/>
          <w:szCs w:val="24"/>
          <w:rtl/>
        </w:rPr>
        <w:t>ב"כ המשיב, שביקש לדחות את ערעור המדינה, הסתמך בטיעוניו, בין היתר, על כל המסקנות של בית משפט קמא, ובין השאר גם על העדרה בחוק של הוראת חוק המקבילה להוראת סעיף 130 לחוק השיפוט הצבאי (להלן גם: "</w:t>
      </w:r>
      <w:proofErr w:type="spellStart"/>
      <w:r w:rsidRPr="00373B46">
        <w:rPr>
          <w:rFonts w:ascii="David" w:hAnsi="David" w:cs="David"/>
          <w:b/>
          <w:bCs/>
          <w:sz w:val="24"/>
          <w:szCs w:val="24"/>
          <w:rtl/>
        </w:rPr>
        <w:t>חש"ץ</w:t>
      </w:r>
      <w:proofErr w:type="spellEnd"/>
      <w:r w:rsidRPr="00373B46">
        <w:rPr>
          <w:rFonts w:ascii="David" w:hAnsi="David" w:cs="David"/>
          <w:sz w:val="24"/>
          <w:szCs w:val="24"/>
          <w:rtl/>
        </w:rPr>
        <w:t xml:space="preserve">") אשר מתייחסת </w:t>
      </w:r>
      <w:r w:rsidR="0008665D">
        <w:rPr>
          <w:rFonts w:ascii="David" w:hAnsi="David" w:cs="David"/>
          <w:sz w:val="24"/>
          <w:szCs w:val="24"/>
          <w:rtl/>
        </w:rPr>
        <w:t>למפקדים במשטרה</w:t>
      </w:r>
      <w:r w:rsidR="0008665D">
        <w:rPr>
          <w:rFonts w:ascii="David" w:hAnsi="David" w:cs="David" w:hint="cs"/>
          <w:sz w:val="24"/>
          <w:szCs w:val="24"/>
          <w:rtl/>
        </w:rPr>
        <w:t>.</w:t>
      </w:r>
    </w:p>
    <w:p w:rsidR="002479F4" w:rsidRPr="00373B46" w:rsidRDefault="004E14DF" w:rsidP="002479F4">
      <w:pPr>
        <w:pStyle w:val="a3"/>
        <w:numPr>
          <w:ilvl w:val="0"/>
          <w:numId w:val="6"/>
        </w:numPr>
        <w:spacing w:before="240" w:after="240" w:line="360" w:lineRule="auto"/>
        <w:jc w:val="both"/>
        <w:rPr>
          <w:rFonts w:ascii="David" w:hAnsi="David" w:cs="David"/>
          <w:sz w:val="24"/>
          <w:szCs w:val="24"/>
        </w:rPr>
      </w:pPr>
      <w:r w:rsidRPr="00373B46">
        <w:rPr>
          <w:rFonts w:ascii="David" w:hAnsi="David" w:cs="David"/>
          <w:sz w:val="24"/>
          <w:szCs w:val="24"/>
          <w:rtl/>
        </w:rPr>
        <w:t xml:space="preserve">כפי שבצדק ציינה חברתי </w:t>
      </w:r>
      <w:proofErr w:type="spellStart"/>
      <w:r w:rsidRPr="00373B46">
        <w:rPr>
          <w:rFonts w:ascii="David" w:hAnsi="David" w:cs="David"/>
          <w:sz w:val="24"/>
          <w:szCs w:val="24"/>
          <w:rtl/>
        </w:rPr>
        <w:t>האב"ד</w:t>
      </w:r>
      <w:proofErr w:type="spellEnd"/>
      <w:r w:rsidRPr="00373B46">
        <w:rPr>
          <w:rFonts w:ascii="David" w:hAnsi="David" w:cs="David"/>
          <w:sz w:val="24"/>
          <w:szCs w:val="24"/>
          <w:rtl/>
        </w:rPr>
        <w:t xml:space="preserve"> בחוות דעתה, "</w:t>
      </w:r>
      <w:r w:rsidRPr="00373B46">
        <w:rPr>
          <w:rFonts w:ascii="David" w:hAnsi="David" w:cs="David"/>
          <w:b/>
          <w:bCs/>
          <w:sz w:val="24"/>
          <w:szCs w:val="24"/>
          <w:rtl/>
        </w:rPr>
        <w:t>הדמיון שבין צבא הגנה לישראל לבין משטרת ישראל ברור וניכר על פניו – המדובר בשני גופים האמונים על בטחון ישראל, כל אחד בדרכו, היררכיים במהותם, המחייבים רמת ציות גבוהה מצד משרתיהם</w:t>
      </w:r>
      <w:r w:rsidRPr="00373B46">
        <w:rPr>
          <w:rFonts w:ascii="David" w:hAnsi="David" w:cs="David"/>
          <w:sz w:val="24"/>
          <w:szCs w:val="24"/>
          <w:rtl/>
        </w:rPr>
        <w:t>", וזאת תוך הפנייה לפסיקה של בית המשפט העליון המתייחסת למעשים דומים... מצד מפקדים בצבא, שאכן יש להקיש ממנה גם לעניין התנהגותם של מפקדים במשטרה.</w:t>
      </w:r>
    </w:p>
    <w:p w:rsidR="002479F4" w:rsidRPr="00373B46" w:rsidRDefault="002479F4" w:rsidP="002479F4">
      <w:pPr>
        <w:pStyle w:val="a3"/>
        <w:rPr>
          <w:rFonts w:ascii="David" w:hAnsi="David" w:cs="David"/>
          <w:sz w:val="24"/>
          <w:szCs w:val="24"/>
          <w:rtl/>
        </w:rPr>
      </w:pPr>
    </w:p>
    <w:p w:rsidR="002479F4" w:rsidRPr="00373B46" w:rsidRDefault="004E14DF" w:rsidP="0008665D">
      <w:pPr>
        <w:pStyle w:val="a3"/>
        <w:numPr>
          <w:ilvl w:val="0"/>
          <w:numId w:val="6"/>
        </w:numPr>
        <w:spacing w:before="240" w:after="240" w:line="360" w:lineRule="auto"/>
        <w:jc w:val="both"/>
        <w:rPr>
          <w:rFonts w:ascii="David" w:hAnsi="David" w:cs="David"/>
          <w:sz w:val="24"/>
          <w:szCs w:val="24"/>
        </w:rPr>
      </w:pPr>
      <w:r w:rsidRPr="00373B46">
        <w:rPr>
          <w:rFonts w:ascii="David" w:hAnsi="David" w:cs="David"/>
          <w:sz w:val="24"/>
          <w:szCs w:val="24"/>
          <w:rtl/>
        </w:rPr>
        <w:t xml:space="preserve">כפי שהבהרתי לב"כ המשיב במהלך הדיון בערעור, </w:t>
      </w:r>
      <w:r w:rsidRPr="00373B46">
        <w:rPr>
          <w:rFonts w:ascii="David" w:hAnsi="David" w:cs="David"/>
          <w:b/>
          <w:bCs/>
          <w:sz w:val="24"/>
          <w:szCs w:val="24"/>
          <w:rtl/>
        </w:rPr>
        <w:t>האינטרס הציבורי</w:t>
      </w:r>
      <w:r w:rsidRPr="00373B46">
        <w:rPr>
          <w:rFonts w:ascii="David" w:hAnsi="David" w:cs="David"/>
          <w:sz w:val="24"/>
          <w:szCs w:val="24"/>
          <w:rtl/>
        </w:rPr>
        <w:t xml:space="preserve"> חד הוא, בין אם מדובר בקצינים במשטרה ובין אם מדובר בקצינים בצה"ל – בין היתר, כי יידעו כל אם ואב השולחים את בנותיהם לשרת באחד מזרועות הביטחון, אם בצה"ל ואם במשמר הגבול (מג"ב) או </w:t>
      </w:r>
      <w:proofErr w:type="spellStart"/>
      <w:r w:rsidRPr="00373B46">
        <w:rPr>
          <w:rFonts w:ascii="David" w:hAnsi="David" w:cs="David"/>
          <w:sz w:val="24"/>
          <w:szCs w:val="24"/>
          <w:rtl/>
        </w:rPr>
        <w:t>בשח"ם</w:t>
      </w:r>
      <w:proofErr w:type="spellEnd"/>
      <w:r w:rsidRPr="00373B46">
        <w:rPr>
          <w:rFonts w:ascii="David" w:hAnsi="David" w:cs="David"/>
          <w:sz w:val="24"/>
          <w:szCs w:val="24"/>
          <w:rtl/>
        </w:rPr>
        <w:t xml:space="preserve"> (שירות חובה במשטרה), שבנותיהם לא תוטרדנה מינית על ידי מפקדיהן ושהמפקדים לא ינצלו לרעה את דרגתם, את תפקידם ואת מרותם כדי לקיים עמן יחסים אינטימיים, כמעשיו של שחם. הדברים באים לידי ביטוי </w:t>
      </w:r>
      <w:r w:rsidRPr="00373B46">
        <w:rPr>
          <w:rFonts w:ascii="David" w:hAnsi="David" w:cs="David"/>
          <w:b/>
          <w:bCs/>
          <w:sz w:val="24"/>
          <w:szCs w:val="24"/>
          <w:rtl/>
        </w:rPr>
        <w:t>חריף במיוחד</w:t>
      </w:r>
      <w:r w:rsidRPr="00373B46">
        <w:rPr>
          <w:rFonts w:ascii="David" w:hAnsi="David" w:cs="David"/>
          <w:sz w:val="24"/>
          <w:szCs w:val="24"/>
          <w:rtl/>
        </w:rPr>
        <w:t xml:space="preserve"> כאשר מדובר בשירות </w:t>
      </w:r>
      <w:r w:rsidRPr="00373B46">
        <w:rPr>
          <w:rFonts w:ascii="David" w:hAnsi="David" w:cs="David"/>
          <w:b/>
          <w:bCs/>
          <w:sz w:val="24"/>
          <w:szCs w:val="24"/>
          <w:rtl/>
        </w:rPr>
        <w:t>חובה</w:t>
      </w:r>
      <w:r w:rsidRPr="00373B46">
        <w:rPr>
          <w:rFonts w:ascii="David" w:hAnsi="David" w:cs="David"/>
          <w:sz w:val="24"/>
          <w:szCs w:val="24"/>
          <w:rtl/>
        </w:rPr>
        <w:t xml:space="preserve">, בין אם בצה"ל ובין אם במשטרה. </w:t>
      </w:r>
      <w:r w:rsidRPr="00373B46">
        <w:rPr>
          <w:rFonts w:ascii="David" w:hAnsi="David" w:cs="David"/>
          <w:b/>
          <w:bCs/>
          <w:sz w:val="24"/>
          <w:szCs w:val="24"/>
          <w:rtl/>
        </w:rPr>
        <w:t>בפועל</w:t>
      </w:r>
      <w:r w:rsidRPr="00373B46">
        <w:rPr>
          <w:rFonts w:ascii="David" w:hAnsi="David" w:cs="David"/>
          <w:sz w:val="24"/>
          <w:szCs w:val="24"/>
          <w:rtl/>
        </w:rPr>
        <w:t xml:space="preserve">, כפי שעולה מממצאי העובדה שנקבעו על ידי בית משפט קמא, מעשיו של שחם לא פסחו גם </w:t>
      </w:r>
      <w:r w:rsidR="0008665D">
        <w:rPr>
          <w:rFonts w:ascii="David" w:hAnsi="David" w:cs="David"/>
          <w:sz w:val="24"/>
          <w:szCs w:val="24"/>
          <w:rtl/>
        </w:rPr>
        <w:t xml:space="preserve">על שוטרות </w:t>
      </w:r>
      <w:proofErr w:type="spellStart"/>
      <w:r w:rsidR="0008665D">
        <w:rPr>
          <w:rFonts w:ascii="David" w:hAnsi="David" w:cs="David"/>
          <w:sz w:val="24"/>
          <w:szCs w:val="24"/>
          <w:rtl/>
        </w:rPr>
        <w:t>שח"ם</w:t>
      </w:r>
      <w:proofErr w:type="spellEnd"/>
      <w:r w:rsidR="0008665D">
        <w:rPr>
          <w:rFonts w:ascii="David" w:hAnsi="David" w:cs="David" w:hint="cs"/>
          <w:sz w:val="24"/>
          <w:szCs w:val="24"/>
          <w:rtl/>
        </w:rPr>
        <w:t>.</w:t>
      </w:r>
    </w:p>
    <w:p w:rsidR="002479F4" w:rsidRPr="00373B46" w:rsidRDefault="002479F4" w:rsidP="002479F4">
      <w:pPr>
        <w:pStyle w:val="a3"/>
        <w:spacing w:line="360" w:lineRule="auto"/>
        <w:rPr>
          <w:rFonts w:ascii="David" w:hAnsi="David" w:cs="David"/>
          <w:sz w:val="24"/>
          <w:szCs w:val="24"/>
          <w:rtl/>
        </w:rPr>
      </w:pPr>
    </w:p>
    <w:p w:rsidR="002479F4" w:rsidRPr="00373B46" w:rsidRDefault="004E14DF" w:rsidP="00091099">
      <w:pPr>
        <w:pStyle w:val="a3"/>
        <w:numPr>
          <w:ilvl w:val="0"/>
          <w:numId w:val="6"/>
        </w:numPr>
        <w:spacing w:before="240" w:after="240" w:line="360" w:lineRule="auto"/>
        <w:jc w:val="both"/>
        <w:rPr>
          <w:rFonts w:ascii="David" w:hAnsi="David" w:cs="David"/>
          <w:sz w:val="24"/>
          <w:szCs w:val="24"/>
        </w:rPr>
      </w:pPr>
      <w:r w:rsidRPr="00373B46">
        <w:rPr>
          <w:rFonts w:ascii="David" w:hAnsi="David" w:cs="David"/>
          <w:sz w:val="24"/>
          <w:szCs w:val="24"/>
          <w:rtl/>
        </w:rPr>
        <w:t xml:space="preserve"> אבקש להוסיף ולנסות להבהיר מדוע </w:t>
      </w:r>
      <w:r w:rsidRPr="00373B46">
        <w:rPr>
          <w:rFonts w:ascii="David" w:hAnsi="David" w:cs="David"/>
          <w:b/>
          <w:bCs/>
          <w:sz w:val="24"/>
          <w:szCs w:val="24"/>
          <w:rtl/>
        </w:rPr>
        <w:t xml:space="preserve">אין ניתן ללמוד או להסיק </w:t>
      </w:r>
      <w:r w:rsidRPr="00373B46">
        <w:rPr>
          <w:rFonts w:ascii="David" w:hAnsi="David" w:cs="David"/>
          <w:sz w:val="24"/>
          <w:szCs w:val="24"/>
          <w:rtl/>
        </w:rPr>
        <w:t xml:space="preserve">מהעדרה בחוק העונשין, או בחוק המשטרה... של הוראת חוק המקבילה להוראת סעיף 130 </w:t>
      </w:r>
      <w:proofErr w:type="spellStart"/>
      <w:r w:rsidRPr="00373B46">
        <w:rPr>
          <w:rFonts w:ascii="David" w:hAnsi="David" w:cs="David"/>
          <w:sz w:val="24"/>
          <w:szCs w:val="24"/>
          <w:rtl/>
        </w:rPr>
        <w:t>לחש"ץ</w:t>
      </w:r>
      <w:proofErr w:type="spellEnd"/>
      <w:r w:rsidRPr="00373B46">
        <w:rPr>
          <w:rFonts w:ascii="David" w:hAnsi="David" w:cs="David"/>
          <w:sz w:val="24"/>
          <w:szCs w:val="24"/>
          <w:rtl/>
        </w:rPr>
        <w:t xml:space="preserve">, המתייחסת למפקדים במשטרה – את שהסיק בטעות בית משפט קמא. </w:t>
      </w:r>
    </w:p>
    <w:p w:rsidR="002479F4" w:rsidRPr="00373B46" w:rsidRDefault="004E14DF" w:rsidP="00091099">
      <w:pPr>
        <w:pStyle w:val="a3"/>
        <w:spacing w:line="360" w:lineRule="auto"/>
        <w:ind w:left="360"/>
        <w:jc w:val="both"/>
        <w:rPr>
          <w:rFonts w:ascii="David" w:hAnsi="David" w:cs="David"/>
          <w:sz w:val="24"/>
          <w:szCs w:val="24"/>
          <w:rtl/>
        </w:rPr>
      </w:pPr>
      <w:r w:rsidRPr="00373B46">
        <w:rPr>
          <w:rFonts w:ascii="David" w:hAnsi="David" w:cs="David"/>
          <w:sz w:val="24"/>
          <w:szCs w:val="24"/>
          <w:rtl/>
        </w:rPr>
        <w:lastRenderedPageBreak/>
        <w:t xml:space="preserve">העובדה </w:t>
      </w:r>
      <w:proofErr w:type="spellStart"/>
      <w:r w:rsidRPr="00373B46">
        <w:rPr>
          <w:rFonts w:ascii="David" w:hAnsi="David" w:cs="David"/>
          <w:sz w:val="24"/>
          <w:szCs w:val="24"/>
          <w:rtl/>
        </w:rPr>
        <w:t>שבחש"ץ</w:t>
      </w:r>
      <w:proofErr w:type="spellEnd"/>
      <w:r w:rsidRPr="00373B46">
        <w:rPr>
          <w:rFonts w:ascii="David" w:hAnsi="David" w:cs="David"/>
          <w:sz w:val="24"/>
          <w:szCs w:val="24"/>
          <w:rtl/>
        </w:rPr>
        <w:t>, בהבדל מאשר בחוק, נכללת (בין היתר) עבירה של התנהגות שאינה הולמת, נובעת (גם) מכך ש</w:t>
      </w:r>
      <w:r w:rsidRPr="00373B46">
        <w:rPr>
          <w:rFonts w:ascii="David" w:hAnsi="David" w:cs="David"/>
          <w:b/>
          <w:bCs/>
          <w:sz w:val="24"/>
          <w:szCs w:val="24"/>
          <w:rtl/>
        </w:rPr>
        <w:t>בשונה מחוקים אחרים, לרבות חוק המשטרה וחוק העונשין</w:t>
      </w:r>
      <w:r w:rsidRPr="00373B46">
        <w:rPr>
          <w:rFonts w:ascii="David" w:hAnsi="David" w:cs="David"/>
          <w:sz w:val="24"/>
          <w:szCs w:val="24"/>
          <w:rtl/>
        </w:rPr>
        <w:t>, "</w:t>
      </w:r>
      <w:r w:rsidRPr="00373B46">
        <w:rPr>
          <w:rFonts w:ascii="David" w:hAnsi="David" w:cs="David"/>
          <w:b/>
          <w:bCs/>
          <w:sz w:val="24"/>
          <w:szCs w:val="24"/>
          <w:rtl/>
        </w:rPr>
        <w:t>חוק השיפוט הצבאי נועד לשמש קודקס מקיף ומיוחד</w:t>
      </w:r>
      <w:r w:rsidRPr="00373B46">
        <w:rPr>
          <w:rFonts w:ascii="David" w:hAnsi="David" w:cs="David"/>
          <w:sz w:val="24"/>
          <w:szCs w:val="24"/>
          <w:rtl/>
        </w:rPr>
        <w:t xml:space="preserve"> ...", כפי שציין כב' הנשיא מ' שמגר בבג"ץ 695/88 </w:t>
      </w:r>
      <w:r w:rsidRPr="00373B46">
        <w:rPr>
          <w:rFonts w:ascii="David" w:hAnsi="David" w:cs="David"/>
          <w:b/>
          <w:bCs/>
          <w:sz w:val="24"/>
          <w:szCs w:val="24"/>
          <w:rtl/>
        </w:rPr>
        <w:t>אדלר נ' בית הדין הצבאי לערעורים</w:t>
      </w:r>
      <w:r w:rsidRPr="00373B46">
        <w:rPr>
          <w:rFonts w:ascii="David" w:hAnsi="David" w:cs="David"/>
          <w:sz w:val="24"/>
          <w:szCs w:val="24"/>
          <w:rtl/>
        </w:rPr>
        <w:t xml:space="preserve">. וראו גם דברי כב' השופט (כתוארו אז) י' כהן בד"נ 13/75 </w:t>
      </w:r>
      <w:r w:rsidRPr="00373B46">
        <w:rPr>
          <w:rFonts w:ascii="David" w:hAnsi="David" w:cs="David"/>
          <w:b/>
          <w:bCs/>
          <w:sz w:val="24"/>
          <w:szCs w:val="24"/>
          <w:rtl/>
        </w:rPr>
        <w:t>מפקד משטרה צבאית חוקרת נ' פלוני</w:t>
      </w:r>
      <w:r w:rsidRPr="00373B46">
        <w:rPr>
          <w:rFonts w:ascii="David" w:hAnsi="David" w:cs="David"/>
          <w:sz w:val="24"/>
          <w:szCs w:val="24"/>
          <w:rtl/>
        </w:rPr>
        <w:t>: "</w:t>
      </w:r>
      <w:r w:rsidRPr="00373B46">
        <w:rPr>
          <w:rFonts w:ascii="David" w:hAnsi="David" w:cs="David"/>
          <w:b/>
          <w:bCs/>
          <w:sz w:val="24"/>
          <w:szCs w:val="24"/>
          <w:rtl/>
        </w:rPr>
        <w:t xml:space="preserve">חוק השיפוט הצבאי הוא בבחינת קודקס, אשר בא להסדיר באופן מלא וממצה את הנושא של השיפוט הצבאי על כל שלוחותיו... </w:t>
      </w:r>
      <w:r w:rsidRPr="00373B46">
        <w:rPr>
          <w:rFonts w:ascii="David" w:hAnsi="David" w:cs="David"/>
          <w:sz w:val="24"/>
          <w:szCs w:val="24"/>
          <w:rtl/>
        </w:rPr>
        <w:t xml:space="preserve">". כן ראו את דברי כב' השופטת (כתוארה אז) ד' ביניש בבג"ץ 4723/96 </w:t>
      </w:r>
      <w:proofErr w:type="spellStart"/>
      <w:r w:rsidRPr="00373B46">
        <w:rPr>
          <w:rFonts w:ascii="David" w:hAnsi="David" w:cs="David"/>
          <w:b/>
          <w:bCs/>
          <w:sz w:val="24"/>
          <w:szCs w:val="24"/>
          <w:rtl/>
        </w:rPr>
        <w:t>עטייה</w:t>
      </w:r>
      <w:proofErr w:type="spellEnd"/>
      <w:r w:rsidRPr="00373B46">
        <w:rPr>
          <w:rFonts w:ascii="David" w:hAnsi="David" w:cs="David"/>
          <w:b/>
          <w:bCs/>
          <w:sz w:val="24"/>
          <w:szCs w:val="24"/>
          <w:rtl/>
        </w:rPr>
        <w:t xml:space="preserve"> נ' היועץ המשפטי לממשלה</w:t>
      </w:r>
      <w:r w:rsidRPr="00373B46">
        <w:rPr>
          <w:rFonts w:ascii="David" w:hAnsi="David" w:cs="David"/>
          <w:sz w:val="24"/>
          <w:szCs w:val="24"/>
          <w:rtl/>
        </w:rPr>
        <w:t>: "</w:t>
      </w:r>
      <w:r w:rsidRPr="00373B46">
        <w:rPr>
          <w:rFonts w:ascii="David" w:hAnsi="David" w:cs="David"/>
          <w:b/>
          <w:bCs/>
          <w:sz w:val="24"/>
          <w:szCs w:val="24"/>
          <w:rtl/>
        </w:rPr>
        <w:t>התשובה לשאלה שהצבנו... אינה יכולה להתעלם מהראייה הכוללת של חוק השיפוט הצבאי כחוק היוצר מערכת שיפוט נפרדת מהמערכת האזרחית</w:t>
      </w:r>
      <w:r w:rsidRPr="00373B46">
        <w:rPr>
          <w:rFonts w:ascii="David" w:hAnsi="David" w:cs="David"/>
          <w:sz w:val="24"/>
          <w:szCs w:val="24"/>
          <w:rtl/>
        </w:rPr>
        <w:t xml:space="preserve">... "... </w:t>
      </w:r>
    </w:p>
    <w:p w:rsidR="002479F4" w:rsidRPr="00373B46" w:rsidRDefault="002479F4" w:rsidP="00091099">
      <w:pPr>
        <w:pStyle w:val="a3"/>
        <w:spacing w:line="360" w:lineRule="auto"/>
        <w:ind w:left="360"/>
        <w:jc w:val="both"/>
        <w:rPr>
          <w:rFonts w:ascii="David" w:hAnsi="David" w:cs="David"/>
          <w:sz w:val="24"/>
          <w:szCs w:val="24"/>
        </w:rPr>
      </w:pPr>
    </w:p>
    <w:p w:rsidR="002479F4" w:rsidRPr="00373B46" w:rsidRDefault="004E14DF" w:rsidP="0008665D">
      <w:pPr>
        <w:pStyle w:val="a3"/>
        <w:spacing w:line="360" w:lineRule="auto"/>
        <w:ind w:left="360"/>
        <w:jc w:val="both"/>
        <w:rPr>
          <w:rFonts w:ascii="David" w:hAnsi="David" w:cs="David"/>
          <w:sz w:val="24"/>
          <w:szCs w:val="24"/>
          <w:rtl/>
        </w:rPr>
      </w:pPr>
      <w:r w:rsidRPr="00373B46">
        <w:rPr>
          <w:rFonts w:ascii="David" w:hAnsi="David" w:cs="David"/>
          <w:sz w:val="24"/>
          <w:szCs w:val="24"/>
          <w:rtl/>
        </w:rPr>
        <w:t xml:space="preserve">על העבירה של התנהגות שאינה הולמת, לפי סעיף 130 </w:t>
      </w:r>
      <w:proofErr w:type="spellStart"/>
      <w:r w:rsidRPr="00373B46">
        <w:rPr>
          <w:rFonts w:ascii="David" w:hAnsi="David" w:cs="David"/>
          <w:sz w:val="24"/>
          <w:szCs w:val="24"/>
          <w:rtl/>
        </w:rPr>
        <w:t>לחש"ץ</w:t>
      </w:r>
      <w:proofErr w:type="spellEnd"/>
      <w:r w:rsidRPr="00373B46">
        <w:rPr>
          <w:rFonts w:ascii="David" w:hAnsi="David" w:cs="David"/>
          <w:sz w:val="24"/>
          <w:szCs w:val="24"/>
          <w:rtl/>
        </w:rPr>
        <w:t xml:space="preserve"> ... – ניתן להעמיד לדין </w:t>
      </w:r>
      <w:r w:rsidRPr="00373B46">
        <w:rPr>
          <w:rFonts w:ascii="David" w:hAnsi="David" w:cs="David"/>
          <w:b/>
          <w:bCs/>
          <w:sz w:val="24"/>
          <w:szCs w:val="24"/>
          <w:rtl/>
        </w:rPr>
        <w:t>בפני בית דין צבאי</w:t>
      </w:r>
      <w:r w:rsidRPr="00373B46">
        <w:rPr>
          <w:rFonts w:ascii="David" w:hAnsi="David" w:cs="David"/>
          <w:sz w:val="24"/>
          <w:szCs w:val="24"/>
          <w:rtl/>
        </w:rPr>
        <w:t xml:space="preserve"> כערכאת שיפוט </w:t>
      </w:r>
      <w:r w:rsidRPr="00373B46">
        <w:rPr>
          <w:rFonts w:ascii="David" w:hAnsi="David" w:cs="David"/>
          <w:b/>
          <w:bCs/>
          <w:sz w:val="24"/>
          <w:szCs w:val="24"/>
          <w:rtl/>
        </w:rPr>
        <w:t>פלילית</w:t>
      </w:r>
      <w:r w:rsidRPr="00373B46">
        <w:rPr>
          <w:rFonts w:ascii="David" w:hAnsi="David" w:cs="David"/>
          <w:sz w:val="24"/>
          <w:szCs w:val="24"/>
          <w:rtl/>
        </w:rPr>
        <w:t xml:space="preserve"> ולא משמעתית... זאת, </w:t>
      </w:r>
      <w:r w:rsidRPr="00373B46">
        <w:rPr>
          <w:rFonts w:ascii="David" w:hAnsi="David" w:cs="David"/>
          <w:b/>
          <w:bCs/>
          <w:sz w:val="24"/>
          <w:szCs w:val="24"/>
          <w:rtl/>
        </w:rPr>
        <w:t xml:space="preserve">בהבדל מההסדרים המשפטיים והשיפוטיים השונים לחלוטין </w:t>
      </w:r>
      <w:r w:rsidRPr="00373B46">
        <w:rPr>
          <w:rFonts w:ascii="David" w:hAnsi="David" w:cs="David"/>
          <w:b/>
          <w:bCs/>
          <w:sz w:val="24"/>
          <w:szCs w:val="24"/>
          <w:u w:val="single"/>
          <w:rtl/>
        </w:rPr>
        <w:t>במהותם</w:t>
      </w:r>
      <w:r w:rsidRPr="00373B46">
        <w:rPr>
          <w:rFonts w:ascii="David" w:hAnsi="David" w:cs="David"/>
          <w:b/>
          <w:bCs/>
          <w:sz w:val="24"/>
          <w:szCs w:val="24"/>
          <w:rtl/>
        </w:rPr>
        <w:t xml:space="preserve"> המתייחסים לשוטרים, אשר בחוק המשטרה</w:t>
      </w:r>
      <w:r w:rsidR="0008665D">
        <w:rPr>
          <w:rFonts w:ascii="David" w:hAnsi="David" w:cs="David" w:hint="cs"/>
          <w:sz w:val="24"/>
          <w:szCs w:val="24"/>
          <w:rtl/>
        </w:rPr>
        <w:t>.</w:t>
      </w:r>
    </w:p>
    <w:p w:rsidR="002479F4" w:rsidRPr="00373B46" w:rsidRDefault="002479F4" w:rsidP="00091099">
      <w:pPr>
        <w:pStyle w:val="a3"/>
        <w:spacing w:line="360" w:lineRule="auto"/>
        <w:jc w:val="both"/>
        <w:rPr>
          <w:rFonts w:ascii="David" w:hAnsi="David" w:cs="David"/>
          <w:sz w:val="24"/>
          <w:szCs w:val="24"/>
          <w:rtl/>
        </w:rPr>
      </w:pPr>
    </w:p>
    <w:p w:rsidR="002479F4" w:rsidRPr="00373B46" w:rsidRDefault="004E14DF" w:rsidP="0008665D">
      <w:pPr>
        <w:pStyle w:val="a3"/>
        <w:numPr>
          <w:ilvl w:val="0"/>
          <w:numId w:val="6"/>
        </w:numPr>
        <w:spacing w:before="240" w:after="240" w:line="360" w:lineRule="auto"/>
        <w:jc w:val="both"/>
        <w:rPr>
          <w:rFonts w:ascii="David" w:hAnsi="David" w:cs="David"/>
          <w:sz w:val="24"/>
          <w:szCs w:val="24"/>
        </w:rPr>
      </w:pPr>
      <w:r w:rsidRPr="00373B46">
        <w:rPr>
          <w:rFonts w:ascii="David" w:hAnsi="David" w:cs="David"/>
          <w:sz w:val="24"/>
          <w:szCs w:val="24"/>
          <w:rtl/>
        </w:rPr>
        <w:t xml:space="preserve">למעשה, </w:t>
      </w:r>
      <w:r w:rsidRPr="00373B46">
        <w:rPr>
          <w:rFonts w:ascii="David" w:hAnsi="David" w:cs="David"/>
          <w:b/>
          <w:bCs/>
          <w:sz w:val="24"/>
          <w:szCs w:val="24"/>
          <w:rtl/>
        </w:rPr>
        <w:t>ערעור המדינה</w:t>
      </w:r>
      <w:r w:rsidRPr="00373B46">
        <w:rPr>
          <w:rFonts w:ascii="David" w:hAnsi="David" w:cs="David"/>
          <w:sz w:val="24"/>
          <w:szCs w:val="24"/>
          <w:rtl/>
        </w:rPr>
        <w:t xml:space="preserve"> במקרה דנן הוא לא רק משפטי, כי אם גם </w:t>
      </w:r>
      <w:r w:rsidRPr="00373B46">
        <w:rPr>
          <w:rFonts w:ascii="David" w:hAnsi="David" w:cs="David"/>
          <w:b/>
          <w:bCs/>
          <w:sz w:val="24"/>
          <w:szCs w:val="24"/>
          <w:rtl/>
        </w:rPr>
        <w:t>ערכי</w:t>
      </w:r>
      <w:r w:rsidRPr="00373B46">
        <w:rPr>
          <w:rFonts w:ascii="David" w:hAnsi="David" w:cs="David"/>
          <w:sz w:val="24"/>
          <w:szCs w:val="24"/>
          <w:rtl/>
        </w:rPr>
        <w:t xml:space="preserve"> – כיאה לעבירה העיקרית נושא הערעור, של הפרת אמונים, אשר בבסיסה פגיעה מהותית בשלושת הערכים המוגנים בעבירה זו:</w:t>
      </w:r>
      <w:r w:rsidRPr="00373B46">
        <w:rPr>
          <w:rFonts w:ascii="David" w:eastAsia="Times New Roman" w:hAnsi="David" w:cs="David"/>
          <w:spacing w:val="10"/>
          <w:sz w:val="24"/>
          <w:szCs w:val="24"/>
          <w:rtl/>
        </w:rPr>
        <w:t xml:space="preserve"> אמון הציבור בעובדי הציבור, טוהר המידות, ותקינות המנהל</w:t>
      </w:r>
      <w:r w:rsidR="0008665D">
        <w:rPr>
          <w:rFonts w:ascii="David" w:eastAsia="Times New Roman" w:hAnsi="David" w:cs="David" w:hint="cs"/>
          <w:spacing w:val="10"/>
          <w:sz w:val="24"/>
          <w:szCs w:val="24"/>
          <w:rtl/>
        </w:rPr>
        <w:t>.</w:t>
      </w:r>
      <w:r w:rsidRPr="00373B46">
        <w:rPr>
          <w:rFonts w:ascii="David" w:hAnsi="David" w:cs="David"/>
          <w:sz w:val="24"/>
          <w:szCs w:val="24"/>
          <w:rtl/>
        </w:rPr>
        <w:t xml:space="preserve"> </w:t>
      </w:r>
    </w:p>
    <w:p w:rsidR="002479F4" w:rsidRPr="00373B46" w:rsidRDefault="002479F4" w:rsidP="00091099">
      <w:pPr>
        <w:pStyle w:val="a3"/>
        <w:spacing w:line="360" w:lineRule="auto"/>
        <w:ind w:left="360"/>
        <w:jc w:val="both"/>
        <w:rPr>
          <w:rFonts w:ascii="David" w:hAnsi="David" w:cs="David"/>
          <w:sz w:val="24"/>
          <w:szCs w:val="24"/>
          <w:rtl/>
        </w:rPr>
      </w:pPr>
    </w:p>
    <w:p w:rsidR="002479F4" w:rsidRPr="00373B46" w:rsidRDefault="004E14DF" w:rsidP="0008665D">
      <w:pPr>
        <w:pStyle w:val="a3"/>
        <w:spacing w:line="360" w:lineRule="auto"/>
        <w:ind w:left="360"/>
        <w:jc w:val="both"/>
        <w:rPr>
          <w:rFonts w:ascii="David" w:hAnsi="David" w:cs="David"/>
          <w:sz w:val="24"/>
          <w:szCs w:val="24"/>
          <w:rtl/>
        </w:rPr>
      </w:pPr>
      <w:r w:rsidRPr="00373B46">
        <w:rPr>
          <w:rFonts w:ascii="David" w:hAnsi="David" w:cs="David"/>
          <w:sz w:val="24"/>
          <w:szCs w:val="24"/>
          <w:rtl/>
        </w:rPr>
        <w:t xml:space="preserve">בעקבות קבלת ערעור המדינה והחזרת התיק לבית משפט השלום לקביעת עונשו של המשיב, אבקש להוסיף, </w:t>
      </w:r>
      <w:r w:rsidRPr="00373B46">
        <w:rPr>
          <w:rFonts w:ascii="David" w:hAnsi="David" w:cs="David"/>
          <w:b/>
          <w:bCs/>
          <w:sz w:val="24"/>
          <w:szCs w:val="24"/>
          <w:rtl/>
        </w:rPr>
        <w:t>בפן הערכי</w:t>
      </w:r>
      <w:r w:rsidRPr="00373B46">
        <w:rPr>
          <w:rFonts w:ascii="David" w:hAnsi="David" w:cs="David"/>
          <w:sz w:val="24"/>
          <w:szCs w:val="24"/>
          <w:rtl/>
        </w:rPr>
        <w:t xml:space="preserve"> ... כי בעבר אירעו מקרים לא מעטים שבהם ביצעו חלק מהמפקדים בצה"ל מעשים פסולים הדומים לאלו שבהם נכשל שחם. מפקדי הצבא השכילו לגנות מעשים אלו, וגם בתי הדין הצבאיים תרמו לכך תרומה נכבדה, בפסיקה עקבית, שבה הוקעו המעשים, תוך הרשעתם בפלילים של אלה שאשמתם הוכחה ותו</w:t>
      </w:r>
      <w:r w:rsidR="0008665D">
        <w:rPr>
          <w:rFonts w:ascii="David" w:hAnsi="David" w:cs="David"/>
          <w:sz w:val="24"/>
          <w:szCs w:val="24"/>
          <w:rtl/>
        </w:rPr>
        <w:t>ך הטלת ענישה מחמירה ומרתיעה</w:t>
      </w:r>
      <w:r w:rsidR="0008665D">
        <w:rPr>
          <w:rFonts w:ascii="David" w:hAnsi="David" w:cs="David" w:hint="cs"/>
          <w:sz w:val="24"/>
          <w:szCs w:val="24"/>
          <w:rtl/>
        </w:rPr>
        <w:t>.</w:t>
      </w:r>
    </w:p>
    <w:p w:rsidR="002479F4" w:rsidRPr="00373B46" w:rsidRDefault="004E14DF" w:rsidP="00850E44">
      <w:pPr>
        <w:pStyle w:val="a3"/>
        <w:spacing w:after="0" w:line="360" w:lineRule="auto"/>
        <w:ind w:left="357"/>
        <w:jc w:val="both"/>
        <w:rPr>
          <w:rFonts w:ascii="David" w:hAnsi="David" w:cs="David"/>
        </w:rPr>
      </w:pPr>
      <w:r w:rsidRPr="00373B46">
        <w:rPr>
          <w:rFonts w:ascii="David" w:hAnsi="David" w:cs="David"/>
          <w:sz w:val="24"/>
          <w:szCs w:val="24"/>
          <w:rtl/>
        </w:rPr>
        <w:t xml:space="preserve">מן הראוי כי בתי המשפט, </w:t>
      </w:r>
      <w:r w:rsidRPr="00373B46">
        <w:rPr>
          <w:rFonts w:ascii="David" w:hAnsi="David" w:cs="David"/>
          <w:b/>
          <w:bCs/>
          <w:sz w:val="24"/>
          <w:szCs w:val="24"/>
          <w:rtl/>
        </w:rPr>
        <w:t>גם בערכאה הדיונית</w:t>
      </w:r>
      <w:r w:rsidRPr="00373B46">
        <w:rPr>
          <w:rFonts w:ascii="David" w:hAnsi="David" w:cs="David"/>
          <w:sz w:val="24"/>
          <w:szCs w:val="24"/>
          <w:rtl/>
        </w:rPr>
        <w:t xml:space="preserve">, יתרמו אף הם את חלקם לגינוי מעשים דוגמת אלו שבהם נכשל שחם, ככל שהם עדיין קיימים בקרב מפקדים במשטרה, תוך השתת ענישה ממשית ומרתיעה על הנכשלים בהם, ברוח הפסיקה של בית המשפט העליון ...כאמור </w:t>
      </w:r>
      <w:proofErr w:type="spellStart"/>
      <w:r w:rsidRPr="00373B46">
        <w:rPr>
          <w:rFonts w:ascii="David" w:hAnsi="David" w:cs="David"/>
          <w:sz w:val="24"/>
          <w:szCs w:val="24"/>
          <w:rtl/>
        </w:rPr>
        <w:t>ברע"פ</w:t>
      </w:r>
      <w:proofErr w:type="spellEnd"/>
      <w:r w:rsidRPr="00373B46">
        <w:rPr>
          <w:rFonts w:ascii="David" w:hAnsi="David" w:cs="David"/>
          <w:sz w:val="24"/>
          <w:szCs w:val="24"/>
          <w:rtl/>
        </w:rPr>
        <w:t xml:space="preserve"> 10002/17 </w:t>
      </w:r>
      <w:r w:rsidRPr="00373B46">
        <w:rPr>
          <w:rFonts w:ascii="David" w:hAnsi="David" w:cs="David"/>
          <w:b/>
          <w:bCs/>
          <w:sz w:val="24"/>
          <w:szCs w:val="24"/>
          <w:rtl/>
        </w:rPr>
        <w:t>מדינת ישראל נ' ניסים מור</w:t>
      </w:r>
      <w:r w:rsidRPr="00373B46">
        <w:rPr>
          <w:rFonts w:ascii="David" w:hAnsi="David" w:cs="David"/>
          <w:sz w:val="24"/>
          <w:szCs w:val="24"/>
          <w:rtl/>
        </w:rPr>
        <w:t xml:space="preserve"> (18.7.2018). אכן ניתן לומר כי מכיוון שהמשטרה היא גוף האחראי על אכיפת החוק, התנהגות פלילית פסולה מצד קציני משטרה, במיוחד באופן חוזר ונשנה, כדוגמת התנהגותו הכוללת של שחם במקרה דנן, היא חמורה אף יותר מהתנהגות דומה מצד קצינים בצבא, וזאת מבלי לגרוע מהחומרה של התנהגות כאמור מצד מפקדים בצה"ל. </w:t>
      </w:r>
    </w:p>
    <w:p w:rsidR="00884CF0" w:rsidRDefault="00884CF0" w:rsidP="00091099">
      <w:pPr>
        <w:spacing w:line="360" w:lineRule="auto"/>
        <w:jc w:val="both"/>
        <w:rPr>
          <w:rFonts w:ascii="David" w:eastAsia="Times New Roman" w:hAnsi="David" w:cs="David"/>
          <w:spacing w:val="10"/>
          <w:sz w:val="24"/>
          <w:szCs w:val="24"/>
          <w:rtl/>
        </w:rPr>
      </w:pPr>
    </w:p>
    <w:tbl>
      <w:tblPr>
        <w:tblStyle w:val="a4"/>
        <w:bidiVisual/>
        <w:tblW w:w="2919" w:type="dxa"/>
        <w:tblInd w:w="56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919"/>
      </w:tblGrid>
      <w:tr w:rsidR="007A04DC" w:rsidTr="00850E44">
        <w:tc>
          <w:tcPr>
            <w:tcW w:w="2919" w:type="dxa"/>
            <w:tcBorders>
              <w:top w:val="nil"/>
              <w:left w:val="nil"/>
              <w:bottom w:val="single" w:sz="4" w:space="0" w:color="auto"/>
              <w:right w:val="nil"/>
            </w:tcBorders>
            <w:vAlign w:val="center"/>
            <w:hideMark/>
          </w:tcPr>
          <w:p w:rsidR="00850E44" w:rsidRDefault="004E14DF" w:rsidP="00EE7910">
            <w:pPr>
              <w:jc w:val="center"/>
              <w:rPr>
                <w:rFonts w:ascii="Courier New" w:hAnsi="Courier New"/>
                <w:b/>
                <w:bCs/>
              </w:rPr>
            </w:pPr>
            <w:r>
              <w:rPr>
                <w:rtl/>
              </w:rPr>
              <w:lastRenderedPageBreak/>
              <w:t xml:space="preserve">   </w:t>
            </w:r>
            <w:r>
              <w:rPr>
                <w:noProof/>
              </w:rPr>
              <w:drawing>
                <wp:inline distT="0" distB="0" distL="0" distR="0">
                  <wp:extent cx="1314450" cy="762000"/>
                  <wp:effectExtent l="0" t="0" r="0" b="0"/>
                  <wp:docPr id="3" name="תמונה 3" descr="תיאור: \\image\HelpDesk\scan\סריקת חתימות\01233899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159360" name="תמונה 6" descr="תיאור: \\image\HelpDesk\scan\סריקת חתימות\012338992.TIF"/>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1314450" cy="762000"/>
                          </a:xfrm>
                          <a:prstGeom prst="rect">
                            <a:avLst/>
                          </a:prstGeom>
                          <a:noFill/>
                          <a:ln>
                            <a:noFill/>
                          </a:ln>
                        </pic:spPr>
                      </pic:pic>
                    </a:graphicData>
                  </a:graphic>
                </wp:inline>
              </w:drawing>
            </w:r>
          </w:p>
        </w:tc>
      </w:tr>
      <w:tr w:rsidR="007A04DC" w:rsidTr="00850E44">
        <w:tc>
          <w:tcPr>
            <w:tcW w:w="2919" w:type="dxa"/>
            <w:tcBorders>
              <w:top w:val="single" w:sz="4" w:space="0" w:color="auto"/>
              <w:left w:val="nil"/>
              <w:bottom w:val="nil"/>
              <w:right w:val="nil"/>
            </w:tcBorders>
            <w:vAlign w:val="bottom"/>
          </w:tcPr>
          <w:p w:rsidR="00850E44" w:rsidRDefault="004E14DF" w:rsidP="00850E44">
            <w:pPr>
              <w:jc w:val="center"/>
              <w:rPr>
                <w:rFonts w:ascii="Courier New" w:hAnsi="Courier New"/>
                <w:b/>
                <w:bCs/>
                <w:rtl/>
              </w:rPr>
            </w:pPr>
            <w:r w:rsidRPr="00850E44">
              <w:rPr>
                <w:rFonts w:ascii="David" w:hAnsi="David" w:cs="David"/>
                <w:b/>
                <w:bCs/>
                <w:sz w:val="24"/>
                <w:szCs w:val="24"/>
                <w:rtl/>
              </w:rPr>
              <w:t>מרדכי לוי, שופט</w:t>
            </w:r>
          </w:p>
        </w:tc>
      </w:tr>
    </w:tbl>
    <w:p w:rsidR="000F1996" w:rsidRDefault="000F1996" w:rsidP="00850E44">
      <w:pPr>
        <w:rPr>
          <w:rFonts w:ascii="Times New Roman" w:hAnsi="Times New Roman" w:cs="David"/>
          <w:noProof/>
          <w:rtl/>
        </w:rPr>
      </w:pPr>
    </w:p>
    <w:p w:rsidR="00A24606" w:rsidRDefault="00A24606" w:rsidP="00850E44">
      <w:pPr>
        <w:rPr>
          <w:rFonts w:ascii="Times New Roman" w:hAnsi="Times New Roman" w:cs="David"/>
          <w:noProof/>
        </w:rPr>
      </w:pPr>
    </w:p>
    <w:p w:rsidR="002479F4" w:rsidRPr="00373B46" w:rsidRDefault="004E14DF" w:rsidP="00850E44">
      <w:pPr>
        <w:spacing w:after="0" w:line="360" w:lineRule="auto"/>
        <w:jc w:val="both"/>
        <w:rPr>
          <w:rFonts w:ascii="David" w:eastAsia="Times New Roman" w:hAnsi="David" w:cs="David"/>
          <w:b/>
          <w:bCs/>
          <w:spacing w:val="10"/>
          <w:sz w:val="28"/>
          <w:szCs w:val="28"/>
          <w:u w:val="single"/>
          <w:rtl/>
        </w:rPr>
      </w:pPr>
      <w:r w:rsidRPr="00373B46">
        <w:rPr>
          <w:rFonts w:ascii="David" w:eastAsia="Times New Roman" w:hAnsi="David" w:cs="David" w:hint="cs"/>
          <w:b/>
          <w:bCs/>
          <w:spacing w:val="10"/>
          <w:sz w:val="28"/>
          <w:szCs w:val="28"/>
          <w:u w:val="single"/>
          <w:rtl/>
        </w:rPr>
        <w:t>השופטת גיליה רביד:</w:t>
      </w:r>
    </w:p>
    <w:p w:rsidR="00850E44" w:rsidRDefault="00850E44" w:rsidP="002479F4">
      <w:pPr>
        <w:spacing w:after="0" w:line="360" w:lineRule="auto"/>
        <w:jc w:val="both"/>
        <w:rPr>
          <w:rFonts w:ascii="David" w:hAnsi="David" w:cs="David"/>
          <w:sz w:val="24"/>
          <w:szCs w:val="24"/>
          <w:rtl/>
        </w:rPr>
      </w:pPr>
    </w:p>
    <w:p w:rsidR="002479F4" w:rsidRDefault="004E14DF" w:rsidP="002479F4">
      <w:pPr>
        <w:spacing w:after="0" w:line="360" w:lineRule="auto"/>
        <w:jc w:val="both"/>
        <w:rPr>
          <w:rFonts w:ascii="David" w:hAnsi="David" w:cs="David"/>
          <w:sz w:val="24"/>
          <w:szCs w:val="24"/>
          <w:rtl/>
        </w:rPr>
      </w:pPr>
      <w:r w:rsidRPr="00373B46">
        <w:rPr>
          <w:rFonts w:ascii="David" w:hAnsi="David" w:cs="David"/>
          <w:sz w:val="24"/>
          <w:szCs w:val="24"/>
          <w:rtl/>
        </w:rPr>
        <w:t>קראתי את חוות דעתה המקיפה של חבר</w:t>
      </w:r>
      <w:r w:rsidRPr="00373B46">
        <w:rPr>
          <w:rFonts w:ascii="David" w:hAnsi="David" w:cs="David" w:hint="cs"/>
          <w:sz w:val="24"/>
          <w:szCs w:val="24"/>
          <w:rtl/>
        </w:rPr>
        <w:t>ת</w:t>
      </w:r>
      <w:r w:rsidRPr="00373B46">
        <w:rPr>
          <w:rFonts w:ascii="David" w:hAnsi="David" w:cs="David"/>
          <w:sz w:val="24"/>
          <w:szCs w:val="24"/>
          <w:rtl/>
        </w:rPr>
        <w:t xml:space="preserve">י </w:t>
      </w:r>
      <w:r w:rsidRPr="00373B46">
        <w:rPr>
          <w:rFonts w:ascii="David" w:hAnsi="David" w:cs="David" w:hint="cs"/>
          <w:sz w:val="24"/>
          <w:szCs w:val="24"/>
          <w:rtl/>
        </w:rPr>
        <w:t xml:space="preserve">כב' </w:t>
      </w:r>
      <w:r w:rsidRPr="00373B46">
        <w:rPr>
          <w:rFonts w:ascii="David" w:hAnsi="David" w:cs="David"/>
          <w:sz w:val="24"/>
          <w:szCs w:val="24"/>
          <w:rtl/>
        </w:rPr>
        <w:t xml:space="preserve">השופטת דיסקין </w:t>
      </w:r>
      <w:r w:rsidRPr="00373B46">
        <w:rPr>
          <w:rFonts w:ascii="David" w:hAnsi="David" w:cs="David" w:hint="cs"/>
          <w:sz w:val="24"/>
          <w:szCs w:val="24"/>
          <w:rtl/>
        </w:rPr>
        <w:t xml:space="preserve">ואני </w:t>
      </w:r>
      <w:r w:rsidRPr="00373B46">
        <w:rPr>
          <w:rFonts w:ascii="David" w:hAnsi="David" w:cs="David"/>
          <w:sz w:val="24"/>
          <w:szCs w:val="24"/>
          <w:rtl/>
        </w:rPr>
        <w:t>מצטרפת לדעתה</w:t>
      </w:r>
      <w:r w:rsidRPr="00373B46">
        <w:rPr>
          <w:rFonts w:ascii="David" w:hAnsi="David" w:cs="David" w:hint="cs"/>
          <w:sz w:val="24"/>
          <w:szCs w:val="24"/>
          <w:rtl/>
        </w:rPr>
        <w:t xml:space="preserve">. </w:t>
      </w:r>
      <w:r w:rsidRPr="00373B46">
        <w:rPr>
          <w:rFonts w:ascii="David" w:hAnsi="David" w:cs="David"/>
          <w:sz w:val="24"/>
          <w:szCs w:val="24"/>
          <w:rtl/>
        </w:rPr>
        <w:t xml:space="preserve"> אף אני סבורה כי יש</w:t>
      </w:r>
      <w:r w:rsidRPr="00373B46">
        <w:rPr>
          <w:rFonts w:ascii="David" w:hAnsi="David" w:cs="David" w:hint="cs"/>
          <w:sz w:val="24"/>
          <w:szCs w:val="24"/>
          <w:rtl/>
        </w:rPr>
        <w:t xml:space="preserve"> מקום לקבל את ערעור המדינה ולהרשיע את שחם בגין המעשים שיוחסו לו בכתב האישום בביצוע עבירות של מרמה והפרת אמונים, לפי סעיף 284 לחוק העונשין ובעבירה של הטרדה מינית, לפי סעיף 5 (א) בנסיבות סעיף 3(א)(6)(ג) לחוק למניעת הטרדה מינית. כמו כן מסקנתי היא שיש לדחות את ערעורו של שחם בגין הרשעתו בביצוע עבירה של מעשה מגונה.</w:t>
      </w:r>
    </w:p>
    <w:p w:rsidR="00A24606" w:rsidRPr="00373B46" w:rsidRDefault="00A24606" w:rsidP="002479F4">
      <w:pPr>
        <w:spacing w:after="0" w:line="360" w:lineRule="auto"/>
        <w:jc w:val="both"/>
        <w:rPr>
          <w:rFonts w:ascii="David" w:hAnsi="David" w:cs="David"/>
          <w:sz w:val="24"/>
          <w:szCs w:val="24"/>
          <w:rtl/>
        </w:rPr>
      </w:pPr>
    </w:p>
    <w:p w:rsidR="002479F4" w:rsidRDefault="004E14DF" w:rsidP="00850E44">
      <w:pPr>
        <w:spacing w:after="0" w:line="360" w:lineRule="auto"/>
        <w:jc w:val="both"/>
        <w:rPr>
          <w:rFonts w:ascii="David" w:hAnsi="David" w:cs="David"/>
          <w:sz w:val="24"/>
          <w:szCs w:val="24"/>
          <w:rtl/>
        </w:rPr>
      </w:pPr>
      <w:r w:rsidRPr="00373B46">
        <w:rPr>
          <w:rFonts w:ascii="David" w:hAnsi="David" w:cs="David" w:hint="cs"/>
          <w:sz w:val="24"/>
          <w:szCs w:val="24"/>
          <w:rtl/>
        </w:rPr>
        <w:t xml:space="preserve">חברתי פרטה בהרחבה את טיעוני הצדדים ואת המצב העובדתי והמשפטי. הדברים מקובלים עלי  ואיני רואה הצדקה לחזור עליהם. מבלי להמעיט מכל אלה, אסתפק באמירה קצרה משלי:  </w:t>
      </w:r>
    </w:p>
    <w:p w:rsidR="00A24606" w:rsidRPr="00373B46" w:rsidRDefault="00A24606" w:rsidP="00850E44">
      <w:pPr>
        <w:spacing w:after="0" w:line="360" w:lineRule="auto"/>
        <w:jc w:val="both"/>
        <w:rPr>
          <w:rFonts w:ascii="David" w:hAnsi="David" w:cs="David"/>
          <w:sz w:val="24"/>
          <w:szCs w:val="24"/>
          <w:rtl/>
        </w:rPr>
      </w:pPr>
    </w:p>
    <w:p w:rsidR="002479F4" w:rsidRDefault="004E14DF" w:rsidP="002E6B3E">
      <w:pPr>
        <w:spacing w:after="0" w:line="360" w:lineRule="auto"/>
        <w:jc w:val="both"/>
        <w:rPr>
          <w:rFonts w:ascii="David" w:hAnsi="David" w:cs="David"/>
          <w:sz w:val="24"/>
          <w:szCs w:val="24"/>
          <w:rtl/>
        </w:rPr>
      </w:pPr>
      <w:r w:rsidRPr="00373B46">
        <w:rPr>
          <w:rFonts w:ascii="David" w:hAnsi="David" w:cs="David" w:hint="cs"/>
          <w:sz w:val="24"/>
          <w:szCs w:val="24"/>
          <w:rtl/>
        </w:rPr>
        <w:t xml:space="preserve">כאמור, סעיף 284 לחוק העונשין מדבר על "מעשה" פסול (שעולה כדי מרמה והפרת אמונים) שאותו מבצע עובד ציבור במילוי תפקידו. "המעשה" שמבסס את העבירה במקרה שלנו הינו מכלול התנהלותו של שחם כפי שתואר בכתב האישום וכפי שמצא ביטוי בעובדות שהונחו בפני בית המשפט. העובדה שהתנהלות כוללת זו מורכבת משורה של  אירועים, אין פירושה שיש הכרח לבחון כל אחד מהאירועים בנפרד ובמנותק, כדי לוודא שהוא כשלעצמו מבסס את יסודות העבירה. הפרדה שכזו חוטאת לדרך הנכונה שיש להסתכל על "המעשה", מוציאה את העוקץ ממנו, מגמדת אותו שלא לצורך ומטשטשת את התמונה המלאה שהיא זו שצריכה להיבחן על ידי בית המשפט במענה לשאלה האם שחם הפר אמונים במילוי תפקידו. </w:t>
      </w:r>
    </w:p>
    <w:p w:rsidR="00C3494E" w:rsidRPr="00373B46" w:rsidRDefault="00C3494E" w:rsidP="002E6B3E">
      <w:pPr>
        <w:spacing w:after="0" w:line="360" w:lineRule="auto"/>
        <w:jc w:val="both"/>
        <w:rPr>
          <w:rFonts w:ascii="David" w:hAnsi="David" w:cs="David"/>
          <w:sz w:val="24"/>
          <w:szCs w:val="24"/>
          <w:rtl/>
        </w:rPr>
      </w:pPr>
    </w:p>
    <w:p w:rsidR="00F41C1E" w:rsidRDefault="004E14DF" w:rsidP="0008665D">
      <w:pPr>
        <w:spacing w:after="0" w:line="360" w:lineRule="auto"/>
        <w:jc w:val="both"/>
        <w:rPr>
          <w:rFonts w:ascii="David" w:hAnsi="David" w:cs="David"/>
          <w:sz w:val="24"/>
          <w:szCs w:val="24"/>
          <w:rtl/>
        </w:rPr>
      </w:pPr>
      <w:r w:rsidRPr="00373B46">
        <w:rPr>
          <w:rFonts w:ascii="David" w:hAnsi="David" w:cs="David" w:hint="cs"/>
          <w:sz w:val="24"/>
          <w:szCs w:val="24"/>
          <w:rtl/>
        </w:rPr>
        <w:t xml:space="preserve">הסתכלות כוללת על התנהלותו של שחם מגלה תמונה קשה ודפוס התנהגות בעייתי ביותר. הנה לפנינו קצין משטרה בדרגה גבוהה מאוד, בעל תפקיד בכיר, אשר יזם קשרים אינטימיים עם שמונה שוטרות זוטרות, צעירות ממנו בשנים רבות, כאשר כנגד שלוש מהן אף ביצע עבירות של מעשה מגונה והטרדה מינית. בתוך כך גם המשיך ופעל בענייניהן של אותם כפופות תוך שהוא מעמיד את עצמו פעם אחר פעם במצב של ניגוד עניינים אינהרנטי, ולו למען הנראות. שחם ניצל את מקום העבודה ואת תפקידו הבכיר למען יצירת אותם קשרים אינטימיים אשר נועדו בעיקרם לסיפוק </w:t>
      </w:r>
      <w:r w:rsidRPr="00373B46">
        <w:rPr>
          <w:rFonts w:ascii="David" w:hAnsi="David" w:cs="David" w:hint="cs"/>
          <w:sz w:val="24"/>
          <w:szCs w:val="24"/>
          <w:rtl/>
        </w:rPr>
        <w:lastRenderedPageBreak/>
        <w:t>צרכיו ומאווייו המיניים. רחוק הדבר מאוד מקשר חברי/רומנטי שאפשר שיתפתח באופן חד פעמי במסגרת העבודה. במעשיו אלה חטא שחם כלפי המשטרה, חטא כלפי פקודיו, חטא כלפי אותן נשים וחטא כלפי הציבור.  כלפי המשטרה - בכך שפגע בתדמיתה והוציא שם רע למשרתים בה. כמו כן, בכך שיצר נורמות עבודה פסולות והיווה דוגמא אישית שלילית. כלפי פקודיו  - בכך שפעל בניגוד עניינים וחתר תחת המרקם העדין שביחסי העבודה. קיום מערכת יחסים אינטימית סודית עם שוטרות מסוימות פוגעת מאליה בשוטרים/</w:t>
      </w:r>
      <w:proofErr w:type="spellStart"/>
      <w:r w:rsidRPr="00373B46">
        <w:rPr>
          <w:rFonts w:ascii="David" w:hAnsi="David" w:cs="David" w:hint="cs"/>
          <w:sz w:val="24"/>
          <w:szCs w:val="24"/>
          <w:rtl/>
        </w:rPr>
        <w:t>ות</w:t>
      </w:r>
      <w:proofErr w:type="spellEnd"/>
      <w:r w:rsidRPr="00373B46">
        <w:rPr>
          <w:rFonts w:ascii="David" w:hAnsi="David" w:cs="David" w:hint="cs"/>
          <w:sz w:val="24"/>
          <w:szCs w:val="24"/>
          <w:rtl/>
        </w:rPr>
        <w:t xml:space="preserve"> אחרים/</w:t>
      </w:r>
      <w:proofErr w:type="spellStart"/>
      <w:r w:rsidRPr="00373B46">
        <w:rPr>
          <w:rFonts w:ascii="David" w:hAnsi="David" w:cs="David" w:hint="cs"/>
          <w:sz w:val="24"/>
          <w:szCs w:val="24"/>
          <w:rtl/>
        </w:rPr>
        <w:t>ות</w:t>
      </w:r>
      <w:proofErr w:type="spellEnd"/>
      <w:r w:rsidRPr="00373B46">
        <w:rPr>
          <w:rFonts w:ascii="David" w:hAnsi="David" w:cs="David" w:hint="cs"/>
          <w:sz w:val="24"/>
          <w:szCs w:val="24"/>
          <w:rtl/>
        </w:rPr>
        <w:t xml:space="preserve"> שציפייתם המובנת היא ליחס שוויוני נטול שיקולים אישיים זרים. בשוטרות המעורבות - בכך שפגע בכבודן. גם אם מדובר היה ביחסים שבהסכמה לא ניתן להתעלם מחוסר השוויוניות שבקשר ומהפער בגיל ובמעמד. בציבור </w:t>
      </w:r>
      <w:r w:rsidRPr="00373B46">
        <w:rPr>
          <w:rFonts w:ascii="David" w:hAnsi="David" w:cs="David"/>
          <w:sz w:val="24"/>
          <w:szCs w:val="24"/>
          <w:rtl/>
        </w:rPr>
        <w:t>–</w:t>
      </w:r>
      <w:r w:rsidRPr="00373B46">
        <w:rPr>
          <w:rFonts w:ascii="David" w:hAnsi="David" w:cs="David" w:hint="cs"/>
          <w:sz w:val="24"/>
          <w:szCs w:val="24"/>
          <w:rtl/>
        </w:rPr>
        <w:t xml:space="preserve"> עקב הפגיעה באמון במשטרה ובמשרתים בה. כאזרח אינך מצפה מקצין משטרה, לא כל שכן בעל דרגה בכירה, להתנהלות מסוג זה שמהווה, למצער, הפרה חוזרת ונשנית ביודעין של איסור משמעתי. מכל שוטר, לא כל שכן מי שנושא משרה בכירה, מצפה אתה להקפדה על החוק, על הכללים  ועל טוהר המידות. </w:t>
      </w:r>
    </w:p>
    <w:p w:rsidR="00F41C1E" w:rsidRPr="00373B46" w:rsidRDefault="00F41C1E" w:rsidP="002479F4">
      <w:pPr>
        <w:spacing w:after="0" w:line="360" w:lineRule="auto"/>
        <w:jc w:val="both"/>
        <w:rPr>
          <w:rFonts w:ascii="David" w:hAnsi="David" w:cs="David"/>
          <w:sz w:val="24"/>
          <w:szCs w:val="24"/>
          <w:rtl/>
        </w:rPr>
      </w:pPr>
    </w:p>
    <w:p w:rsidR="000F1996" w:rsidRPr="00373B46" w:rsidRDefault="004E14DF" w:rsidP="00A24606">
      <w:pPr>
        <w:spacing w:after="0" w:line="360" w:lineRule="auto"/>
        <w:jc w:val="both"/>
        <w:rPr>
          <w:rFonts w:ascii="David" w:hAnsi="David" w:cs="David"/>
          <w:sz w:val="24"/>
          <w:szCs w:val="24"/>
          <w:rtl/>
        </w:rPr>
      </w:pPr>
      <w:r w:rsidRPr="00373B46">
        <w:rPr>
          <w:rFonts w:ascii="David" w:hAnsi="David" w:cs="David" w:hint="cs"/>
          <w:sz w:val="24"/>
          <w:szCs w:val="24"/>
          <w:rtl/>
        </w:rPr>
        <w:t>לגישתי, לאור המבחנים שנקבעו בפסיקה, לא יכול להיות ספק בכך שמעשיו של שחם, שמגלמים בחובם פגיעה בכל הערכים המוגנים על ידי העבירה, מבססים כנגדו את העבירה של מרמה והפרת אמונים.</w:t>
      </w:r>
    </w:p>
    <w:tbl>
      <w:tblPr>
        <w:tblStyle w:val="a4"/>
        <w:bidiVisual/>
        <w:tblW w:w="3186" w:type="dxa"/>
        <w:tblInd w:w="56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186"/>
      </w:tblGrid>
      <w:tr w:rsidR="007A04DC" w:rsidTr="00850E44">
        <w:tc>
          <w:tcPr>
            <w:tcW w:w="3186" w:type="dxa"/>
            <w:tcBorders>
              <w:top w:val="nil"/>
              <w:left w:val="nil"/>
              <w:bottom w:val="single" w:sz="4" w:space="0" w:color="auto"/>
              <w:right w:val="nil"/>
            </w:tcBorders>
            <w:vAlign w:val="center"/>
            <w:hideMark/>
          </w:tcPr>
          <w:p w:rsidR="00850E44" w:rsidRDefault="004E14DF" w:rsidP="00EE7910">
            <w:pPr>
              <w:jc w:val="center"/>
              <w:rPr>
                <w:rFonts w:ascii="Courier New" w:hAnsi="Courier New"/>
                <w:b/>
                <w:bCs/>
                <w:rtl/>
              </w:rPr>
            </w:pPr>
            <w:r>
              <w:rPr>
                <w:rFonts w:ascii="Courier New" w:hAnsi="Courier New"/>
                <w:b/>
                <w:bCs/>
                <w:noProof/>
              </w:rPr>
              <w:drawing>
                <wp:inline distT="0" distB="0" distL="0" distR="0">
                  <wp:extent cx="1876425" cy="952500"/>
                  <wp:effectExtent l="0" t="0" r="9525" b="0"/>
                  <wp:docPr id="2" name="תמונה 2" descr="052352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259637" name="Picture 1" descr="052352960"/>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1876425" cy="952500"/>
                          </a:xfrm>
                          <a:prstGeom prst="rect">
                            <a:avLst/>
                          </a:prstGeom>
                          <a:noFill/>
                          <a:ln>
                            <a:noFill/>
                          </a:ln>
                        </pic:spPr>
                      </pic:pic>
                    </a:graphicData>
                  </a:graphic>
                </wp:inline>
              </w:drawing>
            </w:r>
          </w:p>
        </w:tc>
      </w:tr>
      <w:tr w:rsidR="007A04DC" w:rsidTr="00850E44">
        <w:tc>
          <w:tcPr>
            <w:tcW w:w="3186" w:type="dxa"/>
            <w:tcBorders>
              <w:top w:val="single" w:sz="4" w:space="0" w:color="auto"/>
              <w:left w:val="nil"/>
              <w:bottom w:val="nil"/>
              <w:right w:val="nil"/>
            </w:tcBorders>
            <w:hideMark/>
          </w:tcPr>
          <w:p w:rsidR="00850E44" w:rsidRPr="00850E44" w:rsidRDefault="004E14DF" w:rsidP="00850E44">
            <w:pPr>
              <w:jc w:val="center"/>
              <w:rPr>
                <w:rFonts w:ascii="David" w:hAnsi="David" w:cs="David"/>
                <w:b/>
                <w:bCs/>
                <w:sz w:val="24"/>
                <w:szCs w:val="24"/>
                <w:rtl/>
              </w:rPr>
            </w:pPr>
            <w:r w:rsidRPr="00850E44">
              <w:rPr>
                <w:rFonts w:ascii="David" w:hAnsi="David" w:cs="David"/>
                <w:b/>
                <w:bCs/>
                <w:sz w:val="24"/>
                <w:szCs w:val="24"/>
                <w:rtl/>
              </w:rPr>
              <w:t>גיליה רביד, שופטת</w:t>
            </w:r>
          </w:p>
        </w:tc>
      </w:tr>
    </w:tbl>
    <w:p w:rsidR="000F1996" w:rsidRDefault="000F1996" w:rsidP="00850E44">
      <w:pPr>
        <w:rPr>
          <w:rFonts w:ascii="Times New Roman" w:hAnsi="Times New Roman" w:cs="David"/>
          <w:noProof/>
        </w:rPr>
      </w:pPr>
    </w:p>
    <w:p w:rsidR="000F1996" w:rsidRDefault="000F1996" w:rsidP="00850E44">
      <w:pPr>
        <w:rPr>
          <w:rFonts w:ascii="Times New Roman" w:hAnsi="Times New Roman" w:cs="David"/>
          <w:noProof/>
        </w:rPr>
      </w:pPr>
    </w:p>
    <w:p w:rsidR="00850E44" w:rsidRPr="000F1996" w:rsidRDefault="004E14DF" w:rsidP="002479F4">
      <w:pPr>
        <w:spacing w:after="0" w:line="360" w:lineRule="auto"/>
        <w:jc w:val="both"/>
        <w:rPr>
          <w:rFonts w:ascii="David" w:hAnsi="David" w:cs="David"/>
          <w:b/>
          <w:bCs/>
          <w:sz w:val="28"/>
          <w:szCs w:val="28"/>
          <w:u w:val="single"/>
          <w:rtl/>
        </w:rPr>
      </w:pPr>
      <w:r w:rsidRPr="000F1996">
        <w:rPr>
          <w:rFonts w:ascii="David" w:hAnsi="David" w:cs="David" w:hint="cs"/>
          <w:b/>
          <w:bCs/>
          <w:sz w:val="28"/>
          <w:szCs w:val="28"/>
          <w:u w:val="single"/>
          <w:rtl/>
        </w:rPr>
        <w:t>סיכומם של דברים</w:t>
      </w:r>
    </w:p>
    <w:p w:rsidR="00564E10" w:rsidRDefault="00564E10" w:rsidP="002479F4">
      <w:pPr>
        <w:spacing w:after="0" w:line="360" w:lineRule="auto"/>
        <w:jc w:val="both"/>
        <w:rPr>
          <w:rFonts w:ascii="David" w:hAnsi="David" w:cs="David"/>
          <w:sz w:val="24"/>
          <w:szCs w:val="24"/>
          <w:rtl/>
        </w:rPr>
      </w:pPr>
    </w:p>
    <w:p w:rsidR="00564E10" w:rsidRDefault="004E14DF" w:rsidP="002479F4">
      <w:pPr>
        <w:spacing w:after="0" w:line="360" w:lineRule="auto"/>
        <w:jc w:val="both"/>
        <w:rPr>
          <w:rFonts w:ascii="David" w:hAnsi="David" w:cs="David"/>
          <w:sz w:val="24"/>
          <w:szCs w:val="24"/>
          <w:rtl/>
        </w:rPr>
      </w:pPr>
      <w:r>
        <w:rPr>
          <w:rFonts w:ascii="David" w:hAnsi="David" w:cs="David" w:hint="cs"/>
          <w:sz w:val="24"/>
          <w:szCs w:val="24"/>
          <w:rtl/>
        </w:rPr>
        <w:t>אשר על כן, ולאור כל הטעמים המפורטים לעיל, על דעת כל חברי ההרכב, החלטנו לקבל את ערעור המדינה ולהרשיע את שחם בעבירה של מרמה והפרת אמונים, לפי סעיף 284 לחוק, ובעבירה של הטרדה מינית, לפי סעיף 5(א), בנסיבות סעיף 3(א)(6)(ג) לחוק למניעת הטרדה מינית.</w:t>
      </w:r>
    </w:p>
    <w:p w:rsidR="00564E10" w:rsidRDefault="004E14DF" w:rsidP="002479F4">
      <w:pPr>
        <w:spacing w:after="0" w:line="360" w:lineRule="auto"/>
        <w:jc w:val="both"/>
        <w:rPr>
          <w:rFonts w:ascii="David" w:hAnsi="David" w:cs="David"/>
          <w:sz w:val="24"/>
          <w:szCs w:val="24"/>
          <w:rtl/>
        </w:rPr>
      </w:pPr>
      <w:r>
        <w:rPr>
          <w:rFonts w:ascii="David" w:hAnsi="David" w:cs="David" w:hint="cs"/>
          <w:sz w:val="24"/>
          <w:szCs w:val="24"/>
          <w:rtl/>
        </w:rPr>
        <w:t>כמו כן אנו דוחים פה אחד את ערעורו של שחם על הרשעתו בעבירה של מעשה מגונה, לפי סעיף 348(ג) לחוק העונשין.</w:t>
      </w:r>
    </w:p>
    <w:p w:rsidR="00564E10" w:rsidRDefault="00564E10" w:rsidP="002479F4">
      <w:pPr>
        <w:spacing w:after="0" w:line="360" w:lineRule="auto"/>
        <w:jc w:val="both"/>
        <w:rPr>
          <w:rFonts w:ascii="David" w:hAnsi="David" w:cs="David"/>
          <w:sz w:val="24"/>
          <w:szCs w:val="24"/>
          <w:rtl/>
        </w:rPr>
      </w:pPr>
    </w:p>
    <w:p w:rsidR="00564E10" w:rsidRDefault="004E14DF" w:rsidP="002479F4">
      <w:pPr>
        <w:spacing w:after="0" w:line="360" w:lineRule="auto"/>
        <w:jc w:val="both"/>
        <w:rPr>
          <w:rFonts w:ascii="David" w:hAnsi="David" w:cs="David"/>
          <w:sz w:val="24"/>
          <w:szCs w:val="24"/>
          <w:rtl/>
        </w:rPr>
      </w:pPr>
      <w:r>
        <w:rPr>
          <w:rFonts w:ascii="David" w:hAnsi="David" w:cs="David" w:hint="cs"/>
          <w:sz w:val="24"/>
          <w:szCs w:val="24"/>
          <w:rtl/>
        </w:rPr>
        <w:t>התיק יוחזר לבית משפט השלום בתל אביב לגזירת העונש בהתאם להרשעתו של שחם.</w:t>
      </w:r>
    </w:p>
    <w:p w:rsidR="00850E44" w:rsidRPr="00564E10" w:rsidRDefault="00850E44" w:rsidP="002479F4">
      <w:pPr>
        <w:spacing w:after="0" w:line="360" w:lineRule="auto"/>
        <w:jc w:val="both"/>
        <w:rPr>
          <w:rFonts w:ascii="David" w:hAnsi="David" w:cs="David"/>
          <w:sz w:val="24"/>
          <w:szCs w:val="24"/>
          <w:rtl/>
        </w:rPr>
      </w:pPr>
    </w:p>
    <w:p w:rsidR="00850E44" w:rsidRPr="00564E10" w:rsidRDefault="004E14DF" w:rsidP="00564E10">
      <w:pPr>
        <w:spacing w:line="360" w:lineRule="auto"/>
        <w:jc w:val="both"/>
        <w:rPr>
          <w:rFonts w:ascii="David" w:hAnsi="David" w:cs="David"/>
          <w:b/>
          <w:bCs/>
          <w:sz w:val="24"/>
          <w:szCs w:val="24"/>
          <w:rtl/>
        </w:rPr>
      </w:pPr>
      <w:r w:rsidRPr="00564E10">
        <w:rPr>
          <w:rFonts w:ascii="David" w:hAnsi="David" w:cs="David"/>
          <w:b/>
          <w:bCs/>
          <w:sz w:val="24"/>
          <w:szCs w:val="24"/>
          <w:rtl/>
        </w:rPr>
        <w:t xml:space="preserve">ניתן והודע היום, </w:t>
      </w:r>
      <w:sdt>
        <w:sdtPr>
          <w:rPr>
            <w:rFonts w:ascii="David" w:hAnsi="David" w:cs="David"/>
            <w:b/>
            <w:bCs/>
            <w:sz w:val="24"/>
            <w:szCs w:val="24"/>
            <w:rtl/>
          </w:rPr>
          <w:alias w:val="1455"/>
          <w:tag w:val="1455"/>
          <w:id w:val="1666048407"/>
          <w:text w:multiLine="1"/>
        </w:sdtPr>
        <w:sdtEndPr/>
        <w:sdtContent>
          <w:r w:rsidRPr="00564E10">
            <w:rPr>
              <w:rFonts w:ascii="David" w:hAnsi="David" w:cs="David"/>
              <w:b/>
              <w:bCs/>
              <w:sz w:val="24"/>
              <w:szCs w:val="24"/>
              <w:rtl/>
            </w:rPr>
            <w:t>כ"ג אלול תשע"ט</w:t>
          </w:r>
        </w:sdtContent>
      </w:sdt>
      <w:r w:rsidRPr="00564E10">
        <w:rPr>
          <w:rFonts w:ascii="David" w:hAnsi="David" w:cs="David"/>
          <w:b/>
          <w:bCs/>
          <w:sz w:val="24"/>
          <w:szCs w:val="24"/>
          <w:rtl/>
        </w:rPr>
        <w:t xml:space="preserve">, </w:t>
      </w:r>
      <w:sdt>
        <w:sdtPr>
          <w:rPr>
            <w:rFonts w:ascii="David" w:hAnsi="David" w:cs="David"/>
            <w:b/>
            <w:bCs/>
            <w:sz w:val="24"/>
            <w:szCs w:val="24"/>
            <w:rtl/>
          </w:rPr>
          <w:alias w:val="1456"/>
          <w:tag w:val="1456"/>
          <w:id w:val="-1186288958"/>
          <w:text w:multiLine="1"/>
        </w:sdtPr>
        <w:sdtEndPr/>
        <w:sdtContent>
          <w:r w:rsidRPr="00564E10">
            <w:rPr>
              <w:rFonts w:ascii="David" w:hAnsi="David" w:cs="David"/>
              <w:b/>
              <w:bCs/>
              <w:sz w:val="24"/>
              <w:szCs w:val="24"/>
              <w:rtl/>
            </w:rPr>
            <w:t>23 ספטמבר 2019</w:t>
          </w:r>
        </w:sdtContent>
      </w:sdt>
      <w:r w:rsidRPr="00564E10">
        <w:rPr>
          <w:rFonts w:ascii="David" w:hAnsi="David" w:cs="David"/>
          <w:b/>
          <w:bCs/>
          <w:sz w:val="24"/>
          <w:szCs w:val="24"/>
          <w:rtl/>
        </w:rPr>
        <w:t xml:space="preserve">, במעמד </w:t>
      </w:r>
      <w:r w:rsidR="00564E10">
        <w:rPr>
          <w:rFonts w:ascii="David" w:hAnsi="David" w:cs="David" w:hint="cs"/>
          <w:b/>
          <w:bCs/>
          <w:sz w:val="24"/>
          <w:szCs w:val="24"/>
          <w:rtl/>
        </w:rPr>
        <w:t xml:space="preserve">המשיב/מערער </w:t>
      </w:r>
      <w:r w:rsidRPr="00564E10">
        <w:rPr>
          <w:rFonts w:ascii="David" w:hAnsi="David" w:cs="David"/>
          <w:b/>
          <w:bCs/>
          <w:sz w:val="24"/>
          <w:szCs w:val="24"/>
          <w:rtl/>
        </w:rPr>
        <w:t>ובאי כוח הצדדים.</w:t>
      </w:r>
    </w:p>
    <w:p w:rsidR="00850E44" w:rsidRPr="00564E10" w:rsidRDefault="00850E44" w:rsidP="00850E44">
      <w:pPr>
        <w:spacing w:line="360" w:lineRule="auto"/>
        <w:jc w:val="both"/>
        <w:rPr>
          <w:rFonts w:ascii="David" w:hAnsi="David" w:cs="David"/>
          <w:b/>
          <w:bCs/>
          <w:sz w:val="24"/>
          <w:szCs w:val="24"/>
          <w:rtl/>
        </w:rPr>
      </w:pPr>
    </w:p>
    <w:tbl>
      <w:tblPr>
        <w:tblStyle w:val="a4"/>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621"/>
        <w:gridCol w:w="222"/>
        <w:gridCol w:w="2191"/>
        <w:gridCol w:w="222"/>
        <w:gridCol w:w="3050"/>
      </w:tblGrid>
      <w:tr w:rsidR="007A04DC" w:rsidTr="00FB1591">
        <w:tc>
          <w:tcPr>
            <w:tcW w:w="2960" w:type="dxa"/>
            <w:tcBorders>
              <w:top w:val="nil"/>
              <w:left w:val="nil"/>
              <w:bottom w:val="single" w:sz="4" w:space="0" w:color="auto"/>
              <w:right w:val="nil"/>
            </w:tcBorders>
            <w:vAlign w:val="center"/>
            <w:hideMark/>
          </w:tcPr>
          <w:p w:rsidR="00FB1591" w:rsidRDefault="004E14DF">
            <w:pPr>
              <w:jc w:val="center"/>
              <w:rPr>
                <w:rFonts w:ascii="Courier New" w:hAnsi="Courier New"/>
                <w:b/>
                <w:bCs/>
                <w:lang w:eastAsia="he-IL"/>
              </w:rPr>
            </w:pPr>
            <w:r>
              <w:rPr>
                <w:rFonts w:ascii="Courier New" w:hAnsi="Courier New"/>
                <w:b/>
                <w:bCs/>
                <w:noProof/>
              </w:rPr>
              <w:drawing>
                <wp:inline distT="0" distB="0" distL="0" distR="0">
                  <wp:extent cx="1600200" cy="542925"/>
                  <wp:effectExtent l="0" t="0" r="0" b="9525"/>
                  <wp:docPr id="7" name="תמונה 7" descr="001827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397931" name="תמונה 3" descr="001827294"/>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1600200" cy="542925"/>
                          </a:xfrm>
                          <a:prstGeom prst="rect">
                            <a:avLst/>
                          </a:prstGeom>
                          <a:noFill/>
                          <a:ln>
                            <a:noFill/>
                          </a:ln>
                        </pic:spPr>
                      </pic:pic>
                    </a:graphicData>
                  </a:graphic>
                </wp:inline>
              </w:drawing>
            </w:r>
          </w:p>
        </w:tc>
        <w:tc>
          <w:tcPr>
            <w:tcW w:w="236" w:type="dxa"/>
            <w:vAlign w:val="center"/>
          </w:tcPr>
          <w:p w:rsidR="00FB1591" w:rsidRDefault="00FB1591">
            <w:pPr>
              <w:jc w:val="center"/>
              <w:rPr>
                <w:rFonts w:ascii="Courier New" w:hAnsi="Courier New"/>
                <w:b/>
                <w:bCs/>
                <w:lang w:eastAsia="he-IL"/>
              </w:rPr>
            </w:pPr>
          </w:p>
        </w:tc>
        <w:tc>
          <w:tcPr>
            <w:tcW w:w="2289" w:type="dxa"/>
            <w:tcBorders>
              <w:top w:val="nil"/>
              <w:left w:val="nil"/>
              <w:bottom w:val="single" w:sz="4" w:space="0" w:color="auto"/>
              <w:right w:val="nil"/>
            </w:tcBorders>
            <w:vAlign w:val="center"/>
            <w:hideMark/>
          </w:tcPr>
          <w:p w:rsidR="00FB1591" w:rsidRDefault="004E14DF">
            <w:pPr>
              <w:jc w:val="center"/>
              <w:rPr>
                <w:rFonts w:ascii="Courier New" w:hAnsi="Courier New"/>
                <w:b/>
                <w:bCs/>
                <w:lang w:eastAsia="he-IL"/>
              </w:rPr>
            </w:pPr>
            <w:r>
              <w:rPr>
                <w:noProof/>
              </w:rPr>
              <w:drawing>
                <wp:inline distT="0" distB="0" distL="0" distR="0">
                  <wp:extent cx="1314450" cy="762000"/>
                  <wp:effectExtent l="0" t="0" r="0" b="0"/>
                  <wp:docPr id="6" name="תמונה 6" descr="תיאור: \\image\HelpDesk\scan\סריקת חתימות\01233899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08987" name="תמונה 2" descr="תיאור: \\image\HelpDesk\scan\סריקת חתימות\012338992.TIF"/>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1314450" cy="762000"/>
                          </a:xfrm>
                          <a:prstGeom prst="rect">
                            <a:avLst/>
                          </a:prstGeom>
                          <a:noFill/>
                          <a:ln>
                            <a:noFill/>
                          </a:ln>
                        </pic:spPr>
                      </pic:pic>
                    </a:graphicData>
                  </a:graphic>
                </wp:inline>
              </w:drawing>
            </w:r>
          </w:p>
        </w:tc>
        <w:tc>
          <w:tcPr>
            <w:tcW w:w="300" w:type="dxa"/>
            <w:vAlign w:val="center"/>
          </w:tcPr>
          <w:p w:rsidR="00FB1591" w:rsidRDefault="00FB1591">
            <w:pPr>
              <w:jc w:val="center"/>
              <w:rPr>
                <w:rFonts w:ascii="Courier New" w:hAnsi="Courier New"/>
                <w:b/>
                <w:bCs/>
                <w:sz w:val="24"/>
                <w:szCs w:val="24"/>
                <w:lang w:eastAsia="he-IL"/>
              </w:rPr>
            </w:pPr>
          </w:p>
        </w:tc>
        <w:tc>
          <w:tcPr>
            <w:tcW w:w="2737" w:type="dxa"/>
            <w:tcBorders>
              <w:top w:val="nil"/>
              <w:left w:val="nil"/>
              <w:bottom w:val="single" w:sz="4" w:space="0" w:color="auto"/>
              <w:right w:val="nil"/>
            </w:tcBorders>
            <w:vAlign w:val="center"/>
            <w:hideMark/>
          </w:tcPr>
          <w:p w:rsidR="00FB1591" w:rsidRDefault="004E14DF">
            <w:pPr>
              <w:jc w:val="center"/>
              <w:rPr>
                <w:rFonts w:ascii="Courier New" w:hAnsi="Courier New"/>
                <w:b/>
                <w:bCs/>
                <w:lang w:eastAsia="he-IL"/>
              </w:rPr>
            </w:pPr>
            <w:r>
              <w:rPr>
                <w:noProof/>
              </w:rPr>
              <w:drawing>
                <wp:inline distT="0" distB="0" distL="0" distR="0">
                  <wp:extent cx="1876425" cy="781050"/>
                  <wp:effectExtent l="0" t="0" r="9525" b="0"/>
                  <wp:docPr id="5" name="תמונה 5" descr="052352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544423" name="תמונה 4" descr="052352960"/>
                          <pic:cNvPicPr>
                            <a:picLocks noChangeAspect="1" noChangeArrowheads="1"/>
                          </pic:cNvPicPr>
                        </pic:nvPicPr>
                        <pic:blipFill>
                          <a:blip r:embed="rId12">
                            <a:extLst>
                              <a:ext uri="{28A0092B-C50C-407E-A947-70E740481C1C}">
                                <a14:useLocalDpi xmlns:a14="http://schemas.microsoft.com/office/drawing/2010/main" val="0"/>
                              </a:ext>
                            </a:extLst>
                          </a:blip>
                          <a:srcRect t="17964"/>
                          <a:stretch>
                            <a:fillRect/>
                          </a:stretch>
                        </pic:blipFill>
                        <pic:spPr bwMode="auto">
                          <a:xfrm>
                            <a:off x="0" y="0"/>
                            <a:ext cx="1876425" cy="781050"/>
                          </a:xfrm>
                          <a:prstGeom prst="rect">
                            <a:avLst/>
                          </a:prstGeom>
                          <a:noFill/>
                          <a:ln>
                            <a:noFill/>
                          </a:ln>
                        </pic:spPr>
                      </pic:pic>
                    </a:graphicData>
                  </a:graphic>
                </wp:inline>
              </w:drawing>
            </w:r>
          </w:p>
        </w:tc>
      </w:tr>
      <w:tr w:rsidR="007A04DC" w:rsidTr="00FB1591">
        <w:tc>
          <w:tcPr>
            <w:tcW w:w="2960" w:type="dxa"/>
            <w:tcBorders>
              <w:top w:val="single" w:sz="4" w:space="0" w:color="auto"/>
              <w:left w:val="nil"/>
              <w:bottom w:val="nil"/>
              <w:right w:val="nil"/>
            </w:tcBorders>
            <w:vAlign w:val="bottom"/>
            <w:hideMark/>
          </w:tcPr>
          <w:p w:rsidR="00FB1591" w:rsidRDefault="004E14DF">
            <w:pPr>
              <w:jc w:val="center"/>
              <w:rPr>
                <w:rFonts w:ascii="David" w:hAnsi="David" w:cs="David"/>
                <w:b/>
                <w:bCs/>
                <w:sz w:val="24"/>
                <w:szCs w:val="24"/>
                <w:rtl/>
                <w:lang w:eastAsia="he-IL"/>
              </w:rPr>
            </w:pPr>
            <w:r w:rsidRPr="00850E44">
              <w:rPr>
                <w:rFonts w:ascii="David" w:hAnsi="David" w:cs="David"/>
                <w:b/>
                <w:bCs/>
                <w:sz w:val="24"/>
                <w:szCs w:val="24"/>
                <w:rtl/>
                <w:lang w:eastAsia="he-IL"/>
              </w:rPr>
              <w:t>מרים דיסקין, שופטת</w:t>
            </w:r>
            <w:r w:rsidR="000F1996">
              <w:rPr>
                <w:rFonts w:ascii="David" w:hAnsi="David" w:cs="David" w:hint="cs"/>
                <w:b/>
                <w:bCs/>
                <w:sz w:val="24"/>
                <w:szCs w:val="24"/>
                <w:rtl/>
                <w:lang w:eastAsia="he-IL"/>
              </w:rPr>
              <w:t>-</w:t>
            </w:r>
          </w:p>
          <w:p w:rsidR="00FB1591" w:rsidRPr="00850E44" w:rsidRDefault="000F1996" w:rsidP="000F1996">
            <w:pPr>
              <w:jc w:val="center"/>
              <w:rPr>
                <w:rFonts w:ascii="David" w:hAnsi="David" w:cs="David"/>
                <w:b/>
                <w:bCs/>
                <w:sz w:val="24"/>
                <w:szCs w:val="24"/>
                <w:lang w:eastAsia="he-IL"/>
              </w:rPr>
            </w:pPr>
            <w:r>
              <w:rPr>
                <w:rFonts w:ascii="David" w:hAnsi="David" w:cs="David" w:hint="cs"/>
                <w:b/>
                <w:bCs/>
                <w:sz w:val="24"/>
                <w:szCs w:val="24"/>
                <w:rtl/>
                <w:lang w:eastAsia="he-IL"/>
              </w:rPr>
              <w:t xml:space="preserve">עמיתה, </w:t>
            </w:r>
            <w:r w:rsidR="004E14DF" w:rsidRPr="00850E44">
              <w:rPr>
                <w:rFonts w:ascii="David" w:hAnsi="David" w:cs="David"/>
                <w:b/>
                <w:bCs/>
                <w:sz w:val="24"/>
                <w:szCs w:val="24"/>
                <w:rtl/>
                <w:lang w:eastAsia="he-IL"/>
              </w:rPr>
              <w:t>אב"ד</w:t>
            </w:r>
          </w:p>
        </w:tc>
        <w:tc>
          <w:tcPr>
            <w:tcW w:w="236" w:type="dxa"/>
            <w:vAlign w:val="bottom"/>
          </w:tcPr>
          <w:p w:rsidR="00FB1591" w:rsidRPr="00850E44" w:rsidRDefault="00FB1591">
            <w:pPr>
              <w:jc w:val="center"/>
              <w:rPr>
                <w:rFonts w:ascii="David" w:hAnsi="David" w:cs="David"/>
                <w:b/>
                <w:bCs/>
                <w:sz w:val="24"/>
                <w:szCs w:val="24"/>
                <w:rtl/>
                <w:lang w:eastAsia="he-IL"/>
              </w:rPr>
            </w:pPr>
          </w:p>
        </w:tc>
        <w:tc>
          <w:tcPr>
            <w:tcW w:w="2289" w:type="dxa"/>
            <w:tcBorders>
              <w:top w:val="single" w:sz="4" w:space="0" w:color="auto"/>
              <w:left w:val="nil"/>
              <w:bottom w:val="nil"/>
              <w:right w:val="nil"/>
            </w:tcBorders>
            <w:hideMark/>
          </w:tcPr>
          <w:p w:rsidR="00FB1591" w:rsidRPr="00850E44" w:rsidRDefault="004E14DF">
            <w:pPr>
              <w:jc w:val="center"/>
              <w:rPr>
                <w:rFonts w:ascii="David" w:hAnsi="David" w:cs="David"/>
                <w:b/>
                <w:bCs/>
                <w:sz w:val="24"/>
                <w:szCs w:val="24"/>
                <w:lang w:eastAsia="he-IL"/>
              </w:rPr>
            </w:pPr>
            <w:r w:rsidRPr="00850E44">
              <w:rPr>
                <w:rFonts w:ascii="David" w:hAnsi="David" w:cs="David"/>
                <w:b/>
                <w:bCs/>
                <w:sz w:val="24"/>
                <w:szCs w:val="24"/>
                <w:rtl/>
                <w:lang w:eastAsia="he-IL"/>
              </w:rPr>
              <w:t>מרדכי לוי, שופט</w:t>
            </w:r>
          </w:p>
        </w:tc>
        <w:tc>
          <w:tcPr>
            <w:tcW w:w="300" w:type="dxa"/>
          </w:tcPr>
          <w:p w:rsidR="00FB1591" w:rsidRPr="00850E44" w:rsidRDefault="00FB1591">
            <w:pPr>
              <w:jc w:val="center"/>
              <w:rPr>
                <w:rFonts w:ascii="David" w:hAnsi="David" w:cs="David"/>
                <w:b/>
                <w:bCs/>
                <w:sz w:val="24"/>
                <w:szCs w:val="24"/>
                <w:lang w:eastAsia="he-IL"/>
              </w:rPr>
            </w:pPr>
          </w:p>
        </w:tc>
        <w:tc>
          <w:tcPr>
            <w:tcW w:w="2737" w:type="dxa"/>
            <w:tcBorders>
              <w:top w:val="single" w:sz="4" w:space="0" w:color="auto"/>
              <w:left w:val="nil"/>
              <w:bottom w:val="nil"/>
              <w:right w:val="nil"/>
            </w:tcBorders>
            <w:hideMark/>
          </w:tcPr>
          <w:p w:rsidR="00FB1591" w:rsidRPr="00850E44" w:rsidRDefault="004E14DF">
            <w:pPr>
              <w:jc w:val="center"/>
              <w:rPr>
                <w:rFonts w:ascii="David" w:hAnsi="David" w:cs="David"/>
                <w:b/>
                <w:bCs/>
                <w:sz w:val="24"/>
                <w:szCs w:val="24"/>
                <w:lang w:eastAsia="he-IL"/>
              </w:rPr>
            </w:pPr>
            <w:r w:rsidRPr="00850E44">
              <w:rPr>
                <w:rFonts w:ascii="David" w:hAnsi="David" w:cs="David"/>
                <w:b/>
                <w:bCs/>
                <w:sz w:val="24"/>
                <w:szCs w:val="24"/>
                <w:rtl/>
                <w:lang w:eastAsia="he-IL"/>
              </w:rPr>
              <w:t>גיליה רביד, שופטת</w:t>
            </w:r>
          </w:p>
        </w:tc>
      </w:tr>
    </w:tbl>
    <w:p w:rsidR="00FB1591" w:rsidRDefault="00FB1591" w:rsidP="00FB1591">
      <w:pPr>
        <w:rPr>
          <w:rFonts w:ascii="Times New Roman" w:hAnsi="Times New Roman" w:cs="David"/>
          <w:noProof/>
        </w:rPr>
      </w:pPr>
    </w:p>
    <w:sectPr w:rsidR="00FB1591" w:rsidSect="0024500D">
      <w:headerReference w:type="even" r:id="rId13"/>
      <w:headerReference w:type="default" r:id="rId14"/>
      <w:footerReference w:type="even" r:id="rId15"/>
      <w:footerReference w:type="default" r:id="rId16"/>
      <w:headerReference w:type="first" r:id="rId17"/>
      <w:footerReference w:type="first" r:id="rId1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2046" w:rsidRDefault="00C02046">
      <w:pPr>
        <w:spacing w:after="0" w:line="240" w:lineRule="auto"/>
      </w:pPr>
      <w:r>
        <w:separator/>
      </w:r>
    </w:p>
  </w:endnote>
  <w:endnote w:type="continuationSeparator" w:id="0">
    <w:p w:rsidR="00C02046" w:rsidRDefault="00C020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avid">
    <w:panose1 w:val="020E0502060401010101"/>
    <w:charset w:val="B1"/>
    <w:family w:val="swiss"/>
    <w:pitch w:val="variable"/>
    <w:sig w:usb0="00000801" w:usb1="00000000" w:usb2="00000000" w:usb3="00000000" w:csb0="0000002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1)">
    <w:altName w:val="Arial"/>
    <w:panose1 w:val="00000000000000000000"/>
    <w:charset w:val="00"/>
    <w:family w:val="swiss"/>
    <w:notTrueType/>
    <w:pitch w:val="variable"/>
    <w:sig w:usb0="00000003" w:usb1="00000000" w:usb2="00000000" w:usb3="00000000" w:csb0="00000001" w:csb1="00000000"/>
  </w:font>
  <w:font w:name="FrankRuehl">
    <w:panose1 w:val="020E0503060101010101"/>
    <w:charset w:val="B1"/>
    <w:family w:val="swiss"/>
    <w:pitch w:val="variable"/>
    <w:sig w:usb0="00000801" w:usb1="00000000" w:usb2="00000000" w:usb3="00000000" w:csb0="0000002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2FCE" w:rsidRDefault="007D2FCE">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2046090260"/>
      <w:docPartObj>
        <w:docPartGallery w:val="Page Numbers (Bottom of Page)"/>
        <w:docPartUnique/>
      </w:docPartObj>
    </w:sdtPr>
    <w:sdtEndPr/>
    <w:sdtContent>
      <w:p w:rsidR="000F1996" w:rsidRDefault="000F1996">
        <w:pPr>
          <w:pStyle w:val="a8"/>
          <w:jc w:val="center"/>
          <w:rPr>
            <w:rtl/>
            <w:cs/>
          </w:rPr>
        </w:pPr>
        <w:r>
          <w:fldChar w:fldCharType="begin"/>
        </w:r>
        <w:r>
          <w:rPr>
            <w:rtl/>
            <w:cs/>
          </w:rPr>
          <w:instrText>PAGE   \* MERGEFORMAT</w:instrText>
        </w:r>
        <w:r>
          <w:fldChar w:fldCharType="separate"/>
        </w:r>
        <w:r w:rsidR="007D2FCE" w:rsidRPr="007D2FCE">
          <w:rPr>
            <w:noProof/>
            <w:rtl/>
            <w:lang w:val="he-IL"/>
          </w:rPr>
          <w:t>1</w:t>
        </w:r>
        <w:r>
          <w:fldChar w:fldCharType="end"/>
        </w:r>
      </w:p>
    </w:sdtContent>
  </w:sdt>
  <w:p w:rsidR="000F1996" w:rsidRDefault="000F1996">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2FCE" w:rsidRDefault="007D2FCE">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2046" w:rsidRDefault="00C02046">
      <w:pPr>
        <w:spacing w:after="0" w:line="240" w:lineRule="auto"/>
      </w:pPr>
      <w:r>
        <w:separator/>
      </w:r>
    </w:p>
  </w:footnote>
  <w:footnote w:type="continuationSeparator" w:id="0">
    <w:p w:rsidR="00C02046" w:rsidRDefault="00C020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2FCE" w:rsidRDefault="007D2FCE">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B2E" w:rsidRDefault="00287B2E" w:rsidP="00FB1591">
    <w:pPr>
      <w:pStyle w:val="a6"/>
      <w:jc w:val="center"/>
      <w:rPr>
        <w:rFonts w:cs="FrankRuehl"/>
        <w:sz w:val="28"/>
        <w:szCs w:val="28"/>
      </w:rPr>
    </w:pPr>
  </w:p>
  <w:p w:rsidR="00FB1591" w:rsidRDefault="004E14DF" w:rsidP="00FB1591">
    <w:pPr>
      <w:pStyle w:val="a6"/>
      <w:jc w:val="center"/>
      <w:rPr>
        <w:rFonts w:cs="FrankRuehl"/>
        <w:sz w:val="28"/>
        <w:szCs w:val="28"/>
      </w:rPr>
    </w:pPr>
    <w:r>
      <w:rPr>
        <w:rFonts w:cs="FrankRuehl"/>
        <w:noProof/>
        <w:sz w:val="28"/>
        <w:szCs w:val="28"/>
      </w:rPr>
      <w:drawing>
        <wp:inline distT="0" distB="0" distL="0" distR="0">
          <wp:extent cx="371475" cy="466725"/>
          <wp:effectExtent l="0" t="0" r="9525" b="9525"/>
          <wp:docPr id="1" name="תמונה 1" descr="ישראל - המנורה -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390280" name="Picture 1" descr="ישראל - המנורה -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71475" cy="466725"/>
                  </a:xfrm>
                  <a:prstGeom prst="rect">
                    <a:avLst/>
                  </a:prstGeom>
                  <a:noFill/>
                  <a:ln>
                    <a:noFill/>
                  </a:ln>
                </pic:spPr>
              </pic:pic>
            </a:graphicData>
          </a:graphic>
        </wp:inline>
      </w:drawing>
    </w:r>
  </w:p>
  <w:tbl>
    <w:tblPr>
      <w:bidiVisual/>
      <w:tblW w:w="0" w:type="auto"/>
      <w:jc w:val="center"/>
      <w:tblLook w:val="04A0" w:firstRow="1" w:lastRow="0" w:firstColumn="1" w:lastColumn="0" w:noHBand="0" w:noVBand="1"/>
    </w:tblPr>
    <w:tblGrid>
      <w:gridCol w:w="8306"/>
    </w:tblGrid>
    <w:tr w:rsidR="007A04DC" w:rsidTr="00FB1591">
      <w:trPr>
        <w:trHeight w:val="993"/>
        <w:jc w:val="center"/>
      </w:trPr>
      <w:sdt>
        <w:sdtPr>
          <w:rPr>
            <w:rFonts w:ascii="David" w:hAnsi="David" w:cs="David"/>
            <w:b/>
            <w:bCs/>
            <w:color w:val="000080"/>
            <w:sz w:val="32"/>
            <w:szCs w:val="32"/>
            <w:rtl/>
          </w:rPr>
          <w:alias w:val="1174"/>
          <w:tag w:val="1174"/>
          <w:id w:val="-1585920285"/>
          <w:text w:multiLine="1"/>
        </w:sdtPr>
        <w:sdtEndPr/>
        <w:sdtContent>
          <w:tc>
            <w:tcPr>
              <w:tcW w:w="8721" w:type="dxa"/>
              <w:hideMark/>
            </w:tcPr>
            <w:p w:rsidR="00FB1591" w:rsidRPr="008E64BD" w:rsidRDefault="004E14DF" w:rsidP="00FB1591">
              <w:pPr>
                <w:pStyle w:val="a6"/>
                <w:jc w:val="center"/>
                <w:rPr>
                  <w:rFonts w:ascii="David" w:hAnsi="David" w:cs="David"/>
                  <w:b/>
                  <w:bCs/>
                  <w:noProof/>
                  <w:color w:val="000080"/>
                  <w:sz w:val="32"/>
                  <w:szCs w:val="32"/>
                  <w:rtl/>
                </w:rPr>
              </w:pPr>
              <w:r w:rsidRPr="008E64BD">
                <w:rPr>
                  <w:rFonts w:ascii="David" w:hAnsi="David" w:cs="David"/>
                  <w:b/>
                  <w:bCs/>
                  <w:color w:val="000080"/>
                  <w:sz w:val="32"/>
                  <w:szCs w:val="32"/>
                  <w:rtl/>
                </w:rPr>
                <w:t>בית המשפט המחוזי בתל אביב - יפו בשבתו כבית-משפט לערעורים פליליים</w:t>
              </w:r>
            </w:p>
          </w:tc>
        </w:sdtContent>
      </w:sdt>
    </w:tr>
  </w:tbl>
  <w:p w:rsidR="00767912" w:rsidRPr="008E64BD" w:rsidRDefault="004E14DF">
    <w:pPr>
      <w:pStyle w:val="a6"/>
      <w:rPr>
        <w:rFonts w:ascii="David" w:hAnsi="David" w:cs="David"/>
        <w:b/>
        <w:bCs/>
        <w:sz w:val="26"/>
        <w:szCs w:val="26"/>
        <w:rtl/>
      </w:rPr>
    </w:pPr>
    <w:r w:rsidRPr="008E64BD">
      <w:rPr>
        <w:rFonts w:ascii="David" w:hAnsi="David" w:cs="David"/>
        <w:b/>
        <w:bCs/>
        <w:sz w:val="26"/>
        <w:szCs w:val="26"/>
        <w:rtl/>
      </w:rPr>
      <w:t xml:space="preserve">ע"פ </w:t>
    </w:r>
    <w:bookmarkStart w:id="0" w:name="_GoBack"/>
    <w:r w:rsidRPr="008E64BD">
      <w:rPr>
        <w:rFonts w:ascii="David" w:hAnsi="David" w:cs="David"/>
        <w:b/>
        <w:bCs/>
        <w:sz w:val="26"/>
        <w:szCs w:val="26"/>
        <w:rtl/>
      </w:rPr>
      <w:t xml:space="preserve">23260-01-19 </w:t>
    </w:r>
    <w:bookmarkEnd w:id="0"/>
    <w:r w:rsidRPr="008E64BD">
      <w:rPr>
        <w:rFonts w:ascii="David" w:hAnsi="David" w:cs="David"/>
        <w:b/>
        <w:bCs/>
        <w:sz w:val="26"/>
        <w:szCs w:val="26"/>
        <w:rtl/>
      </w:rPr>
      <w:t>מדינת ישראל נ' שחם</w:t>
    </w:r>
  </w:p>
  <w:p w:rsidR="00767912" w:rsidRPr="008E64BD" w:rsidRDefault="004E14DF">
    <w:pPr>
      <w:pStyle w:val="a6"/>
      <w:rPr>
        <w:rFonts w:ascii="David" w:hAnsi="David" w:cs="David"/>
        <w:b/>
        <w:bCs/>
        <w:sz w:val="26"/>
        <w:szCs w:val="26"/>
        <w:rtl/>
      </w:rPr>
    </w:pPr>
    <w:r w:rsidRPr="008E64BD">
      <w:rPr>
        <w:rFonts w:ascii="David" w:hAnsi="David" w:cs="David"/>
        <w:b/>
        <w:bCs/>
        <w:sz w:val="26"/>
        <w:szCs w:val="26"/>
        <w:rtl/>
      </w:rPr>
      <w:t>ע"פ 61564-01-19 שחם נ' מדינת ישראל</w:t>
    </w:r>
  </w:p>
  <w:p w:rsidR="00287B2E" w:rsidRPr="00287B2E" w:rsidRDefault="00287B2E">
    <w:pPr>
      <w:pStyle w:val="a6"/>
      <w:rPr>
        <w:b/>
        <w:bCs/>
        <w:sz w:val="26"/>
        <w:szCs w:val="2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2FCE" w:rsidRDefault="007D2FCE">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DD4713"/>
    <w:multiLevelType w:val="hybridMultilevel"/>
    <w:tmpl w:val="5ED23BEE"/>
    <w:lvl w:ilvl="0" w:tplc="9D3A3BAC">
      <w:start w:val="1"/>
      <w:numFmt w:val="decimal"/>
      <w:lvlText w:val="%1."/>
      <w:lvlJc w:val="left"/>
      <w:pPr>
        <w:tabs>
          <w:tab w:val="num" w:pos="360"/>
        </w:tabs>
        <w:ind w:left="360" w:hanging="360"/>
      </w:pPr>
    </w:lvl>
    <w:lvl w:ilvl="1" w:tplc="89F61E56" w:tentative="1">
      <w:start w:val="1"/>
      <w:numFmt w:val="lowerLetter"/>
      <w:lvlText w:val="%2."/>
      <w:lvlJc w:val="left"/>
      <w:pPr>
        <w:tabs>
          <w:tab w:val="num" w:pos="1080"/>
        </w:tabs>
        <w:ind w:left="1080" w:hanging="360"/>
      </w:pPr>
    </w:lvl>
    <w:lvl w:ilvl="2" w:tplc="4BC672EA" w:tentative="1">
      <w:start w:val="1"/>
      <w:numFmt w:val="lowerRoman"/>
      <w:lvlText w:val="%3."/>
      <w:lvlJc w:val="right"/>
      <w:pPr>
        <w:tabs>
          <w:tab w:val="num" w:pos="1800"/>
        </w:tabs>
        <w:ind w:left="1800" w:hanging="180"/>
      </w:pPr>
    </w:lvl>
    <w:lvl w:ilvl="3" w:tplc="E9620C5A" w:tentative="1">
      <w:start w:val="1"/>
      <w:numFmt w:val="decimal"/>
      <w:lvlText w:val="%4."/>
      <w:lvlJc w:val="left"/>
      <w:pPr>
        <w:tabs>
          <w:tab w:val="num" w:pos="2520"/>
        </w:tabs>
        <w:ind w:left="2520" w:hanging="360"/>
      </w:pPr>
    </w:lvl>
    <w:lvl w:ilvl="4" w:tplc="33641178" w:tentative="1">
      <w:start w:val="1"/>
      <w:numFmt w:val="lowerLetter"/>
      <w:lvlText w:val="%5."/>
      <w:lvlJc w:val="left"/>
      <w:pPr>
        <w:tabs>
          <w:tab w:val="num" w:pos="3240"/>
        </w:tabs>
        <w:ind w:left="3240" w:hanging="360"/>
      </w:pPr>
    </w:lvl>
    <w:lvl w:ilvl="5" w:tplc="9D9E529E" w:tentative="1">
      <w:start w:val="1"/>
      <w:numFmt w:val="lowerRoman"/>
      <w:lvlText w:val="%6."/>
      <w:lvlJc w:val="right"/>
      <w:pPr>
        <w:tabs>
          <w:tab w:val="num" w:pos="3960"/>
        </w:tabs>
        <w:ind w:left="3960" w:hanging="180"/>
      </w:pPr>
    </w:lvl>
    <w:lvl w:ilvl="6" w:tplc="DF508D0A" w:tentative="1">
      <w:start w:val="1"/>
      <w:numFmt w:val="decimal"/>
      <w:lvlText w:val="%7."/>
      <w:lvlJc w:val="left"/>
      <w:pPr>
        <w:tabs>
          <w:tab w:val="num" w:pos="4680"/>
        </w:tabs>
        <w:ind w:left="4680" w:hanging="360"/>
      </w:pPr>
    </w:lvl>
    <w:lvl w:ilvl="7" w:tplc="38905CA6" w:tentative="1">
      <w:start w:val="1"/>
      <w:numFmt w:val="lowerLetter"/>
      <w:lvlText w:val="%8."/>
      <w:lvlJc w:val="left"/>
      <w:pPr>
        <w:tabs>
          <w:tab w:val="num" w:pos="5400"/>
        </w:tabs>
        <w:ind w:left="5400" w:hanging="360"/>
      </w:pPr>
    </w:lvl>
    <w:lvl w:ilvl="8" w:tplc="B40A90CE" w:tentative="1">
      <w:start w:val="1"/>
      <w:numFmt w:val="lowerRoman"/>
      <w:lvlText w:val="%9."/>
      <w:lvlJc w:val="right"/>
      <w:pPr>
        <w:tabs>
          <w:tab w:val="num" w:pos="6120"/>
        </w:tabs>
        <w:ind w:left="6120" w:hanging="180"/>
      </w:pPr>
    </w:lvl>
  </w:abstractNum>
  <w:abstractNum w:abstractNumId="1" w15:restartNumberingAfterBreak="0">
    <w:nsid w:val="0E4805C4"/>
    <w:multiLevelType w:val="hybridMultilevel"/>
    <w:tmpl w:val="13085CA2"/>
    <w:lvl w:ilvl="0" w:tplc="DF6488C2">
      <w:start w:val="1"/>
      <w:numFmt w:val="hebrew1"/>
      <w:lvlText w:val="%1."/>
      <w:lvlJc w:val="left"/>
      <w:pPr>
        <w:ind w:left="360" w:hanging="360"/>
      </w:pPr>
      <w:rPr>
        <w:rFonts w:hint="default"/>
        <w:b/>
        <w:bCs/>
      </w:rPr>
    </w:lvl>
    <w:lvl w:ilvl="1" w:tplc="DB000D6E" w:tentative="1">
      <w:start w:val="1"/>
      <w:numFmt w:val="lowerLetter"/>
      <w:lvlText w:val="%2."/>
      <w:lvlJc w:val="left"/>
      <w:pPr>
        <w:ind w:left="1080" w:hanging="360"/>
      </w:pPr>
    </w:lvl>
    <w:lvl w:ilvl="2" w:tplc="714AAD12" w:tentative="1">
      <w:start w:val="1"/>
      <w:numFmt w:val="lowerRoman"/>
      <w:lvlText w:val="%3."/>
      <w:lvlJc w:val="right"/>
      <w:pPr>
        <w:ind w:left="1800" w:hanging="180"/>
      </w:pPr>
    </w:lvl>
    <w:lvl w:ilvl="3" w:tplc="17FC6E5E" w:tentative="1">
      <w:start w:val="1"/>
      <w:numFmt w:val="decimal"/>
      <w:lvlText w:val="%4."/>
      <w:lvlJc w:val="left"/>
      <w:pPr>
        <w:ind w:left="2520" w:hanging="360"/>
      </w:pPr>
    </w:lvl>
    <w:lvl w:ilvl="4" w:tplc="95684462" w:tentative="1">
      <w:start w:val="1"/>
      <w:numFmt w:val="lowerLetter"/>
      <w:lvlText w:val="%5."/>
      <w:lvlJc w:val="left"/>
      <w:pPr>
        <w:ind w:left="3240" w:hanging="360"/>
      </w:pPr>
    </w:lvl>
    <w:lvl w:ilvl="5" w:tplc="CB96E036" w:tentative="1">
      <w:start w:val="1"/>
      <w:numFmt w:val="lowerRoman"/>
      <w:lvlText w:val="%6."/>
      <w:lvlJc w:val="right"/>
      <w:pPr>
        <w:ind w:left="3960" w:hanging="180"/>
      </w:pPr>
    </w:lvl>
    <w:lvl w:ilvl="6" w:tplc="3B9671FA" w:tentative="1">
      <w:start w:val="1"/>
      <w:numFmt w:val="decimal"/>
      <w:lvlText w:val="%7."/>
      <w:lvlJc w:val="left"/>
      <w:pPr>
        <w:ind w:left="4680" w:hanging="360"/>
      </w:pPr>
    </w:lvl>
    <w:lvl w:ilvl="7" w:tplc="262853C0" w:tentative="1">
      <w:start w:val="1"/>
      <w:numFmt w:val="lowerLetter"/>
      <w:lvlText w:val="%8."/>
      <w:lvlJc w:val="left"/>
      <w:pPr>
        <w:ind w:left="5400" w:hanging="360"/>
      </w:pPr>
    </w:lvl>
    <w:lvl w:ilvl="8" w:tplc="6D90BD62" w:tentative="1">
      <w:start w:val="1"/>
      <w:numFmt w:val="lowerRoman"/>
      <w:lvlText w:val="%9."/>
      <w:lvlJc w:val="right"/>
      <w:pPr>
        <w:ind w:left="6120" w:hanging="180"/>
      </w:pPr>
    </w:lvl>
  </w:abstractNum>
  <w:abstractNum w:abstractNumId="2" w15:restartNumberingAfterBreak="0">
    <w:nsid w:val="257A67C1"/>
    <w:multiLevelType w:val="hybridMultilevel"/>
    <w:tmpl w:val="ED4E7438"/>
    <w:lvl w:ilvl="0" w:tplc="F9A00CFC">
      <w:start w:val="1"/>
      <w:numFmt w:val="hebrew1"/>
      <w:lvlText w:val="%1."/>
      <w:lvlJc w:val="left"/>
      <w:pPr>
        <w:ind w:left="360" w:hanging="360"/>
      </w:pPr>
      <w:rPr>
        <w:b/>
        <w:bCs/>
      </w:rPr>
    </w:lvl>
    <w:lvl w:ilvl="1" w:tplc="6DC0C4F6">
      <w:start w:val="1"/>
      <w:numFmt w:val="lowerLetter"/>
      <w:lvlText w:val="%2."/>
      <w:lvlJc w:val="left"/>
      <w:pPr>
        <w:ind w:left="1080" w:hanging="360"/>
      </w:pPr>
    </w:lvl>
    <w:lvl w:ilvl="2" w:tplc="8786AB86">
      <w:start w:val="1"/>
      <w:numFmt w:val="lowerRoman"/>
      <w:lvlText w:val="%3."/>
      <w:lvlJc w:val="right"/>
      <w:pPr>
        <w:ind w:left="1800" w:hanging="180"/>
      </w:pPr>
    </w:lvl>
    <w:lvl w:ilvl="3" w:tplc="B65EDABC">
      <w:start w:val="1"/>
      <w:numFmt w:val="decimal"/>
      <w:lvlText w:val="%4."/>
      <w:lvlJc w:val="left"/>
      <w:pPr>
        <w:ind w:left="2520" w:hanging="360"/>
      </w:pPr>
    </w:lvl>
    <w:lvl w:ilvl="4" w:tplc="13006A86">
      <w:start w:val="1"/>
      <w:numFmt w:val="lowerLetter"/>
      <w:lvlText w:val="%5."/>
      <w:lvlJc w:val="left"/>
      <w:pPr>
        <w:ind w:left="3240" w:hanging="360"/>
      </w:pPr>
    </w:lvl>
    <w:lvl w:ilvl="5" w:tplc="35AEA830">
      <w:start w:val="1"/>
      <w:numFmt w:val="lowerRoman"/>
      <w:lvlText w:val="%6."/>
      <w:lvlJc w:val="right"/>
      <w:pPr>
        <w:ind w:left="3960" w:hanging="180"/>
      </w:pPr>
    </w:lvl>
    <w:lvl w:ilvl="6" w:tplc="D924E5A2">
      <w:start w:val="1"/>
      <w:numFmt w:val="decimal"/>
      <w:lvlText w:val="%7."/>
      <w:lvlJc w:val="left"/>
      <w:pPr>
        <w:ind w:left="4680" w:hanging="360"/>
      </w:pPr>
    </w:lvl>
    <w:lvl w:ilvl="7" w:tplc="395623CE">
      <w:start w:val="1"/>
      <w:numFmt w:val="lowerLetter"/>
      <w:lvlText w:val="%8."/>
      <w:lvlJc w:val="left"/>
      <w:pPr>
        <w:ind w:left="5400" w:hanging="360"/>
      </w:pPr>
    </w:lvl>
    <w:lvl w:ilvl="8" w:tplc="15721670">
      <w:start w:val="1"/>
      <w:numFmt w:val="lowerRoman"/>
      <w:lvlText w:val="%9."/>
      <w:lvlJc w:val="right"/>
      <w:pPr>
        <w:ind w:left="6120" w:hanging="180"/>
      </w:pPr>
    </w:lvl>
  </w:abstractNum>
  <w:abstractNum w:abstractNumId="3" w15:restartNumberingAfterBreak="0">
    <w:nsid w:val="2748252A"/>
    <w:multiLevelType w:val="hybridMultilevel"/>
    <w:tmpl w:val="44ACE8DA"/>
    <w:lvl w:ilvl="0" w:tplc="DC568DC8">
      <w:start w:val="1"/>
      <w:numFmt w:val="hebrew1"/>
      <w:lvlText w:val="%1."/>
      <w:lvlJc w:val="left"/>
      <w:pPr>
        <w:ind w:left="360" w:hanging="360"/>
      </w:pPr>
      <w:rPr>
        <w:rFonts w:hint="default"/>
        <w:b/>
        <w:bCs/>
        <w:color w:val="000000" w:themeColor="text1"/>
      </w:rPr>
    </w:lvl>
    <w:lvl w:ilvl="1" w:tplc="D4AC4428" w:tentative="1">
      <w:start w:val="1"/>
      <w:numFmt w:val="lowerLetter"/>
      <w:lvlText w:val="%2."/>
      <w:lvlJc w:val="left"/>
      <w:pPr>
        <w:ind w:left="1080" w:hanging="360"/>
      </w:pPr>
    </w:lvl>
    <w:lvl w:ilvl="2" w:tplc="34BEB136" w:tentative="1">
      <w:start w:val="1"/>
      <w:numFmt w:val="lowerRoman"/>
      <w:lvlText w:val="%3."/>
      <w:lvlJc w:val="right"/>
      <w:pPr>
        <w:ind w:left="1800" w:hanging="180"/>
      </w:pPr>
    </w:lvl>
    <w:lvl w:ilvl="3" w:tplc="EA789E02" w:tentative="1">
      <w:start w:val="1"/>
      <w:numFmt w:val="decimal"/>
      <w:lvlText w:val="%4."/>
      <w:lvlJc w:val="left"/>
      <w:pPr>
        <w:ind w:left="2520" w:hanging="360"/>
      </w:pPr>
    </w:lvl>
    <w:lvl w:ilvl="4" w:tplc="233657A2" w:tentative="1">
      <w:start w:val="1"/>
      <w:numFmt w:val="lowerLetter"/>
      <w:lvlText w:val="%5."/>
      <w:lvlJc w:val="left"/>
      <w:pPr>
        <w:ind w:left="3240" w:hanging="360"/>
      </w:pPr>
    </w:lvl>
    <w:lvl w:ilvl="5" w:tplc="357652E6" w:tentative="1">
      <w:start w:val="1"/>
      <w:numFmt w:val="lowerRoman"/>
      <w:lvlText w:val="%6."/>
      <w:lvlJc w:val="right"/>
      <w:pPr>
        <w:ind w:left="3960" w:hanging="180"/>
      </w:pPr>
    </w:lvl>
    <w:lvl w:ilvl="6" w:tplc="D8E8ED34" w:tentative="1">
      <w:start w:val="1"/>
      <w:numFmt w:val="decimal"/>
      <w:lvlText w:val="%7."/>
      <w:lvlJc w:val="left"/>
      <w:pPr>
        <w:ind w:left="4680" w:hanging="360"/>
      </w:pPr>
    </w:lvl>
    <w:lvl w:ilvl="7" w:tplc="72FE1902" w:tentative="1">
      <w:start w:val="1"/>
      <w:numFmt w:val="lowerLetter"/>
      <w:lvlText w:val="%8."/>
      <w:lvlJc w:val="left"/>
      <w:pPr>
        <w:ind w:left="5400" w:hanging="360"/>
      </w:pPr>
    </w:lvl>
    <w:lvl w:ilvl="8" w:tplc="CF1C1716" w:tentative="1">
      <w:start w:val="1"/>
      <w:numFmt w:val="lowerRoman"/>
      <w:lvlText w:val="%9."/>
      <w:lvlJc w:val="right"/>
      <w:pPr>
        <w:ind w:left="6120" w:hanging="180"/>
      </w:pPr>
    </w:lvl>
  </w:abstractNum>
  <w:abstractNum w:abstractNumId="4" w15:restartNumberingAfterBreak="0">
    <w:nsid w:val="412B4736"/>
    <w:multiLevelType w:val="hybridMultilevel"/>
    <w:tmpl w:val="F50A0A58"/>
    <w:lvl w:ilvl="0" w:tplc="69B4943E">
      <w:start w:val="1"/>
      <w:numFmt w:val="bullet"/>
      <w:lvlText w:val=""/>
      <w:lvlJc w:val="left"/>
      <w:pPr>
        <w:ind w:left="-548" w:hanging="360"/>
      </w:pPr>
      <w:rPr>
        <w:rFonts w:ascii="Wingdings" w:eastAsiaTheme="minorHAnsi" w:hAnsi="Wingdings" w:cs="David" w:hint="default"/>
      </w:rPr>
    </w:lvl>
    <w:lvl w:ilvl="1" w:tplc="9946AF14" w:tentative="1">
      <w:start w:val="1"/>
      <w:numFmt w:val="bullet"/>
      <w:lvlText w:val="o"/>
      <w:lvlJc w:val="left"/>
      <w:pPr>
        <w:ind w:left="172" w:hanging="360"/>
      </w:pPr>
      <w:rPr>
        <w:rFonts w:ascii="Courier New" w:hAnsi="Courier New" w:cs="Courier New" w:hint="default"/>
      </w:rPr>
    </w:lvl>
    <w:lvl w:ilvl="2" w:tplc="3D1A96CE" w:tentative="1">
      <w:start w:val="1"/>
      <w:numFmt w:val="bullet"/>
      <w:lvlText w:val=""/>
      <w:lvlJc w:val="left"/>
      <w:pPr>
        <w:ind w:left="892" w:hanging="360"/>
      </w:pPr>
      <w:rPr>
        <w:rFonts w:ascii="Wingdings" w:hAnsi="Wingdings" w:hint="default"/>
      </w:rPr>
    </w:lvl>
    <w:lvl w:ilvl="3" w:tplc="E4AAD214" w:tentative="1">
      <w:start w:val="1"/>
      <w:numFmt w:val="bullet"/>
      <w:lvlText w:val=""/>
      <w:lvlJc w:val="left"/>
      <w:pPr>
        <w:ind w:left="1612" w:hanging="360"/>
      </w:pPr>
      <w:rPr>
        <w:rFonts w:ascii="Symbol" w:hAnsi="Symbol" w:hint="default"/>
      </w:rPr>
    </w:lvl>
    <w:lvl w:ilvl="4" w:tplc="D3142E10" w:tentative="1">
      <w:start w:val="1"/>
      <w:numFmt w:val="bullet"/>
      <w:lvlText w:val="o"/>
      <w:lvlJc w:val="left"/>
      <w:pPr>
        <w:ind w:left="2332" w:hanging="360"/>
      </w:pPr>
      <w:rPr>
        <w:rFonts w:ascii="Courier New" w:hAnsi="Courier New" w:cs="Courier New" w:hint="default"/>
      </w:rPr>
    </w:lvl>
    <w:lvl w:ilvl="5" w:tplc="63F63868" w:tentative="1">
      <w:start w:val="1"/>
      <w:numFmt w:val="bullet"/>
      <w:lvlText w:val=""/>
      <w:lvlJc w:val="left"/>
      <w:pPr>
        <w:ind w:left="3052" w:hanging="360"/>
      </w:pPr>
      <w:rPr>
        <w:rFonts w:ascii="Wingdings" w:hAnsi="Wingdings" w:hint="default"/>
      </w:rPr>
    </w:lvl>
    <w:lvl w:ilvl="6" w:tplc="5FBC4848" w:tentative="1">
      <w:start w:val="1"/>
      <w:numFmt w:val="bullet"/>
      <w:lvlText w:val=""/>
      <w:lvlJc w:val="left"/>
      <w:pPr>
        <w:ind w:left="3772" w:hanging="360"/>
      </w:pPr>
      <w:rPr>
        <w:rFonts w:ascii="Symbol" w:hAnsi="Symbol" w:hint="default"/>
      </w:rPr>
    </w:lvl>
    <w:lvl w:ilvl="7" w:tplc="518E0850" w:tentative="1">
      <w:start w:val="1"/>
      <w:numFmt w:val="bullet"/>
      <w:lvlText w:val="o"/>
      <w:lvlJc w:val="left"/>
      <w:pPr>
        <w:ind w:left="4492" w:hanging="360"/>
      </w:pPr>
      <w:rPr>
        <w:rFonts w:ascii="Courier New" w:hAnsi="Courier New" w:cs="Courier New" w:hint="default"/>
      </w:rPr>
    </w:lvl>
    <w:lvl w:ilvl="8" w:tplc="21B22240" w:tentative="1">
      <w:start w:val="1"/>
      <w:numFmt w:val="bullet"/>
      <w:lvlText w:val=""/>
      <w:lvlJc w:val="left"/>
      <w:pPr>
        <w:ind w:left="5212" w:hanging="360"/>
      </w:pPr>
      <w:rPr>
        <w:rFonts w:ascii="Wingdings" w:hAnsi="Wingdings" w:hint="default"/>
      </w:rPr>
    </w:lvl>
  </w:abstractNum>
  <w:abstractNum w:abstractNumId="5" w15:restartNumberingAfterBreak="0">
    <w:nsid w:val="4AB12CE5"/>
    <w:multiLevelType w:val="hybridMultilevel"/>
    <w:tmpl w:val="B844B384"/>
    <w:lvl w:ilvl="0" w:tplc="8A8CAB52">
      <w:start w:val="1"/>
      <w:numFmt w:val="hebrew1"/>
      <w:lvlText w:val="%1."/>
      <w:lvlJc w:val="left"/>
      <w:pPr>
        <w:ind w:left="360" w:hanging="360"/>
      </w:pPr>
      <w:rPr>
        <w:rFonts w:hint="default"/>
        <w:b/>
        <w:bCs/>
      </w:rPr>
    </w:lvl>
    <w:lvl w:ilvl="1" w:tplc="EF8A23E8" w:tentative="1">
      <w:start w:val="1"/>
      <w:numFmt w:val="lowerLetter"/>
      <w:lvlText w:val="%2."/>
      <w:lvlJc w:val="left"/>
      <w:pPr>
        <w:ind w:left="1080" w:hanging="360"/>
      </w:pPr>
    </w:lvl>
    <w:lvl w:ilvl="2" w:tplc="D5525A72" w:tentative="1">
      <w:start w:val="1"/>
      <w:numFmt w:val="lowerRoman"/>
      <w:lvlText w:val="%3."/>
      <w:lvlJc w:val="right"/>
      <w:pPr>
        <w:ind w:left="1800" w:hanging="180"/>
      </w:pPr>
    </w:lvl>
    <w:lvl w:ilvl="3" w:tplc="3AE253F0" w:tentative="1">
      <w:start w:val="1"/>
      <w:numFmt w:val="decimal"/>
      <w:lvlText w:val="%4."/>
      <w:lvlJc w:val="left"/>
      <w:pPr>
        <w:ind w:left="2520" w:hanging="360"/>
      </w:pPr>
    </w:lvl>
    <w:lvl w:ilvl="4" w:tplc="ABCC5D8E" w:tentative="1">
      <w:start w:val="1"/>
      <w:numFmt w:val="lowerLetter"/>
      <w:lvlText w:val="%5."/>
      <w:lvlJc w:val="left"/>
      <w:pPr>
        <w:ind w:left="3240" w:hanging="360"/>
      </w:pPr>
    </w:lvl>
    <w:lvl w:ilvl="5" w:tplc="9950150A" w:tentative="1">
      <w:start w:val="1"/>
      <w:numFmt w:val="lowerRoman"/>
      <w:lvlText w:val="%6."/>
      <w:lvlJc w:val="right"/>
      <w:pPr>
        <w:ind w:left="3960" w:hanging="180"/>
      </w:pPr>
    </w:lvl>
    <w:lvl w:ilvl="6" w:tplc="7DA0FE68" w:tentative="1">
      <w:start w:val="1"/>
      <w:numFmt w:val="decimal"/>
      <w:lvlText w:val="%7."/>
      <w:lvlJc w:val="left"/>
      <w:pPr>
        <w:ind w:left="4680" w:hanging="360"/>
      </w:pPr>
    </w:lvl>
    <w:lvl w:ilvl="7" w:tplc="9E6C283C" w:tentative="1">
      <w:start w:val="1"/>
      <w:numFmt w:val="lowerLetter"/>
      <w:lvlText w:val="%8."/>
      <w:lvlJc w:val="left"/>
      <w:pPr>
        <w:ind w:left="5400" w:hanging="360"/>
      </w:pPr>
    </w:lvl>
    <w:lvl w:ilvl="8" w:tplc="FC9C76EA" w:tentative="1">
      <w:start w:val="1"/>
      <w:numFmt w:val="lowerRoman"/>
      <w:lvlText w:val="%9."/>
      <w:lvlJc w:val="right"/>
      <w:pPr>
        <w:ind w:left="6120" w:hanging="180"/>
      </w:pPr>
    </w:lvl>
  </w:abstractNum>
  <w:num w:numId="1">
    <w:abstractNumId w:val="1"/>
  </w:num>
  <w:num w:numId="2">
    <w:abstractNumId w:val="5"/>
  </w:num>
  <w:num w:numId="3">
    <w:abstractNumId w:val="4"/>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546"/>
    <w:rsid w:val="0000471F"/>
    <w:rsid w:val="000078A1"/>
    <w:rsid w:val="00016AEC"/>
    <w:rsid w:val="00023D78"/>
    <w:rsid w:val="00025337"/>
    <w:rsid w:val="000365CA"/>
    <w:rsid w:val="000719AD"/>
    <w:rsid w:val="0007500B"/>
    <w:rsid w:val="0008665D"/>
    <w:rsid w:val="00091099"/>
    <w:rsid w:val="000A5565"/>
    <w:rsid w:val="000A5EBD"/>
    <w:rsid w:val="000B49F6"/>
    <w:rsid w:val="000F1996"/>
    <w:rsid w:val="001313D2"/>
    <w:rsid w:val="00182EA2"/>
    <w:rsid w:val="00194C57"/>
    <w:rsid w:val="00196760"/>
    <w:rsid w:val="001A451D"/>
    <w:rsid w:val="001F7641"/>
    <w:rsid w:val="002306E5"/>
    <w:rsid w:val="0024500D"/>
    <w:rsid w:val="002479F4"/>
    <w:rsid w:val="0028754E"/>
    <w:rsid w:val="00287B2E"/>
    <w:rsid w:val="002C2238"/>
    <w:rsid w:val="002D0D7C"/>
    <w:rsid w:val="002E6B3E"/>
    <w:rsid w:val="002F6653"/>
    <w:rsid w:val="00304FA9"/>
    <w:rsid w:val="00357530"/>
    <w:rsid w:val="00373B46"/>
    <w:rsid w:val="003A5BEF"/>
    <w:rsid w:val="003B2B22"/>
    <w:rsid w:val="003C2496"/>
    <w:rsid w:val="003F553F"/>
    <w:rsid w:val="003F56D5"/>
    <w:rsid w:val="00442BDB"/>
    <w:rsid w:val="00445E83"/>
    <w:rsid w:val="0046561B"/>
    <w:rsid w:val="00481C74"/>
    <w:rsid w:val="004D343C"/>
    <w:rsid w:val="004E14DF"/>
    <w:rsid w:val="004F58EB"/>
    <w:rsid w:val="0051525C"/>
    <w:rsid w:val="00525DFE"/>
    <w:rsid w:val="005338C1"/>
    <w:rsid w:val="00564E10"/>
    <w:rsid w:val="005B66F8"/>
    <w:rsid w:val="005C0466"/>
    <w:rsid w:val="005D2E53"/>
    <w:rsid w:val="00613546"/>
    <w:rsid w:val="0063728C"/>
    <w:rsid w:val="00662584"/>
    <w:rsid w:val="0067450B"/>
    <w:rsid w:val="006A506B"/>
    <w:rsid w:val="006B5BB5"/>
    <w:rsid w:val="006D7022"/>
    <w:rsid w:val="006E44D1"/>
    <w:rsid w:val="00700CE2"/>
    <w:rsid w:val="00723D65"/>
    <w:rsid w:val="00746BAE"/>
    <w:rsid w:val="00766737"/>
    <w:rsid w:val="00767912"/>
    <w:rsid w:val="00775EE7"/>
    <w:rsid w:val="00781518"/>
    <w:rsid w:val="0079691B"/>
    <w:rsid w:val="007A04DC"/>
    <w:rsid w:val="007A6B68"/>
    <w:rsid w:val="007C02FA"/>
    <w:rsid w:val="007D14D1"/>
    <w:rsid w:val="007D2FCE"/>
    <w:rsid w:val="007F4A40"/>
    <w:rsid w:val="00804691"/>
    <w:rsid w:val="00850E44"/>
    <w:rsid w:val="00884CF0"/>
    <w:rsid w:val="008D0CAF"/>
    <w:rsid w:val="008D553E"/>
    <w:rsid w:val="008D642F"/>
    <w:rsid w:val="008E64BD"/>
    <w:rsid w:val="008E6FB7"/>
    <w:rsid w:val="00951A74"/>
    <w:rsid w:val="009A5F29"/>
    <w:rsid w:val="00A22D90"/>
    <w:rsid w:val="00A24606"/>
    <w:rsid w:val="00A535D3"/>
    <w:rsid w:val="00A77D49"/>
    <w:rsid w:val="00AA6D62"/>
    <w:rsid w:val="00AD69A0"/>
    <w:rsid w:val="00AE696A"/>
    <w:rsid w:val="00B37F1B"/>
    <w:rsid w:val="00B43B29"/>
    <w:rsid w:val="00B65BF0"/>
    <w:rsid w:val="00B67372"/>
    <w:rsid w:val="00B76CD4"/>
    <w:rsid w:val="00B9204B"/>
    <w:rsid w:val="00BA056F"/>
    <w:rsid w:val="00BB5677"/>
    <w:rsid w:val="00C02046"/>
    <w:rsid w:val="00C15932"/>
    <w:rsid w:val="00C3494E"/>
    <w:rsid w:val="00C74362"/>
    <w:rsid w:val="00CD2F57"/>
    <w:rsid w:val="00D004D4"/>
    <w:rsid w:val="00D010D9"/>
    <w:rsid w:val="00D02A52"/>
    <w:rsid w:val="00DB5B44"/>
    <w:rsid w:val="00DD3E68"/>
    <w:rsid w:val="00DF0946"/>
    <w:rsid w:val="00E02E02"/>
    <w:rsid w:val="00E16EAC"/>
    <w:rsid w:val="00E341AB"/>
    <w:rsid w:val="00E3555D"/>
    <w:rsid w:val="00ED203E"/>
    <w:rsid w:val="00EE3554"/>
    <w:rsid w:val="00EE429C"/>
    <w:rsid w:val="00EE7910"/>
    <w:rsid w:val="00F33041"/>
    <w:rsid w:val="00F36204"/>
    <w:rsid w:val="00F40292"/>
    <w:rsid w:val="00F41C1E"/>
    <w:rsid w:val="00F46A8D"/>
    <w:rsid w:val="00FA59FB"/>
    <w:rsid w:val="00FB1591"/>
    <w:rsid w:val="00FE7B0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679D24-CCAF-456A-93F0-F09F31F6B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3546"/>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13546"/>
    <w:pPr>
      <w:spacing w:after="200" w:line="276" w:lineRule="auto"/>
      <w:ind w:left="720"/>
      <w:contextualSpacing/>
    </w:pPr>
  </w:style>
  <w:style w:type="paragraph" w:styleId="NormalWeb">
    <w:name w:val="Normal (Web)"/>
    <w:basedOn w:val="a"/>
    <w:uiPriority w:val="99"/>
    <w:unhideWhenUsed/>
    <w:rsid w:val="00613546"/>
    <w:pPr>
      <w:bidi w:val="0"/>
      <w:spacing w:before="100" w:beforeAutospacing="1" w:after="100" w:afterAutospacing="1" w:line="240" w:lineRule="auto"/>
    </w:pPr>
    <w:rPr>
      <w:rFonts w:ascii="Times New Roman" w:eastAsia="Times New Roman" w:hAnsi="Times New Roman" w:cs="Times New Roman"/>
      <w:sz w:val="24"/>
      <w:szCs w:val="24"/>
    </w:rPr>
  </w:style>
  <w:style w:type="table" w:styleId="a4">
    <w:name w:val="Table Grid"/>
    <w:basedOn w:val="a1"/>
    <w:rsid w:val="002479F4"/>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תבנית רגיל"/>
    <w:basedOn w:val="a"/>
    <w:rsid w:val="002479F4"/>
    <w:pPr>
      <w:spacing w:after="0" w:line="360" w:lineRule="auto"/>
      <w:jc w:val="both"/>
    </w:pPr>
    <w:rPr>
      <w:rFonts w:ascii="Times" w:eastAsia="Times New Roman" w:hAnsi="Times" w:cs="David"/>
      <w:sz w:val="26"/>
      <w:szCs w:val="26"/>
      <w:lang w:eastAsia="he-IL"/>
    </w:rPr>
  </w:style>
  <w:style w:type="paragraph" w:styleId="a6">
    <w:name w:val="header"/>
    <w:basedOn w:val="a"/>
    <w:link w:val="a7"/>
    <w:unhideWhenUsed/>
    <w:rsid w:val="00767912"/>
    <w:pPr>
      <w:tabs>
        <w:tab w:val="center" w:pos="4153"/>
        <w:tab w:val="right" w:pos="8306"/>
      </w:tabs>
      <w:spacing w:after="0" w:line="240" w:lineRule="auto"/>
    </w:pPr>
  </w:style>
  <w:style w:type="character" w:customStyle="1" w:styleId="a7">
    <w:name w:val="כותרת עליונה תו"/>
    <w:basedOn w:val="a0"/>
    <w:link w:val="a6"/>
    <w:rsid w:val="00767912"/>
  </w:style>
  <w:style w:type="paragraph" w:styleId="a8">
    <w:name w:val="footer"/>
    <w:basedOn w:val="a"/>
    <w:link w:val="a9"/>
    <w:uiPriority w:val="99"/>
    <w:unhideWhenUsed/>
    <w:rsid w:val="00767912"/>
    <w:pPr>
      <w:tabs>
        <w:tab w:val="center" w:pos="4153"/>
        <w:tab w:val="right" w:pos="8306"/>
      </w:tabs>
      <w:spacing w:after="0" w:line="240" w:lineRule="auto"/>
    </w:pPr>
  </w:style>
  <w:style w:type="character" w:customStyle="1" w:styleId="a9">
    <w:name w:val="כותרת תחתונה תו"/>
    <w:basedOn w:val="a0"/>
    <w:link w:val="a8"/>
    <w:uiPriority w:val="99"/>
    <w:rsid w:val="00767912"/>
  </w:style>
  <w:style w:type="paragraph" w:styleId="aa">
    <w:name w:val="Balloon Text"/>
    <w:basedOn w:val="a"/>
    <w:link w:val="ab"/>
    <w:uiPriority w:val="99"/>
    <w:semiHidden/>
    <w:unhideWhenUsed/>
    <w:rsid w:val="000F1996"/>
    <w:pPr>
      <w:spacing w:after="0" w:line="240" w:lineRule="auto"/>
    </w:pPr>
    <w:rPr>
      <w:rFonts w:ascii="Tahoma" w:hAnsi="Tahoma" w:cs="Tahoma"/>
      <w:sz w:val="18"/>
      <w:szCs w:val="18"/>
    </w:rPr>
  </w:style>
  <w:style w:type="character" w:customStyle="1" w:styleId="ab">
    <w:name w:val="טקסט בלונים תו"/>
    <w:basedOn w:val="a0"/>
    <w:link w:val="aa"/>
    <w:uiPriority w:val="99"/>
    <w:semiHidden/>
    <w:rsid w:val="000F1996"/>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6D65F-B7C4-4EFB-96DE-FAAD2A021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15705</Words>
  <Characters>78528</Characters>
  <Application>Microsoft Office Word</Application>
  <DocSecurity>0</DocSecurity>
  <Lines>654</Lines>
  <Paragraphs>188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94045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מרים דיסקין</dc:creator>
  <cp:lastModifiedBy>רותם כהן</cp:lastModifiedBy>
  <cp:revision>2</cp:revision>
  <cp:lastPrinted>2019-09-23T08:52:00Z</cp:lastPrinted>
  <dcterms:created xsi:type="dcterms:W3CDTF">2019-09-23T11:00:00Z</dcterms:created>
  <dcterms:modified xsi:type="dcterms:W3CDTF">2019-09-23T11:00:00Z</dcterms:modified>
</cp:coreProperties>
</file>