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363" w:type="dxa"/>
        <w:tblInd w:w="9" w:type="dxa"/>
        <w:tblLook w:val="0000" w:firstRow="0" w:lastRow="0" w:firstColumn="0" w:lastColumn="0" w:noHBand="0" w:noVBand="0"/>
      </w:tblPr>
      <w:tblGrid>
        <w:gridCol w:w="8363"/>
      </w:tblGrid>
      <w:tr w:rsidR="00036227" w:rsidTr="006F7294">
        <w:tc>
          <w:tcPr>
            <w:tcW w:w="8363" w:type="dxa"/>
          </w:tcPr>
          <w:p w:rsidR="00916FF8" w:rsidRPr="00624A42" w:rsidRDefault="00832B55" w:rsidP="004C7868">
            <w:pPr>
              <w:pStyle w:val="FileNumber0"/>
              <w:rPr>
                <w:sz w:val="28"/>
                <w:u w:val="single"/>
                <w:rtl/>
              </w:rPr>
            </w:pPr>
            <w:bookmarkStart w:id="0" w:name="_GoBack"/>
            <w:bookmarkEnd w:id="0"/>
            <w:r>
              <w:rPr>
                <w:u w:val="single"/>
                <w:rtl/>
              </w:rPr>
              <w:t xml:space="preserve">בבית המשפט העליון </w:t>
            </w:r>
          </w:p>
        </w:tc>
      </w:tr>
    </w:tbl>
    <w:p w:rsidR="00916FF8" w:rsidRDefault="00916FF8">
      <w:pPr>
        <w:jc w:val="right"/>
        <w:rPr>
          <w:rFonts w:cs="Miriam"/>
          <w:b/>
          <w:bCs/>
          <w:u w:val="single"/>
        </w:rPr>
      </w:pPr>
    </w:p>
    <w:tbl>
      <w:tblPr>
        <w:bidiVisual/>
        <w:tblW w:w="8363" w:type="dxa"/>
        <w:tblLook w:val="0000" w:firstRow="0" w:lastRow="0" w:firstColumn="0" w:lastColumn="0" w:noHBand="0" w:noVBand="0"/>
      </w:tblPr>
      <w:tblGrid>
        <w:gridCol w:w="8363"/>
      </w:tblGrid>
      <w:tr w:rsidR="00036227" w:rsidTr="0039709B">
        <w:trPr>
          <w:trHeight w:val="342"/>
        </w:trPr>
        <w:tc>
          <w:tcPr>
            <w:tcW w:w="9828" w:type="dxa"/>
          </w:tcPr>
          <w:p w:rsidR="00916FF8" w:rsidRPr="00810894" w:rsidRDefault="00832B55">
            <w:pPr>
              <w:pStyle w:val="FileNumber"/>
              <w:rPr>
                <w:sz w:val="28"/>
                <w:szCs w:val="28"/>
              </w:rPr>
            </w:pPr>
            <w:bookmarkStart w:id="1" w:name="casename_body"/>
            <w:proofErr w:type="spellStart"/>
            <w:r>
              <w:rPr>
                <w:sz w:val="28"/>
                <w:szCs w:val="28"/>
                <w:rtl/>
              </w:rPr>
              <w:t>רע"פ</w:t>
            </w:r>
            <w:proofErr w:type="spellEnd"/>
            <w:r>
              <w:rPr>
                <w:sz w:val="28"/>
                <w:szCs w:val="28"/>
                <w:rtl/>
              </w:rPr>
              <w:t xml:space="preserve">  3199/20</w:t>
            </w:r>
          </w:p>
        </w:tc>
      </w:tr>
      <w:bookmarkEnd w:id="1"/>
    </w:tbl>
    <w:p w:rsidR="00916FF8" w:rsidRDefault="00916FF8">
      <w:pPr>
        <w:jc w:val="right"/>
        <w:rPr>
          <w:rFonts w:cs="Miriam"/>
          <w:b/>
          <w:bCs/>
          <w:u w:val="single"/>
        </w:rPr>
      </w:pPr>
    </w:p>
    <w:tbl>
      <w:tblPr>
        <w:bidiVisual/>
        <w:tblW w:w="8364" w:type="dxa"/>
        <w:tblLayout w:type="fixed"/>
        <w:tblLook w:val="0000" w:firstRow="0" w:lastRow="0" w:firstColumn="0" w:lastColumn="0" w:noHBand="0" w:noVBand="0"/>
      </w:tblPr>
      <w:tblGrid>
        <w:gridCol w:w="3210"/>
        <w:gridCol w:w="5154"/>
      </w:tblGrid>
      <w:tr w:rsidR="00036227" w:rsidTr="00EC23AC">
        <w:trPr>
          <w:trHeight w:val="287"/>
        </w:trPr>
        <w:tc>
          <w:tcPr>
            <w:tcW w:w="3261" w:type="dxa"/>
          </w:tcPr>
          <w:p w:rsidR="00036227" w:rsidRDefault="00CB7600">
            <w:pPr>
              <w:pStyle w:val="BodyRuller"/>
              <w:rPr>
                <w:rFonts w:cs="Miriam"/>
                <w:b/>
                <w:bCs/>
                <w:u w:val="single"/>
              </w:rPr>
            </w:pPr>
            <w:r>
              <w:rPr>
                <w:rFonts w:hint="cs"/>
                <w:rtl/>
              </w:rPr>
              <w:t>ל</w:t>
            </w:r>
            <w:r w:rsidR="00036227">
              <w:rPr>
                <w:rtl/>
              </w:rPr>
              <w:t>פני:</w:t>
            </w:r>
            <w:r w:rsidR="00036227">
              <w:rPr>
                <w:rtl/>
              </w:rPr>
              <w:tab/>
            </w:r>
          </w:p>
        </w:tc>
        <w:tc>
          <w:tcPr>
            <w:tcW w:w="5239" w:type="dxa"/>
          </w:tcPr>
          <w:p w:rsidR="00036227" w:rsidRDefault="00832B55">
            <w:pPr>
              <w:pStyle w:val="BodyRuller"/>
            </w:pPr>
            <w:r>
              <w:rPr>
                <w:rtl/>
              </w:rPr>
              <w:t>כבוד השופטת ע' ברון</w:t>
            </w:r>
          </w:p>
        </w:tc>
      </w:tr>
      <w:tr w:rsidR="00832B55" w:rsidTr="00EC23AC">
        <w:trPr>
          <w:trHeight w:val="287"/>
        </w:trPr>
        <w:tc>
          <w:tcPr>
            <w:tcW w:w="3261" w:type="dxa"/>
          </w:tcPr>
          <w:p w:rsidR="00832B55" w:rsidRDefault="00832B55">
            <w:pPr>
              <w:pStyle w:val="BodyRuller"/>
              <w:rPr>
                <w:rtl/>
              </w:rPr>
            </w:pPr>
          </w:p>
        </w:tc>
        <w:tc>
          <w:tcPr>
            <w:tcW w:w="5239" w:type="dxa"/>
          </w:tcPr>
          <w:p w:rsidR="00832B55" w:rsidRDefault="00832B55">
            <w:pPr>
              <w:pStyle w:val="BodyRuller"/>
              <w:rPr>
                <w:rtl/>
              </w:rPr>
            </w:pPr>
            <w:r>
              <w:rPr>
                <w:rtl/>
              </w:rPr>
              <w:t>כבוד השופט ד' מינץ</w:t>
            </w:r>
          </w:p>
        </w:tc>
      </w:tr>
      <w:tr w:rsidR="00832B55" w:rsidTr="00EC23AC">
        <w:trPr>
          <w:trHeight w:val="287"/>
        </w:trPr>
        <w:tc>
          <w:tcPr>
            <w:tcW w:w="3261" w:type="dxa"/>
          </w:tcPr>
          <w:p w:rsidR="00832B55" w:rsidRDefault="00832B55">
            <w:pPr>
              <w:pStyle w:val="BodyRuller"/>
              <w:rPr>
                <w:rtl/>
              </w:rPr>
            </w:pPr>
          </w:p>
        </w:tc>
        <w:tc>
          <w:tcPr>
            <w:tcW w:w="5239" w:type="dxa"/>
          </w:tcPr>
          <w:p w:rsidR="00832B55" w:rsidRDefault="00832B55">
            <w:pPr>
              <w:pStyle w:val="BodyRuller"/>
              <w:rPr>
                <w:rtl/>
              </w:rPr>
            </w:pPr>
            <w:r>
              <w:rPr>
                <w:rtl/>
              </w:rPr>
              <w:t>כבוד השופט י' אלרון</w:t>
            </w:r>
          </w:p>
        </w:tc>
      </w:tr>
    </w:tbl>
    <w:p w:rsidR="00916FF8" w:rsidRDefault="00916FF8">
      <w:pPr>
        <w:pStyle w:val="Ruller3"/>
        <w:rPr>
          <w:rFonts w:cs="Miriam"/>
          <w:b/>
          <w:bCs/>
          <w:u w:val="single"/>
          <w:rtl/>
        </w:rPr>
      </w:pPr>
    </w:p>
    <w:tbl>
      <w:tblPr>
        <w:bidiVisual/>
        <w:tblW w:w="8364" w:type="dxa"/>
        <w:tblLayout w:type="fixed"/>
        <w:tblLook w:val="0000" w:firstRow="0" w:lastRow="0" w:firstColumn="0" w:lastColumn="0" w:noHBand="0" w:noVBand="0"/>
      </w:tblPr>
      <w:tblGrid>
        <w:gridCol w:w="3210"/>
        <w:gridCol w:w="5154"/>
      </w:tblGrid>
      <w:tr w:rsidR="00D00CB7" w:rsidTr="00DD6306">
        <w:trPr>
          <w:trHeight w:val="287"/>
        </w:trPr>
        <w:tc>
          <w:tcPr>
            <w:tcW w:w="3261" w:type="dxa"/>
          </w:tcPr>
          <w:p w:rsidR="00D00CB7" w:rsidRPr="00E75223" w:rsidRDefault="00832B55" w:rsidP="00DD6306">
            <w:pPr>
              <w:pStyle w:val="BodyRuller"/>
              <w:rPr>
                <w:rFonts w:ascii="David" w:hAnsi="David"/>
              </w:rPr>
            </w:pPr>
            <w:r>
              <w:rPr>
                <w:rFonts w:ascii="David" w:hAnsi="David"/>
                <w:rtl/>
              </w:rPr>
              <w:t>המבקש:</w:t>
            </w:r>
          </w:p>
        </w:tc>
        <w:tc>
          <w:tcPr>
            <w:tcW w:w="5239" w:type="dxa"/>
          </w:tcPr>
          <w:p w:rsidR="00D00CB7" w:rsidRDefault="00832B55" w:rsidP="00DD6306">
            <w:pPr>
              <w:pStyle w:val="BodyRuller"/>
            </w:pPr>
            <w:r>
              <w:rPr>
                <w:rtl/>
              </w:rPr>
              <w:t xml:space="preserve">דניס </w:t>
            </w:r>
            <w:proofErr w:type="spellStart"/>
            <w:r>
              <w:rPr>
                <w:rtl/>
              </w:rPr>
              <w:t>זייצב</w:t>
            </w:r>
            <w:proofErr w:type="spellEnd"/>
          </w:p>
        </w:tc>
      </w:tr>
    </w:tbl>
    <w:p w:rsidR="00D00CB7" w:rsidRDefault="00D00CB7">
      <w:pPr>
        <w:pStyle w:val="Ruller3"/>
      </w:pPr>
    </w:p>
    <w:tbl>
      <w:tblPr>
        <w:bidiVisual/>
        <w:tblW w:w="8363" w:type="dxa"/>
        <w:tblLook w:val="0000" w:firstRow="0" w:lastRow="0" w:firstColumn="0" w:lastColumn="0" w:noHBand="0" w:noVBand="0"/>
      </w:tblPr>
      <w:tblGrid>
        <w:gridCol w:w="3222"/>
        <w:gridCol w:w="5141"/>
      </w:tblGrid>
      <w:tr w:rsidR="00036227" w:rsidTr="0039709B">
        <w:tc>
          <w:tcPr>
            <w:tcW w:w="3284" w:type="dxa"/>
          </w:tcPr>
          <w:p w:rsidR="00036227" w:rsidRDefault="00036227">
            <w:pPr>
              <w:pStyle w:val="BodyRuller"/>
            </w:pPr>
          </w:p>
        </w:tc>
        <w:tc>
          <w:tcPr>
            <w:tcW w:w="5238" w:type="dxa"/>
          </w:tcPr>
          <w:p w:rsidR="00036227" w:rsidRDefault="00036227">
            <w:pPr>
              <w:pStyle w:val="BodyRuller"/>
            </w:pPr>
            <w:r>
              <w:rPr>
                <w:rFonts w:hint="cs"/>
                <w:rtl/>
              </w:rPr>
              <w:t>נ</w:t>
            </w:r>
            <w:r>
              <w:t xml:space="preserve">  </w:t>
            </w:r>
            <w:r>
              <w:rPr>
                <w:rFonts w:hint="cs"/>
                <w:rtl/>
              </w:rPr>
              <w:t>ג</w:t>
            </w:r>
            <w:r>
              <w:t xml:space="preserve">  </w:t>
            </w:r>
            <w:r>
              <w:rPr>
                <w:rFonts w:hint="cs"/>
                <w:rtl/>
              </w:rPr>
              <w:t>ד</w:t>
            </w:r>
          </w:p>
        </w:tc>
      </w:tr>
    </w:tbl>
    <w:p w:rsidR="00916FF8" w:rsidRDefault="00916FF8">
      <w:pPr>
        <w:pStyle w:val="Ruller3"/>
        <w:rPr>
          <w:rtl/>
        </w:rPr>
      </w:pPr>
    </w:p>
    <w:tbl>
      <w:tblPr>
        <w:bidiVisual/>
        <w:tblW w:w="8364" w:type="dxa"/>
        <w:tblLayout w:type="fixed"/>
        <w:tblLook w:val="0000" w:firstRow="0" w:lastRow="0" w:firstColumn="0" w:lastColumn="0" w:noHBand="0" w:noVBand="0"/>
      </w:tblPr>
      <w:tblGrid>
        <w:gridCol w:w="3210"/>
        <w:gridCol w:w="5154"/>
      </w:tblGrid>
      <w:tr w:rsidR="0083345F" w:rsidTr="00DD6306">
        <w:trPr>
          <w:trHeight w:val="287"/>
        </w:trPr>
        <w:tc>
          <w:tcPr>
            <w:tcW w:w="3261" w:type="dxa"/>
          </w:tcPr>
          <w:p w:rsidR="0083345F" w:rsidRPr="00E75223" w:rsidRDefault="00832B55" w:rsidP="00DD6306">
            <w:pPr>
              <w:pStyle w:val="BodyRuller"/>
              <w:rPr>
                <w:rFonts w:ascii="David" w:hAnsi="David"/>
              </w:rPr>
            </w:pPr>
            <w:r>
              <w:rPr>
                <w:rFonts w:ascii="David" w:hAnsi="David"/>
                <w:rtl/>
              </w:rPr>
              <w:t>המשיב</w:t>
            </w:r>
            <w:r w:rsidR="00FE53C3">
              <w:rPr>
                <w:rFonts w:ascii="David" w:hAnsi="David" w:hint="cs"/>
                <w:rtl/>
              </w:rPr>
              <w:t>ה</w:t>
            </w:r>
            <w:r>
              <w:rPr>
                <w:rFonts w:ascii="David" w:hAnsi="David"/>
                <w:rtl/>
              </w:rPr>
              <w:t>:</w:t>
            </w:r>
          </w:p>
        </w:tc>
        <w:tc>
          <w:tcPr>
            <w:tcW w:w="5239" w:type="dxa"/>
          </w:tcPr>
          <w:p w:rsidR="0083345F" w:rsidRDefault="00832B55" w:rsidP="00DD6306">
            <w:pPr>
              <w:pStyle w:val="BodyRuller"/>
            </w:pPr>
            <w:r>
              <w:rPr>
                <w:rtl/>
              </w:rPr>
              <w:t>מדינת ישראל</w:t>
            </w:r>
          </w:p>
        </w:tc>
      </w:tr>
    </w:tbl>
    <w:p w:rsidR="0083345F" w:rsidRDefault="0083345F">
      <w:pPr>
        <w:pStyle w:val="Ruller3"/>
      </w:pPr>
    </w:p>
    <w:tbl>
      <w:tblPr>
        <w:bidiVisual/>
        <w:tblW w:w="0" w:type="auto"/>
        <w:tblInd w:w="3209" w:type="dxa"/>
        <w:tblLook w:val="0000" w:firstRow="0" w:lastRow="0" w:firstColumn="0" w:lastColumn="0" w:noHBand="0" w:noVBand="0"/>
      </w:tblPr>
      <w:tblGrid>
        <w:gridCol w:w="5103"/>
      </w:tblGrid>
      <w:tr w:rsidR="00036227" w:rsidTr="00CA1444">
        <w:tc>
          <w:tcPr>
            <w:tcW w:w="5103" w:type="dxa"/>
          </w:tcPr>
          <w:p w:rsidR="00916FF8" w:rsidRPr="00265F6E" w:rsidRDefault="00FE53C3" w:rsidP="00FE53C3">
            <w:pPr>
              <w:pStyle w:val="BodyRuller"/>
              <w:jc w:val="both"/>
              <w:rPr>
                <w:sz w:val="24"/>
                <w:szCs w:val="24"/>
              </w:rPr>
            </w:pPr>
            <w:r w:rsidRPr="00FE53C3">
              <w:rPr>
                <w:sz w:val="24"/>
                <w:szCs w:val="24"/>
                <w:rtl/>
              </w:rPr>
              <w:t>בקשת רשות ערעור</w:t>
            </w:r>
            <w:r w:rsidRPr="00FE53C3">
              <w:rPr>
                <w:rFonts w:hint="cs"/>
                <w:sz w:val="24"/>
                <w:szCs w:val="24"/>
                <w:rtl/>
              </w:rPr>
              <w:t xml:space="preserve"> על פס</w:t>
            </w:r>
            <w:r>
              <w:rPr>
                <w:rFonts w:hint="cs"/>
                <w:sz w:val="24"/>
                <w:szCs w:val="24"/>
                <w:rtl/>
              </w:rPr>
              <w:t>ק דינו של בית המשפט המחוזי מרכז</w:t>
            </w:r>
            <w:r w:rsidRPr="00FE53C3">
              <w:rPr>
                <w:sz w:val="24"/>
                <w:szCs w:val="24"/>
                <w:rtl/>
              </w:rPr>
              <w:t>–</w:t>
            </w:r>
            <w:r w:rsidRPr="00FE53C3">
              <w:rPr>
                <w:rFonts w:hint="cs"/>
                <w:sz w:val="24"/>
                <w:szCs w:val="24"/>
                <w:rtl/>
              </w:rPr>
              <w:t>לוד בע"פ 10184-09-19 מיום 11.2.2020 שניתן על ידי סגנית הנשיאה ו' מרוז והשופטים ש' בורנשטיין ו-ד' עטר</w:t>
            </w:r>
            <w:r>
              <w:rPr>
                <w:sz w:val="24"/>
                <w:szCs w:val="24"/>
                <w:rtl/>
              </w:rPr>
              <w:t xml:space="preserve"> </w:t>
            </w:r>
          </w:p>
        </w:tc>
      </w:tr>
    </w:tbl>
    <w:p w:rsidR="00916FF8" w:rsidRDefault="00916FF8">
      <w:pPr>
        <w:pStyle w:val="Ruller3"/>
        <w:rPr>
          <w:rtl/>
        </w:rPr>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2423"/>
        <w:gridCol w:w="2710"/>
      </w:tblGrid>
      <w:tr w:rsidR="008C2F11" w:rsidTr="00D00B1D">
        <w:tc>
          <w:tcPr>
            <w:tcW w:w="3212" w:type="dxa"/>
            <w:tcBorders>
              <w:top w:val="nil"/>
              <w:left w:val="nil"/>
              <w:bottom w:val="nil"/>
              <w:right w:val="nil"/>
            </w:tcBorders>
          </w:tcPr>
          <w:p w:rsidR="008C2F11" w:rsidRPr="00265F6E" w:rsidRDefault="008C2F11">
            <w:pPr>
              <w:pStyle w:val="BodyRuller"/>
              <w:rPr>
                <w:sz w:val="24"/>
                <w:szCs w:val="24"/>
              </w:rPr>
            </w:pPr>
            <w:r w:rsidRPr="00265F6E">
              <w:rPr>
                <w:sz w:val="24"/>
                <w:szCs w:val="24"/>
                <w:rtl/>
              </w:rPr>
              <w:t>תאריך הישיבה:</w:t>
            </w:r>
          </w:p>
        </w:tc>
        <w:tc>
          <w:tcPr>
            <w:tcW w:w="2409" w:type="dxa"/>
            <w:tcBorders>
              <w:top w:val="nil"/>
              <w:left w:val="nil"/>
              <w:bottom w:val="nil"/>
              <w:right w:val="nil"/>
            </w:tcBorders>
          </w:tcPr>
          <w:p w:rsidR="008C2F11" w:rsidRDefault="00832B55">
            <w:pPr>
              <w:pStyle w:val="BodyRuller"/>
              <w:rPr>
                <w:rtl/>
              </w:rPr>
            </w:pPr>
            <w:r>
              <w:rPr>
                <w:sz w:val="24"/>
                <w:szCs w:val="24"/>
                <w:rtl/>
              </w:rPr>
              <w:t>ט' בסיון התשפ"א</w:t>
            </w:r>
            <w:r w:rsidR="008C2F11">
              <w:t xml:space="preserve">       </w:t>
            </w:r>
          </w:p>
        </w:tc>
        <w:tc>
          <w:tcPr>
            <w:tcW w:w="2694" w:type="dxa"/>
            <w:tcBorders>
              <w:top w:val="nil"/>
              <w:left w:val="nil"/>
              <w:bottom w:val="nil"/>
              <w:right w:val="nil"/>
            </w:tcBorders>
          </w:tcPr>
          <w:p w:rsidR="008C2F11" w:rsidRDefault="00832B55">
            <w:pPr>
              <w:pStyle w:val="BodyRuller"/>
              <w:rPr>
                <w:sz w:val="24"/>
                <w:szCs w:val="24"/>
                <w:rtl/>
              </w:rPr>
            </w:pPr>
            <w:r>
              <w:t>(20.05.2021)</w:t>
            </w:r>
            <w:r w:rsidR="00200D6B">
              <w:t xml:space="preserve"> </w:t>
            </w:r>
          </w:p>
        </w:tc>
      </w:tr>
    </w:tbl>
    <w:p w:rsidR="00916FF8" w:rsidRDefault="00916FF8">
      <w:pPr>
        <w:pStyle w:val="Ruller3"/>
      </w:pPr>
    </w:p>
    <w:tbl>
      <w:tblPr>
        <w:bidiVisual/>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3"/>
        <w:gridCol w:w="5150"/>
      </w:tblGrid>
      <w:tr w:rsidR="00036227" w:rsidTr="00D00B1D">
        <w:tc>
          <w:tcPr>
            <w:tcW w:w="3257" w:type="dxa"/>
            <w:tcBorders>
              <w:top w:val="nil"/>
              <w:left w:val="nil"/>
              <w:bottom w:val="nil"/>
              <w:right w:val="nil"/>
            </w:tcBorders>
          </w:tcPr>
          <w:p w:rsidR="00036227" w:rsidRDefault="00832B55">
            <w:pPr>
              <w:pStyle w:val="BodyRuller"/>
            </w:pPr>
            <w:r>
              <w:rPr>
                <w:rtl/>
              </w:rPr>
              <w:t>בשם המבקש:</w:t>
            </w:r>
          </w:p>
        </w:tc>
        <w:tc>
          <w:tcPr>
            <w:tcW w:w="5238" w:type="dxa"/>
            <w:tcBorders>
              <w:top w:val="nil"/>
              <w:left w:val="nil"/>
              <w:bottom w:val="nil"/>
              <w:right w:val="nil"/>
            </w:tcBorders>
          </w:tcPr>
          <w:p w:rsidR="00036227" w:rsidRDefault="00FE53C3">
            <w:pPr>
              <w:pStyle w:val="BodyRuller"/>
            </w:pPr>
            <w:r>
              <w:rPr>
                <w:rFonts w:hint="cs"/>
                <w:rtl/>
              </w:rPr>
              <w:t>עו"ד עומר בללי; עו"ד ארתור שני</w:t>
            </w:r>
          </w:p>
        </w:tc>
      </w:tr>
    </w:tbl>
    <w:p w:rsidR="00916FF8" w:rsidRDefault="00916FF8">
      <w:pPr>
        <w:pStyle w:val="Ruller3"/>
      </w:pPr>
    </w:p>
    <w:tbl>
      <w:tblPr>
        <w:bidiVisual/>
        <w:tblW w:w="836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5"/>
        <w:gridCol w:w="5148"/>
      </w:tblGrid>
      <w:tr w:rsidR="00036227" w:rsidTr="00D00B1D">
        <w:tc>
          <w:tcPr>
            <w:tcW w:w="3257" w:type="dxa"/>
            <w:tcBorders>
              <w:top w:val="nil"/>
              <w:left w:val="nil"/>
              <w:bottom w:val="nil"/>
              <w:right w:val="nil"/>
            </w:tcBorders>
          </w:tcPr>
          <w:p w:rsidR="00036227" w:rsidRDefault="00832B55">
            <w:pPr>
              <w:pStyle w:val="BodyRuller"/>
            </w:pPr>
            <w:r>
              <w:rPr>
                <w:rtl/>
              </w:rPr>
              <w:t>בשם המשיב</w:t>
            </w:r>
            <w:r w:rsidR="00FE53C3">
              <w:rPr>
                <w:rFonts w:hint="cs"/>
                <w:rtl/>
              </w:rPr>
              <w:t>ה</w:t>
            </w:r>
            <w:r>
              <w:rPr>
                <w:rtl/>
              </w:rPr>
              <w:t>:</w:t>
            </w:r>
          </w:p>
        </w:tc>
        <w:tc>
          <w:tcPr>
            <w:tcW w:w="5238" w:type="dxa"/>
            <w:tcBorders>
              <w:top w:val="nil"/>
              <w:left w:val="nil"/>
              <w:bottom w:val="nil"/>
              <w:right w:val="nil"/>
            </w:tcBorders>
          </w:tcPr>
          <w:p w:rsidR="00036227" w:rsidRDefault="00832B55" w:rsidP="00FE53C3">
            <w:pPr>
              <w:pStyle w:val="BodyRuller"/>
            </w:pPr>
            <w:r>
              <w:rPr>
                <w:rtl/>
              </w:rPr>
              <w:t xml:space="preserve">עו"ד </w:t>
            </w:r>
            <w:r w:rsidR="00FE53C3">
              <w:rPr>
                <w:rFonts w:hint="cs"/>
                <w:rtl/>
              </w:rPr>
              <w:t>אריה פטר</w:t>
            </w:r>
          </w:p>
        </w:tc>
      </w:tr>
    </w:tbl>
    <w:p w:rsidR="00916FF8" w:rsidRDefault="00916FF8">
      <w:pPr>
        <w:tabs>
          <w:tab w:val="left" w:pos="2552"/>
        </w:tabs>
        <w:rPr>
          <w:rtl/>
        </w:rPr>
      </w:pPr>
    </w:p>
    <w:p w:rsidR="00FE53C3" w:rsidRDefault="00FE53C3">
      <w:pPr>
        <w:tabs>
          <w:tab w:val="left" w:pos="2552"/>
        </w:tabs>
      </w:pPr>
    </w:p>
    <w:tbl>
      <w:tblPr>
        <w:bidiVisual/>
        <w:tblW w:w="8363" w:type="dxa"/>
        <w:tblLook w:val="0000" w:firstRow="0" w:lastRow="0" w:firstColumn="0" w:lastColumn="0" w:noHBand="0" w:noVBand="0"/>
      </w:tblPr>
      <w:tblGrid>
        <w:gridCol w:w="8363"/>
      </w:tblGrid>
      <w:tr w:rsidR="00036227" w:rsidTr="00D00B1D">
        <w:tc>
          <w:tcPr>
            <w:tcW w:w="9837" w:type="dxa"/>
          </w:tcPr>
          <w:p w:rsidR="00916FF8" w:rsidRDefault="00832B55">
            <w:pPr>
              <w:pStyle w:val="DocumentHead"/>
            </w:pPr>
            <w:bookmarkStart w:id="2" w:name="secretary"/>
            <w:bookmarkStart w:id="3" w:name="BeginProtocol"/>
            <w:bookmarkEnd w:id="2"/>
            <w:bookmarkEnd w:id="3"/>
            <w:r>
              <w:rPr>
                <w:rtl/>
              </w:rPr>
              <w:t>פסק-דין</w:t>
            </w:r>
          </w:p>
        </w:tc>
      </w:tr>
    </w:tbl>
    <w:p w:rsidR="0065522F" w:rsidRDefault="0065522F">
      <w:pPr>
        <w:pStyle w:val="BODYVERDICT"/>
      </w:pPr>
    </w:p>
    <w:p w:rsidR="00916FF8" w:rsidRPr="00FE53C3" w:rsidRDefault="00832B55" w:rsidP="003108F7">
      <w:pPr>
        <w:pStyle w:val="1"/>
        <w:rPr>
          <w:rtl/>
        </w:rPr>
      </w:pPr>
      <w:bookmarkStart w:id="4" w:name="Writer_Name"/>
      <w:bookmarkEnd w:id="4"/>
      <w:r>
        <w:rPr>
          <w:rtl/>
        </w:rPr>
        <w:lastRenderedPageBreak/>
        <w:t>השופט י' אלרון</w:t>
      </w:r>
      <w:r w:rsidRPr="006F7294">
        <w:rPr>
          <w:u w:val="none"/>
          <w:rtl/>
        </w:rPr>
        <w:t>:</w:t>
      </w:r>
    </w:p>
    <w:p w:rsidR="00DB011F" w:rsidRDefault="00DB011F" w:rsidP="00DB011F">
      <w:pPr>
        <w:pStyle w:val="Ruller4"/>
        <w:numPr>
          <w:ilvl w:val="0"/>
          <w:numId w:val="13"/>
        </w:numPr>
        <w:rPr>
          <w:rtl/>
        </w:rPr>
      </w:pPr>
      <w:bookmarkStart w:id="5" w:name="Start_Write"/>
      <w:bookmarkEnd w:id="5"/>
      <w:r>
        <w:rPr>
          <w:rFonts w:hint="cs"/>
          <w:rtl/>
        </w:rPr>
        <w:t xml:space="preserve">במוקד בקשת רשות הערעור שלפנינו ניצבת השאלה אם שוטר רשאי לערוך חיפוש על גופו של אדם בשדה תעופה לצורך איתור סמים מסוכנים בלא קיומו של חשד סביר לכך שהוא נושא עימו סם, מכוח סעיף 28(ב)(3) לפקודת הסמים המסוכנים [נוסח חדש], </w:t>
      </w:r>
      <w:proofErr w:type="spellStart"/>
      <w:r>
        <w:rPr>
          <w:rFonts w:hint="cs"/>
          <w:rtl/>
        </w:rPr>
        <w:t>התשל"ג</w:t>
      </w:r>
      <w:proofErr w:type="spellEnd"/>
      <w:r>
        <w:rPr>
          <w:rtl/>
        </w:rPr>
        <w:t>–</w:t>
      </w:r>
      <w:r>
        <w:rPr>
          <w:rFonts w:hint="cs"/>
          <w:rtl/>
        </w:rPr>
        <w:t xml:space="preserve">1973 (להלן: </w:t>
      </w:r>
      <w:r w:rsidRPr="00DB011F">
        <w:rPr>
          <w:rFonts w:ascii="Century" w:hAnsi="Century" w:cs="Miriam" w:hint="cs"/>
          <w:b/>
          <w:spacing w:val="0"/>
          <w:szCs w:val="24"/>
          <w:rtl/>
        </w:rPr>
        <w:t>פקודת הסמים</w:t>
      </w:r>
      <w:r>
        <w:rPr>
          <w:rFonts w:hint="cs"/>
          <w:rtl/>
        </w:rPr>
        <w:t xml:space="preserve">). </w:t>
      </w:r>
    </w:p>
    <w:p w:rsidR="006F7294" w:rsidRPr="006F7294" w:rsidRDefault="006F7294" w:rsidP="006F7294">
      <w:pPr>
        <w:pStyle w:val="Ruller41"/>
        <w:rPr>
          <w:rtl/>
        </w:rPr>
      </w:pPr>
    </w:p>
    <w:p w:rsidR="00082192" w:rsidRDefault="00DB011F" w:rsidP="00DB011F">
      <w:pPr>
        <w:pStyle w:val="Ruller4"/>
        <w:numPr>
          <w:ilvl w:val="0"/>
          <w:numId w:val="13"/>
        </w:numPr>
        <w:spacing w:after="420"/>
        <w:textAlignment w:val="auto"/>
      </w:pPr>
      <w:r>
        <w:rPr>
          <w:rFonts w:hint="cs"/>
          <w:rtl/>
        </w:rPr>
        <w:t>ה</w:t>
      </w:r>
      <w:r w:rsidR="00082192">
        <w:rPr>
          <w:rFonts w:hint="cs"/>
          <w:rtl/>
        </w:rPr>
        <w:t xml:space="preserve">בקשה למתן רשות ערעור </w:t>
      </w:r>
      <w:r>
        <w:rPr>
          <w:rFonts w:hint="cs"/>
          <w:rtl/>
        </w:rPr>
        <w:t xml:space="preserve">היא </w:t>
      </w:r>
      <w:r w:rsidR="00082192">
        <w:rPr>
          <w:rFonts w:hint="cs"/>
          <w:rtl/>
        </w:rPr>
        <w:t>על פסק דינו של בית המשפט המחוזי מרכז</w:t>
      </w:r>
      <w:r w:rsidR="00082192">
        <w:rPr>
          <w:rtl/>
        </w:rPr>
        <w:t>–</w:t>
      </w:r>
      <w:r w:rsidR="00082192">
        <w:rPr>
          <w:rFonts w:hint="cs"/>
          <w:rtl/>
        </w:rPr>
        <w:t xml:space="preserve">לוד (סגנית הנשיאה </w:t>
      </w:r>
      <w:r w:rsidR="00082192">
        <w:rPr>
          <w:rFonts w:ascii="Century" w:hAnsi="Century" w:cs="Miriam" w:hint="cs"/>
          <w:b/>
          <w:spacing w:val="0"/>
          <w:szCs w:val="24"/>
          <w:rtl/>
        </w:rPr>
        <w:t>ו'</w:t>
      </w:r>
      <w:r w:rsidR="00082192">
        <w:rPr>
          <w:rFonts w:hint="cs"/>
          <w:rtl/>
        </w:rPr>
        <w:t xml:space="preserve"> </w:t>
      </w:r>
      <w:r w:rsidR="00082192">
        <w:rPr>
          <w:rStyle w:val="ae"/>
          <w:rFonts w:hint="cs"/>
          <w:rtl/>
        </w:rPr>
        <w:t xml:space="preserve">מרוז </w:t>
      </w:r>
      <w:r w:rsidR="00082192" w:rsidRPr="00D769AE">
        <w:rPr>
          <w:rStyle w:val="ae"/>
          <w:rFonts w:cs="FrankRuehl" w:hint="cs"/>
          <w:b w:val="0"/>
          <w:spacing w:val="10"/>
          <w:sz w:val="22"/>
          <w:szCs w:val="28"/>
          <w:rtl/>
        </w:rPr>
        <w:t>והשופטים</w:t>
      </w:r>
      <w:r w:rsidR="00082192" w:rsidRPr="00D769AE">
        <w:rPr>
          <w:rStyle w:val="ae"/>
          <w:rFonts w:hint="cs"/>
          <w:rtl/>
        </w:rPr>
        <w:t xml:space="preserve"> </w:t>
      </w:r>
      <w:r w:rsidR="00082192">
        <w:rPr>
          <w:rStyle w:val="ae"/>
          <w:rFonts w:hint="cs"/>
          <w:rtl/>
        </w:rPr>
        <w:t xml:space="preserve">ש' בורנשטיין </w:t>
      </w:r>
      <w:r w:rsidR="00082192" w:rsidRPr="00D769AE">
        <w:rPr>
          <w:rStyle w:val="ae"/>
          <w:rFonts w:cs="FrankRuehl" w:hint="cs"/>
          <w:b w:val="0"/>
          <w:spacing w:val="10"/>
          <w:sz w:val="22"/>
          <w:szCs w:val="28"/>
          <w:rtl/>
        </w:rPr>
        <w:t>ו-</w:t>
      </w:r>
      <w:r w:rsidR="00082192">
        <w:rPr>
          <w:rStyle w:val="ae"/>
          <w:rFonts w:hint="cs"/>
          <w:rtl/>
        </w:rPr>
        <w:t>ד' עטר</w:t>
      </w:r>
      <w:r w:rsidR="00082192">
        <w:rPr>
          <w:rFonts w:hint="cs"/>
          <w:rtl/>
        </w:rPr>
        <w:t xml:space="preserve">) בע"פ 10184-09-19, מיום 11.2.2020, בגדרו נדחה ערעור המבקש על הכרעת דינו וגזר דינו של בית משפט השלום בראשון לציון (סגן הנשיאה </w:t>
      </w:r>
      <w:r w:rsidR="00082192">
        <w:rPr>
          <w:rFonts w:ascii="Century" w:hAnsi="Century" w:cs="Miriam" w:hint="cs"/>
          <w:b/>
          <w:spacing w:val="0"/>
          <w:szCs w:val="24"/>
          <w:rtl/>
        </w:rPr>
        <w:t>ש' שטיין</w:t>
      </w:r>
      <w:r w:rsidR="00082192">
        <w:rPr>
          <w:rFonts w:hint="cs"/>
          <w:rtl/>
        </w:rPr>
        <w:t xml:space="preserve">) בת"פ 33182-05-18, מיום 8.2.2019. </w:t>
      </w:r>
    </w:p>
    <w:p w:rsidR="00082192" w:rsidRPr="008D533E" w:rsidRDefault="00DB011F" w:rsidP="00DB011F">
      <w:pPr>
        <w:pStyle w:val="Ruller4"/>
        <w:rPr>
          <w:rtl/>
        </w:rPr>
      </w:pPr>
      <w:r>
        <w:rPr>
          <w:rFonts w:hint="cs"/>
          <w:rtl/>
        </w:rPr>
        <w:t xml:space="preserve">כפי שיורחב להלן, אנו סבורים כי </w:t>
      </w:r>
      <w:r w:rsidR="00082192">
        <w:rPr>
          <w:rFonts w:hint="cs"/>
          <w:rtl/>
        </w:rPr>
        <w:t>יש להיעתר לבקשה למתן רשות ערעור, לדון בה כבערעור</w:t>
      </w:r>
      <w:r>
        <w:rPr>
          <w:rFonts w:hint="cs"/>
          <w:rtl/>
        </w:rPr>
        <w:t>;</w:t>
      </w:r>
      <w:r w:rsidR="00082192">
        <w:rPr>
          <w:rFonts w:hint="cs"/>
          <w:rtl/>
        </w:rPr>
        <w:t xml:space="preserve"> ו</w:t>
      </w:r>
      <w:r>
        <w:rPr>
          <w:rFonts w:hint="cs"/>
          <w:rtl/>
        </w:rPr>
        <w:t xml:space="preserve">לגישתי, יש גם </w:t>
      </w:r>
      <w:r w:rsidR="00082192">
        <w:rPr>
          <w:rFonts w:hint="cs"/>
          <w:rtl/>
        </w:rPr>
        <w:t xml:space="preserve">לזכות את המבקש מעבירה של יבוא סם מסוכן בגינה הושת עליו צו </w:t>
      </w:r>
      <w:proofErr w:type="spellStart"/>
      <w:r w:rsidR="00082192">
        <w:rPr>
          <w:rFonts w:hint="cs"/>
          <w:rtl/>
        </w:rPr>
        <w:t>של"צ</w:t>
      </w:r>
      <w:proofErr w:type="spellEnd"/>
      <w:r w:rsidR="00082192">
        <w:rPr>
          <w:rFonts w:hint="cs"/>
          <w:rtl/>
        </w:rPr>
        <w:t xml:space="preserve"> בהיקף של 350 שעות, לצד ענישה נלווית. משכך יכונה המבקש להלן </w:t>
      </w:r>
      <w:r w:rsidR="00082192" w:rsidRPr="008D533E">
        <w:rPr>
          <w:rFonts w:ascii="Century" w:hAnsi="Century" w:cs="Miriam" w:hint="cs"/>
          <w:b/>
          <w:spacing w:val="0"/>
          <w:sz w:val="22"/>
          <w:szCs w:val="24"/>
          <w:rtl/>
        </w:rPr>
        <w:t>המערער</w:t>
      </w:r>
      <w:r w:rsidR="00082192">
        <w:rPr>
          <w:rFonts w:hint="cs"/>
          <w:rtl/>
        </w:rPr>
        <w:t xml:space="preserve">. </w:t>
      </w:r>
    </w:p>
    <w:p w:rsidR="00082192" w:rsidRDefault="00082192" w:rsidP="003108F7">
      <w:pPr>
        <w:pStyle w:val="2"/>
        <w:rPr>
          <w:rtl/>
        </w:rPr>
      </w:pPr>
      <w:r w:rsidRPr="008D533E">
        <w:rPr>
          <w:rFonts w:hint="cs"/>
          <w:rtl/>
        </w:rPr>
        <w:t xml:space="preserve">העובדות הצריכות לעניין </w:t>
      </w:r>
    </w:p>
    <w:p w:rsidR="00DB011F" w:rsidRDefault="00082192" w:rsidP="00DB011F">
      <w:pPr>
        <w:pStyle w:val="Ruller4"/>
        <w:rPr>
          <w:rtl/>
        </w:rPr>
      </w:pPr>
      <w:r>
        <w:rPr>
          <w:rFonts w:hint="cs"/>
          <w:rtl/>
        </w:rPr>
        <w:t xml:space="preserve">המערער נחת ביום 23.11.2017 בשעה 12:55 בטיסה מאמסטרדם לנמל התעופה בן גוריון. </w:t>
      </w:r>
    </w:p>
    <w:p w:rsidR="00DB011F" w:rsidRPr="00DB011F" w:rsidRDefault="00DB011F" w:rsidP="00DB011F">
      <w:pPr>
        <w:pStyle w:val="Ruller41"/>
      </w:pPr>
    </w:p>
    <w:p w:rsidR="00082192" w:rsidRDefault="00DB011F" w:rsidP="00DB011F">
      <w:pPr>
        <w:pStyle w:val="Ruller4"/>
        <w:numPr>
          <w:ilvl w:val="0"/>
          <w:numId w:val="0"/>
        </w:numPr>
        <w:rPr>
          <w:rtl/>
        </w:rPr>
      </w:pPr>
      <w:r>
        <w:rPr>
          <w:rtl/>
        </w:rPr>
        <w:tab/>
      </w:r>
      <w:r>
        <w:rPr>
          <w:rFonts w:hint="cs"/>
          <w:rtl/>
        </w:rPr>
        <w:t xml:space="preserve">על פי הנטען בכתב האישום, </w:t>
      </w:r>
      <w:r w:rsidR="00082192">
        <w:rPr>
          <w:rFonts w:hint="cs"/>
          <w:rtl/>
        </w:rPr>
        <w:t xml:space="preserve">בסמוך לאחר מכן </w:t>
      </w:r>
      <w:r>
        <w:rPr>
          <w:rFonts w:hint="cs"/>
          <w:rtl/>
        </w:rPr>
        <w:t>נערך חיפוש "</w:t>
      </w:r>
      <w:r w:rsidRPr="00DB011F">
        <w:rPr>
          <w:rFonts w:ascii="Century" w:hAnsi="Century" w:cs="Miriam" w:hint="cs"/>
          <w:b/>
          <w:spacing w:val="0"/>
          <w:sz w:val="22"/>
          <w:szCs w:val="24"/>
          <w:rtl/>
        </w:rPr>
        <w:t xml:space="preserve">כדין </w:t>
      </w:r>
      <w:r w:rsidR="00082192" w:rsidRPr="00DB011F">
        <w:rPr>
          <w:rFonts w:ascii="Century" w:hAnsi="Century" w:cs="Miriam" w:hint="cs"/>
          <w:b/>
          <w:spacing w:val="0"/>
          <w:sz w:val="22"/>
          <w:szCs w:val="24"/>
          <w:rtl/>
        </w:rPr>
        <w:t>בחפציו</w:t>
      </w:r>
      <w:r>
        <w:rPr>
          <w:rFonts w:hint="cs"/>
          <w:rtl/>
        </w:rPr>
        <w:t>"</w:t>
      </w:r>
      <w:r w:rsidR="00082192">
        <w:rPr>
          <w:rFonts w:hint="cs"/>
          <w:rtl/>
        </w:rPr>
        <w:t xml:space="preserve">, </w:t>
      </w:r>
      <w:r>
        <w:rPr>
          <w:rFonts w:hint="cs"/>
          <w:rtl/>
        </w:rPr>
        <w:t>ו</w:t>
      </w:r>
      <w:r w:rsidR="00082192">
        <w:rPr>
          <w:rFonts w:hint="cs"/>
          <w:rtl/>
        </w:rPr>
        <w:t>נמצאו</w:t>
      </w:r>
      <w:r>
        <w:rPr>
          <w:rFonts w:hint="cs"/>
          <w:rtl/>
        </w:rPr>
        <w:t xml:space="preserve"> בו</w:t>
      </w:r>
      <w:r w:rsidR="00082192">
        <w:rPr>
          <w:rFonts w:hint="cs"/>
          <w:rtl/>
        </w:rPr>
        <w:t xml:space="preserve"> 55 זרעי צמח סם מסוכן מסוג קנבוס, מחולקים ל-13 אריזות, וכן אריזה אחת המכילה סם מסוכן מסוג </w:t>
      </w:r>
      <w:proofErr w:type="spellStart"/>
      <w:r w:rsidR="00082192">
        <w:rPr>
          <w:rFonts w:hint="cs"/>
          <w:rtl/>
        </w:rPr>
        <w:t>פסילוצין</w:t>
      </w:r>
      <w:proofErr w:type="spellEnd"/>
      <w:r w:rsidR="00082192">
        <w:rPr>
          <w:rFonts w:hint="cs"/>
          <w:rtl/>
        </w:rPr>
        <w:t xml:space="preserve"> במשקל 7.7557 גרם נטו. </w:t>
      </w:r>
    </w:p>
    <w:p w:rsidR="00082192" w:rsidRDefault="00082192" w:rsidP="00082192">
      <w:pPr>
        <w:pStyle w:val="Ruller41"/>
        <w:rPr>
          <w:rtl/>
        </w:rPr>
      </w:pPr>
    </w:p>
    <w:p w:rsidR="00082192" w:rsidRDefault="00082192" w:rsidP="00082192">
      <w:pPr>
        <w:pStyle w:val="Ruller41"/>
        <w:rPr>
          <w:rtl/>
        </w:rPr>
      </w:pPr>
      <w:r>
        <w:rPr>
          <w:rtl/>
        </w:rPr>
        <w:tab/>
      </w:r>
      <w:r>
        <w:rPr>
          <w:rFonts w:hint="cs"/>
          <w:rtl/>
        </w:rPr>
        <w:t xml:space="preserve">משכך, יוחסה למערער עבירה של יבוא סמים מסוכנים, לפי סעיפים 13 ו-19א לפקודת הסמים. </w:t>
      </w:r>
    </w:p>
    <w:p w:rsidR="00082192" w:rsidRDefault="00082192" w:rsidP="00082192">
      <w:pPr>
        <w:pStyle w:val="Ruller41"/>
        <w:rPr>
          <w:rtl/>
        </w:rPr>
      </w:pPr>
    </w:p>
    <w:p w:rsidR="00082192" w:rsidRDefault="00082192" w:rsidP="00082192">
      <w:pPr>
        <w:pStyle w:val="Ruller4"/>
        <w:rPr>
          <w:rtl/>
        </w:rPr>
      </w:pPr>
      <w:r>
        <w:rPr>
          <w:rFonts w:hint="cs"/>
          <w:rtl/>
        </w:rPr>
        <w:t>בית משפט השלום הרשיע את המערער בעבירה שיוחסה לו, תוך שדחה את טענותיו לפגמים בחיפוש שבוצע בכליו בשדה התעופה.</w:t>
      </w:r>
    </w:p>
    <w:p w:rsidR="00082192" w:rsidRPr="000A311D" w:rsidRDefault="00082192" w:rsidP="00082192">
      <w:pPr>
        <w:pStyle w:val="Ruller41"/>
      </w:pPr>
    </w:p>
    <w:p w:rsidR="00082192" w:rsidRDefault="00082192" w:rsidP="00082192">
      <w:pPr>
        <w:pStyle w:val="Ruller41"/>
        <w:rPr>
          <w:rtl/>
        </w:rPr>
      </w:pPr>
      <w:r>
        <w:rPr>
          <w:rtl/>
        </w:rPr>
        <w:tab/>
      </w:r>
      <w:r>
        <w:rPr>
          <w:rFonts w:hint="cs"/>
          <w:rtl/>
        </w:rPr>
        <w:t xml:space="preserve">בכלל זה, הפנה בית משפט השלום לעדות השוטר שערך את החיפוש </w:t>
      </w:r>
      <w:r w:rsidRPr="008D533E">
        <w:rPr>
          <w:rFonts w:hint="cs"/>
          <w:rtl/>
        </w:rPr>
        <w:t xml:space="preserve">בכליו של </w:t>
      </w:r>
      <w:r>
        <w:rPr>
          <w:rFonts w:hint="cs"/>
          <w:rtl/>
        </w:rPr>
        <w:t xml:space="preserve">המערער, במסגרתה ציין כי אינו זוכר את האירוע במדויק, ואף לא את המערער; לא הבחין בהתנהגות חשודה </w:t>
      </w:r>
      <w:proofErr w:type="spellStart"/>
      <w:r>
        <w:rPr>
          <w:rFonts w:hint="cs"/>
          <w:rtl/>
        </w:rPr>
        <w:t>מצידו</w:t>
      </w:r>
      <w:proofErr w:type="spellEnd"/>
      <w:r w:rsidRPr="008E599F">
        <w:rPr>
          <w:rFonts w:hint="cs"/>
          <w:rtl/>
        </w:rPr>
        <w:t xml:space="preserve"> </w:t>
      </w:r>
      <w:r>
        <w:rPr>
          <w:rFonts w:hint="cs"/>
          <w:rtl/>
        </w:rPr>
        <w:t xml:space="preserve">עובר לחיפוש; וכי דו"ח הפעולה שנרשם על ידו (להלן: </w:t>
      </w:r>
      <w:r w:rsidRPr="00F52576">
        <w:rPr>
          <w:rFonts w:ascii="Century" w:hAnsi="Century" w:cs="Miriam" w:hint="eastAsia"/>
          <w:b/>
          <w:spacing w:val="0"/>
          <w:szCs w:val="24"/>
          <w:rtl/>
        </w:rPr>
        <w:t>הדו</w:t>
      </w:r>
      <w:r w:rsidRPr="00F52576">
        <w:rPr>
          <w:rFonts w:ascii="Century" w:hAnsi="Century" w:cs="Miriam"/>
          <w:b/>
          <w:spacing w:val="0"/>
          <w:szCs w:val="24"/>
          <w:rtl/>
        </w:rPr>
        <w:t>"ח</w:t>
      </w:r>
      <w:r>
        <w:rPr>
          <w:rFonts w:hint="cs"/>
          <w:rtl/>
        </w:rPr>
        <w:t xml:space="preserve">) משקף את שאירע. עוד ציין כי הוא "בודק רנדומלי אנשים בשדה התעופה", לפי "חוק הטיס פרק ג' סעיף 10 וסעיף 9", וכי בתור שוטר הוא "יכול לבדוק כל בן אדם במעבר גבול", כלשון עדותו. </w:t>
      </w:r>
    </w:p>
    <w:p w:rsidR="00082192" w:rsidRDefault="00082192" w:rsidP="00082192">
      <w:pPr>
        <w:pStyle w:val="Ruller41"/>
        <w:rPr>
          <w:rtl/>
        </w:rPr>
      </w:pPr>
    </w:p>
    <w:p w:rsidR="00082192" w:rsidRDefault="00082192" w:rsidP="00DB011F">
      <w:pPr>
        <w:pStyle w:val="Ruller41"/>
        <w:rPr>
          <w:rtl/>
        </w:rPr>
      </w:pPr>
      <w:r>
        <w:rPr>
          <w:rtl/>
        </w:rPr>
        <w:tab/>
      </w:r>
      <w:r>
        <w:rPr>
          <w:rFonts w:hint="cs"/>
          <w:rtl/>
        </w:rPr>
        <w:t xml:space="preserve">בהקשר אחרון זה, בית משפט השלום </w:t>
      </w:r>
      <w:r w:rsidR="00DB011F">
        <w:rPr>
          <w:rFonts w:hint="cs"/>
          <w:rtl/>
        </w:rPr>
        <w:t xml:space="preserve">עמד </w:t>
      </w:r>
      <w:r>
        <w:rPr>
          <w:rFonts w:hint="cs"/>
          <w:rtl/>
        </w:rPr>
        <w:t xml:space="preserve">על ההבחנה בין סעיפים 28(ב)(3) ו-28(ב)(4) לפקודת הסמים המתירים לערוך חיפוש על גופו של אדם בעת שהותו בשדה תעופה "אם החיפוש דרוש לצורך קיום הוראות פקודה זו", לבין סעיף  28(ב)(2), העוסק בחיפוש על גופו של אדם, ובלבד שקיים "יסוד סביר להניח שאותו אדם נושא עמו שלא כדין סם מסוכן". לאור ההבדלים בלשון הסעיפים, נקבע כי שוטר מוסמך לערוך חיפוש על גופו של אדם בשדה התעופה גם בהיעדר </w:t>
      </w:r>
      <w:r w:rsidRPr="00DB011F">
        <w:rPr>
          <w:rFonts w:ascii="Century" w:hAnsi="Century" w:cs="Miriam" w:hint="cs"/>
          <w:b/>
          <w:spacing w:val="0"/>
          <w:szCs w:val="24"/>
          <w:rtl/>
        </w:rPr>
        <w:t>חשד סביר</w:t>
      </w:r>
      <w:r>
        <w:rPr>
          <w:rFonts w:hint="cs"/>
          <w:rtl/>
        </w:rPr>
        <w:t xml:space="preserve"> לכך שהוא נושא עימו סם.</w:t>
      </w:r>
    </w:p>
    <w:p w:rsidR="00082192" w:rsidRDefault="00082192" w:rsidP="00082192">
      <w:pPr>
        <w:pStyle w:val="Ruller41"/>
        <w:rPr>
          <w:rtl/>
        </w:rPr>
      </w:pPr>
    </w:p>
    <w:p w:rsidR="00082192" w:rsidRDefault="00082192" w:rsidP="00EA05C0">
      <w:pPr>
        <w:pStyle w:val="Ruller41"/>
        <w:rPr>
          <w:rtl/>
        </w:rPr>
      </w:pPr>
      <w:r>
        <w:rPr>
          <w:rtl/>
        </w:rPr>
        <w:tab/>
      </w:r>
      <w:r w:rsidR="00DB011F">
        <w:rPr>
          <w:rFonts w:hint="cs"/>
          <w:rtl/>
        </w:rPr>
        <w:t xml:space="preserve">משכך, </w:t>
      </w:r>
      <w:r>
        <w:rPr>
          <w:rFonts w:hint="cs"/>
          <w:rtl/>
        </w:rPr>
        <w:t xml:space="preserve">נקבע כי החיפוש בכליו של המערער </w:t>
      </w:r>
      <w:r w:rsidR="00DB011F">
        <w:rPr>
          <w:rFonts w:hint="cs"/>
          <w:rtl/>
        </w:rPr>
        <w:t xml:space="preserve">בוצע כדין הן מתוקף </w:t>
      </w:r>
      <w:r>
        <w:rPr>
          <w:rFonts w:hint="cs"/>
          <w:rtl/>
        </w:rPr>
        <w:t xml:space="preserve">סעיף 9 לחוק הטיס (בטחון בתעופה אזרחית), </w:t>
      </w:r>
      <w:proofErr w:type="spellStart"/>
      <w:r>
        <w:rPr>
          <w:rFonts w:hint="cs"/>
          <w:rtl/>
        </w:rPr>
        <w:t>התשל"ז</w:t>
      </w:r>
      <w:proofErr w:type="spellEnd"/>
      <w:r>
        <w:rPr>
          <w:rtl/>
        </w:rPr>
        <w:t>–</w:t>
      </w:r>
      <w:r>
        <w:rPr>
          <w:rFonts w:hint="cs"/>
          <w:rtl/>
        </w:rPr>
        <w:t xml:space="preserve">1977 (להלן: </w:t>
      </w:r>
      <w:r w:rsidRPr="00893584">
        <w:rPr>
          <w:rFonts w:ascii="Century" w:hAnsi="Century" w:cs="Miriam" w:hint="cs"/>
          <w:b/>
          <w:spacing w:val="0"/>
          <w:szCs w:val="24"/>
          <w:rtl/>
        </w:rPr>
        <w:t>חוק הטיס</w:t>
      </w:r>
      <w:r>
        <w:rPr>
          <w:rFonts w:hint="cs"/>
          <w:rtl/>
        </w:rPr>
        <w:t>), הן מ</w:t>
      </w:r>
      <w:r w:rsidR="00DB011F">
        <w:rPr>
          <w:rFonts w:hint="cs"/>
          <w:rtl/>
        </w:rPr>
        <w:t>תוקף</w:t>
      </w:r>
      <w:r>
        <w:rPr>
          <w:rFonts w:hint="cs"/>
          <w:rtl/>
        </w:rPr>
        <w:t xml:space="preserve"> סעיף 28 לפקודת הסמים. </w:t>
      </w:r>
    </w:p>
    <w:p w:rsidR="00082192" w:rsidRDefault="00082192" w:rsidP="00082192">
      <w:pPr>
        <w:pStyle w:val="Ruller41"/>
        <w:rPr>
          <w:rtl/>
        </w:rPr>
      </w:pPr>
    </w:p>
    <w:p w:rsidR="00082192" w:rsidRDefault="00082192" w:rsidP="00DB011F">
      <w:pPr>
        <w:pStyle w:val="Ruller41"/>
        <w:rPr>
          <w:rtl/>
        </w:rPr>
      </w:pPr>
      <w:r>
        <w:rPr>
          <w:rtl/>
        </w:rPr>
        <w:tab/>
      </w:r>
      <w:r>
        <w:rPr>
          <w:rFonts w:hint="cs"/>
          <w:rtl/>
        </w:rPr>
        <w:t xml:space="preserve">עוד צוין, כי אף אם החיפוש בוצע שלא כדין, הרי שאין מקום לפסול את תוצרי החיפוש. זאת בשים לב לדוקטרינת הפסילה הפסיקתית, לפיה יש לאזן בין אופי וחומרת אי החוקיות שבהשגת הראיה; ערכן הראייתי של הראיות שהושגו; והאינטרס הציבורי, אשר במקרה </w:t>
      </w:r>
      <w:r w:rsidR="00DB011F">
        <w:rPr>
          <w:rFonts w:hint="cs"/>
          <w:rtl/>
        </w:rPr>
        <w:t>זה</w:t>
      </w:r>
      <w:r>
        <w:rPr>
          <w:rFonts w:hint="cs"/>
          <w:rtl/>
        </w:rPr>
        <w:t xml:space="preserve"> מטה את הכף לטובת קבלת הראייה.</w:t>
      </w:r>
    </w:p>
    <w:p w:rsidR="00082192" w:rsidRDefault="00082192" w:rsidP="00082192">
      <w:pPr>
        <w:pStyle w:val="Ruller41"/>
        <w:rPr>
          <w:rtl/>
        </w:rPr>
      </w:pPr>
    </w:p>
    <w:p w:rsidR="00082192" w:rsidRDefault="00082192" w:rsidP="00DB011F">
      <w:pPr>
        <w:pStyle w:val="Ruller4"/>
        <w:rPr>
          <w:rtl/>
        </w:rPr>
      </w:pPr>
      <w:r>
        <w:rPr>
          <w:rFonts w:hint="cs"/>
          <w:rtl/>
        </w:rPr>
        <w:t>בית משפט השלום</w:t>
      </w:r>
      <w:r w:rsidR="00DB011F">
        <w:rPr>
          <w:rFonts w:hint="cs"/>
          <w:rtl/>
        </w:rPr>
        <w:t>, בגזר דינו,</w:t>
      </w:r>
      <w:r>
        <w:rPr>
          <w:rFonts w:hint="cs"/>
          <w:rtl/>
        </w:rPr>
        <w:t xml:space="preserve"> </w:t>
      </w:r>
      <w:r w:rsidR="00DB011F">
        <w:rPr>
          <w:rFonts w:hint="cs"/>
          <w:rtl/>
        </w:rPr>
        <w:t xml:space="preserve">השית </w:t>
      </w:r>
      <w:r>
        <w:rPr>
          <w:rFonts w:hint="cs"/>
          <w:rtl/>
        </w:rPr>
        <w:t>על המבקש</w:t>
      </w:r>
      <w:r w:rsidR="00DB011F">
        <w:rPr>
          <w:rFonts w:hint="cs"/>
          <w:rtl/>
        </w:rPr>
        <w:t xml:space="preserve"> </w:t>
      </w:r>
      <w:r>
        <w:rPr>
          <w:rFonts w:hint="cs"/>
          <w:rtl/>
        </w:rPr>
        <w:t xml:space="preserve">עונשים של צו </w:t>
      </w:r>
      <w:proofErr w:type="spellStart"/>
      <w:r>
        <w:rPr>
          <w:rFonts w:hint="cs"/>
          <w:rtl/>
        </w:rPr>
        <w:t>של"צ</w:t>
      </w:r>
      <w:proofErr w:type="spellEnd"/>
      <w:r>
        <w:rPr>
          <w:rFonts w:hint="cs"/>
          <w:rtl/>
        </w:rPr>
        <w:t xml:space="preserve"> בהיקף 350 שעות; 10 חודשי מאסר על תנאי, לבל יעבור עבירה מסוג פשע לפי פקודת הסמים, למשך 3 שנים; 6 חודשי מאסר על תנאי, לבל יעבור עבירה מסוג עוון לפי פקודת הסמים, למשך שנה; קנס על סך 5,000 ש"ח; וכן התחייבות בסך 10,000 ש"ח לבל יעבור עבירה לפי פקודת הסמים למשך 12 חודשים. </w:t>
      </w:r>
    </w:p>
    <w:p w:rsidR="00082192" w:rsidRPr="00F0398F" w:rsidRDefault="00082192" w:rsidP="00082192">
      <w:pPr>
        <w:pStyle w:val="Ruller41"/>
        <w:rPr>
          <w:rtl/>
        </w:rPr>
      </w:pPr>
    </w:p>
    <w:p w:rsidR="00082192" w:rsidRDefault="00082192" w:rsidP="00082192">
      <w:pPr>
        <w:pStyle w:val="Ruller4"/>
        <w:rPr>
          <w:rtl/>
        </w:rPr>
      </w:pPr>
      <w:r>
        <w:rPr>
          <w:rFonts w:hint="cs"/>
          <w:rtl/>
        </w:rPr>
        <w:t xml:space="preserve">ערעור המבקש על הכרעת דינו לבית המשפט המחוזי, נדחה. </w:t>
      </w:r>
    </w:p>
    <w:p w:rsidR="00082192" w:rsidRDefault="00082192" w:rsidP="00082192">
      <w:pPr>
        <w:pStyle w:val="Ruller41"/>
        <w:rPr>
          <w:rtl/>
        </w:rPr>
      </w:pPr>
    </w:p>
    <w:p w:rsidR="00082192" w:rsidRDefault="00082192" w:rsidP="001F01D7">
      <w:pPr>
        <w:pStyle w:val="Ruller41"/>
        <w:tabs>
          <w:tab w:val="left" w:pos="5018"/>
        </w:tabs>
        <w:rPr>
          <w:rtl/>
        </w:rPr>
      </w:pPr>
      <w:r>
        <w:rPr>
          <w:rtl/>
        </w:rPr>
        <w:tab/>
      </w:r>
      <w:r>
        <w:rPr>
          <w:rFonts w:hint="cs"/>
          <w:rtl/>
        </w:rPr>
        <w:t xml:space="preserve">בכלל זה, נקבע </w:t>
      </w:r>
      <w:r w:rsidR="00DB011F">
        <w:rPr>
          <w:rFonts w:hint="cs"/>
          <w:rtl/>
        </w:rPr>
        <w:t xml:space="preserve">בתמצית </w:t>
      </w:r>
      <w:r>
        <w:rPr>
          <w:rFonts w:hint="cs"/>
          <w:rtl/>
        </w:rPr>
        <w:t xml:space="preserve">כי לא נפל דופי בקביעת בית משפט השלום בדבר האפשרות לערוך חיפוש על גופו של אדם ובכליו לפי </w:t>
      </w:r>
      <w:r w:rsidR="001F01D7">
        <w:rPr>
          <w:rFonts w:hint="cs"/>
          <w:rtl/>
        </w:rPr>
        <w:t>סעיף 28(ב) ל</w:t>
      </w:r>
      <w:r>
        <w:rPr>
          <w:rFonts w:hint="cs"/>
          <w:rtl/>
        </w:rPr>
        <w:t xml:space="preserve">פקודת הסמים אף בהיעדר חשד סביר כי יימצא במהלך החיפוש סם. </w:t>
      </w:r>
    </w:p>
    <w:p w:rsidR="00082192" w:rsidRDefault="00082192" w:rsidP="00082192">
      <w:pPr>
        <w:pStyle w:val="Ruller41"/>
        <w:tabs>
          <w:tab w:val="left" w:pos="5018"/>
        </w:tabs>
        <w:rPr>
          <w:rtl/>
        </w:rPr>
      </w:pPr>
    </w:p>
    <w:p w:rsidR="00082192" w:rsidRDefault="00082192" w:rsidP="00DB011F">
      <w:pPr>
        <w:pStyle w:val="Ruller41"/>
        <w:tabs>
          <w:tab w:val="left" w:pos="5018"/>
        </w:tabs>
        <w:rPr>
          <w:rtl/>
        </w:rPr>
      </w:pPr>
      <w:r>
        <w:rPr>
          <w:rtl/>
        </w:rPr>
        <w:tab/>
      </w:r>
      <w:r>
        <w:rPr>
          <w:rFonts w:hint="cs"/>
          <w:rtl/>
        </w:rPr>
        <w:t xml:space="preserve">עם זאת, צוין כי אין ללמוד על הסמכות לביצוע החיפוש במקרה דנן מהוראות סעיף 9(א) לחוק הטיס. זאת, מאחר שניתן לערוך חיפוש </w:t>
      </w:r>
      <w:r w:rsidR="00DB011F">
        <w:rPr>
          <w:rFonts w:hint="cs"/>
          <w:rtl/>
        </w:rPr>
        <w:t>מתוקף</w:t>
      </w:r>
      <w:r>
        <w:rPr>
          <w:rFonts w:hint="cs"/>
          <w:rtl/>
        </w:rPr>
        <w:t xml:space="preserve"> חוק זה רק כאשר הדבר דרוש "כדי לשמור על ביטחון הציבור" או במקרים שבהם מתעורר "חשד שהאדם נושא עמו שלא כדין כלי נשק או חומר נפץ". מאחר שצוין בדו"ח כי החיפוש נערך לצורך חיפוש סם, </w:t>
      </w:r>
      <w:r w:rsidR="00DB011F">
        <w:rPr>
          <w:rFonts w:hint="cs"/>
          <w:rtl/>
        </w:rPr>
        <w:t xml:space="preserve">ולא לשם שמירה </w:t>
      </w:r>
      <w:r w:rsidR="00DB011F">
        <w:rPr>
          <w:rFonts w:hint="cs"/>
          <w:rtl/>
        </w:rPr>
        <w:lastRenderedPageBreak/>
        <w:t xml:space="preserve">על ביטחון הציבור, נקבע כי </w:t>
      </w:r>
      <w:r>
        <w:rPr>
          <w:rFonts w:hint="cs"/>
          <w:rtl/>
        </w:rPr>
        <w:t xml:space="preserve">לא ניתן היה להסתמך על הסמכות הקבועה בחוק הטיס בכדי להכשיר את תוצריו. </w:t>
      </w:r>
    </w:p>
    <w:p w:rsidR="003108F7" w:rsidRDefault="003108F7" w:rsidP="003108F7">
      <w:pPr>
        <w:pStyle w:val="2"/>
        <w:rPr>
          <w:rtl/>
        </w:rPr>
      </w:pPr>
      <w:r>
        <w:rPr>
          <w:rFonts w:hint="cs"/>
          <w:rtl/>
        </w:rPr>
        <w:t>טענות הצדדים בבקשת רשות הערעור</w:t>
      </w:r>
    </w:p>
    <w:p w:rsidR="00082192" w:rsidRDefault="00082192" w:rsidP="00082192">
      <w:pPr>
        <w:pStyle w:val="Ruller4"/>
      </w:pPr>
      <w:r>
        <w:rPr>
          <w:rFonts w:hint="cs"/>
          <w:rtl/>
        </w:rPr>
        <w:t>על פסק דין זו מופנית הבקשה לרשות ערעור, במסגרתה טוען המערער כי עניינו מעורר מספר סוגיות בעלות חשיבות ציבורית, באשר לחוקיות החיפוש שנערך על גופו ובכליו, בהיעדר חשד סביר לכך שנשא סם מסוכן.</w:t>
      </w:r>
    </w:p>
    <w:p w:rsidR="00082192" w:rsidRPr="00CC3E20" w:rsidRDefault="00082192" w:rsidP="00082192">
      <w:pPr>
        <w:pStyle w:val="Ruller4"/>
        <w:numPr>
          <w:ilvl w:val="0"/>
          <w:numId w:val="0"/>
        </w:numPr>
      </w:pPr>
    </w:p>
    <w:p w:rsidR="00082192" w:rsidRDefault="00082192" w:rsidP="00215CCE">
      <w:pPr>
        <w:pStyle w:val="Ruller4"/>
        <w:numPr>
          <w:ilvl w:val="0"/>
          <w:numId w:val="0"/>
        </w:numPr>
        <w:rPr>
          <w:rtl/>
        </w:rPr>
      </w:pPr>
      <w:r>
        <w:rPr>
          <w:rtl/>
        </w:rPr>
        <w:tab/>
      </w:r>
      <w:r>
        <w:rPr>
          <w:rFonts w:hint="cs"/>
          <w:rtl/>
        </w:rPr>
        <w:t xml:space="preserve">בפרט, טוען המערער כי הוראות </w:t>
      </w:r>
      <w:r w:rsidR="00215CCE">
        <w:rPr>
          <w:rFonts w:hint="cs"/>
          <w:rtl/>
        </w:rPr>
        <w:t>פקודת הסמים</w:t>
      </w:r>
      <w:r>
        <w:rPr>
          <w:rFonts w:hint="cs"/>
          <w:rtl/>
        </w:rPr>
        <w:t xml:space="preserve"> אינן מסמיכות שוטר לבצע חיפוש אקראי על גופו של אדם ובכליו בלי שהתעורר כל חשד לכך שהוא נושא עימו סם מסוכן; וכי לנוכח הפגיעה בפרטיות הכרוכה בביצוע החיפוש, יש לדחות את פרשנות בית המשפט המחוזי לעניין זה. לגישתו, חיזוק לפרשנותו ניתן למצוא בהוראות הדין השונות העוסקות בביצוע חיפוש; ומכל מקום, ניתן לנקוט באמצעים חלופיים פוגעניים פחות לשם סיכול הברחות סם לישראל, בין היתר באמצעות שימוש בכלבי גישוש למציאת סמים. </w:t>
      </w:r>
    </w:p>
    <w:p w:rsidR="00082192" w:rsidRDefault="00082192" w:rsidP="00082192">
      <w:pPr>
        <w:pStyle w:val="Ruller41"/>
        <w:rPr>
          <w:rtl/>
        </w:rPr>
      </w:pPr>
    </w:p>
    <w:p w:rsidR="00082192" w:rsidRDefault="00082192" w:rsidP="00DB011F">
      <w:pPr>
        <w:pStyle w:val="Ruller41"/>
        <w:rPr>
          <w:rtl/>
        </w:rPr>
      </w:pPr>
      <w:r>
        <w:rPr>
          <w:rtl/>
        </w:rPr>
        <w:tab/>
      </w:r>
      <w:r>
        <w:rPr>
          <w:rFonts w:hint="cs"/>
          <w:rtl/>
        </w:rPr>
        <w:t xml:space="preserve">עוד נטען כי יש לפסול את תוצרי החיפוש בעניינו, מאחר שהשוטר שערך אותו סבר כי פעל </w:t>
      </w:r>
      <w:r w:rsidR="00DB011F">
        <w:rPr>
          <w:rFonts w:hint="cs"/>
          <w:rtl/>
        </w:rPr>
        <w:t>על פי הוראות</w:t>
      </w:r>
      <w:r>
        <w:rPr>
          <w:rFonts w:hint="cs"/>
          <w:rtl/>
        </w:rPr>
        <w:t xml:space="preserve"> חוק הטיס </w:t>
      </w:r>
      <w:r>
        <w:rPr>
          <w:rtl/>
        </w:rPr>
        <w:t>–</w:t>
      </w:r>
      <w:r>
        <w:rPr>
          <w:rFonts w:hint="cs"/>
          <w:rtl/>
        </w:rPr>
        <w:t xml:space="preserve"> אף שהחיפוש נועד לאתר סמים מסוכנים, ולא לשם שמירה על בטחון הציבור.</w:t>
      </w:r>
    </w:p>
    <w:p w:rsidR="00082192" w:rsidRDefault="00082192" w:rsidP="00082192">
      <w:pPr>
        <w:pStyle w:val="Ruller41"/>
        <w:rPr>
          <w:rtl/>
        </w:rPr>
      </w:pPr>
    </w:p>
    <w:p w:rsidR="00082192" w:rsidRPr="004969D7" w:rsidRDefault="00082192" w:rsidP="00DB011F">
      <w:pPr>
        <w:pStyle w:val="Ruller41"/>
        <w:rPr>
          <w:rtl/>
        </w:rPr>
      </w:pPr>
      <w:r>
        <w:rPr>
          <w:rtl/>
        </w:rPr>
        <w:tab/>
      </w:r>
      <w:r>
        <w:rPr>
          <w:rFonts w:hint="cs"/>
          <w:rtl/>
        </w:rPr>
        <w:t xml:space="preserve">בנסיבות אלו, טוען המערער כי יש לזכותו מהעבירה </w:t>
      </w:r>
      <w:r w:rsidR="00DB011F">
        <w:rPr>
          <w:rFonts w:hint="cs"/>
          <w:rtl/>
        </w:rPr>
        <w:t>שבה הורשע</w:t>
      </w:r>
      <w:r>
        <w:rPr>
          <w:rFonts w:hint="cs"/>
          <w:rtl/>
        </w:rPr>
        <w:t xml:space="preserve">. </w:t>
      </w:r>
    </w:p>
    <w:p w:rsidR="00082192" w:rsidRDefault="00082192" w:rsidP="00082192">
      <w:pPr>
        <w:pStyle w:val="Ruller41"/>
        <w:rPr>
          <w:rtl/>
        </w:rPr>
      </w:pPr>
    </w:p>
    <w:p w:rsidR="002F5D68" w:rsidRDefault="00082192" w:rsidP="00C1514D">
      <w:pPr>
        <w:pStyle w:val="Ruller4"/>
      </w:pPr>
      <w:r>
        <w:rPr>
          <w:rtl/>
        </w:rPr>
        <w:lastRenderedPageBreak/>
        <w:tab/>
      </w:r>
      <w:r w:rsidRPr="001F01D7">
        <w:rPr>
          <w:rFonts w:hint="cs"/>
          <w:rtl/>
        </w:rPr>
        <w:t xml:space="preserve">מנגד, </w:t>
      </w:r>
      <w:r w:rsidR="00DB011F" w:rsidRPr="001F01D7">
        <w:rPr>
          <w:rFonts w:hint="cs"/>
          <w:rtl/>
        </w:rPr>
        <w:t>לגישת</w:t>
      </w:r>
      <w:r w:rsidRPr="001F01D7">
        <w:rPr>
          <w:rFonts w:hint="cs"/>
          <w:rtl/>
        </w:rPr>
        <w:t xml:space="preserve"> המשיבה, </w:t>
      </w:r>
      <w:r w:rsidR="002F5D68">
        <w:rPr>
          <w:rFonts w:hint="cs"/>
          <w:rtl/>
        </w:rPr>
        <w:t>שוטר רשאי לערוך חיפוש על גופו של אדם ובכליו במעבר גבול בלא קיומו של חשד סביר לכך שהוא ביצע עבירה. זאת, הן מתוקף סעיף 9(א) לחוק הטיס, והן מתוקף סעיף 28(ב)</w:t>
      </w:r>
      <w:r w:rsidR="00C1514D">
        <w:rPr>
          <w:rFonts w:hint="cs"/>
          <w:rtl/>
        </w:rPr>
        <w:t>(3)</w:t>
      </w:r>
      <w:r w:rsidR="002F5D68">
        <w:rPr>
          <w:rFonts w:hint="cs"/>
          <w:rtl/>
        </w:rPr>
        <w:t xml:space="preserve"> לפקודת הסמים</w:t>
      </w:r>
      <w:r w:rsidR="00C1514D">
        <w:rPr>
          <w:rFonts w:hint="cs"/>
          <w:rtl/>
        </w:rPr>
        <w:t>, אשר יובאו במלואם בהמשך</w:t>
      </w:r>
      <w:r w:rsidR="002F5D68">
        <w:rPr>
          <w:rFonts w:hint="cs"/>
          <w:rtl/>
        </w:rPr>
        <w:t xml:space="preserve">. </w:t>
      </w:r>
    </w:p>
    <w:p w:rsidR="002F5D68" w:rsidRDefault="002F5D68" w:rsidP="002F5D68">
      <w:pPr>
        <w:pStyle w:val="Ruller4"/>
        <w:numPr>
          <w:ilvl w:val="0"/>
          <w:numId w:val="0"/>
        </w:numPr>
      </w:pPr>
    </w:p>
    <w:p w:rsidR="001F01D7" w:rsidRPr="001F01D7" w:rsidRDefault="002F5D68" w:rsidP="00C1514D">
      <w:pPr>
        <w:pStyle w:val="Ruller41"/>
        <w:rPr>
          <w:rtl/>
        </w:rPr>
      </w:pPr>
      <w:r>
        <w:rPr>
          <w:rtl/>
        </w:rPr>
        <w:tab/>
      </w:r>
      <w:r w:rsidR="00C1514D">
        <w:rPr>
          <w:rFonts w:hint="cs"/>
          <w:rtl/>
        </w:rPr>
        <w:t>בפרט</w:t>
      </w:r>
      <w:r>
        <w:rPr>
          <w:rFonts w:hint="cs"/>
          <w:rtl/>
        </w:rPr>
        <w:t>, נטען כי הסעיפים אינם כוללים דרישה מפורשת לקיומו של חשד סביר לביצוע עבירה לשם עריכת חיפוש על גופו ובכליו של אדם השוהה במעבר גבול. זאת,</w:t>
      </w:r>
      <w:r w:rsidR="001F01D7" w:rsidRPr="001F01D7">
        <w:rPr>
          <w:rFonts w:hint="cs"/>
          <w:rtl/>
        </w:rPr>
        <w:t xml:space="preserve"> </w:t>
      </w:r>
      <w:r w:rsidR="00C1514D">
        <w:rPr>
          <w:rFonts w:hint="cs"/>
          <w:rtl/>
        </w:rPr>
        <w:t xml:space="preserve">בניגוד לסמכות החיפוש הכללית לפי סעיף </w:t>
      </w:r>
      <w:r w:rsidR="001F01D7" w:rsidRPr="001F01D7">
        <w:rPr>
          <w:rFonts w:hint="cs"/>
          <w:rtl/>
        </w:rPr>
        <w:t>28(ב)(2) לפקודת הסמים</w:t>
      </w:r>
      <w:r w:rsidR="00C1514D">
        <w:rPr>
          <w:rFonts w:hint="cs"/>
          <w:rtl/>
        </w:rPr>
        <w:t>, הקובעת במפורש כי ניתן לערוך חיפוש על גופו ש</w:t>
      </w:r>
      <w:r w:rsidR="00C1514D" w:rsidRPr="00C1514D">
        <w:rPr>
          <w:rFonts w:hint="cs"/>
          <w:rtl/>
        </w:rPr>
        <w:t xml:space="preserve">ל אדם ובכליו, רק אם </w:t>
      </w:r>
      <w:r w:rsidR="001F01D7" w:rsidRPr="00C1514D">
        <w:rPr>
          <w:rFonts w:hint="cs"/>
          <w:rtl/>
        </w:rPr>
        <w:t>קיים</w:t>
      </w:r>
      <w:r w:rsidR="00C1514D">
        <w:rPr>
          <w:rFonts w:hint="cs"/>
          <w:rtl/>
        </w:rPr>
        <w:t xml:space="preserve"> "</w:t>
      </w:r>
      <w:r w:rsidR="00C1514D" w:rsidRPr="00C1514D">
        <w:rPr>
          <w:rFonts w:ascii="Century" w:hAnsi="Century" w:cs="Miriam" w:hint="cs"/>
          <w:b/>
          <w:spacing w:val="0"/>
          <w:szCs w:val="24"/>
          <w:rtl/>
        </w:rPr>
        <w:t>יסוד סביר להניח שאותו אדם נושא עמו שלא כדין סם מסוכן</w:t>
      </w:r>
      <w:r w:rsidR="00C1514D" w:rsidRPr="00C1514D">
        <w:rPr>
          <w:rFonts w:hint="cs"/>
          <w:rtl/>
        </w:rPr>
        <w:t>"</w:t>
      </w:r>
      <w:r w:rsidR="001F01D7" w:rsidRPr="00C1514D">
        <w:rPr>
          <w:rFonts w:hint="cs"/>
          <w:rtl/>
        </w:rPr>
        <w:t>.</w:t>
      </w:r>
    </w:p>
    <w:p w:rsidR="001F01D7" w:rsidRDefault="001F01D7" w:rsidP="00082192">
      <w:pPr>
        <w:pStyle w:val="Ruller41"/>
        <w:rPr>
          <w:rtl/>
        </w:rPr>
      </w:pPr>
    </w:p>
    <w:p w:rsidR="00082192" w:rsidRDefault="00082192" w:rsidP="00082192">
      <w:pPr>
        <w:pStyle w:val="Ruller41"/>
        <w:rPr>
          <w:rtl/>
        </w:rPr>
      </w:pPr>
      <w:r>
        <w:rPr>
          <w:rtl/>
        </w:rPr>
        <w:tab/>
      </w:r>
      <w:r>
        <w:rPr>
          <w:rFonts w:hint="cs"/>
          <w:rtl/>
        </w:rPr>
        <w:t xml:space="preserve">עוד הוסיפה המשיבה והפנתה לדברי ההסבר שנלוו לתיקון פקודת הסמים, מהם עולה כי המחוקק ביקש לאפשר עריכת </w:t>
      </w:r>
      <w:r w:rsidRPr="00C1514D">
        <w:rPr>
          <w:rFonts w:ascii="Century" w:hAnsi="Century" w:cs="Miriam" w:hint="cs"/>
          <w:b/>
          <w:spacing w:val="0"/>
          <w:szCs w:val="24"/>
          <w:rtl/>
        </w:rPr>
        <w:t>חיפושי פתע</w:t>
      </w:r>
      <w:r w:rsidRPr="00C1514D">
        <w:rPr>
          <w:rFonts w:hint="cs"/>
          <w:rtl/>
        </w:rPr>
        <w:t xml:space="preserve"> </w:t>
      </w:r>
      <w:r>
        <w:rPr>
          <w:rFonts w:hint="cs"/>
          <w:rtl/>
        </w:rPr>
        <w:t xml:space="preserve">בשדות התעופה שלא על בסיס קיומו של </w:t>
      </w:r>
      <w:r w:rsidRPr="00C1514D">
        <w:rPr>
          <w:rFonts w:ascii="Century" w:hAnsi="Century" w:cs="Miriam" w:hint="cs"/>
          <w:b/>
          <w:spacing w:val="0"/>
          <w:szCs w:val="24"/>
          <w:rtl/>
        </w:rPr>
        <w:t>חשד סביר</w:t>
      </w:r>
      <w:r w:rsidR="00C1514D">
        <w:rPr>
          <w:rFonts w:hint="cs"/>
          <w:rtl/>
        </w:rPr>
        <w:t xml:space="preserve"> כאמור</w:t>
      </w:r>
      <w:r>
        <w:rPr>
          <w:rFonts w:hint="cs"/>
          <w:rtl/>
        </w:rPr>
        <w:t xml:space="preserve">. </w:t>
      </w:r>
    </w:p>
    <w:p w:rsidR="00082192" w:rsidRDefault="00082192" w:rsidP="00082192">
      <w:pPr>
        <w:pStyle w:val="Ruller41"/>
        <w:rPr>
          <w:rtl/>
        </w:rPr>
      </w:pPr>
    </w:p>
    <w:p w:rsidR="00082192" w:rsidRDefault="00082192" w:rsidP="00C1514D">
      <w:pPr>
        <w:pStyle w:val="Ruller4"/>
        <w:numPr>
          <w:ilvl w:val="0"/>
          <w:numId w:val="0"/>
        </w:numPr>
        <w:rPr>
          <w:rtl/>
        </w:rPr>
      </w:pPr>
      <w:r>
        <w:rPr>
          <w:rtl/>
        </w:rPr>
        <w:tab/>
      </w:r>
      <w:r w:rsidRPr="00C1514D">
        <w:rPr>
          <w:rFonts w:hint="cs"/>
          <w:rtl/>
        </w:rPr>
        <w:t xml:space="preserve">כמו כן, נטען כי </w:t>
      </w:r>
      <w:r w:rsidR="00C1514D" w:rsidRPr="00C1514D">
        <w:rPr>
          <w:rFonts w:hint="cs"/>
          <w:rtl/>
        </w:rPr>
        <w:t xml:space="preserve">אף אם השוטר לא היה מוסמך לערוך את החיפוש בכליו של המערער לפי חוק הטיס, אלא לפי פקודת הסמים בלבד </w:t>
      </w:r>
      <w:r w:rsidR="00C1514D" w:rsidRPr="00C1514D">
        <w:rPr>
          <w:rtl/>
        </w:rPr>
        <w:softHyphen/>
        <w:t>–</w:t>
      </w:r>
      <w:r w:rsidR="00C1514D" w:rsidRPr="00C1514D">
        <w:rPr>
          <w:rFonts w:hint="cs"/>
          <w:rtl/>
        </w:rPr>
        <w:t xml:space="preserve"> כפי שקבע בית המשפט המחוזי </w:t>
      </w:r>
      <w:r w:rsidR="00C1514D" w:rsidRPr="00C1514D">
        <w:rPr>
          <w:rtl/>
        </w:rPr>
        <w:t>–</w:t>
      </w:r>
      <w:r w:rsidR="00C1514D" w:rsidRPr="00C1514D">
        <w:rPr>
          <w:rFonts w:hint="cs"/>
          <w:rtl/>
        </w:rPr>
        <w:t xml:space="preserve"> הרי שאין בכך כדי להביא לפסילת תוצרי החיפוש.</w:t>
      </w:r>
      <w:r w:rsidR="00C1514D">
        <w:rPr>
          <w:rtl/>
        </w:rPr>
        <w:t xml:space="preserve"> </w:t>
      </w:r>
    </w:p>
    <w:p w:rsidR="00082192" w:rsidRDefault="00082192" w:rsidP="00082192">
      <w:pPr>
        <w:pStyle w:val="Ruller41"/>
        <w:rPr>
          <w:rtl/>
        </w:rPr>
      </w:pPr>
    </w:p>
    <w:p w:rsidR="00082192" w:rsidRDefault="00082192" w:rsidP="00CB69E5">
      <w:pPr>
        <w:pStyle w:val="Ruller4"/>
        <w:rPr>
          <w:rtl/>
        </w:rPr>
      </w:pPr>
      <w:r>
        <w:rPr>
          <w:rFonts w:hint="cs"/>
          <w:rtl/>
        </w:rPr>
        <w:t xml:space="preserve">במהלך הדיון שהתקיים בפנינו, </w:t>
      </w:r>
      <w:r w:rsidR="003108F7">
        <w:rPr>
          <w:rFonts w:hint="cs"/>
          <w:rtl/>
        </w:rPr>
        <w:t>טען</w:t>
      </w:r>
      <w:r>
        <w:rPr>
          <w:rFonts w:hint="cs"/>
          <w:rtl/>
        </w:rPr>
        <w:t xml:space="preserve"> בא כוח המשיבה כי </w:t>
      </w:r>
      <w:r w:rsidR="00C1514D">
        <w:rPr>
          <w:rFonts w:hint="cs"/>
          <w:rtl/>
        </w:rPr>
        <w:t xml:space="preserve">אף שהחיפוש נערך באופן אקראי, </w:t>
      </w:r>
      <w:r w:rsidR="003108F7">
        <w:rPr>
          <w:rFonts w:hint="cs"/>
          <w:rtl/>
        </w:rPr>
        <w:t xml:space="preserve">השוטר לא פעל באופן שרירותי </w:t>
      </w:r>
      <w:r w:rsidR="003108F7">
        <w:rPr>
          <w:rtl/>
        </w:rPr>
        <w:t>–</w:t>
      </w:r>
      <w:r w:rsidR="003108F7">
        <w:rPr>
          <w:rFonts w:hint="cs"/>
          <w:rtl/>
        </w:rPr>
        <w:t xml:space="preserve"> אלא לפי </w:t>
      </w:r>
      <w:r>
        <w:rPr>
          <w:rFonts w:hint="cs"/>
          <w:rtl/>
        </w:rPr>
        <w:t>הנחיות פנימיות</w:t>
      </w:r>
      <w:r w:rsidR="003108F7">
        <w:rPr>
          <w:rFonts w:hint="cs"/>
          <w:rtl/>
        </w:rPr>
        <w:t xml:space="preserve"> בעניין</w:t>
      </w:r>
      <w:r>
        <w:rPr>
          <w:rFonts w:hint="cs"/>
          <w:rtl/>
        </w:rPr>
        <w:t xml:space="preserve">. אולם, משלא ידע להצביע על </w:t>
      </w:r>
      <w:r w:rsidR="003108F7">
        <w:rPr>
          <w:rFonts w:hint="cs"/>
          <w:rtl/>
        </w:rPr>
        <w:t>הנהלים שלפיהם פעל השוטר,</w:t>
      </w:r>
      <w:r>
        <w:rPr>
          <w:rFonts w:hint="cs"/>
          <w:rtl/>
        </w:rPr>
        <w:t xml:space="preserve"> התבקשה המשיבה להגיש הודעה משלימה בעניין, תוך התייחסות לאמות המידה לביצוע חיפוש לפי סעיפים 28(ב)(3) ו-28(ב)(4) לפקודת הסמים. </w:t>
      </w:r>
    </w:p>
    <w:p w:rsidR="00082192" w:rsidRDefault="00082192" w:rsidP="00082192">
      <w:pPr>
        <w:pStyle w:val="Ruller41"/>
        <w:rPr>
          <w:rtl/>
        </w:rPr>
      </w:pPr>
    </w:p>
    <w:p w:rsidR="003108F7" w:rsidRDefault="00082192" w:rsidP="00BC1F07">
      <w:pPr>
        <w:pStyle w:val="Ruller41"/>
        <w:rPr>
          <w:rtl/>
        </w:rPr>
      </w:pPr>
      <w:r>
        <w:rPr>
          <w:rtl/>
        </w:rPr>
        <w:lastRenderedPageBreak/>
        <w:tab/>
      </w:r>
      <w:r>
        <w:rPr>
          <w:rFonts w:hint="cs"/>
          <w:rtl/>
        </w:rPr>
        <w:t xml:space="preserve">בהודעתה המשלימה </w:t>
      </w:r>
      <w:r w:rsidR="00BC1F07">
        <w:rPr>
          <w:rFonts w:hint="cs"/>
          <w:rtl/>
        </w:rPr>
        <w:t xml:space="preserve">בכתב, </w:t>
      </w:r>
      <w:r>
        <w:rPr>
          <w:rFonts w:hint="cs"/>
          <w:rtl/>
        </w:rPr>
        <w:t xml:space="preserve">סקרה המשיבה סעיפי חוק שונים המסמיכים שוטר לערוך חיפוש בעילות שונות, בחנה את הרף השונה המתיר את החיפוש בכל אחד מהסעיפים </w:t>
      </w:r>
      <w:r>
        <w:rPr>
          <w:rtl/>
        </w:rPr>
        <w:t>–</w:t>
      </w:r>
      <w:r>
        <w:rPr>
          <w:rFonts w:hint="cs"/>
          <w:rtl/>
        </w:rPr>
        <w:t xml:space="preserve"> וביקשה להסיק מהאמור כי המחוקק מבחין בין שלושה פרמטרים שונים: האינטרס הציבורי שהחיפוש נועד לקדם; מידת הפולשנות שבחיפוש; ומקום החיפוש.</w:t>
      </w:r>
    </w:p>
    <w:p w:rsidR="003108F7" w:rsidRDefault="003108F7" w:rsidP="00BC1F07">
      <w:pPr>
        <w:pStyle w:val="Ruller41"/>
        <w:rPr>
          <w:rtl/>
        </w:rPr>
      </w:pPr>
    </w:p>
    <w:p w:rsidR="00082192" w:rsidRDefault="003108F7" w:rsidP="00BC1F07">
      <w:pPr>
        <w:pStyle w:val="Ruller41"/>
        <w:rPr>
          <w:rtl/>
        </w:rPr>
      </w:pPr>
      <w:r>
        <w:rPr>
          <w:rtl/>
        </w:rPr>
        <w:tab/>
      </w:r>
      <w:r w:rsidR="00082192">
        <w:rPr>
          <w:rFonts w:hint="cs"/>
          <w:rtl/>
        </w:rPr>
        <w:t xml:space="preserve">לשיטתה, לאור האינטרס הציבורי שבמניעת הברחות סמים </w:t>
      </w:r>
      <w:r w:rsidR="00BC1F07">
        <w:rPr>
          <w:rFonts w:hint="cs"/>
          <w:rtl/>
        </w:rPr>
        <w:t>לתוך מדינת</w:t>
      </w:r>
      <w:r w:rsidR="00082192">
        <w:rPr>
          <w:rFonts w:hint="cs"/>
          <w:rtl/>
        </w:rPr>
        <w:t xml:space="preserve"> ישראל, קבע המחוקק סמכות רחבה לביצוע חיפוש בשדות תעופה </w:t>
      </w:r>
      <w:r w:rsidR="00082192">
        <w:rPr>
          <w:rtl/>
        </w:rPr>
        <w:t>–</w:t>
      </w:r>
      <w:r w:rsidR="00082192">
        <w:rPr>
          <w:rFonts w:hint="cs"/>
          <w:rtl/>
        </w:rPr>
        <w:t xml:space="preserve"> גם בהיעדר חשד כלשהו כי אדם מחזיק סם בכליו או על גופו. לטענת המשיבה, גישה זו מתיישבת אף עם חקיקה ופסיקה במדינות אחרות, בהן ארצות הברית וקנדה, המאפשרות על פי הנטען לערוך חיפוש </w:t>
      </w:r>
      <w:r w:rsidR="00BC1F07">
        <w:rPr>
          <w:rFonts w:hint="cs"/>
          <w:rtl/>
        </w:rPr>
        <w:t>במעברי</w:t>
      </w:r>
      <w:r w:rsidR="00082192">
        <w:rPr>
          <w:rFonts w:hint="cs"/>
          <w:rtl/>
        </w:rPr>
        <w:t xml:space="preserve"> גבול בהיעדר חשד לביצוע עבירה.</w:t>
      </w:r>
    </w:p>
    <w:p w:rsidR="00082192" w:rsidRDefault="00082192" w:rsidP="00082192">
      <w:pPr>
        <w:pStyle w:val="Ruller41"/>
        <w:rPr>
          <w:rtl/>
        </w:rPr>
      </w:pPr>
    </w:p>
    <w:p w:rsidR="00082192" w:rsidRDefault="00082192" w:rsidP="00082192">
      <w:pPr>
        <w:pStyle w:val="Ruller41"/>
        <w:rPr>
          <w:rtl/>
        </w:rPr>
      </w:pPr>
      <w:r>
        <w:rPr>
          <w:rtl/>
        </w:rPr>
        <w:tab/>
      </w:r>
      <w:r>
        <w:rPr>
          <w:rFonts w:hint="cs"/>
          <w:rtl/>
        </w:rPr>
        <w:t xml:space="preserve">לעניין קיומו של נוהל ספציפי העוסק בעריכת חיפוש על נוסעים הנכנסים לארץ דרך נמל תעופה, אף בהיעדר חשד סביר </w:t>
      </w:r>
      <w:r>
        <w:rPr>
          <w:rtl/>
        </w:rPr>
        <w:t>–</w:t>
      </w:r>
      <w:r>
        <w:rPr>
          <w:rFonts w:hint="cs"/>
          <w:rtl/>
        </w:rPr>
        <w:t xml:space="preserve"> הבהירה המשיבה כי בניגוד לנאמר בדיון, </w:t>
      </w:r>
      <w:r w:rsidRPr="00A23B7C">
        <w:rPr>
          <w:rFonts w:ascii="Century" w:hAnsi="Century" w:cs="Miriam" w:hint="eastAsia"/>
          <w:b/>
          <w:spacing w:val="0"/>
          <w:szCs w:val="24"/>
          <w:rtl/>
        </w:rPr>
        <w:t>לא</w:t>
      </w:r>
      <w:r w:rsidRPr="00A23B7C">
        <w:rPr>
          <w:rFonts w:ascii="Century" w:hAnsi="Century" w:cs="Miriam"/>
          <w:b/>
          <w:spacing w:val="0"/>
          <w:szCs w:val="24"/>
          <w:rtl/>
        </w:rPr>
        <w:t xml:space="preserve"> </w:t>
      </w:r>
      <w:r w:rsidRPr="00A23B7C">
        <w:rPr>
          <w:rFonts w:ascii="Century" w:hAnsi="Century" w:cs="Miriam" w:hint="eastAsia"/>
          <w:b/>
          <w:spacing w:val="0"/>
          <w:szCs w:val="24"/>
          <w:rtl/>
        </w:rPr>
        <w:t>קיים</w:t>
      </w:r>
      <w:r w:rsidRPr="00A23B7C">
        <w:rPr>
          <w:rFonts w:ascii="Century" w:hAnsi="Century" w:cs="Miriam"/>
          <w:b/>
          <w:spacing w:val="0"/>
          <w:szCs w:val="24"/>
          <w:rtl/>
        </w:rPr>
        <w:t xml:space="preserve"> </w:t>
      </w:r>
      <w:r w:rsidRPr="00A23B7C">
        <w:rPr>
          <w:rFonts w:ascii="Century" w:hAnsi="Century" w:cs="Miriam" w:hint="eastAsia"/>
          <w:b/>
          <w:spacing w:val="0"/>
          <w:szCs w:val="24"/>
          <w:rtl/>
        </w:rPr>
        <w:t>נוהל</w:t>
      </w:r>
      <w:r w:rsidRPr="00A23B7C">
        <w:rPr>
          <w:rFonts w:ascii="Century" w:hAnsi="Century" w:cs="Miriam"/>
          <w:b/>
          <w:spacing w:val="0"/>
          <w:szCs w:val="24"/>
          <w:rtl/>
        </w:rPr>
        <w:t xml:space="preserve"> </w:t>
      </w:r>
      <w:r w:rsidRPr="00A23B7C">
        <w:rPr>
          <w:rFonts w:ascii="Century" w:hAnsi="Century" w:cs="Miriam" w:hint="eastAsia"/>
          <w:b/>
          <w:spacing w:val="0"/>
          <w:szCs w:val="24"/>
          <w:rtl/>
        </w:rPr>
        <w:t>שכזה</w:t>
      </w:r>
      <w:r>
        <w:rPr>
          <w:rFonts w:hint="cs"/>
          <w:rtl/>
        </w:rPr>
        <w:t xml:space="preserve">. עם זאת, צוין כי יש להחיל לעניין זה את הוראות הנוהל העוסק בעריכת חיפוש בהסכמת האדם ("נוהל סופי חיפוש בהסכמה", מס' 300.01.246 של אגף חקירות ומודיעין (פורסם ביום 1.3.2014) (להלן: </w:t>
      </w:r>
      <w:r w:rsidRPr="00E2497C">
        <w:rPr>
          <w:rFonts w:ascii="Century" w:hAnsi="Century" w:cs="Miriam" w:hint="cs"/>
          <w:b/>
          <w:spacing w:val="0"/>
          <w:szCs w:val="24"/>
          <w:rtl/>
        </w:rPr>
        <w:t>נוהל חיפוש בהסכמה</w:t>
      </w:r>
      <w:r>
        <w:rPr>
          <w:rFonts w:hint="cs"/>
          <w:rtl/>
        </w:rPr>
        <w:t>)), המורה בין היתר כי לא יבוצע חיפוש בהסכמתו של אדם אלא אם קיימת הצדקה מקצועית או צורך בביצוע החיפוש. אולם, לא הובהר כיצד הדברים מתיישבים עם נסיבות המקרה שלפנינו.</w:t>
      </w:r>
      <w:r>
        <w:rPr>
          <w:rtl/>
        </w:rPr>
        <w:tab/>
      </w:r>
    </w:p>
    <w:p w:rsidR="00082192" w:rsidRDefault="00082192" w:rsidP="00082192">
      <w:pPr>
        <w:pStyle w:val="Ruller41"/>
        <w:rPr>
          <w:rtl/>
        </w:rPr>
      </w:pPr>
    </w:p>
    <w:p w:rsidR="00082192" w:rsidRDefault="00082192" w:rsidP="00082192">
      <w:pPr>
        <w:pStyle w:val="Ruller41"/>
        <w:rPr>
          <w:rtl/>
        </w:rPr>
      </w:pPr>
      <w:r>
        <w:rPr>
          <w:rtl/>
        </w:rPr>
        <w:tab/>
      </w:r>
      <w:r>
        <w:rPr>
          <w:rFonts w:hint="cs"/>
          <w:rtl/>
        </w:rPr>
        <w:t>לצד האמור, טענה המשיבה כי בעניינו של המערער התבסס חשד סביר נגדו עוד בטרם התקיים החיפוש באמצעות כלבי גישוש; וכי אף אם נפל פגם באופן ביצוע החיפוש, אין בו כדי להביא לזיכוי המערער.</w:t>
      </w:r>
    </w:p>
    <w:p w:rsidR="00082192" w:rsidRDefault="00082192" w:rsidP="00082192">
      <w:pPr>
        <w:pStyle w:val="Ruller41"/>
        <w:rPr>
          <w:rtl/>
        </w:rPr>
      </w:pPr>
    </w:p>
    <w:p w:rsidR="00082192" w:rsidRDefault="00082192" w:rsidP="00082192">
      <w:pPr>
        <w:pStyle w:val="Ruller41"/>
        <w:rPr>
          <w:rtl/>
        </w:rPr>
      </w:pPr>
      <w:r>
        <w:rPr>
          <w:rtl/>
        </w:rPr>
        <w:lastRenderedPageBreak/>
        <w:tab/>
      </w:r>
      <w:r>
        <w:rPr>
          <w:rFonts w:hint="cs"/>
          <w:rtl/>
        </w:rPr>
        <w:t xml:space="preserve">לבסוף, הסכימה המשיבה כי תינתן רשות ערעור לליבון הסוגיה המתעוררת במקרה דנן, אולם לשיטתה, יש לדחות את הערעור לגופו. </w:t>
      </w:r>
    </w:p>
    <w:p w:rsidR="00082192" w:rsidRDefault="00082192" w:rsidP="00082192">
      <w:pPr>
        <w:pStyle w:val="Ruller41"/>
        <w:rPr>
          <w:rtl/>
        </w:rPr>
      </w:pPr>
    </w:p>
    <w:p w:rsidR="00082192" w:rsidRDefault="00BC1F07" w:rsidP="00BC1F07">
      <w:pPr>
        <w:pStyle w:val="Ruller4"/>
        <w:rPr>
          <w:rtl/>
        </w:rPr>
      </w:pPr>
      <w:r>
        <w:rPr>
          <w:rFonts w:hint="cs"/>
          <w:rtl/>
        </w:rPr>
        <w:t>המערער,</w:t>
      </w:r>
      <w:r w:rsidR="00082192">
        <w:rPr>
          <w:rFonts w:hint="cs"/>
          <w:rtl/>
        </w:rPr>
        <w:t xml:space="preserve"> </w:t>
      </w:r>
      <w:r>
        <w:rPr>
          <w:rFonts w:hint="cs"/>
          <w:rtl/>
        </w:rPr>
        <w:t xml:space="preserve">בתשובתו בכתב </w:t>
      </w:r>
      <w:r w:rsidR="00082192">
        <w:rPr>
          <w:rFonts w:hint="cs"/>
          <w:rtl/>
        </w:rPr>
        <w:t xml:space="preserve">להודעתה המשלימה של המשיבה, עמד על כך שכעולה באופן מפורש מעדויות השוטרים בבית משפט השלום, החיפוש בוצע בלא חשד סביר, ובאופן אקראי לחלוטין. זאת, בלי שכלב גישוש סימן את המערער כמי שמחזיק בסם; בלי שהשוטר שערך את החיפוש ידע מאיזו מדינה שב המערער או על טעם אחר לערוך חיפוש בכליו; והחיפוש נעשה בלי שניתנה הסכמת המערער לביצועו, אשר אף לא הוזהר כי הוא רשאי לסרב לעריכתו. </w:t>
      </w:r>
    </w:p>
    <w:p w:rsidR="00082192" w:rsidRDefault="00082192" w:rsidP="00082192">
      <w:pPr>
        <w:pStyle w:val="Ruller41"/>
        <w:rPr>
          <w:rtl/>
        </w:rPr>
      </w:pPr>
    </w:p>
    <w:p w:rsidR="00082192" w:rsidRDefault="00082192" w:rsidP="003108F7">
      <w:pPr>
        <w:pStyle w:val="Ruller41"/>
        <w:rPr>
          <w:rtl/>
        </w:rPr>
      </w:pPr>
      <w:r>
        <w:rPr>
          <w:rtl/>
        </w:rPr>
        <w:tab/>
      </w:r>
      <w:r>
        <w:rPr>
          <w:rFonts w:hint="cs"/>
          <w:rtl/>
        </w:rPr>
        <w:t xml:space="preserve">עוד מדגיש בא כוח המערער כי אף לשיטת המשיבה, כפי שהוצגה בדיון בעל פה, </w:t>
      </w:r>
      <w:r w:rsidR="00BC1F07">
        <w:rPr>
          <w:rFonts w:hint="cs"/>
          <w:rtl/>
        </w:rPr>
        <w:t>קיים</w:t>
      </w:r>
      <w:r>
        <w:rPr>
          <w:rFonts w:hint="cs"/>
          <w:rtl/>
        </w:rPr>
        <w:t xml:space="preserve"> צורך בקביעת הנחיות או נוהל הכולל קריטריונים לצורך ביצוע חיפוש בשדה התעופה</w:t>
      </w:r>
      <w:r w:rsidR="00BC1F07">
        <w:rPr>
          <w:rFonts w:hint="cs"/>
          <w:rtl/>
        </w:rPr>
        <w:t xml:space="preserve">. </w:t>
      </w:r>
      <w:r w:rsidR="003108F7">
        <w:rPr>
          <w:rFonts w:hint="cs"/>
          <w:rtl/>
        </w:rPr>
        <w:t xml:space="preserve">לטענת המערער, </w:t>
      </w:r>
      <w:r>
        <w:rPr>
          <w:rFonts w:hint="cs"/>
          <w:rtl/>
        </w:rPr>
        <w:t xml:space="preserve">משבוצע חיפוש שלא על פי </w:t>
      </w:r>
      <w:r w:rsidR="003108F7">
        <w:rPr>
          <w:rFonts w:hint="cs"/>
          <w:rtl/>
        </w:rPr>
        <w:t xml:space="preserve">נוהל או </w:t>
      </w:r>
      <w:r>
        <w:rPr>
          <w:rFonts w:hint="cs"/>
          <w:rtl/>
        </w:rPr>
        <w:t>הנחיות</w:t>
      </w:r>
      <w:r w:rsidR="003108F7">
        <w:rPr>
          <w:rFonts w:hint="cs"/>
          <w:rtl/>
        </w:rPr>
        <w:t xml:space="preserve"> פנימיות </w:t>
      </w:r>
      <w:r w:rsidR="003108F7">
        <w:rPr>
          <w:rtl/>
        </w:rPr>
        <w:t>–</w:t>
      </w:r>
      <w:r w:rsidR="003108F7">
        <w:rPr>
          <w:rFonts w:hint="cs"/>
          <w:rtl/>
        </w:rPr>
        <w:t xml:space="preserve"> הרי ש</w:t>
      </w:r>
      <w:r>
        <w:rPr>
          <w:rFonts w:hint="cs"/>
          <w:rtl/>
        </w:rPr>
        <w:t>מדובר בחיפוש בלתי חוקי</w:t>
      </w:r>
      <w:r w:rsidR="003108F7">
        <w:rPr>
          <w:rFonts w:hint="cs"/>
          <w:rtl/>
        </w:rPr>
        <w:t>,</w:t>
      </w:r>
      <w:r>
        <w:rPr>
          <w:rFonts w:hint="cs"/>
          <w:rtl/>
        </w:rPr>
        <w:t xml:space="preserve"> ויש לזכותו מהעבירה ש</w:t>
      </w:r>
      <w:r w:rsidR="003108F7">
        <w:rPr>
          <w:rFonts w:hint="cs"/>
          <w:rtl/>
        </w:rPr>
        <w:t>בה הורשע</w:t>
      </w:r>
      <w:r>
        <w:rPr>
          <w:rFonts w:hint="cs"/>
          <w:rtl/>
        </w:rPr>
        <w:t xml:space="preserve">. </w:t>
      </w:r>
    </w:p>
    <w:p w:rsidR="00082192" w:rsidRDefault="00082192" w:rsidP="00082192">
      <w:pPr>
        <w:pStyle w:val="Ruller41"/>
        <w:rPr>
          <w:rtl/>
        </w:rPr>
      </w:pPr>
    </w:p>
    <w:p w:rsidR="00082192" w:rsidRDefault="00082192" w:rsidP="00082192">
      <w:pPr>
        <w:pStyle w:val="Ruller41"/>
        <w:rPr>
          <w:rtl/>
        </w:rPr>
      </w:pPr>
      <w:r>
        <w:rPr>
          <w:rFonts w:hint="cs"/>
          <w:rtl/>
        </w:rPr>
        <w:tab/>
        <w:t xml:space="preserve">בשולי הדברים, טוען בא כוח המערער כי לא ניתן להקיש מסקירתה של המשיבה באשר לדין החל במדינות אחרות ביחס לביצוע חיפושים במעברי גבול על ענייננו. זאת, הן מאחר שההסדרים החלים באותן מדינות כוללים הגנות נוספות על זכויותיו של מי שבוצע על גופו או בכליו חיפוש, שלא נסקרו על ידי המשיבה; הן מאחר שבדוגמאות שהובאו על ידי המשיבה כפסיקה רלוונטית ממדינות אחרות, החיפוש בוצע לאחר שהתעורר חשד לביצוע עבירה. </w:t>
      </w:r>
    </w:p>
    <w:p w:rsidR="00082192" w:rsidRDefault="00082192" w:rsidP="003108F7">
      <w:pPr>
        <w:pStyle w:val="2"/>
        <w:rPr>
          <w:rtl/>
        </w:rPr>
      </w:pPr>
      <w:r w:rsidRPr="008D533E">
        <w:rPr>
          <w:rFonts w:hint="cs"/>
          <w:rtl/>
        </w:rPr>
        <w:t>דיון והכרעה</w:t>
      </w:r>
    </w:p>
    <w:p w:rsidR="00082192" w:rsidRDefault="00082192" w:rsidP="003108F7">
      <w:pPr>
        <w:pStyle w:val="Ruller4"/>
      </w:pPr>
      <w:r>
        <w:rPr>
          <w:rFonts w:hint="cs"/>
          <w:rtl/>
        </w:rPr>
        <w:t xml:space="preserve">לאחר שעיינו בטיעוני הצדדים בכתב ובעל פה, </w:t>
      </w:r>
      <w:r w:rsidR="003108F7">
        <w:rPr>
          <w:rFonts w:hint="cs"/>
          <w:rtl/>
        </w:rPr>
        <w:t>ובשים לב כי אף המשיבה לא התנגדה לכך, אנו מחליטים</w:t>
      </w:r>
      <w:r>
        <w:rPr>
          <w:rFonts w:hint="cs"/>
          <w:rtl/>
        </w:rPr>
        <w:t xml:space="preserve"> להיעתר לבקשת רשות הערעור ולדון בה כבערעור. </w:t>
      </w:r>
    </w:p>
    <w:p w:rsidR="00082192" w:rsidRDefault="00082192" w:rsidP="00082192">
      <w:pPr>
        <w:pStyle w:val="Ruller4"/>
        <w:numPr>
          <w:ilvl w:val="0"/>
          <w:numId w:val="0"/>
        </w:numPr>
        <w:rPr>
          <w:rtl/>
        </w:rPr>
      </w:pPr>
    </w:p>
    <w:p w:rsidR="00082192" w:rsidRDefault="00082192" w:rsidP="00082192">
      <w:pPr>
        <w:pStyle w:val="Ruller4"/>
        <w:numPr>
          <w:ilvl w:val="0"/>
          <w:numId w:val="0"/>
        </w:numPr>
        <w:rPr>
          <w:rtl/>
        </w:rPr>
      </w:pPr>
      <w:r>
        <w:rPr>
          <w:rtl/>
        </w:rPr>
        <w:tab/>
      </w:r>
      <w:r>
        <w:rPr>
          <w:rFonts w:hint="cs"/>
          <w:rtl/>
        </w:rPr>
        <w:t xml:space="preserve">הבקשה שלפנינו מעוררת סוגיות כבדות משקל באשר להיקף סמכות החיפוש של שוטר על גופו או בכליו של אדם הנמצא בנמל התעופה, בהיעדר </w:t>
      </w:r>
      <w:r w:rsidRPr="00D251BC">
        <w:rPr>
          <w:rFonts w:hint="eastAsia"/>
          <w:rtl/>
        </w:rPr>
        <w:t>חשד</w:t>
      </w:r>
      <w:r w:rsidRPr="00D251BC">
        <w:rPr>
          <w:rtl/>
        </w:rPr>
        <w:t xml:space="preserve"> </w:t>
      </w:r>
      <w:r w:rsidRPr="00D251BC">
        <w:rPr>
          <w:rFonts w:hint="eastAsia"/>
          <w:rtl/>
        </w:rPr>
        <w:t>סביר</w:t>
      </w:r>
      <w:r w:rsidRPr="00D251BC">
        <w:rPr>
          <w:rtl/>
        </w:rPr>
        <w:t xml:space="preserve"> </w:t>
      </w:r>
      <w:r w:rsidRPr="00D251BC">
        <w:rPr>
          <w:rFonts w:hint="eastAsia"/>
          <w:rtl/>
        </w:rPr>
        <w:t>לכך</w:t>
      </w:r>
      <w:r w:rsidRPr="00D251BC">
        <w:rPr>
          <w:rtl/>
        </w:rPr>
        <w:t xml:space="preserve"> </w:t>
      </w:r>
      <w:r w:rsidRPr="00D251BC">
        <w:rPr>
          <w:rFonts w:hint="eastAsia"/>
          <w:rtl/>
        </w:rPr>
        <w:t>שאותו</w:t>
      </w:r>
      <w:r w:rsidRPr="00D251BC">
        <w:rPr>
          <w:rtl/>
        </w:rPr>
        <w:t xml:space="preserve"> </w:t>
      </w:r>
      <w:r w:rsidRPr="00D251BC">
        <w:rPr>
          <w:rFonts w:hint="eastAsia"/>
          <w:rtl/>
        </w:rPr>
        <w:t>אדם</w:t>
      </w:r>
      <w:r w:rsidRPr="00D251BC">
        <w:rPr>
          <w:rtl/>
        </w:rPr>
        <w:t xml:space="preserve"> </w:t>
      </w:r>
      <w:r w:rsidRPr="00D251BC">
        <w:rPr>
          <w:rFonts w:hint="eastAsia"/>
          <w:rtl/>
        </w:rPr>
        <w:t>מחזיק</w:t>
      </w:r>
      <w:r w:rsidRPr="00D251BC">
        <w:rPr>
          <w:rtl/>
        </w:rPr>
        <w:t xml:space="preserve"> </w:t>
      </w:r>
      <w:r w:rsidRPr="00D251BC">
        <w:rPr>
          <w:rFonts w:hint="eastAsia"/>
          <w:rtl/>
        </w:rPr>
        <w:t>בחפץ</w:t>
      </w:r>
      <w:r w:rsidRPr="00D251BC">
        <w:rPr>
          <w:rtl/>
        </w:rPr>
        <w:t xml:space="preserve"> </w:t>
      </w:r>
      <w:r w:rsidRPr="00D251BC">
        <w:rPr>
          <w:rFonts w:hint="eastAsia"/>
          <w:rtl/>
        </w:rPr>
        <w:t>שהחזקתו</w:t>
      </w:r>
      <w:r w:rsidRPr="00D251BC">
        <w:rPr>
          <w:rtl/>
        </w:rPr>
        <w:t xml:space="preserve"> </w:t>
      </w:r>
      <w:r w:rsidRPr="00D251BC">
        <w:rPr>
          <w:rFonts w:hint="eastAsia"/>
          <w:rtl/>
        </w:rPr>
        <w:t>אסורה</w:t>
      </w:r>
      <w:r w:rsidRPr="00D251BC">
        <w:rPr>
          <w:rtl/>
        </w:rPr>
        <w:t xml:space="preserve"> </w:t>
      </w:r>
      <w:r w:rsidRPr="00D251BC">
        <w:rPr>
          <w:rFonts w:hint="eastAsia"/>
          <w:rtl/>
        </w:rPr>
        <w:t>או</w:t>
      </w:r>
      <w:r w:rsidRPr="00D251BC">
        <w:rPr>
          <w:rtl/>
        </w:rPr>
        <w:t xml:space="preserve"> </w:t>
      </w:r>
      <w:r w:rsidRPr="00D251BC">
        <w:rPr>
          <w:rFonts w:hint="eastAsia"/>
          <w:rtl/>
        </w:rPr>
        <w:t>שהוא</w:t>
      </w:r>
      <w:r w:rsidRPr="00D251BC">
        <w:rPr>
          <w:rtl/>
        </w:rPr>
        <w:t xml:space="preserve"> </w:t>
      </w:r>
      <w:r w:rsidRPr="00D251BC">
        <w:rPr>
          <w:rFonts w:hint="eastAsia"/>
          <w:rtl/>
        </w:rPr>
        <w:t>מושא</w:t>
      </w:r>
      <w:r w:rsidRPr="00D251BC">
        <w:rPr>
          <w:rtl/>
        </w:rPr>
        <w:t xml:space="preserve"> </w:t>
      </w:r>
      <w:r w:rsidRPr="00D251BC">
        <w:rPr>
          <w:rFonts w:hint="eastAsia"/>
          <w:rtl/>
        </w:rPr>
        <w:t>לחיפוש</w:t>
      </w:r>
      <w:r w:rsidRPr="00D251BC">
        <w:rPr>
          <w:rtl/>
        </w:rPr>
        <w:t xml:space="preserve"> </w:t>
      </w:r>
      <w:r w:rsidRPr="00D251BC">
        <w:rPr>
          <w:rFonts w:hint="eastAsia"/>
          <w:rtl/>
        </w:rPr>
        <w:t>ע</w:t>
      </w:r>
      <w:r>
        <w:rPr>
          <w:rFonts w:hint="cs"/>
          <w:rtl/>
        </w:rPr>
        <w:t>ל יד</w:t>
      </w:r>
      <w:r w:rsidRPr="00D251BC">
        <w:rPr>
          <w:rFonts w:hint="eastAsia"/>
          <w:rtl/>
        </w:rPr>
        <w:t>י</w:t>
      </w:r>
      <w:r w:rsidRPr="00D251BC">
        <w:rPr>
          <w:rtl/>
        </w:rPr>
        <w:t xml:space="preserve"> </w:t>
      </w:r>
      <w:r w:rsidRPr="00D251BC">
        <w:rPr>
          <w:rFonts w:hint="eastAsia"/>
          <w:rtl/>
        </w:rPr>
        <w:t>המשטרה</w:t>
      </w:r>
      <w:r>
        <w:rPr>
          <w:rFonts w:hint="cs"/>
          <w:rtl/>
        </w:rPr>
        <w:t xml:space="preserve">. מדובר אפוא בסוגיה העשויה להשליך על היקף ההגנה על פרטיותם של מיליוני בני אדם מדי שנה (ראו למשל </w:t>
      </w:r>
      <w:r w:rsidRPr="00176234">
        <w:rPr>
          <w:rFonts w:hint="eastAsia"/>
          <w:rtl/>
        </w:rPr>
        <w:t>מבקר</w:t>
      </w:r>
      <w:r w:rsidRPr="00176234">
        <w:rPr>
          <w:rtl/>
        </w:rPr>
        <w:t xml:space="preserve"> </w:t>
      </w:r>
      <w:r w:rsidRPr="00176234">
        <w:rPr>
          <w:rFonts w:hint="eastAsia"/>
          <w:rtl/>
        </w:rPr>
        <w:t>המדינה</w:t>
      </w:r>
      <w:r w:rsidRPr="00176234">
        <w:rPr>
          <w:rtl/>
        </w:rPr>
        <w:t xml:space="preserve"> </w:t>
      </w:r>
      <w:r w:rsidRPr="00BC1F07">
        <w:rPr>
          <w:rFonts w:ascii="Century" w:hAnsi="Century" w:cs="Miriam" w:hint="eastAsia"/>
          <w:b/>
          <w:spacing w:val="0"/>
          <w:sz w:val="22"/>
          <w:szCs w:val="24"/>
          <w:rtl/>
        </w:rPr>
        <w:t>דוח</w:t>
      </w:r>
      <w:r w:rsidRPr="00BC1F07">
        <w:rPr>
          <w:rFonts w:ascii="Century" w:hAnsi="Century" w:cs="Miriam"/>
          <w:b/>
          <w:spacing w:val="0"/>
          <w:sz w:val="22"/>
          <w:szCs w:val="24"/>
          <w:rtl/>
        </w:rPr>
        <w:t xml:space="preserve"> </w:t>
      </w:r>
      <w:r w:rsidRPr="00BC1F07">
        <w:rPr>
          <w:rFonts w:ascii="Century" w:hAnsi="Century" w:cs="Miriam" w:hint="eastAsia"/>
          <w:b/>
          <w:spacing w:val="0"/>
          <w:sz w:val="22"/>
          <w:szCs w:val="24"/>
          <w:rtl/>
        </w:rPr>
        <w:t>ביקורת</w:t>
      </w:r>
      <w:r w:rsidRPr="00BC1F07">
        <w:rPr>
          <w:rFonts w:ascii="Century" w:hAnsi="Century" w:cs="Miriam"/>
          <w:b/>
          <w:spacing w:val="0"/>
          <w:sz w:val="22"/>
          <w:szCs w:val="24"/>
          <w:rtl/>
        </w:rPr>
        <w:t xml:space="preserve"> </w:t>
      </w:r>
      <w:r w:rsidRPr="00BC1F07">
        <w:rPr>
          <w:rFonts w:ascii="Century" w:hAnsi="Century" w:cs="Miriam" w:hint="eastAsia"/>
          <w:b/>
          <w:spacing w:val="0"/>
          <w:sz w:val="22"/>
          <w:szCs w:val="24"/>
          <w:rtl/>
        </w:rPr>
        <w:t>שנתי</w:t>
      </w:r>
      <w:r w:rsidRPr="00BC1F07">
        <w:rPr>
          <w:rFonts w:ascii="Century" w:hAnsi="Century" w:cs="Miriam"/>
          <w:b/>
          <w:spacing w:val="0"/>
          <w:sz w:val="22"/>
          <w:szCs w:val="24"/>
          <w:rtl/>
        </w:rPr>
        <w:t xml:space="preserve"> – 70</w:t>
      </w:r>
      <w:r w:rsidRPr="00BC1F07">
        <w:rPr>
          <w:rFonts w:ascii="Century" w:hAnsi="Century" w:cs="Miriam" w:hint="eastAsia"/>
          <w:b/>
          <w:spacing w:val="0"/>
          <w:sz w:val="22"/>
          <w:szCs w:val="24"/>
          <w:rtl/>
        </w:rPr>
        <w:t>ג</w:t>
      </w:r>
      <w:r w:rsidRPr="00BC1F07">
        <w:rPr>
          <w:rFonts w:ascii="Century" w:hAnsi="Century" w:cs="Miriam"/>
          <w:b/>
          <w:spacing w:val="0"/>
          <w:sz w:val="22"/>
          <w:szCs w:val="24"/>
          <w:rtl/>
        </w:rPr>
        <w:t xml:space="preserve"> 2020 </w:t>
      </w:r>
      <w:r w:rsidRPr="00176234">
        <w:rPr>
          <w:rtl/>
        </w:rPr>
        <w:t>487 (3.8.2020)</w:t>
      </w:r>
      <w:r>
        <w:rPr>
          <w:rFonts w:hint="cs"/>
          <w:rtl/>
        </w:rPr>
        <w:t>).</w:t>
      </w:r>
    </w:p>
    <w:p w:rsidR="00082192" w:rsidRPr="00091A61" w:rsidRDefault="00082192" w:rsidP="00082192">
      <w:pPr>
        <w:pStyle w:val="Ruller41"/>
        <w:rPr>
          <w:rtl/>
        </w:rPr>
      </w:pPr>
    </w:p>
    <w:p w:rsidR="00082192" w:rsidRDefault="00082192" w:rsidP="00215CCE">
      <w:pPr>
        <w:pStyle w:val="Ruller4"/>
        <w:numPr>
          <w:ilvl w:val="0"/>
          <w:numId w:val="0"/>
        </w:numPr>
        <w:rPr>
          <w:rtl/>
        </w:rPr>
      </w:pPr>
      <w:r>
        <w:rPr>
          <w:rtl/>
        </w:rPr>
        <w:tab/>
      </w:r>
      <w:r>
        <w:rPr>
          <w:rFonts w:hint="cs"/>
          <w:rtl/>
        </w:rPr>
        <w:t xml:space="preserve">זאת ועוד, כפי שיורחב להלן, פרשנות סעיפי החוק הרלוונטיים לענייננו אף עשויה להשליך על היקף הסמכות לערוך חיפושים נוספים בהיעדר חשד סביר כאמור על פי הוראות </w:t>
      </w:r>
      <w:r w:rsidR="00215CCE">
        <w:rPr>
          <w:rFonts w:hint="cs"/>
          <w:rtl/>
        </w:rPr>
        <w:t>פקודת הסמים</w:t>
      </w:r>
      <w:r>
        <w:rPr>
          <w:rFonts w:hint="cs"/>
          <w:rtl/>
        </w:rPr>
        <w:t xml:space="preserve"> ודברי חוק נוספים. כך, בפרט ביחס להיקף הסמכות לערוך חיפוש ברכב מכוח פקוד</w:t>
      </w:r>
      <w:r w:rsidR="00215CCE">
        <w:rPr>
          <w:rFonts w:hint="cs"/>
          <w:rtl/>
        </w:rPr>
        <w:t>ת הסמים</w:t>
      </w:r>
      <w:r>
        <w:rPr>
          <w:rFonts w:hint="cs"/>
          <w:rtl/>
        </w:rPr>
        <w:t xml:space="preserve">, שכן לשון </w:t>
      </w:r>
      <w:r w:rsidR="00215CCE">
        <w:rPr>
          <w:rFonts w:hint="cs"/>
          <w:rtl/>
        </w:rPr>
        <w:t>פקודת הסמים</w:t>
      </w:r>
      <w:r>
        <w:rPr>
          <w:rFonts w:hint="cs"/>
          <w:rtl/>
        </w:rPr>
        <w:t xml:space="preserve"> ביחס לחיפוש ברכבו של אדם וביחס לחיפוש על גופו ובכליו במעברי גבול </w:t>
      </w:r>
      <w:r>
        <w:rPr>
          <w:rFonts w:ascii="FrankRuehl" w:hint="cs"/>
          <w:rtl/>
        </w:rPr>
        <w:t xml:space="preserve">– </w:t>
      </w:r>
      <w:r>
        <w:rPr>
          <w:rFonts w:hint="cs"/>
          <w:rtl/>
        </w:rPr>
        <w:t>זהה.</w:t>
      </w:r>
    </w:p>
    <w:p w:rsidR="00082192" w:rsidRDefault="00082192" w:rsidP="003108F7">
      <w:pPr>
        <w:pStyle w:val="3"/>
        <w:rPr>
          <w:rtl/>
        </w:rPr>
      </w:pPr>
      <w:r>
        <w:rPr>
          <w:rFonts w:hint="cs"/>
          <w:rtl/>
        </w:rPr>
        <w:t>רקע: חיפוש על גופו של אדם ובכליו ללא צו</w:t>
      </w:r>
    </w:p>
    <w:p w:rsidR="00082192" w:rsidRDefault="00082192" w:rsidP="00215B3F">
      <w:pPr>
        <w:pStyle w:val="Ruller4"/>
      </w:pPr>
      <w:r>
        <w:rPr>
          <w:rFonts w:hint="cs"/>
          <w:rtl/>
        </w:rPr>
        <w:t xml:space="preserve">אין חולק כי </w:t>
      </w:r>
      <w:r w:rsidR="00BC1F07">
        <w:rPr>
          <w:rFonts w:hint="cs"/>
          <w:rtl/>
        </w:rPr>
        <w:t>עריכת</w:t>
      </w:r>
      <w:r>
        <w:rPr>
          <w:rFonts w:hint="cs"/>
          <w:rtl/>
        </w:rPr>
        <w:t xml:space="preserve"> חיפוש על גופו של אדם או בכליו כרו</w:t>
      </w:r>
      <w:r w:rsidR="00215B3F">
        <w:rPr>
          <w:rFonts w:hint="cs"/>
          <w:rtl/>
        </w:rPr>
        <w:t>כה</w:t>
      </w:r>
      <w:r>
        <w:rPr>
          <w:rFonts w:hint="cs"/>
          <w:rtl/>
        </w:rPr>
        <w:t xml:space="preserve"> בפגיעה קשה בזכותו החוקתית לפרטיות, המעוגנת בסעיף 7 לחוק-יסוד: כבוד האדם וחירותו (ראו גם ע"פ 4988/08 </w:t>
      </w:r>
      <w:r w:rsidRPr="00896C54">
        <w:rPr>
          <w:rFonts w:ascii="Century" w:hAnsi="Century" w:cs="Miriam" w:hint="cs"/>
          <w:b/>
          <w:spacing w:val="0"/>
          <w:sz w:val="22"/>
          <w:szCs w:val="24"/>
          <w:rtl/>
        </w:rPr>
        <w:t>פרחי נ' מדינת ישראל</w:t>
      </w:r>
      <w:r>
        <w:rPr>
          <w:rFonts w:hint="cs"/>
          <w:rtl/>
        </w:rPr>
        <w:t xml:space="preserve">, פסקה 12, פ"ד סה(1) 626 (2011); ע"פ 398/04 </w:t>
      </w:r>
      <w:r w:rsidRPr="006C3E20">
        <w:rPr>
          <w:rFonts w:ascii="Century" w:hAnsi="Century" w:cs="Miriam" w:hint="cs"/>
          <w:b/>
          <w:spacing w:val="0"/>
          <w:sz w:val="22"/>
          <w:szCs w:val="24"/>
          <w:rtl/>
        </w:rPr>
        <w:t xml:space="preserve">מדינת ישראל נ' </w:t>
      </w:r>
      <w:proofErr w:type="spellStart"/>
      <w:r w:rsidRPr="006C3E20">
        <w:rPr>
          <w:rFonts w:ascii="Century" w:hAnsi="Century" w:cs="Miriam" w:hint="cs"/>
          <w:b/>
          <w:spacing w:val="0"/>
          <w:sz w:val="22"/>
          <w:szCs w:val="24"/>
          <w:rtl/>
        </w:rPr>
        <w:t>בניאשווילי</w:t>
      </w:r>
      <w:proofErr w:type="spellEnd"/>
      <w:r>
        <w:rPr>
          <w:rFonts w:hint="cs"/>
          <w:rtl/>
        </w:rPr>
        <w:t xml:space="preserve">, פסקה 7 (20.12.2004) (להלן: עניין </w:t>
      </w:r>
      <w:proofErr w:type="spellStart"/>
      <w:r w:rsidRPr="006C3E20">
        <w:rPr>
          <w:rFonts w:ascii="Century" w:hAnsi="Century" w:cs="Miriam" w:hint="cs"/>
          <w:b/>
          <w:spacing w:val="0"/>
          <w:sz w:val="22"/>
          <w:szCs w:val="24"/>
          <w:rtl/>
        </w:rPr>
        <w:t>בניאשווילי</w:t>
      </w:r>
      <w:proofErr w:type="spellEnd"/>
      <w:r>
        <w:rPr>
          <w:rFonts w:ascii="Century" w:hAnsi="Century" w:cs="Miriam" w:hint="cs"/>
          <w:b/>
          <w:spacing w:val="0"/>
          <w:sz w:val="22"/>
          <w:szCs w:val="24"/>
          <w:rtl/>
        </w:rPr>
        <w:t>)</w:t>
      </w:r>
      <w:r>
        <w:rPr>
          <w:rFonts w:hint="cs"/>
          <w:rtl/>
        </w:rPr>
        <w:t xml:space="preserve">). </w:t>
      </w:r>
    </w:p>
    <w:p w:rsidR="00082192" w:rsidRDefault="00082192" w:rsidP="00082192">
      <w:pPr>
        <w:pStyle w:val="Ruller4"/>
        <w:numPr>
          <w:ilvl w:val="0"/>
          <w:numId w:val="0"/>
        </w:numPr>
        <w:rPr>
          <w:rtl/>
        </w:rPr>
      </w:pPr>
    </w:p>
    <w:p w:rsidR="00082192" w:rsidRDefault="00082192" w:rsidP="00082192">
      <w:pPr>
        <w:pStyle w:val="Ruller4"/>
        <w:numPr>
          <w:ilvl w:val="0"/>
          <w:numId w:val="0"/>
        </w:numPr>
        <w:rPr>
          <w:rtl/>
        </w:rPr>
      </w:pPr>
      <w:r>
        <w:rPr>
          <w:rFonts w:hint="cs"/>
          <w:rtl/>
        </w:rPr>
        <w:t xml:space="preserve">בהתאם לכך, נקבע בסעיף 7(ג) לחוק-יסוד זה כי על דרך הכלל: </w:t>
      </w:r>
    </w:p>
    <w:p w:rsidR="00082192" w:rsidRDefault="00082192" w:rsidP="00082192">
      <w:pPr>
        <w:pStyle w:val="Ruller41"/>
        <w:rPr>
          <w:rtl/>
        </w:rPr>
      </w:pPr>
    </w:p>
    <w:p w:rsidR="00082192" w:rsidRDefault="00082192" w:rsidP="00082192">
      <w:pPr>
        <w:pStyle w:val="Ruller5"/>
        <w:rPr>
          <w:rtl/>
        </w:rPr>
      </w:pPr>
      <w:r>
        <w:rPr>
          <w:rFonts w:hint="cs"/>
          <w:rtl/>
        </w:rPr>
        <w:t xml:space="preserve">"אין עורכים חיפוש ברשות היחיד של אדם, על גופו, בגופו או בכליו". </w:t>
      </w:r>
    </w:p>
    <w:p w:rsidR="00082192" w:rsidRDefault="00082192" w:rsidP="00082192">
      <w:pPr>
        <w:pStyle w:val="Ruller5"/>
        <w:rPr>
          <w:rtl/>
        </w:rPr>
      </w:pPr>
    </w:p>
    <w:p w:rsidR="00082192" w:rsidRPr="007C0E44" w:rsidRDefault="00082192" w:rsidP="00082192">
      <w:pPr>
        <w:pStyle w:val="Ruller5"/>
        <w:rPr>
          <w:rtl/>
        </w:rPr>
      </w:pPr>
    </w:p>
    <w:p w:rsidR="00082192" w:rsidRDefault="00082192" w:rsidP="00082192">
      <w:pPr>
        <w:pStyle w:val="Ruller41"/>
        <w:rPr>
          <w:rtl/>
        </w:rPr>
      </w:pPr>
      <w:r>
        <w:rPr>
          <w:rtl/>
        </w:rPr>
        <w:tab/>
      </w:r>
      <w:r>
        <w:rPr>
          <w:rFonts w:hint="cs"/>
          <w:rtl/>
        </w:rPr>
        <w:t xml:space="preserve">נוסף על כך, במקרים שבהם בוצע חיפוש שלא כדין </w:t>
      </w:r>
      <w:r>
        <w:rPr>
          <w:rtl/>
        </w:rPr>
        <w:t>–</w:t>
      </w:r>
      <w:r>
        <w:rPr>
          <w:rFonts w:hint="cs"/>
          <w:rtl/>
        </w:rPr>
        <w:t xml:space="preserve"> הרי שהדבר עשוי למנוע את השימוש בתוצרי החיפוש כראיה בבית משפט (סעיף 32 לחוק הגנת הפרטיות, </w:t>
      </w:r>
      <w:proofErr w:type="spellStart"/>
      <w:r>
        <w:rPr>
          <w:rFonts w:hint="cs"/>
          <w:rtl/>
        </w:rPr>
        <w:t>התשמ"א</w:t>
      </w:r>
      <w:proofErr w:type="spellEnd"/>
      <w:r>
        <w:rPr>
          <w:rtl/>
        </w:rPr>
        <w:t>–</w:t>
      </w:r>
      <w:r>
        <w:rPr>
          <w:rFonts w:hint="cs"/>
          <w:rtl/>
        </w:rPr>
        <w:t xml:space="preserve">1981; ע"פ 480/85 </w:t>
      </w:r>
      <w:proofErr w:type="spellStart"/>
      <w:r w:rsidRPr="00896C54">
        <w:rPr>
          <w:rFonts w:ascii="Century" w:hAnsi="Century" w:cs="Miriam" w:hint="cs"/>
          <w:b/>
          <w:spacing w:val="0"/>
          <w:szCs w:val="24"/>
          <w:rtl/>
        </w:rPr>
        <w:t>קורטאם</w:t>
      </w:r>
      <w:proofErr w:type="spellEnd"/>
      <w:r w:rsidRPr="00896C54">
        <w:rPr>
          <w:rFonts w:ascii="Century" w:hAnsi="Century" w:cs="Miriam" w:hint="cs"/>
          <w:b/>
          <w:spacing w:val="0"/>
          <w:szCs w:val="24"/>
          <w:rtl/>
        </w:rPr>
        <w:t xml:space="preserve"> נ' מדינת ישראל</w:t>
      </w:r>
      <w:r>
        <w:rPr>
          <w:rFonts w:hint="cs"/>
          <w:rtl/>
        </w:rPr>
        <w:t>, פ"ד מ(3) 673, 690</w:t>
      </w:r>
      <w:r>
        <w:rPr>
          <w:rtl/>
        </w:rPr>
        <w:t>–</w:t>
      </w:r>
      <w:r>
        <w:rPr>
          <w:rFonts w:hint="cs"/>
          <w:rtl/>
        </w:rPr>
        <w:t>691 (1986)).</w:t>
      </w:r>
    </w:p>
    <w:p w:rsidR="00082192" w:rsidRDefault="00082192" w:rsidP="00082192">
      <w:pPr>
        <w:pStyle w:val="Ruller41"/>
        <w:rPr>
          <w:rtl/>
        </w:rPr>
      </w:pPr>
    </w:p>
    <w:p w:rsidR="00082192" w:rsidRDefault="00082192" w:rsidP="008A0048">
      <w:pPr>
        <w:pStyle w:val="Ruller41"/>
        <w:rPr>
          <w:rtl/>
        </w:rPr>
      </w:pPr>
      <w:r>
        <w:rPr>
          <w:rtl/>
        </w:rPr>
        <w:tab/>
      </w:r>
      <w:r>
        <w:rPr>
          <w:rFonts w:hint="cs"/>
          <w:rtl/>
        </w:rPr>
        <w:t xml:space="preserve">הטעם להוראה זו מובן: החיפוש על גופו של אדם, בגופו, בכליו </w:t>
      </w:r>
      <w:proofErr w:type="spellStart"/>
      <w:r>
        <w:rPr>
          <w:rFonts w:hint="cs"/>
          <w:rtl/>
        </w:rPr>
        <w:t>ובחצריו</w:t>
      </w:r>
      <w:proofErr w:type="spellEnd"/>
      <w:r>
        <w:rPr>
          <w:rFonts w:hint="cs"/>
          <w:rtl/>
        </w:rPr>
        <w:t xml:space="preserve"> משיל ממנו את פרטיותו, לעיתים תוך פגיעה בכבודו ובאוטונומיה שלו. על כן, </w:t>
      </w:r>
      <w:r w:rsidR="008A0048">
        <w:rPr>
          <w:rFonts w:hint="cs"/>
          <w:rtl/>
        </w:rPr>
        <w:t xml:space="preserve">דרך הכלל, </w:t>
      </w:r>
      <w:r>
        <w:rPr>
          <w:rFonts w:hint="cs"/>
          <w:rtl/>
        </w:rPr>
        <w:t>בהיעדר הסמכה מפורשת בחוק, אין לערוך חיפושים מעין אלו</w:t>
      </w:r>
      <w:r w:rsidR="008A0048">
        <w:rPr>
          <w:rFonts w:hint="cs"/>
          <w:rtl/>
        </w:rPr>
        <w:t xml:space="preserve"> </w:t>
      </w:r>
      <w:r>
        <w:rPr>
          <w:rtl/>
        </w:rPr>
        <w:t>–</w:t>
      </w:r>
      <w:r>
        <w:rPr>
          <w:rFonts w:hint="cs"/>
          <w:rtl/>
        </w:rPr>
        <w:t xml:space="preserve"> וכאשר בכל זאת נפגעה זכותו של אדם לפרטיות במסגרת חיפוש בלתי חוקי, השימוש בתוצריו עשוי להיות מוגבל (ראו בסוגיה קרובה גם את בש"פ </w:t>
      </w:r>
      <w:r w:rsidRPr="00432ADE">
        <w:rPr>
          <w:rtl/>
        </w:rPr>
        <w:t>7917</w:t>
      </w:r>
      <w:r>
        <w:rPr>
          <w:rFonts w:hint="cs"/>
          <w:rtl/>
        </w:rPr>
        <w:t>/</w:t>
      </w:r>
      <w:r w:rsidRPr="00432ADE">
        <w:rPr>
          <w:rtl/>
        </w:rPr>
        <w:t xml:space="preserve">19 </w:t>
      </w:r>
      <w:r w:rsidRPr="00745C2E">
        <w:rPr>
          <w:rStyle w:val="-M"/>
          <w:rFonts w:ascii="Century" w:hAnsi="Century" w:cs="Miriam" w:hint="eastAsia"/>
          <w:b/>
          <w:spacing w:val="0"/>
          <w:szCs w:val="24"/>
          <w:rtl/>
        </w:rPr>
        <w:t>אוריך</w:t>
      </w:r>
      <w:r w:rsidRPr="00745C2E">
        <w:rPr>
          <w:rStyle w:val="-M"/>
          <w:rFonts w:ascii="Century" w:hAnsi="Century" w:cs="Miriam"/>
          <w:b/>
          <w:spacing w:val="0"/>
          <w:szCs w:val="24"/>
          <w:rtl/>
        </w:rPr>
        <w:t xml:space="preserve"> </w:t>
      </w:r>
      <w:r w:rsidRPr="00745C2E">
        <w:rPr>
          <w:rStyle w:val="-M"/>
          <w:rFonts w:ascii="Century" w:hAnsi="Century" w:cs="Miriam" w:hint="eastAsia"/>
          <w:b/>
          <w:spacing w:val="0"/>
          <w:szCs w:val="24"/>
          <w:rtl/>
        </w:rPr>
        <w:t>נ</w:t>
      </w:r>
      <w:r w:rsidRPr="00745C2E">
        <w:rPr>
          <w:rStyle w:val="-M"/>
          <w:rFonts w:ascii="Century" w:hAnsi="Century" w:cs="Miriam"/>
          <w:b/>
          <w:spacing w:val="0"/>
          <w:szCs w:val="24"/>
          <w:rtl/>
        </w:rPr>
        <w:t xml:space="preserve">' </w:t>
      </w:r>
      <w:r w:rsidRPr="00745C2E">
        <w:rPr>
          <w:rStyle w:val="-M"/>
          <w:rFonts w:ascii="Century" w:hAnsi="Century" w:cs="Miriam" w:hint="eastAsia"/>
          <w:b/>
          <w:spacing w:val="0"/>
          <w:szCs w:val="24"/>
          <w:rtl/>
        </w:rPr>
        <w:t>מדינת</w:t>
      </w:r>
      <w:r w:rsidRPr="00745C2E">
        <w:rPr>
          <w:rStyle w:val="-M"/>
          <w:rFonts w:ascii="Century" w:hAnsi="Century" w:cs="Miriam"/>
          <w:b/>
          <w:spacing w:val="0"/>
          <w:szCs w:val="24"/>
          <w:rtl/>
        </w:rPr>
        <w:t xml:space="preserve"> </w:t>
      </w:r>
      <w:r w:rsidRPr="00745C2E">
        <w:rPr>
          <w:rStyle w:val="-M"/>
          <w:rFonts w:ascii="Century" w:hAnsi="Century" w:cs="Miriam" w:hint="eastAsia"/>
          <w:b/>
          <w:spacing w:val="0"/>
          <w:szCs w:val="24"/>
          <w:rtl/>
        </w:rPr>
        <w:t>ישראל</w:t>
      </w:r>
      <w:r>
        <w:rPr>
          <w:rFonts w:hint="cs"/>
          <w:rtl/>
        </w:rPr>
        <w:t xml:space="preserve"> (25.12.2019), וכן את דעת הרוב </w:t>
      </w:r>
      <w:proofErr w:type="spellStart"/>
      <w:r>
        <w:rPr>
          <w:rFonts w:hint="cs"/>
          <w:rtl/>
        </w:rPr>
        <w:t>בבש"פ</w:t>
      </w:r>
      <w:proofErr w:type="spellEnd"/>
      <w:r>
        <w:rPr>
          <w:rFonts w:hint="cs"/>
          <w:rtl/>
        </w:rPr>
        <w:t xml:space="preserve"> </w:t>
      </w:r>
      <w:r w:rsidRPr="00432ADE">
        <w:rPr>
          <w:rtl/>
        </w:rPr>
        <w:t>1758/20</w:t>
      </w:r>
      <w:r>
        <w:rPr>
          <w:rFonts w:hint="cs"/>
          <w:rtl/>
        </w:rPr>
        <w:t xml:space="preserve"> </w:t>
      </w:r>
      <w:r w:rsidRPr="00745C2E">
        <w:rPr>
          <w:rStyle w:val="-M"/>
          <w:rFonts w:ascii="Century" w:hAnsi="Century" w:cs="Miriam" w:hint="eastAsia"/>
          <w:b/>
          <w:spacing w:val="0"/>
          <w:szCs w:val="24"/>
          <w:rtl/>
        </w:rPr>
        <w:t>אוריך</w:t>
      </w:r>
      <w:r w:rsidRPr="00745C2E">
        <w:rPr>
          <w:rStyle w:val="-M"/>
          <w:rFonts w:ascii="Century" w:hAnsi="Century" w:cs="Miriam"/>
          <w:b/>
          <w:spacing w:val="0"/>
          <w:szCs w:val="24"/>
          <w:rtl/>
        </w:rPr>
        <w:t xml:space="preserve"> </w:t>
      </w:r>
      <w:r w:rsidRPr="00745C2E">
        <w:rPr>
          <w:rStyle w:val="-M"/>
          <w:rFonts w:ascii="Century" w:hAnsi="Century" w:cs="Miriam" w:hint="eastAsia"/>
          <w:b/>
          <w:spacing w:val="0"/>
          <w:szCs w:val="24"/>
          <w:rtl/>
        </w:rPr>
        <w:t>נ</w:t>
      </w:r>
      <w:r w:rsidRPr="00745C2E">
        <w:rPr>
          <w:rStyle w:val="-M"/>
          <w:rFonts w:ascii="Century" w:hAnsi="Century" w:cs="Miriam"/>
          <w:b/>
          <w:spacing w:val="0"/>
          <w:szCs w:val="24"/>
          <w:rtl/>
        </w:rPr>
        <w:t xml:space="preserve">' </w:t>
      </w:r>
      <w:r w:rsidRPr="00745C2E">
        <w:rPr>
          <w:rStyle w:val="-M"/>
          <w:rFonts w:ascii="Century" w:hAnsi="Century" w:cs="Miriam" w:hint="eastAsia"/>
          <w:b/>
          <w:spacing w:val="0"/>
          <w:szCs w:val="24"/>
          <w:rtl/>
        </w:rPr>
        <w:t>מדינת</w:t>
      </w:r>
      <w:r w:rsidRPr="00745C2E">
        <w:rPr>
          <w:rStyle w:val="-M"/>
          <w:rFonts w:ascii="Century" w:hAnsi="Century" w:cs="Miriam"/>
          <w:b/>
          <w:spacing w:val="0"/>
          <w:szCs w:val="24"/>
          <w:rtl/>
        </w:rPr>
        <w:t xml:space="preserve"> </w:t>
      </w:r>
      <w:r w:rsidRPr="00745C2E">
        <w:rPr>
          <w:rStyle w:val="-M"/>
          <w:rFonts w:ascii="Century" w:hAnsi="Century" w:cs="Miriam" w:hint="eastAsia"/>
          <w:b/>
          <w:spacing w:val="0"/>
          <w:szCs w:val="24"/>
          <w:rtl/>
        </w:rPr>
        <w:t>ישראל</w:t>
      </w:r>
      <w:r>
        <w:rPr>
          <w:rFonts w:hint="cs"/>
          <w:rtl/>
        </w:rPr>
        <w:t xml:space="preserve"> (26.1.2021)).</w:t>
      </w:r>
    </w:p>
    <w:p w:rsidR="00082192" w:rsidRDefault="00082192" w:rsidP="00082192">
      <w:pPr>
        <w:pStyle w:val="Ruller41"/>
        <w:rPr>
          <w:rtl/>
        </w:rPr>
      </w:pPr>
    </w:p>
    <w:p w:rsidR="00082192" w:rsidRDefault="00082192" w:rsidP="00F9637C">
      <w:pPr>
        <w:pStyle w:val="Ruller41"/>
        <w:rPr>
          <w:rtl/>
        </w:rPr>
      </w:pPr>
      <w:r>
        <w:rPr>
          <w:rtl/>
        </w:rPr>
        <w:tab/>
      </w:r>
      <w:r>
        <w:rPr>
          <w:rFonts w:hint="cs"/>
          <w:rtl/>
        </w:rPr>
        <w:t xml:space="preserve">הסמכה מעין זו לערוך חיפוש על גופו של אדם או בכליו אינה יכולה להיות כללית. זאת, שכן כידוע, </w:t>
      </w:r>
      <w:r>
        <w:rPr>
          <w:rFonts w:hint="eastAsia"/>
          <w:rtl/>
        </w:rPr>
        <w:t>ככל</w:t>
      </w:r>
      <w:r>
        <w:rPr>
          <w:rtl/>
        </w:rPr>
        <w:t xml:space="preserve"> </w:t>
      </w:r>
      <w:r>
        <w:rPr>
          <w:rFonts w:hint="eastAsia"/>
          <w:rtl/>
        </w:rPr>
        <w:t>שהפגיעה</w:t>
      </w:r>
      <w:r>
        <w:rPr>
          <w:rtl/>
        </w:rPr>
        <w:t xml:space="preserve"> </w:t>
      </w:r>
      <w:r>
        <w:rPr>
          <w:rFonts w:hint="eastAsia"/>
          <w:rtl/>
        </w:rPr>
        <w:t>בזכויות</w:t>
      </w:r>
      <w:r>
        <w:rPr>
          <w:rtl/>
        </w:rPr>
        <w:t xml:space="preserve"> </w:t>
      </w:r>
      <w:r>
        <w:rPr>
          <w:rFonts w:hint="eastAsia"/>
          <w:rtl/>
        </w:rPr>
        <w:t>יסוד</w:t>
      </w:r>
      <w:r>
        <w:rPr>
          <w:rtl/>
        </w:rPr>
        <w:t xml:space="preserve"> </w:t>
      </w:r>
      <w:r>
        <w:rPr>
          <w:rFonts w:hint="eastAsia"/>
          <w:rtl/>
        </w:rPr>
        <w:t>משמעותית</w:t>
      </w:r>
      <w:r>
        <w:rPr>
          <w:rtl/>
        </w:rPr>
        <w:t xml:space="preserve"> </w:t>
      </w:r>
      <w:r>
        <w:rPr>
          <w:rFonts w:hint="eastAsia"/>
          <w:rtl/>
        </w:rPr>
        <w:t>יותר</w:t>
      </w:r>
      <w:r>
        <w:rPr>
          <w:rFonts w:hint="cs"/>
          <w:rtl/>
        </w:rPr>
        <w:t>, כך</w:t>
      </w:r>
      <w:r>
        <w:rPr>
          <w:rtl/>
        </w:rPr>
        <w:t xml:space="preserve"> </w:t>
      </w:r>
      <w:r>
        <w:rPr>
          <w:rFonts w:hint="eastAsia"/>
          <w:rtl/>
        </w:rPr>
        <w:t>יש</w:t>
      </w:r>
      <w:r>
        <w:rPr>
          <w:rtl/>
        </w:rPr>
        <w:t xml:space="preserve"> </w:t>
      </w:r>
      <w:r>
        <w:rPr>
          <w:rFonts w:hint="eastAsia"/>
          <w:rtl/>
        </w:rPr>
        <w:t>לעמוד</w:t>
      </w:r>
      <w:r>
        <w:rPr>
          <w:rtl/>
        </w:rPr>
        <w:t xml:space="preserve"> </w:t>
      </w:r>
      <w:r>
        <w:rPr>
          <w:rFonts w:hint="eastAsia"/>
          <w:rtl/>
        </w:rPr>
        <w:t>בדווקנות</w:t>
      </w:r>
      <w:r>
        <w:rPr>
          <w:rtl/>
        </w:rPr>
        <w:t xml:space="preserve"> </w:t>
      </w:r>
      <w:r>
        <w:rPr>
          <w:rFonts w:hint="eastAsia"/>
          <w:rtl/>
        </w:rPr>
        <w:t>רבה</w:t>
      </w:r>
      <w:r>
        <w:rPr>
          <w:rtl/>
        </w:rPr>
        <w:t xml:space="preserve"> </w:t>
      </w:r>
      <w:r>
        <w:rPr>
          <w:rFonts w:hint="eastAsia"/>
          <w:rtl/>
        </w:rPr>
        <w:t>יותר</w:t>
      </w:r>
      <w:r>
        <w:rPr>
          <w:rtl/>
        </w:rPr>
        <w:t xml:space="preserve"> </w:t>
      </w:r>
      <w:r>
        <w:rPr>
          <w:rFonts w:hint="eastAsia"/>
          <w:rtl/>
        </w:rPr>
        <w:t>על</w:t>
      </w:r>
      <w:r>
        <w:rPr>
          <w:rtl/>
        </w:rPr>
        <w:t xml:space="preserve"> </w:t>
      </w:r>
      <w:r>
        <w:rPr>
          <w:rFonts w:hint="eastAsia"/>
          <w:rtl/>
        </w:rPr>
        <w:t>הדרישה</w:t>
      </w:r>
      <w:r>
        <w:rPr>
          <w:rFonts w:hint="cs"/>
          <w:rtl/>
        </w:rPr>
        <w:t xml:space="preserve"> </w:t>
      </w:r>
      <w:r>
        <w:rPr>
          <w:rFonts w:hint="eastAsia"/>
          <w:rtl/>
        </w:rPr>
        <w:t>להסמכה</w:t>
      </w:r>
      <w:r>
        <w:rPr>
          <w:rtl/>
        </w:rPr>
        <w:t xml:space="preserve"> </w:t>
      </w:r>
      <w:r>
        <w:rPr>
          <w:rFonts w:hint="eastAsia"/>
          <w:rtl/>
        </w:rPr>
        <w:t>מפורשת</w:t>
      </w:r>
      <w:r>
        <w:rPr>
          <w:rFonts w:hint="cs"/>
          <w:rtl/>
        </w:rPr>
        <w:t xml:space="preserve">, זאת אף אם הסמכות בחוק </w:t>
      </w:r>
      <w:r w:rsidR="00215B3F">
        <w:rPr>
          <w:rFonts w:hint="cs"/>
          <w:rtl/>
        </w:rPr>
        <w:t>נלמדת מחוק שנחקק לפני חקיקת חוק-</w:t>
      </w:r>
      <w:r>
        <w:rPr>
          <w:rFonts w:hint="cs"/>
          <w:rtl/>
        </w:rPr>
        <w:t>יסוד: כבוד האדם וחירותו, ועומדת לו</w:t>
      </w:r>
      <w:r w:rsidR="00215B3F">
        <w:rPr>
          <w:rFonts w:hint="cs"/>
          <w:rtl/>
        </w:rPr>
        <w:t xml:space="preserve"> פסקת</w:t>
      </w:r>
      <w:r>
        <w:rPr>
          <w:rFonts w:hint="cs"/>
          <w:rtl/>
        </w:rPr>
        <w:t xml:space="preserve"> שמירת הדינים </w:t>
      </w:r>
      <w:r>
        <w:rPr>
          <w:rtl/>
        </w:rPr>
        <w:t>(</w:t>
      </w:r>
      <w:r>
        <w:rPr>
          <w:rFonts w:hint="eastAsia"/>
          <w:rtl/>
        </w:rPr>
        <w:t>ראו</w:t>
      </w:r>
      <w:r>
        <w:rPr>
          <w:rtl/>
        </w:rPr>
        <w:t xml:space="preserve"> </w:t>
      </w:r>
      <w:r>
        <w:rPr>
          <w:rFonts w:hint="eastAsia"/>
          <w:rtl/>
        </w:rPr>
        <w:t>בג</w:t>
      </w:r>
      <w:r>
        <w:rPr>
          <w:rtl/>
        </w:rPr>
        <w:t>"</w:t>
      </w:r>
      <w:r>
        <w:rPr>
          <w:rFonts w:hint="eastAsia"/>
          <w:rtl/>
        </w:rPr>
        <w:t>ץ</w:t>
      </w:r>
      <w:r>
        <w:rPr>
          <w:rtl/>
        </w:rPr>
        <w:t xml:space="preserve"> 6824/07 </w:t>
      </w:r>
      <w:proofErr w:type="spellStart"/>
      <w:r w:rsidRPr="00A95137">
        <w:rPr>
          <w:rStyle w:val="-M"/>
          <w:rFonts w:ascii="Century" w:hAnsi="Century" w:cs="Miriam" w:hint="eastAsia"/>
          <w:b/>
          <w:spacing w:val="0"/>
          <w:szCs w:val="24"/>
          <w:rtl/>
        </w:rPr>
        <w:t>מנאע</w:t>
      </w:r>
      <w:proofErr w:type="spellEnd"/>
      <w:r w:rsidRPr="00A95137">
        <w:rPr>
          <w:rStyle w:val="-M"/>
          <w:rFonts w:ascii="Century" w:hAnsi="Century" w:cs="Miriam"/>
          <w:b/>
          <w:spacing w:val="0"/>
          <w:szCs w:val="24"/>
          <w:rtl/>
        </w:rPr>
        <w:t xml:space="preserve"> </w:t>
      </w:r>
      <w:r w:rsidRPr="00A95137">
        <w:rPr>
          <w:rStyle w:val="-M"/>
          <w:rFonts w:ascii="Century" w:hAnsi="Century" w:cs="Miriam" w:hint="eastAsia"/>
          <w:b/>
          <w:spacing w:val="0"/>
          <w:szCs w:val="24"/>
          <w:rtl/>
        </w:rPr>
        <w:t>נ</w:t>
      </w:r>
      <w:r w:rsidRPr="00A95137">
        <w:rPr>
          <w:rStyle w:val="-M"/>
          <w:rFonts w:ascii="Century" w:hAnsi="Century" w:cs="Miriam"/>
          <w:b/>
          <w:spacing w:val="0"/>
          <w:szCs w:val="24"/>
          <w:rtl/>
        </w:rPr>
        <w:t xml:space="preserve">' </w:t>
      </w:r>
      <w:r w:rsidRPr="00A95137">
        <w:rPr>
          <w:rStyle w:val="-M"/>
          <w:rFonts w:ascii="Century" w:hAnsi="Century" w:cs="Miriam" w:hint="eastAsia"/>
          <w:b/>
          <w:spacing w:val="0"/>
          <w:szCs w:val="24"/>
          <w:rtl/>
        </w:rPr>
        <w:t>רשות</w:t>
      </w:r>
      <w:r w:rsidRPr="00A95137">
        <w:rPr>
          <w:rStyle w:val="-M"/>
          <w:rFonts w:ascii="Century" w:hAnsi="Century" w:cs="Miriam"/>
          <w:b/>
          <w:spacing w:val="0"/>
          <w:szCs w:val="24"/>
          <w:rtl/>
        </w:rPr>
        <w:t xml:space="preserve"> </w:t>
      </w:r>
      <w:r w:rsidRPr="00A95137">
        <w:rPr>
          <w:rStyle w:val="-M"/>
          <w:rFonts w:ascii="Century" w:hAnsi="Century" w:cs="Miriam" w:hint="eastAsia"/>
          <w:b/>
          <w:spacing w:val="0"/>
          <w:szCs w:val="24"/>
          <w:rtl/>
        </w:rPr>
        <w:t>המסים</w:t>
      </w:r>
      <w:r>
        <w:rPr>
          <w:rtl/>
        </w:rPr>
        <w:t xml:space="preserve">, </w:t>
      </w:r>
      <w:r>
        <w:rPr>
          <w:rFonts w:hint="eastAsia"/>
          <w:rtl/>
        </w:rPr>
        <w:t>פ</w:t>
      </w:r>
      <w:r>
        <w:rPr>
          <w:rtl/>
        </w:rPr>
        <w:t>"</w:t>
      </w:r>
      <w:r>
        <w:rPr>
          <w:rFonts w:hint="eastAsia"/>
          <w:rtl/>
        </w:rPr>
        <w:t>ד</w:t>
      </w:r>
      <w:r>
        <w:rPr>
          <w:rtl/>
        </w:rPr>
        <w:t xml:space="preserve"> </w:t>
      </w:r>
      <w:r>
        <w:rPr>
          <w:rFonts w:hint="eastAsia"/>
          <w:rtl/>
        </w:rPr>
        <w:t>סד</w:t>
      </w:r>
      <w:r>
        <w:rPr>
          <w:rtl/>
        </w:rPr>
        <w:t xml:space="preserve">(2) 479, 798–799 (2010). </w:t>
      </w:r>
      <w:r>
        <w:rPr>
          <w:rFonts w:hint="eastAsia"/>
          <w:rtl/>
        </w:rPr>
        <w:t>ראו</w:t>
      </w:r>
      <w:r>
        <w:rPr>
          <w:rtl/>
        </w:rPr>
        <w:t xml:space="preserve"> </w:t>
      </w:r>
      <w:r>
        <w:rPr>
          <w:rFonts w:hint="eastAsia"/>
          <w:rtl/>
        </w:rPr>
        <w:t>גם</w:t>
      </w:r>
      <w:r>
        <w:rPr>
          <w:rFonts w:hint="cs"/>
          <w:rtl/>
        </w:rPr>
        <w:t xml:space="preserve"> </w:t>
      </w:r>
      <w:proofErr w:type="spellStart"/>
      <w:r>
        <w:rPr>
          <w:rFonts w:hint="eastAsia"/>
          <w:rtl/>
        </w:rPr>
        <w:t>רע</w:t>
      </w:r>
      <w:r>
        <w:rPr>
          <w:rtl/>
        </w:rPr>
        <w:t>"</w:t>
      </w:r>
      <w:r>
        <w:rPr>
          <w:rFonts w:hint="eastAsia"/>
          <w:rtl/>
        </w:rPr>
        <w:t>פ</w:t>
      </w:r>
      <w:proofErr w:type="spellEnd"/>
      <w:r>
        <w:rPr>
          <w:rtl/>
        </w:rPr>
        <w:t xml:space="preserve"> 8182/18 </w:t>
      </w:r>
      <w:proofErr w:type="spellStart"/>
      <w:r w:rsidRPr="00A95137">
        <w:rPr>
          <w:rStyle w:val="-M"/>
          <w:rFonts w:ascii="Century" w:hAnsi="Century" w:cs="Miriam" w:hint="eastAsia"/>
          <w:b/>
          <w:spacing w:val="0"/>
          <w:szCs w:val="24"/>
          <w:rtl/>
        </w:rPr>
        <w:t>מושיא</w:t>
      </w:r>
      <w:proofErr w:type="spellEnd"/>
      <w:r w:rsidRPr="00A95137">
        <w:rPr>
          <w:rStyle w:val="-M"/>
          <w:rFonts w:ascii="Century" w:hAnsi="Century" w:cs="Miriam"/>
          <w:b/>
          <w:spacing w:val="0"/>
          <w:szCs w:val="24"/>
          <w:rtl/>
        </w:rPr>
        <w:t xml:space="preserve"> </w:t>
      </w:r>
      <w:r w:rsidRPr="00A95137">
        <w:rPr>
          <w:rStyle w:val="-M"/>
          <w:rFonts w:ascii="Century" w:hAnsi="Century" w:cs="Miriam" w:hint="eastAsia"/>
          <w:b/>
          <w:spacing w:val="0"/>
          <w:szCs w:val="24"/>
          <w:rtl/>
        </w:rPr>
        <w:t>נ</w:t>
      </w:r>
      <w:r w:rsidRPr="00A95137">
        <w:rPr>
          <w:rStyle w:val="-M"/>
          <w:rFonts w:ascii="Century" w:hAnsi="Century" w:cs="Miriam"/>
          <w:b/>
          <w:spacing w:val="0"/>
          <w:szCs w:val="24"/>
          <w:rtl/>
        </w:rPr>
        <w:t xml:space="preserve">' </w:t>
      </w:r>
      <w:r w:rsidRPr="00A95137">
        <w:rPr>
          <w:rStyle w:val="-M"/>
          <w:rFonts w:ascii="Century" w:hAnsi="Century" w:cs="Miriam" w:hint="eastAsia"/>
          <w:b/>
          <w:spacing w:val="0"/>
          <w:szCs w:val="24"/>
          <w:rtl/>
        </w:rPr>
        <w:t>מדינת</w:t>
      </w:r>
      <w:r w:rsidRPr="00A95137">
        <w:rPr>
          <w:rStyle w:val="-M"/>
          <w:rFonts w:ascii="Century" w:hAnsi="Century" w:cs="Miriam"/>
          <w:b/>
          <w:spacing w:val="0"/>
          <w:szCs w:val="24"/>
          <w:rtl/>
        </w:rPr>
        <w:t xml:space="preserve"> </w:t>
      </w:r>
      <w:r w:rsidRPr="00A95137">
        <w:rPr>
          <w:rStyle w:val="-M"/>
          <w:rFonts w:ascii="Century" w:hAnsi="Century" w:cs="Miriam" w:hint="eastAsia"/>
          <w:b/>
          <w:spacing w:val="0"/>
          <w:szCs w:val="24"/>
          <w:rtl/>
        </w:rPr>
        <w:t>ישראל</w:t>
      </w:r>
      <w:r>
        <w:rPr>
          <w:rtl/>
        </w:rPr>
        <w:t xml:space="preserve">, </w:t>
      </w:r>
      <w:r>
        <w:rPr>
          <w:rFonts w:hint="eastAsia"/>
          <w:rtl/>
        </w:rPr>
        <w:t>פסקה</w:t>
      </w:r>
      <w:r>
        <w:rPr>
          <w:rtl/>
        </w:rPr>
        <w:t xml:space="preserve"> 7 </w:t>
      </w:r>
      <w:r>
        <w:rPr>
          <w:rFonts w:hint="eastAsia"/>
          <w:rtl/>
        </w:rPr>
        <w:t>לפסק</w:t>
      </w:r>
      <w:r>
        <w:rPr>
          <w:rtl/>
        </w:rPr>
        <w:t xml:space="preserve"> </w:t>
      </w:r>
      <w:r>
        <w:rPr>
          <w:rFonts w:hint="eastAsia"/>
          <w:rtl/>
        </w:rPr>
        <w:t>דיני</w:t>
      </w:r>
      <w:r>
        <w:rPr>
          <w:rtl/>
        </w:rPr>
        <w:t xml:space="preserve"> (18.2.2020)).</w:t>
      </w:r>
    </w:p>
    <w:p w:rsidR="00082192" w:rsidRDefault="00082192" w:rsidP="00082192">
      <w:pPr>
        <w:pStyle w:val="Ruller41"/>
        <w:rPr>
          <w:rtl/>
        </w:rPr>
      </w:pPr>
    </w:p>
    <w:p w:rsidR="00082192" w:rsidRDefault="00082192" w:rsidP="00082192">
      <w:pPr>
        <w:pStyle w:val="Ruller41"/>
        <w:rPr>
          <w:rtl/>
        </w:rPr>
      </w:pPr>
      <w:r>
        <w:rPr>
          <w:rFonts w:hint="cs"/>
          <w:rtl/>
        </w:rPr>
        <w:t xml:space="preserve">כפי שהבהרתי בעניין </w:t>
      </w:r>
      <w:r w:rsidRPr="00A95137">
        <w:rPr>
          <w:rStyle w:val="-M"/>
          <w:rFonts w:ascii="Century" w:hAnsi="Century" w:cs="Miriam" w:hint="cs"/>
          <w:b/>
          <w:spacing w:val="0"/>
          <w:szCs w:val="24"/>
          <w:rtl/>
        </w:rPr>
        <w:t>פרש</w:t>
      </w:r>
      <w:r>
        <w:rPr>
          <w:rFonts w:hint="cs"/>
          <w:rtl/>
        </w:rPr>
        <w:t>:</w:t>
      </w:r>
    </w:p>
    <w:p w:rsidR="00082192" w:rsidRDefault="00082192" w:rsidP="00082192">
      <w:pPr>
        <w:pStyle w:val="Ruller41"/>
        <w:rPr>
          <w:rtl/>
        </w:rPr>
      </w:pPr>
    </w:p>
    <w:p w:rsidR="00082192" w:rsidRDefault="00082192" w:rsidP="00082192">
      <w:pPr>
        <w:pStyle w:val="af0"/>
        <w:rPr>
          <w:rtl/>
        </w:rPr>
      </w:pPr>
      <w:r>
        <w:rPr>
          <w:rFonts w:hint="cs"/>
          <w:rtl/>
        </w:rPr>
        <w:t>"</w:t>
      </w:r>
      <w:r>
        <w:rPr>
          <w:rFonts w:hint="eastAsia"/>
          <w:rtl/>
        </w:rPr>
        <w:t>דרישה</w:t>
      </w:r>
      <w:r>
        <w:rPr>
          <w:rtl/>
        </w:rPr>
        <w:t xml:space="preserve"> </w:t>
      </w:r>
      <w:r>
        <w:rPr>
          <w:rFonts w:hint="eastAsia"/>
          <w:rtl/>
        </w:rPr>
        <w:t>זו</w:t>
      </w:r>
      <w:r>
        <w:rPr>
          <w:rtl/>
        </w:rPr>
        <w:t xml:space="preserve"> </w:t>
      </w:r>
      <w:r>
        <w:rPr>
          <w:rFonts w:hint="eastAsia"/>
          <w:rtl/>
        </w:rPr>
        <w:t>להסמכה</w:t>
      </w:r>
      <w:r>
        <w:rPr>
          <w:rtl/>
        </w:rPr>
        <w:t xml:space="preserve"> </w:t>
      </w:r>
      <w:r>
        <w:rPr>
          <w:rFonts w:hint="eastAsia"/>
          <w:rtl/>
        </w:rPr>
        <w:t>מפורשת</w:t>
      </w:r>
      <w:r>
        <w:rPr>
          <w:rtl/>
        </w:rPr>
        <w:t xml:space="preserve"> </w:t>
      </w:r>
      <w:r>
        <w:rPr>
          <w:rFonts w:hint="eastAsia"/>
          <w:rtl/>
        </w:rPr>
        <w:t>בחוק</w:t>
      </w:r>
      <w:r>
        <w:rPr>
          <w:rtl/>
        </w:rPr>
        <w:t xml:space="preserve"> </w:t>
      </w:r>
      <w:r>
        <w:rPr>
          <w:rFonts w:hint="eastAsia"/>
          <w:rtl/>
        </w:rPr>
        <w:t>עשויה</w:t>
      </w:r>
      <w:r>
        <w:rPr>
          <w:rtl/>
        </w:rPr>
        <w:t xml:space="preserve"> </w:t>
      </w:r>
      <w:r>
        <w:rPr>
          <w:rFonts w:hint="eastAsia"/>
          <w:rtl/>
        </w:rPr>
        <w:t>להגביר</w:t>
      </w:r>
      <w:r>
        <w:rPr>
          <w:rtl/>
        </w:rPr>
        <w:t xml:space="preserve"> </w:t>
      </w:r>
      <w:r>
        <w:rPr>
          <w:rFonts w:hint="eastAsia"/>
          <w:rtl/>
        </w:rPr>
        <w:t>את</w:t>
      </w:r>
      <w:r>
        <w:rPr>
          <w:rtl/>
        </w:rPr>
        <w:t xml:space="preserve"> </w:t>
      </w:r>
      <w:r>
        <w:rPr>
          <w:rFonts w:hint="eastAsia"/>
          <w:rtl/>
        </w:rPr>
        <w:t>הפיקוח</w:t>
      </w:r>
      <w:r>
        <w:rPr>
          <w:rtl/>
        </w:rPr>
        <w:t xml:space="preserve"> </w:t>
      </w:r>
      <w:r>
        <w:rPr>
          <w:rFonts w:hint="eastAsia"/>
          <w:rtl/>
        </w:rPr>
        <w:t>על</w:t>
      </w:r>
      <w:r>
        <w:rPr>
          <w:rtl/>
        </w:rPr>
        <w:t xml:space="preserve"> </w:t>
      </w:r>
      <w:r>
        <w:rPr>
          <w:rFonts w:hint="eastAsia"/>
          <w:rtl/>
        </w:rPr>
        <w:t>החלטות</w:t>
      </w:r>
      <w:r>
        <w:rPr>
          <w:rtl/>
        </w:rPr>
        <w:t xml:space="preserve"> </w:t>
      </w:r>
      <w:r>
        <w:rPr>
          <w:rFonts w:hint="eastAsia"/>
          <w:rtl/>
        </w:rPr>
        <w:t>הרשות</w:t>
      </w:r>
      <w:r>
        <w:rPr>
          <w:rtl/>
        </w:rPr>
        <w:t xml:space="preserve">, </w:t>
      </w:r>
      <w:r>
        <w:rPr>
          <w:rFonts w:hint="eastAsia"/>
          <w:rtl/>
        </w:rPr>
        <w:t>לצמצם</w:t>
      </w:r>
      <w:r>
        <w:rPr>
          <w:rtl/>
        </w:rPr>
        <w:t xml:space="preserve"> </w:t>
      </w:r>
      <w:r>
        <w:rPr>
          <w:rFonts w:hint="eastAsia"/>
          <w:rtl/>
        </w:rPr>
        <w:t>את</w:t>
      </w:r>
      <w:r>
        <w:rPr>
          <w:rtl/>
        </w:rPr>
        <w:t xml:space="preserve"> </w:t>
      </w:r>
      <w:r>
        <w:rPr>
          <w:rFonts w:hint="eastAsia"/>
          <w:rtl/>
        </w:rPr>
        <w:t>החשש</w:t>
      </w:r>
      <w:r>
        <w:rPr>
          <w:rtl/>
        </w:rPr>
        <w:t xml:space="preserve"> </w:t>
      </w:r>
      <w:r>
        <w:rPr>
          <w:rFonts w:hint="eastAsia"/>
          <w:rtl/>
        </w:rPr>
        <w:t>לפגיעה</w:t>
      </w:r>
      <w:r>
        <w:rPr>
          <w:rtl/>
        </w:rPr>
        <w:t xml:space="preserve"> </w:t>
      </w:r>
      <w:r>
        <w:rPr>
          <w:rFonts w:hint="eastAsia"/>
          <w:rtl/>
        </w:rPr>
        <w:t>לא</w:t>
      </w:r>
      <w:r>
        <w:rPr>
          <w:rtl/>
        </w:rPr>
        <w:t xml:space="preserve"> </w:t>
      </w:r>
      <w:r>
        <w:rPr>
          <w:rFonts w:hint="eastAsia"/>
          <w:rtl/>
        </w:rPr>
        <w:t>מידתית</w:t>
      </w:r>
      <w:r>
        <w:rPr>
          <w:rtl/>
        </w:rPr>
        <w:t xml:space="preserve"> </w:t>
      </w:r>
      <w:r>
        <w:rPr>
          <w:rFonts w:hint="eastAsia"/>
          <w:rtl/>
        </w:rPr>
        <w:t>בזכויות</w:t>
      </w:r>
      <w:r>
        <w:rPr>
          <w:rtl/>
        </w:rPr>
        <w:t xml:space="preserve">, </w:t>
      </w:r>
      <w:r>
        <w:rPr>
          <w:rFonts w:hint="eastAsia"/>
          <w:rtl/>
        </w:rPr>
        <w:lastRenderedPageBreak/>
        <w:t>ולהבטיח</w:t>
      </w:r>
      <w:r>
        <w:rPr>
          <w:rtl/>
        </w:rPr>
        <w:t xml:space="preserve"> </w:t>
      </w:r>
      <w:r>
        <w:rPr>
          <w:rFonts w:hint="eastAsia"/>
          <w:rtl/>
        </w:rPr>
        <w:t>כי</w:t>
      </w:r>
      <w:r>
        <w:rPr>
          <w:rtl/>
        </w:rPr>
        <w:t xml:space="preserve"> </w:t>
      </w:r>
      <w:r>
        <w:rPr>
          <w:rFonts w:hint="eastAsia"/>
          <w:rtl/>
        </w:rPr>
        <w:t>יתקיים</w:t>
      </w:r>
      <w:r>
        <w:rPr>
          <w:rtl/>
        </w:rPr>
        <w:t xml:space="preserve"> </w:t>
      </w:r>
      <w:r>
        <w:rPr>
          <w:rFonts w:hint="eastAsia"/>
          <w:rtl/>
        </w:rPr>
        <w:t>דיון</w:t>
      </w:r>
      <w:r>
        <w:rPr>
          <w:rtl/>
        </w:rPr>
        <w:t xml:space="preserve"> </w:t>
      </w:r>
      <w:r>
        <w:rPr>
          <w:rFonts w:hint="eastAsia"/>
          <w:rtl/>
        </w:rPr>
        <w:t>ציבורי</w:t>
      </w:r>
      <w:r>
        <w:rPr>
          <w:rtl/>
        </w:rPr>
        <w:t xml:space="preserve"> </w:t>
      </w:r>
      <w:r>
        <w:rPr>
          <w:rFonts w:hint="eastAsia"/>
          <w:rtl/>
        </w:rPr>
        <w:t>באשר</w:t>
      </w:r>
      <w:r>
        <w:rPr>
          <w:rtl/>
        </w:rPr>
        <w:t xml:space="preserve"> </w:t>
      </w:r>
      <w:r>
        <w:rPr>
          <w:rFonts w:hint="eastAsia"/>
          <w:rtl/>
        </w:rPr>
        <w:t>לאיזון</w:t>
      </w:r>
      <w:r>
        <w:rPr>
          <w:rtl/>
        </w:rPr>
        <w:t xml:space="preserve"> </w:t>
      </w:r>
      <w:r>
        <w:rPr>
          <w:rFonts w:hint="eastAsia"/>
          <w:rtl/>
        </w:rPr>
        <w:t>הראוי</w:t>
      </w:r>
      <w:r>
        <w:rPr>
          <w:rtl/>
        </w:rPr>
        <w:t xml:space="preserve"> </w:t>
      </w:r>
      <w:r>
        <w:rPr>
          <w:rFonts w:hint="eastAsia"/>
          <w:rtl/>
        </w:rPr>
        <w:t>בין</w:t>
      </w:r>
      <w:r>
        <w:rPr>
          <w:rtl/>
        </w:rPr>
        <w:t xml:space="preserve"> </w:t>
      </w:r>
      <w:r>
        <w:rPr>
          <w:rFonts w:hint="eastAsia"/>
          <w:rtl/>
        </w:rPr>
        <w:t>האינטרסים</w:t>
      </w:r>
      <w:r>
        <w:rPr>
          <w:rtl/>
        </w:rPr>
        <w:t xml:space="preserve"> </w:t>
      </w:r>
      <w:r>
        <w:rPr>
          <w:rFonts w:hint="eastAsia"/>
          <w:rtl/>
        </w:rPr>
        <w:t>והזכויות</w:t>
      </w:r>
      <w:r>
        <w:rPr>
          <w:rtl/>
        </w:rPr>
        <w:t xml:space="preserve"> </w:t>
      </w:r>
      <w:r>
        <w:rPr>
          <w:rFonts w:hint="eastAsia"/>
          <w:rtl/>
        </w:rPr>
        <w:t>המתנגשים</w:t>
      </w:r>
      <w:r>
        <w:rPr>
          <w:rFonts w:hint="cs"/>
          <w:rtl/>
        </w:rPr>
        <w:t>" (</w:t>
      </w:r>
      <w:r w:rsidRPr="00C6470B">
        <w:rPr>
          <w:rFonts w:hint="eastAsia"/>
          <w:rtl/>
        </w:rPr>
        <w:t>רע</w:t>
      </w:r>
      <w:r>
        <w:rPr>
          <w:rFonts w:hint="cs"/>
          <w:rtl/>
        </w:rPr>
        <w:t>"</w:t>
      </w:r>
      <w:r w:rsidRPr="00C6470B">
        <w:rPr>
          <w:rFonts w:hint="eastAsia"/>
          <w:rtl/>
        </w:rPr>
        <w:t>ב</w:t>
      </w:r>
      <w:r>
        <w:rPr>
          <w:rFonts w:hint="cs"/>
          <w:rtl/>
        </w:rPr>
        <w:t xml:space="preserve"> </w:t>
      </w:r>
      <w:r w:rsidRPr="00C6470B">
        <w:rPr>
          <w:rtl/>
        </w:rPr>
        <w:t xml:space="preserve">6976/18 </w:t>
      </w:r>
      <w:r w:rsidRPr="00A95137">
        <w:rPr>
          <w:rStyle w:val="-M"/>
          <w:rFonts w:ascii="Century" w:hAnsi="Century" w:cs="Miriam" w:hint="eastAsia"/>
          <w:b/>
          <w:spacing w:val="0"/>
          <w:szCs w:val="24"/>
          <w:rtl/>
        </w:rPr>
        <w:t>שירות</w:t>
      </w:r>
      <w:r w:rsidRPr="00A95137">
        <w:rPr>
          <w:rStyle w:val="-M"/>
          <w:rFonts w:ascii="Century" w:hAnsi="Century" w:cs="Miriam"/>
          <w:b/>
          <w:spacing w:val="0"/>
          <w:szCs w:val="24"/>
          <w:rtl/>
        </w:rPr>
        <w:t xml:space="preserve"> </w:t>
      </w:r>
      <w:r w:rsidRPr="00A95137">
        <w:rPr>
          <w:rStyle w:val="-M"/>
          <w:rFonts w:ascii="Century" w:hAnsi="Century" w:cs="Miriam" w:hint="eastAsia"/>
          <w:b/>
          <w:spacing w:val="0"/>
          <w:szCs w:val="24"/>
          <w:rtl/>
        </w:rPr>
        <w:t>בתי</w:t>
      </w:r>
      <w:r w:rsidRPr="00A95137">
        <w:rPr>
          <w:rStyle w:val="-M"/>
          <w:rFonts w:ascii="Century" w:hAnsi="Century" w:cs="Miriam"/>
          <w:b/>
          <w:spacing w:val="0"/>
          <w:szCs w:val="24"/>
          <w:rtl/>
        </w:rPr>
        <w:t xml:space="preserve"> </w:t>
      </w:r>
      <w:r w:rsidRPr="00A95137">
        <w:rPr>
          <w:rStyle w:val="-M"/>
          <w:rFonts w:ascii="Century" w:hAnsi="Century" w:cs="Miriam" w:hint="eastAsia"/>
          <w:b/>
          <w:spacing w:val="0"/>
          <w:szCs w:val="24"/>
          <w:rtl/>
        </w:rPr>
        <w:t>הסוהר</w:t>
      </w:r>
      <w:r w:rsidRPr="00A95137">
        <w:rPr>
          <w:rStyle w:val="-M"/>
          <w:rFonts w:ascii="Century" w:hAnsi="Century" w:cs="Miriam"/>
          <w:b/>
          <w:spacing w:val="0"/>
          <w:szCs w:val="24"/>
          <w:rtl/>
        </w:rPr>
        <w:t xml:space="preserve"> </w:t>
      </w:r>
      <w:r w:rsidRPr="00A95137">
        <w:rPr>
          <w:rStyle w:val="-M"/>
          <w:rFonts w:ascii="Century" w:hAnsi="Century" w:cs="Miriam" w:hint="eastAsia"/>
          <w:b/>
          <w:spacing w:val="0"/>
          <w:szCs w:val="24"/>
          <w:rtl/>
        </w:rPr>
        <w:t>נ</w:t>
      </w:r>
      <w:r w:rsidRPr="00A95137">
        <w:rPr>
          <w:rStyle w:val="-M"/>
          <w:rFonts w:ascii="Century" w:hAnsi="Century" w:cs="Miriam"/>
          <w:b/>
          <w:spacing w:val="0"/>
          <w:szCs w:val="24"/>
          <w:rtl/>
        </w:rPr>
        <w:t xml:space="preserve">' </w:t>
      </w:r>
      <w:r w:rsidRPr="00A95137">
        <w:rPr>
          <w:rStyle w:val="-M"/>
          <w:rFonts w:ascii="Century" w:hAnsi="Century" w:cs="Miriam" w:hint="eastAsia"/>
          <w:b/>
          <w:spacing w:val="0"/>
          <w:szCs w:val="24"/>
          <w:rtl/>
        </w:rPr>
        <w:t>פרש</w:t>
      </w:r>
      <w:r>
        <w:rPr>
          <w:rFonts w:hint="cs"/>
          <w:rtl/>
        </w:rPr>
        <w:t>, פסקה 5 לפסק דיני (16.6.2021)).</w:t>
      </w:r>
    </w:p>
    <w:p w:rsidR="00082192" w:rsidRDefault="00082192" w:rsidP="00082192">
      <w:pPr>
        <w:pStyle w:val="Ruller41"/>
        <w:rPr>
          <w:rtl/>
        </w:rPr>
      </w:pPr>
      <w:r>
        <w:rPr>
          <w:rtl/>
        </w:rPr>
        <w:tab/>
      </w:r>
      <w:r>
        <w:rPr>
          <w:rFonts w:hint="cs"/>
          <w:rtl/>
        </w:rPr>
        <w:t xml:space="preserve">יודגש, כי אף במקרים שבהם קיימת הסמכה מספקת לערוך חיפוש על גופו של אדם, יש להבטיח כי היא תיושם באופן סביר ומידתי. </w:t>
      </w:r>
    </w:p>
    <w:p w:rsidR="00082192" w:rsidRDefault="00082192" w:rsidP="00082192">
      <w:pPr>
        <w:pStyle w:val="Ruller41"/>
        <w:rPr>
          <w:rtl/>
        </w:rPr>
      </w:pPr>
    </w:p>
    <w:p w:rsidR="00082192" w:rsidRDefault="00082192" w:rsidP="00BC1F07">
      <w:pPr>
        <w:pStyle w:val="Ruller41"/>
        <w:rPr>
          <w:rtl/>
        </w:rPr>
      </w:pPr>
      <w:r>
        <w:rPr>
          <w:rtl/>
        </w:rPr>
        <w:tab/>
      </w:r>
      <w:r>
        <w:rPr>
          <w:rFonts w:hint="cs"/>
          <w:rtl/>
        </w:rPr>
        <w:t xml:space="preserve">בהתאם לכך, נקבע כי על דרך הכלל, חיפוש על גופו של אדם ובכליו </w:t>
      </w:r>
      <w:r w:rsidR="00BC1F07">
        <w:rPr>
          <w:rFonts w:hint="cs"/>
          <w:rtl/>
        </w:rPr>
        <w:t>ל</w:t>
      </w:r>
      <w:r>
        <w:rPr>
          <w:rFonts w:hint="cs"/>
          <w:rtl/>
        </w:rPr>
        <w:t xml:space="preserve">לא צו שיפוטי, מותנה בקיומו של חשד סביר </w:t>
      </w:r>
      <w:r w:rsidRPr="00D251BC">
        <w:rPr>
          <w:rFonts w:hint="eastAsia"/>
          <w:rtl/>
        </w:rPr>
        <w:t>לכך</w:t>
      </w:r>
      <w:r w:rsidRPr="00D251BC">
        <w:rPr>
          <w:rtl/>
        </w:rPr>
        <w:t xml:space="preserve"> </w:t>
      </w:r>
      <w:r w:rsidRPr="00D251BC">
        <w:rPr>
          <w:rFonts w:hint="eastAsia"/>
          <w:rtl/>
        </w:rPr>
        <w:t>שאותו</w:t>
      </w:r>
      <w:r w:rsidRPr="00D251BC">
        <w:rPr>
          <w:rtl/>
        </w:rPr>
        <w:t xml:space="preserve"> </w:t>
      </w:r>
      <w:r w:rsidRPr="00D251BC">
        <w:rPr>
          <w:rFonts w:hint="eastAsia"/>
          <w:rtl/>
        </w:rPr>
        <w:t>אדם</w:t>
      </w:r>
      <w:r w:rsidRPr="00D251BC">
        <w:rPr>
          <w:rtl/>
        </w:rPr>
        <w:t xml:space="preserve"> </w:t>
      </w:r>
      <w:r w:rsidRPr="00D251BC">
        <w:rPr>
          <w:rFonts w:hint="eastAsia"/>
          <w:rtl/>
        </w:rPr>
        <w:t>מחזיק</w:t>
      </w:r>
      <w:r w:rsidRPr="00D251BC">
        <w:rPr>
          <w:rtl/>
        </w:rPr>
        <w:t xml:space="preserve"> </w:t>
      </w:r>
      <w:r w:rsidRPr="00D251BC">
        <w:rPr>
          <w:rFonts w:hint="eastAsia"/>
          <w:rtl/>
        </w:rPr>
        <w:t>בחפץ</w:t>
      </w:r>
      <w:r w:rsidRPr="00D251BC">
        <w:rPr>
          <w:rtl/>
        </w:rPr>
        <w:t xml:space="preserve"> </w:t>
      </w:r>
      <w:r w:rsidRPr="00D251BC">
        <w:rPr>
          <w:rFonts w:hint="eastAsia"/>
          <w:rtl/>
        </w:rPr>
        <w:t>שהחזקתו</w:t>
      </w:r>
      <w:r w:rsidRPr="00D251BC">
        <w:rPr>
          <w:rtl/>
        </w:rPr>
        <w:t xml:space="preserve"> </w:t>
      </w:r>
      <w:r w:rsidRPr="00D251BC">
        <w:rPr>
          <w:rFonts w:hint="eastAsia"/>
          <w:rtl/>
        </w:rPr>
        <w:t>אסורה</w:t>
      </w:r>
      <w:r w:rsidRPr="00D251BC">
        <w:rPr>
          <w:rtl/>
        </w:rPr>
        <w:t xml:space="preserve"> </w:t>
      </w:r>
      <w:r w:rsidRPr="00D251BC">
        <w:rPr>
          <w:rFonts w:hint="eastAsia"/>
          <w:rtl/>
        </w:rPr>
        <w:t>או</w:t>
      </w:r>
      <w:r w:rsidRPr="00D251BC">
        <w:rPr>
          <w:rtl/>
        </w:rPr>
        <w:t xml:space="preserve"> </w:t>
      </w:r>
      <w:r w:rsidRPr="00D251BC">
        <w:rPr>
          <w:rFonts w:hint="eastAsia"/>
          <w:rtl/>
        </w:rPr>
        <w:t>שהוא</w:t>
      </w:r>
      <w:r w:rsidRPr="00D251BC">
        <w:rPr>
          <w:rtl/>
        </w:rPr>
        <w:t xml:space="preserve"> </w:t>
      </w:r>
      <w:r w:rsidRPr="00D251BC">
        <w:rPr>
          <w:rFonts w:hint="eastAsia"/>
          <w:rtl/>
        </w:rPr>
        <w:t>מושא</w:t>
      </w:r>
      <w:r w:rsidRPr="00D251BC">
        <w:rPr>
          <w:rtl/>
        </w:rPr>
        <w:t xml:space="preserve"> </w:t>
      </w:r>
      <w:r w:rsidRPr="00D251BC">
        <w:rPr>
          <w:rFonts w:hint="eastAsia"/>
          <w:rtl/>
        </w:rPr>
        <w:t>לחיפוש</w:t>
      </w:r>
      <w:r w:rsidRPr="00D251BC">
        <w:rPr>
          <w:rtl/>
        </w:rPr>
        <w:t xml:space="preserve"> </w:t>
      </w:r>
      <w:r w:rsidRPr="00D251BC">
        <w:rPr>
          <w:rFonts w:hint="eastAsia"/>
          <w:rtl/>
        </w:rPr>
        <w:t>ע</w:t>
      </w:r>
      <w:r>
        <w:rPr>
          <w:rFonts w:hint="cs"/>
          <w:rtl/>
        </w:rPr>
        <w:t>ל יד</w:t>
      </w:r>
      <w:r w:rsidRPr="00D251BC">
        <w:rPr>
          <w:rFonts w:hint="eastAsia"/>
          <w:rtl/>
        </w:rPr>
        <w:t>י</w:t>
      </w:r>
      <w:r w:rsidRPr="00D251BC">
        <w:rPr>
          <w:rtl/>
        </w:rPr>
        <w:t xml:space="preserve"> </w:t>
      </w:r>
      <w:r w:rsidRPr="00D251BC">
        <w:rPr>
          <w:rFonts w:hint="eastAsia"/>
          <w:rtl/>
        </w:rPr>
        <w:t>המשטרה</w:t>
      </w:r>
      <w:r>
        <w:rPr>
          <w:rFonts w:hint="cs"/>
          <w:rtl/>
        </w:rPr>
        <w:t xml:space="preserve"> (סעיף 29 לפקודת סדר הדין הפלילי (מעצר וחיפוש)</w:t>
      </w:r>
      <w:r w:rsidRPr="00897CDD">
        <w:rPr>
          <w:rFonts w:hint="cs"/>
          <w:rtl/>
        </w:rPr>
        <w:t xml:space="preserve"> </w:t>
      </w:r>
      <w:r>
        <w:rPr>
          <w:rFonts w:hint="cs"/>
          <w:rtl/>
        </w:rPr>
        <w:t xml:space="preserve">[נוסח חדש], </w:t>
      </w:r>
      <w:proofErr w:type="spellStart"/>
      <w:r>
        <w:rPr>
          <w:rFonts w:hint="cs"/>
          <w:rtl/>
        </w:rPr>
        <w:t>התשכ"ט</w:t>
      </w:r>
      <w:proofErr w:type="spellEnd"/>
      <w:r>
        <w:rPr>
          <w:rtl/>
        </w:rPr>
        <w:t>–</w:t>
      </w:r>
      <w:r>
        <w:rPr>
          <w:rFonts w:hint="cs"/>
          <w:rtl/>
        </w:rPr>
        <w:t xml:space="preserve">1969 (להלן: </w:t>
      </w:r>
      <w:r w:rsidRPr="008D533E">
        <w:rPr>
          <w:rFonts w:ascii="Century" w:hAnsi="Century" w:cs="Miriam" w:hint="cs"/>
          <w:b/>
          <w:spacing w:val="0"/>
          <w:szCs w:val="24"/>
          <w:rtl/>
        </w:rPr>
        <w:t>פקודת מעצר וחיפוש</w:t>
      </w:r>
      <w:r>
        <w:rPr>
          <w:rFonts w:hint="cs"/>
          <w:rtl/>
        </w:rPr>
        <w:t>); סעיף 9(א) לחוק הטיס</w:t>
      </w:r>
      <w:r w:rsidRPr="008D533E">
        <w:rPr>
          <w:rFonts w:hint="cs"/>
          <w:rtl/>
        </w:rPr>
        <w:t xml:space="preserve">; </w:t>
      </w:r>
      <w:r w:rsidRPr="00FB3EF9">
        <w:rPr>
          <w:rFonts w:hint="cs"/>
          <w:rtl/>
        </w:rPr>
        <w:t xml:space="preserve">סעיף 3(ב) לחוק סמכויות לשם שמירה על ביטחון הציבור, </w:t>
      </w:r>
      <w:proofErr w:type="spellStart"/>
      <w:r w:rsidRPr="00FB3EF9">
        <w:rPr>
          <w:rFonts w:hint="cs"/>
          <w:rtl/>
        </w:rPr>
        <w:t>התשס"ה</w:t>
      </w:r>
      <w:proofErr w:type="spellEnd"/>
      <w:r w:rsidRPr="00FB3EF9">
        <w:rPr>
          <w:rtl/>
        </w:rPr>
        <w:t>–</w:t>
      </w:r>
      <w:r w:rsidRPr="00FB3EF9">
        <w:rPr>
          <w:rFonts w:hint="cs"/>
          <w:rtl/>
        </w:rPr>
        <w:t xml:space="preserve">2005 (להלן: </w:t>
      </w:r>
      <w:r w:rsidRPr="00FB3EF9">
        <w:rPr>
          <w:rFonts w:ascii="Century" w:hAnsi="Century" w:cs="Miriam" w:hint="cs"/>
          <w:b/>
          <w:spacing w:val="0"/>
          <w:szCs w:val="24"/>
          <w:rtl/>
        </w:rPr>
        <w:t>חוק השמירה על ביטחון הציבור</w:t>
      </w:r>
      <w:r w:rsidRPr="00FB3EF9">
        <w:rPr>
          <w:rFonts w:hint="cs"/>
          <w:rtl/>
        </w:rPr>
        <w:t xml:space="preserve">); </w:t>
      </w:r>
      <w:proofErr w:type="spellStart"/>
      <w:r w:rsidRPr="00FB3EF9">
        <w:rPr>
          <w:rFonts w:hint="cs"/>
          <w:rtl/>
        </w:rPr>
        <w:t>רע"פ</w:t>
      </w:r>
      <w:proofErr w:type="spellEnd"/>
      <w:r w:rsidRPr="00FB3EF9">
        <w:rPr>
          <w:rFonts w:hint="cs"/>
          <w:rtl/>
        </w:rPr>
        <w:t xml:space="preserve"> 10141/09 </w:t>
      </w:r>
      <w:r w:rsidRPr="00FB3EF9">
        <w:rPr>
          <w:rFonts w:ascii="Century" w:hAnsi="Century" w:cs="Miriam" w:hint="cs"/>
          <w:b/>
          <w:spacing w:val="0"/>
          <w:szCs w:val="24"/>
          <w:rtl/>
        </w:rPr>
        <w:t>בן חיים נ' מדינת ישראל</w:t>
      </w:r>
      <w:r w:rsidRPr="00FB3EF9">
        <w:rPr>
          <w:rFonts w:hint="cs"/>
          <w:rtl/>
        </w:rPr>
        <w:t xml:space="preserve">, פ"ד סה(3) 305 </w:t>
      </w:r>
      <w:r>
        <w:rPr>
          <w:rFonts w:hint="cs"/>
          <w:rtl/>
        </w:rPr>
        <w:t xml:space="preserve">330 </w:t>
      </w:r>
      <w:r w:rsidRPr="00FB3EF9">
        <w:rPr>
          <w:rFonts w:hint="cs"/>
          <w:rtl/>
        </w:rPr>
        <w:t xml:space="preserve">(2012) (להלן: </w:t>
      </w:r>
      <w:r w:rsidRPr="00FB3EF9">
        <w:rPr>
          <w:rFonts w:ascii="Century" w:hAnsi="Century" w:cs="Miriam" w:hint="cs"/>
          <w:b/>
          <w:spacing w:val="0"/>
          <w:szCs w:val="24"/>
          <w:rtl/>
        </w:rPr>
        <w:t>עניין בן חיים</w:t>
      </w:r>
      <w:r w:rsidRPr="00FB3EF9">
        <w:rPr>
          <w:rFonts w:hint="cs"/>
          <w:rtl/>
        </w:rPr>
        <w:t>)).</w:t>
      </w:r>
    </w:p>
    <w:p w:rsidR="00082192" w:rsidRDefault="00082192" w:rsidP="00082192">
      <w:pPr>
        <w:pStyle w:val="Ruller41"/>
        <w:rPr>
          <w:rtl/>
        </w:rPr>
      </w:pPr>
    </w:p>
    <w:p w:rsidR="00082192" w:rsidRDefault="00082192" w:rsidP="00215B3F">
      <w:pPr>
        <w:pStyle w:val="Ruller41"/>
        <w:rPr>
          <w:rtl/>
        </w:rPr>
      </w:pPr>
      <w:r>
        <w:rPr>
          <w:rtl/>
        </w:rPr>
        <w:tab/>
      </w:r>
      <w:r>
        <w:rPr>
          <w:rFonts w:hint="cs"/>
          <w:rtl/>
        </w:rPr>
        <w:t>חשד סביר מעין זה עשוי להתקיים רק כאשר קיים חשד קונקרטי ואובייקטיבי על יסוד נסיבות חיצוניות כלפי האדם עליו מבוצע החיפוש כי הוא עלול לעבור עבירה או להחזיק חפץ שהחזקתו אסורה, וזאת לנוכח התנהגותו של אותו אדם (ראו לדוגמה סעיף 3(ב1) לחוק השמירה על ביטחון הציבור); קיומו של מידע בדבר ביצוע עבירה במקום ובשעה מסוימת; מידע אודות תיאור אדם החשוד בביצוע עבירה מסוימת, וכיוצא באלה (עניין</w:t>
      </w:r>
      <w:r w:rsidRPr="008D533E">
        <w:rPr>
          <w:rFonts w:hint="cs"/>
          <w:rtl/>
        </w:rPr>
        <w:t xml:space="preserve"> </w:t>
      </w:r>
      <w:r w:rsidRPr="008D533E">
        <w:rPr>
          <w:rFonts w:ascii="Century" w:hAnsi="Century" w:cs="Miriam" w:hint="cs"/>
          <w:b/>
          <w:spacing w:val="0"/>
          <w:szCs w:val="24"/>
          <w:rtl/>
        </w:rPr>
        <w:t>בן חיים</w:t>
      </w:r>
      <w:r w:rsidRPr="008D533E">
        <w:rPr>
          <w:rFonts w:hint="cs"/>
          <w:rtl/>
        </w:rPr>
        <w:t>,</w:t>
      </w:r>
      <w:r>
        <w:rPr>
          <w:rFonts w:hint="cs"/>
          <w:rtl/>
        </w:rPr>
        <w:t xml:space="preserve"> שם</w:t>
      </w:r>
      <w:r w:rsidRPr="008D533E">
        <w:rPr>
          <w:rFonts w:hint="cs"/>
          <w:rtl/>
        </w:rPr>
        <w:t>)</w:t>
      </w:r>
      <w:r>
        <w:rPr>
          <w:rFonts w:hint="cs"/>
          <w:rtl/>
        </w:rPr>
        <w:t xml:space="preserve">. </w:t>
      </w:r>
    </w:p>
    <w:p w:rsidR="00082192" w:rsidRDefault="00082192" w:rsidP="00082192">
      <w:pPr>
        <w:pStyle w:val="Ruller41"/>
        <w:rPr>
          <w:rtl/>
        </w:rPr>
      </w:pPr>
    </w:p>
    <w:p w:rsidR="00082192" w:rsidRDefault="00082192" w:rsidP="00082192">
      <w:pPr>
        <w:pStyle w:val="Ruller4"/>
        <w:rPr>
          <w:rtl/>
        </w:rPr>
      </w:pPr>
      <w:r>
        <w:rPr>
          <w:rFonts w:hint="cs"/>
          <w:rtl/>
        </w:rPr>
        <w:t xml:space="preserve">אולם, לכלל שלפיו חיפוש ייעשה רק בהתקיים חשד סביר כאמור, נקבעו בחוק חריגים צרים ומפורשים, אשר נועדו לסייע לרשויות האכיפה לסכל פעילות עבריינית מוּעדת. כך למשל, קבע המחוקק כי בנסיבות מסוימות רשאי סוהר או שוטר שקיבל למשמורתו אסיר או עצור </w:t>
      </w:r>
      <w:r>
        <w:rPr>
          <w:rFonts w:hint="cs"/>
          <w:rtl/>
        </w:rPr>
        <w:lastRenderedPageBreak/>
        <w:t>לערוך חיפוש על גופו, אף בהיעדר חשד סביר (סעיף 22</w:t>
      </w:r>
      <w:r w:rsidRPr="008D533E">
        <w:rPr>
          <w:rFonts w:hint="cs"/>
          <w:rtl/>
        </w:rPr>
        <w:t>(א) לפקודת המעצר והחיפוש</w:t>
      </w:r>
      <w:r>
        <w:rPr>
          <w:rFonts w:hint="cs"/>
          <w:rtl/>
        </w:rPr>
        <w:t xml:space="preserve">; </w:t>
      </w:r>
      <w:r w:rsidRPr="008D533E">
        <w:rPr>
          <w:rFonts w:hint="cs"/>
          <w:rtl/>
        </w:rPr>
        <w:t>סעיפים 95ג(א)</w:t>
      </w:r>
      <w:r>
        <w:rPr>
          <w:rFonts w:hint="cs"/>
          <w:rtl/>
        </w:rPr>
        <w:t xml:space="preserve"> ו-</w:t>
      </w:r>
      <w:r w:rsidRPr="008D533E">
        <w:rPr>
          <w:rFonts w:hint="cs"/>
          <w:rtl/>
        </w:rPr>
        <w:t xml:space="preserve">95ד לפקודת בתי הסוהר [נוסח משולב], </w:t>
      </w:r>
      <w:proofErr w:type="spellStart"/>
      <w:r w:rsidRPr="008D533E">
        <w:rPr>
          <w:rFonts w:hint="cs"/>
          <w:rtl/>
        </w:rPr>
        <w:t>התשל"ב</w:t>
      </w:r>
      <w:proofErr w:type="spellEnd"/>
      <w:r w:rsidRPr="008D533E">
        <w:rPr>
          <w:rtl/>
        </w:rPr>
        <w:t>–</w:t>
      </w:r>
      <w:r w:rsidRPr="008D533E">
        <w:rPr>
          <w:rFonts w:hint="cs"/>
          <w:rtl/>
        </w:rPr>
        <w:t xml:space="preserve">1971 (להלן: </w:t>
      </w:r>
      <w:r w:rsidRPr="008D533E">
        <w:rPr>
          <w:rFonts w:ascii="Century" w:hAnsi="Century" w:cs="Miriam" w:hint="cs"/>
          <w:b/>
          <w:spacing w:val="0"/>
          <w:szCs w:val="24"/>
          <w:rtl/>
        </w:rPr>
        <w:t>פקודת בתי הסוהר</w:t>
      </w:r>
      <w:r w:rsidRPr="008D533E">
        <w:rPr>
          <w:rFonts w:hint="cs"/>
          <w:rtl/>
        </w:rPr>
        <w:t>)</w:t>
      </w:r>
      <w:r>
        <w:rPr>
          <w:rFonts w:hint="cs"/>
          <w:rtl/>
        </w:rPr>
        <w:t xml:space="preserve">. כן ראו: ע"פ 777/15 </w:t>
      </w:r>
      <w:proofErr w:type="spellStart"/>
      <w:r w:rsidRPr="008D533E">
        <w:rPr>
          <w:rFonts w:ascii="Century" w:hAnsi="Century" w:cs="Miriam" w:hint="cs"/>
          <w:b/>
          <w:spacing w:val="0"/>
          <w:szCs w:val="24"/>
          <w:rtl/>
        </w:rPr>
        <w:t>חנפר</w:t>
      </w:r>
      <w:proofErr w:type="spellEnd"/>
      <w:r w:rsidRPr="008D533E">
        <w:rPr>
          <w:rFonts w:ascii="Century" w:hAnsi="Century" w:cs="Miriam" w:hint="cs"/>
          <w:b/>
          <w:spacing w:val="0"/>
          <w:szCs w:val="24"/>
          <w:rtl/>
        </w:rPr>
        <w:t xml:space="preserve"> נ' מדינת ישראל</w:t>
      </w:r>
      <w:r>
        <w:rPr>
          <w:rFonts w:hint="cs"/>
          <w:rtl/>
        </w:rPr>
        <w:t xml:space="preserve"> (30.4.2015); בג"ץ 355/79 </w:t>
      </w:r>
      <w:r w:rsidRPr="008D533E">
        <w:rPr>
          <w:rFonts w:ascii="Century" w:hAnsi="Century" w:cs="Miriam" w:hint="cs"/>
          <w:b/>
          <w:spacing w:val="0"/>
          <w:szCs w:val="24"/>
          <w:rtl/>
        </w:rPr>
        <w:t>קטלן נ' שרות בתי הסוהר</w:t>
      </w:r>
      <w:r>
        <w:rPr>
          <w:rFonts w:hint="cs"/>
          <w:rtl/>
        </w:rPr>
        <w:t xml:space="preserve">, פסקה 7 לפסק דינו של השופט (כתוארו אז) </w:t>
      </w:r>
      <w:r w:rsidRPr="008D533E">
        <w:rPr>
          <w:rFonts w:ascii="Century" w:hAnsi="Century" w:cs="Miriam" w:hint="cs"/>
          <w:b/>
          <w:spacing w:val="0"/>
          <w:szCs w:val="24"/>
          <w:rtl/>
        </w:rPr>
        <w:t>א' ברק</w:t>
      </w:r>
      <w:r>
        <w:rPr>
          <w:rFonts w:hint="cs"/>
          <w:rtl/>
        </w:rPr>
        <w:t xml:space="preserve"> (10.4.1980))</w:t>
      </w:r>
      <w:r w:rsidRPr="008D533E">
        <w:rPr>
          <w:rFonts w:hint="cs"/>
          <w:rtl/>
        </w:rPr>
        <w:t xml:space="preserve">. </w:t>
      </w:r>
      <w:r>
        <w:rPr>
          <w:rFonts w:hint="cs"/>
          <w:rtl/>
        </w:rPr>
        <w:t xml:space="preserve">  </w:t>
      </w:r>
    </w:p>
    <w:p w:rsidR="00082192" w:rsidRDefault="00082192" w:rsidP="00082192">
      <w:pPr>
        <w:pStyle w:val="Ruller41"/>
        <w:rPr>
          <w:rtl/>
        </w:rPr>
      </w:pPr>
    </w:p>
    <w:p w:rsidR="00082192" w:rsidRDefault="00082192" w:rsidP="00082192">
      <w:pPr>
        <w:pStyle w:val="Ruller41"/>
        <w:rPr>
          <w:rFonts w:ascii="Century" w:hAnsi="Century"/>
          <w:rtl/>
        </w:rPr>
      </w:pPr>
      <w:r>
        <w:rPr>
          <w:rtl/>
        </w:rPr>
        <w:tab/>
      </w:r>
      <w:r>
        <w:rPr>
          <w:rFonts w:hint="cs"/>
          <w:rtl/>
        </w:rPr>
        <w:t xml:space="preserve">חריג נוסף נקבע בפסיקת בית משפט זה, ומכוחו ניתן לערוך חיפוש על גופו של אדם, בכליו או בביתו, בהינתן הסכמה כנה ומלאה לכך (עניין </w:t>
      </w:r>
      <w:r w:rsidRPr="001C12C6">
        <w:rPr>
          <w:rFonts w:ascii="Century" w:hAnsi="Century" w:cs="Miriam" w:hint="cs"/>
          <w:b/>
          <w:spacing w:val="0"/>
          <w:szCs w:val="24"/>
          <w:rtl/>
        </w:rPr>
        <w:t>בן חיים</w:t>
      </w:r>
      <w:r>
        <w:rPr>
          <w:rFonts w:hint="cs"/>
          <w:rtl/>
        </w:rPr>
        <w:t xml:space="preserve">, </w:t>
      </w:r>
      <w:r w:rsidRPr="003A3C6D">
        <w:rPr>
          <w:rFonts w:hint="cs"/>
          <w:rtl/>
        </w:rPr>
        <w:t>בפסקה 12 לפסק דינה של הנשיאה (</w:t>
      </w:r>
      <w:proofErr w:type="spellStart"/>
      <w:r w:rsidRPr="003A3C6D">
        <w:rPr>
          <w:rFonts w:hint="cs"/>
          <w:rtl/>
        </w:rPr>
        <w:t>בדימ</w:t>
      </w:r>
      <w:proofErr w:type="spellEnd"/>
      <w:r w:rsidRPr="003A3C6D">
        <w:rPr>
          <w:rFonts w:hint="cs"/>
          <w:rtl/>
        </w:rPr>
        <w:t xml:space="preserve">') </w:t>
      </w:r>
      <w:r w:rsidRPr="003A3C6D">
        <w:rPr>
          <w:rFonts w:ascii="Century" w:hAnsi="Century" w:cs="Miriam" w:hint="cs"/>
          <w:b/>
          <w:spacing w:val="0"/>
          <w:szCs w:val="24"/>
          <w:rtl/>
        </w:rPr>
        <w:t>ד' בייניש</w:t>
      </w:r>
      <w:r w:rsidRPr="003A3C6D">
        <w:rPr>
          <w:rFonts w:ascii="Century" w:hAnsi="Century" w:hint="cs"/>
          <w:rtl/>
        </w:rPr>
        <w:t xml:space="preserve">). יוער, כי </w:t>
      </w:r>
      <w:r>
        <w:rPr>
          <w:rFonts w:ascii="Century" w:hAnsi="Century" w:hint="cs"/>
          <w:rtl/>
        </w:rPr>
        <w:t xml:space="preserve">ספק בעיני אם ראוי היה לקבוע חריג מעין זה, העלול לפגוע בפרטיותו של אדם, מכוח הפסיקה </w:t>
      </w:r>
      <w:r>
        <w:rPr>
          <w:rFonts w:ascii="Century" w:hAnsi="Century"/>
          <w:rtl/>
        </w:rPr>
        <w:t>–</w:t>
      </w:r>
      <w:r w:rsidR="00E4342C">
        <w:rPr>
          <w:rFonts w:ascii="Century" w:hAnsi="Century" w:hint="cs"/>
          <w:rtl/>
        </w:rPr>
        <w:t xml:space="preserve"> </w:t>
      </w:r>
      <w:r>
        <w:rPr>
          <w:rFonts w:ascii="Century" w:hAnsi="Century" w:hint="cs"/>
          <w:rtl/>
        </w:rPr>
        <w:t xml:space="preserve">אולם אין זה המקום להידרש לסוגיה זו (וראו עניין </w:t>
      </w:r>
      <w:r w:rsidRPr="001C12C6">
        <w:rPr>
          <w:rFonts w:ascii="Century" w:hAnsi="Century" w:cs="Miriam" w:hint="cs"/>
          <w:b/>
          <w:spacing w:val="0"/>
          <w:szCs w:val="24"/>
          <w:rtl/>
        </w:rPr>
        <w:t>בן חיים</w:t>
      </w:r>
      <w:r>
        <w:rPr>
          <w:rFonts w:ascii="Century" w:hAnsi="Century" w:hint="cs"/>
          <w:rtl/>
        </w:rPr>
        <w:t xml:space="preserve">, חוות דעתו של השופט </w:t>
      </w:r>
      <w:r w:rsidRPr="00A23B7C">
        <w:rPr>
          <w:rFonts w:ascii="Century" w:hAnsi="Century" w:cs="Miriam" w:hint="eastAsia"/>
          <w:b/>
          <w:spacing w:val="0"/>
          <w:szCs w:val="24"/>
          <w:rtl/>
        </w:rPr>
        <w:t>י</w:t>
      </w:r>
      <w:r w:rsidRPr="00A23B7C">
        <w:rPr>
          <w:rFonts w:ascii="Century" w:hAnsi="Century" w:cs="Miriam"/>
          <w:b/>
          <w:spacing w:val="0"/>
          <w:szCs w:val="24"/>
          <w:rtl/>
        </w:rPr>
        <w:t xml:space="preserve">' </w:t>
      </w:r>
      <w:proofErr w:type="spellStart"/>
      <w:r w:rsidRPr="00A23B7C">
        <w:rPr>
          <w:rFonts w:ascii="Century" w:hAnsi="Century" w:cs="Miriam" w:hint="eastAsia"/>
          <w:b/>
          <w:spacing w:val="0"/>
          <w:szCs w:val="24"/>
          <w:rtl/>
        </w:rPr>
        <w:t>דנציגר</w:t>
      </w:r>
      <w:proofErr w:type="spellEnd"/>
      <w:r>
        <w:rPr>
          <w:rFonts w:ascii="Century" w:hAnsi="Century" w:hint="cs"/>
          <w:rtl/>
        </w:rPr>
        <w:t xml:space="preserve">; </w:t>
      </w:r>
      <w:proofErr w:type="spellStart"/>
      <w:r>
        <w:rPr>
          <w:rFonts w:ascii="Century" w:hAnsi="Century" w:hint="cs"/>
          <w:rtl/>
        </w:rPr>
        <w:t>בש"פ</w:t>
      </w:r>
      <w:proofErr w:type="spellEnd"/>
      <w:r>
        <w:rPr>
          <w:rFonts w:ascii="Century" w:hAnsi="Century" w:hint="cs"/>
          <w:rtl/>
        </w:rPr>
        <w:t xml:space="preserve"> 1758/20 </w:t>
      </w:r>
      <w:r w:rsidRPr="003A3C6D">
        <w:rPr>
          <w:rFonts w:ascii="Century" w:hAnsi="Century" w:cs="Miriam" w:hint="cs"/>
          <w:b/>
          <w:spacing w:val="0"/>
          <w:szCs w:val="24"/>
          <w:rtl/>
        </w:rPr>
        <w:t>אוריך נ' מדינת ישראל</w:t>
      </w:r>
      <w:r>
        <w:rPr>
          <w:rFonts w:ascii="Century" w:hAnsi="Century" w:hint="cs"/>
          <w:rtl/>
        </w:rPr>
        <w:t xml:space="preserve">, פסקה 16 לפסק דינו של המשנה לנשיאה </w:t>
      </w:r>
      <w:r w:rsidRPr="00A23B7C">
        <w:rPr>
          <w:rFonts w:ascii="Century" w:hAnsi="Century" w:cs="Miriam" w:hint="eastAsia"/>
          <w:b/>
          <w:spacing w:val="0"/>
          <w:szCs w:val="24"/>
          <w:rtl/>
        </w:rPr>
        <w:t>ח</w:t>
      </w:r>
      <w:r w:rsidRPr="00A23B7C">
        <w:rPr>
          <w:rFonts w:ascii="Century" w:hAnsi="Century" w:cs="Miriam"/>
          <w:b/>
          <w:spacing w:val="0"/>
          <w:szCs w:val="24"/>
          <w:rtl/>
        </w:rPr>
        <w:t xml:space="preserve">' </w:t>
      </w:r>
      <w:r w:rsidRPr="00A23B7C">
        <w:rPr>
          <w:rFonts w:ascii="Century" w:hAnsi="Century" w:cs="Miriam" w:hint="eastAsia"/>
          <w:b/>
          <w:spacing w:val="0"/>
          <w:szCs w:val="24"/>
          <w:rtl/>
        </w:rPr>
        <w:t>מלצר</w:t>
      </w:r>
      <w:r>
        <w:rPr>
          <w:rFonts w:ascii="Century" w:hAnsi="Century" w:hint="cs"/>
          <w:rtl/>
        </w:rPr>
        <w:t xml:space="preserve"> (26.1.2021); ראו גם </w:t>
      </w:r>
      <w:r w:rsidR="00BC1F07">
        <w:rPr>
          <w:rFonts w:ascii="Century" w:hAnsi="Century" w:hint="cs"/>
          <w:rtl/>
        </w:rPr>
        <w:t xml:space="preserve">החלטתי </w:t>
      </w:r>
      <w:proofErr w:type="spellStart"/>
      <w:r w:rsidR="00BC1F07">
        <w:rPr>
          <w:rFonts w:ascii="Century" w:hAnsi="Century" w:hint="cs"/>
          <w:rtl/>
        </w:rPr>
        <w:t>ב</w:t>
      </w:r>
      <w:r>
        <w:rPr>
          <w:rFonts w:ascii="Century" w:hAnsi="Century" w:hint="cs"/>
          <w:rtl/>
        </w:rPr>
        <w:t>בש"פ</w:t>
      </w:r>
      <w:proofErr w:type="spellEnd"/>
      <w:r>
        <w:rPr>
          <w:rFonts w:ascii="Century" w:hAnsi="Century" w:hint="cs"/>
          <w:rtl/>
        </w:rPr>
        <w:t xml:space="preserve"> 7917/19 </w:t>
      </w:r>
      <w:r w:rsidRPr="003A3C6D">
        <w:rPr>
          <w:rFonts w:ascii="Century" w:hAnsi="Century" w:cs="Miriam" w:hint="cs"/>
          <w:b/>
          <w:spacing w:val="0"/>
          <w:szCs w:val="24"/>
          <w:rtl/>
        </w:rPr>
        <w:t>אוריך נ' מדינת ישראל</w:t>
      </w:r>
      <w:r>
        <w:rPr>
          <w:rFonts w:ascii="Century" w:hAnsi="Century" w:hint="cs"/>
          <w:rtl/>
        </w:rPr>
        <w:t xml:space="preserve">, פסקה 17 (25.12.2019)). </w:t>
      </w:r>
    </w:p>
    <w:p w:rsidR="00082192" w:rsidRPr="001C12C6" w:rsidRDefault="00082192" w:rsidP="00082192">
      <w:pPr>
        <w:pStyle w:val="Ruller41"/>
        <w:rPr>
          <w:rFonts w:ascii="Century" w:hAnsi="Century"/>
          <w:rtl/>
        </w:rPr>
      </w:pPr>
    </w:p>
    <w:p w:rsidR="00082192" w:rsidRDefault="00082192" w:rsidP="00082192">
      <w:pPr>
        <w:pStyle w:val="Ruller41"/>
        <w:rPr>
          <w:rtl/>
        </w:rPr>
      </w:pPr>
      <w:r>
        <w:rPr>
          <w:rtl/>
        </w:rPr>
        <w:tab/>
      </w:r>
      <w:r>
        <w:rPr>
          <w:rFonts w:hint="cs"/>
          <w:rtl/>
        </w:rPr>
        <w:t xml:space="preserve">נוסף על כך, קיימים סעיפי חוק המתירים לבצע חיפוש על גופו של כל אדם הנמצא במקום מסוים או בכלי תחבורה שברשותו, ובלבד שהחיפוש נועד להשיג מטרה שצוינה באופן מפורש בחוק. </w:t>
      </w:r>
    </w:p>
    <w:p w:rsidR="00082192" w:rsidRDefault="00082192" w:rsidP="00082192">
      <w:pPr>
        <w:pStyle w:val="Ruller41"/>
        <w:rPr>
          <w:rtl/>
        </w:rPr>
      </w:pPr>
    </w:p>
    <w:p w:rsidR="00082192" w:rsidRDefault="00082192" w:rsidP="00A4264D">
      <w:pPr>
        <w:pStyle w:val="Ruller41"/>
        <w:rPr>
          <w:rtl/>
        </w:rPr>
      </w:pPr>
      <w:r>
        <w:rPr>
          <w:rtl/>
        </w:rPr>
        <w:tab/>
      </w:r>
      <w:r>
        <w:rPr>
          <w:rFonts w:hint="cs"/>
          <w:rtl/>
        </w:rPr>
        <w:t>כך למשל, סוהר רשאי לערוך חיפוש על גופו של אדם המבקר בבית הסוהר "</w:t>
      </w:r>
      <w:r w:rsidRPr="00091A61">
        <w:rPr>
          <w:rFonts w:hint="eastAsia"/>
          <w:rtl/>
        </w:rPr>
        <w:t>לצורך</w:t>
      </w:r>
      <w:r w:rsidRPr="00091A61">
        <w:rPr>
          <w:rtl/>
        </w:rPr>
        <w:t xml:space="preserve"> </w:t>
      </w:r>
      <w:r w:rsidRPr="00091A61">
        <w:rPr>
          <w:rFonts w:hint="eastAsia"/>
          <w:rtl/>
        </w:rPr>
        <w:t>גילוי</w:t>
      </w:r>
      <w:r w:rsidRPr="00091A61">
        <w:rPr>
          <w:rtl/>
        </w:rPr>
        <w:t xml:space="preserve"> </w:t>
      </w:r>
      <w:r w:rsidRPr="00091A61">
        <w:rPr>
          <w:rFonts w:hint="eastAsia"/>
          <w:rtl/>
        </w:rPr>
        <w:t>חפצים</w:t>
      </w:r>
      <w:r w:rsidRPr="00091A61">
        <w:rPr>
          <w:rtl/>
        </w:rPr>
        <w:t xml:space="preserve"> </w:t>
      </w:r>
      <w:r w:rsidRPr="00091A61">
        <w:rPr>
          <w:rFonts w:hint="eastAsia"/>
          <w:rtl/>
        </w:rPr>
        <w:t>אסורים</w:t>
      </w:r>
      <w:r>
        <w:rPr>
          <w:rFonts w:hint="cs"/>
          <w:rtl/>
        </w:rPr>
        <w:t xml:space="preserve">" (סעיף 95י לפקודת בתי הסוהר); </w:t>
      </w:r>
      <w:r w:rsidRPr="00E3630F">
        <w:rPr>
          <w:rFonts w:hint="eastAsia"/>
          <w:rtl/>
        </w:rPr>
        <w:t>שוטר</w:t>
      </w:r>
      <w:r w:rsidRPr="00E3630F">
        <w:rPr>
          <w:rtl/>
        </w:rPr>
        <w:t xml:space="preserve">, </w:t>
      </w:r>
      <w:r w:rsidRPr="00E3630F">
        <w:rPr>
          <w:rFonts w:hint="eastAsia"/>
          <w:rtl/>
        </w:rPr>
        <w:t>חייל</w:t>
      </w:r>
      <w:r w:rsidRPr="00E3630F">
        <w:rPr>
          <w:rtl/>
        </w:rPr>
        <w:t xml:space="preserve"> </w:t>
      </w:r>
      <w:r w:rsidRPr="00E3630F">
        <w:rPr>
          <w:rFonts w:hint="eastAsia"/>
          <w:rtl/>
        </w:rPr>
        <w:t>מוסמך</w:t>
      </w:r>
      <w:r w:rsidRPr="00E3630F">
        <w:rPr>
          <w:rtl/>
        </w:rPr>
        <w:t xml:space="preserve"> </w:t>
      </w:r>
      <w:r w:rsidRPr="00E3630F">
        <w:rPr>
          <w:rFonts w:hint="eastAsia"/>
          <w:rtl/>
        </w:rPr>
        <w:t>או</w:t>
      </w:r>
      <w:r w:rsidRPr="00E3630F">
        <w:rPr>
          <w:rtl/>
        </w:rPr>
        <w:t xml:space="preserve"> </w:t>
      </w:r>
      <w:r w:rsidRPr="00E3630F">
        <w:rPr>
          <w:rFonts w:hint="eastAsia"/>
          <w:rtl/>
        </w:rPr>
        <w:t>מאבטח</w:t>
      </w:r>
      <w:r>
        <w:rPr>
          <w:rFonts w:hint="cs"/>
          <w:rtl/>
        </w:rPr>
        <w:t xml:space="preserve"> רשאים לערוך חיפוש "</w:t>
      </w:r>
      <w:r w:rsidRPr="00E3630F">
        <w:rPr>
          <w:rFonts w:hint="eastAsia"/>
          <w:rtl/>
        </w:rPr>
        <w:t>על</w:t>
      </w:r>
      <w:r w:rsidRPr="00E3630F">
        <w:rPr>
          <w:rtl/>
        </w:rPr>
        <w:t xml:space="preserve"> </w:t>
      </w:r>
      <w:r w:rsidRPr="00E3630F">
        <w:rPr>
          <w:rFonts w:hint="eastAsia"/>
          <w:rtl/>
        </w:rPr>
        <w:t>גופו</w:t>
      </w:r>
      <w:r w:rsidRPr="00E3630F">
        <w:rPr>
          <w:rtl/>
        </w:rPr>
        <w:t xml:space="preserve"> </w:t>
      </w:r>
      <w:r w:rsidRPr="00E3630F">
        <w:rPr>
          <w:rFonts w:hint="eastAsia"/>
          <w:rtl/>
        </w:rPr>
        <w:t>של</w:t>
      </w:r>
      <w:r w:rsidRPr="00E3630F">
        <w:rPr>
          <w:rtl/>
        </w:rPr>
        <w:t xml:space="preserve"> </w:t>
      </w:r>
      <w:r w:rsidRPr="00E3630F">
        <w:rPr>
          <w:rFonts w:hint="eastAsia"/>
          <w:rtl/>
        </w:rPr>
        <w:t>אדם</w:t>
      </w:r>
      <w:r w:rsidRPr="00E3630F">
        <w:rPr>
          <w:rtl/>
        </w:rPr>
        <w:t xml:space="preserve">, </w:t>
      </w:r>
      <w:r w:rsidRPr="00E3630F">
        <w:rPr>
          <w:rFonts w:hint="eastAsia"/>
          <w:rtl/>
        </w:rPr>
        <w:t>בכלי</w:t>
      </w:r>
      <w:r w:rsidRPr="00E3630F">
        <w:rPr>
          <w:rtl/>
        </w:rPr>
        <w:t xml:space="preserve"> </w:t>
      </w:r>
      <w:r w:rsidRPr="00E3630F">
        <w:rPr>
          <w:rFonts w:hint="eastAsia"/>
          <w:rtl/>
        </w:rPr>
        <w:t>תחבורה</w:t>
      </w:r>
      <w:r w:rsidRPr="00E3630F">
        <w:rPr>
          <w:rtl/>
        </w:rPr>
        <w:t xml:space="preserve">, </w:t>
      </w:r>
      <w:r w:rsidRPr="00E3630F">
        <w:rPr>
          <w:rFonts w:hint="eastAsia"/>
          <w:rtl/>
        </w:rPr>
        <w:t>במטען</w:t>
      </w:r>
      <w:r w:rsidRPr="00E3630F">
        <w:rPr>
          <w:rtl/>
        </w:rPr>
        <w:t xml:space="preserve">, </w:t>
      </w:r>
      <w:r w:rsidRPr="00E3630F">
        <w:rPr>
          <w:rFonts w:hint="eastAsia"/>
          <w:rtl/>
        </w:rPr>
        <w:t>בטובין</w:t>
      </w:r>
      <w:r w:rsidRPr="00E3630F">
        <w:rPr>
          <w:rtl/>
        </w:rPr>
        <w:t xml:space="preserve"> </w:t>
      </w:r>
      <w:r w:rsidRPr="00E3630F">
        <w:rPr>
          <w:rFonts w:hint="eastAsia"/>
          <w:rtl/>
        </w:rPr>
        <w:t>אחרים</w:t>
      </w:r>
      <w:r w:rsidRPr="00E3630F">
        <w:rPr>
          <w:rtl/>
        </w:rPr>
        <w:t xml:space="preserve"> – </w:t>
      </w:r>
      <w:r w:rsidRPr="00E3630F">
        <w:rPr>
          <w:rFonts w:hint="eastAsia"/>
          <w:rtl/>
        </w:rPr>
        <w:t>בעת</w:t>
      </w:r>
      <w:r w:rsidRPr="00E3630F">
        <w:rPr>
          <w:rtl/>
        </w:rPr>
        <w:t xml:space="preserve"> </w:t>
      </w:r>
      <w:r w:rsidRPr="00E3630F">
        <w:rPr>
          <w:rFonts w:hint="eastAsia"/>
          <w:rtl/>
        </w:rPr>
        <w:t>כניסה</w:t>
      </w:r>
      <w:r w:rsidRPr="00E3630F">
        <w:rPr>
          <w:rtl/>
        </w:rPr>
        <w:t xml:space="preserve"> </w:t>
      </w:r>
      <w:r w:rsidRPr="00E3630F">
        <w:rPr>
          <w:rFonts w:hint="eastAsia"/>
          <w:rtl/>
        </w:rPr>
        <w:t>לנמל</w:t>
      </w:r>
      <w:r w:rsidRPr="00E3630F">
        <w:rPr>
          <w:rtl/>
        </w:rPr>
        <w:t xml:space="preserve">, </w:t>
      </w:r>
      <w:proofErr w:type="spellStart"/>
      <w:r w:rsidRPr="00E3630F">
        <w:rPr>
          <w:rFonts w:hint="eastAsia"/>
          <w:rtl/>
        </w:rPr>
        <w:t>לבנין</w:t>
      </w:r>
      <w:proofErr w:type="spellEnd"/>
      <w:r w:rsidRPr="00E3630F">
        <w:rPr>
          <w:rtl/>
        </w:rPr>
        <w:t xml:space="preserve"> </w:t>
      </w:r>
      <w:r w:rsidRPr="00E3630F">
        <w:rPr>
          <w:rFonts w:hint="eastAsia"/>
          <w:rtl/>
        </w:rPr>
        <w:t>או</w:t>
      </w:r>
      <w:r w:rsidRPr="00E3630F">
        <w:rPr>
          <w:rtl/>
        </w:rPr>
        <w:t xml:space="preserve"> </w:t>
      </w:r>
      <w:r w:rsidRPr="00E3630F">
        <w:rPr>
          <w:rFonts w:hint="eastAsia"/>
          <w:rtl/>
        </w:rPr>
        <w:t>למ</w:t>
      </w:r>
      <w:r>
        <w:rPr>
          <w:rFonts w:hint="cs"/>
          <w:rtl/>
        </w:rPr>
        <w:t>ק</w:t>
      </w:r>
      <w:r w:rsidRPr="00E3630F">
        <w:rPr>
          <w:rFonts w:hint="eastAsia"/>
          <w:rtl/>
        </w:rPr>
        <w:t>ום</w:t>
      </w:r>
      <w:r w:rsidRPr="00E3630F">
        <w:rPr>
          <w:rtl/>
        </w:rPr>
        <w:t xml:space="preserve"> </w:t>
      </w:r>
      <w:r w:rsidRPr="00E3630F">
        <w:rPr>
          <w:rFonts w:hint="eastAsia"/>
          <w:rtl/>
        </w:rPr>
        <w:t>מגודר</w:t>
      </w:r>
      <w:r>
        <w:rPr>
          <w:rFonts w:hint="cs"/>
          <w:rtl/>
        </w:rPr>
        <w:t xml:space="preserve">" וכן במקומות נוספים שהוגדרו </w:t>
      </w:r>
      <w:r>
        <w:rPr>
          <w:rtl/>
        </w:rPr>
        <w:t>–</w:t>
      </w:r>
      <w:r>
        <w:rPr>
          <w:rFonts w:hint="cs"/>
          <w:rtl/>
        </w:rPr>
        <w:t xml:space="preserve"> ובלבד שהדבר נחוץ "</w:t>
      </w:r>
      <w:r w:rsidRPr="00E3630F">
        <w:rPr>
          <w:rFonts w:hint="eastAsia"/>
          <w:rtl/>
        </w:rPr>
        <w:t>לשם</w:t>
      </w:r>
      <w:r w:rsidRPr="00E3630F">
        <w:rPr>
          <w:rtl/>
        </w:rPr>
        <w:t xml:space="preserve"> </w:t>
      </w:r>
      <w:r w:rsidRPr="00E3630F">
        <w:rPr>
          <w:rFonts w:hint="eastAsia"/>
          <w:rtl/>
        </w:rPr>
        <w:t>שמירה</w:t>
      </w:r>
      <w:r w:rsidRPr="00E3630F">
        <w:rPr>
          <w:rtl/>
        </w:rPr>
        <w:t xml:space="preserve"> </w:t>
      </w:r>
      <w:r w:rsidRPr="00E3630F">
        <w:rPr>
          <w:rFonts w:hint="eastAsia"/>
          <w:rtl/>
        </w:rPr>
        <w:t>על</w:t>
      </w:r>
      <w:r w:rsidRPr="00E3630F">
        <w:rPr>
          <w:rtl/>
        </w:rPr>
        <w:t xml:space="preserve"> </w:t>
      </w:r>
      <w:r w:rsidRPr="00E3630F">
        <w:rPr>
          <w:rFonts w:hint="eastAsia"/>
          <w:rtl/>
        </w:rPr>
        <w:t>ביטחון</w:t>
      </w:r>
      <w:r w:rsidRPr="00E3630F">
        <w:rPr>
          <w:rtl/>
        </w:rPr>
        <w:t xml:space="preserve"> </w:t>
      </w:r>
      <w:r w:rsidRPr="00E3630F">
        <w:rPr>
          <w:rFonts w:hint="eastAsia"/>
          <w:rtl/>
        </w:rPr>
        <w:t>הציבור</w:t>
      </w:r>
      <w:r>
        <w:rPr>
          <w:rFonts w:hint="cs"/>
          <w:rtl/>
        </w:rPr>
        <w:t>" (סעיף 3(א</w:t>
      </w:r>
      <w:r w:rsidR="00A4264D">
        <w:rPr>
          <w:rFonts w:hint="cs"/>
          <w:rtl/>
        </w:rPr>
        <w:t>) לחוק השמירה על ביטחון הציבור).</w:t>
      </w:r>
      <w:r>
        <w:rPr>
          <w:rFonts w:hint="cs"/>
          <w:rtl/>
        </w:rPr>
        <w:t xml:space="preserve"> </w:t>
      </w:r>
    </w:p>
    <w:p w:rsidR="00082192" w:rsidRDefault="00082192" w:rsidP="00082192">
      <w:pPr>
        <w:pStyle w:val="Ruller41"/>
        <w:rPr>
          <w:rtl/>
        </w:rPr>
      </w:pPr>
    </w:p>
    <w:p w:rsidR="00082192" w:rsidRDefault="00082192" w:rsidP="00A4264D">
      <w:pPr>
        <w:pStyle w:val="Ruller41"/>
        <w:rPr>
          <w:rtl/>
        </w:rPr>
      </w:pPr>
      <w:r>
        <w:rPr>
          <w:rtl/>
        </w:rPr>
        <w:lastRenderedPageBreak/>
        <w:tab/>
      </w:r>
      <w:r>
        <w:rPr>
          <w:rFonts w:hint="cs"/>
          <w:rtl/>
        </w:rPr>
        <w:t>המקרה שלפנינו עוסק בדוגמה נוספת לחריג מסוג אחרון זה: סמכות שוטר לערוך חיפוש על גופו של אדם אגב כניסתו לשדה תעופה ובעת שהייתו שם "א</w:t>
      </w:r>
      <w:r w:rsidRPr="00E3630F">
        <w:rPr>
          <w:rFonts w:hint="eastAsia"/>
          <w:rtl/>
        </w:rPr>
        <w:t>ם</w:t>
      </w:r>
      <w:r w:rsidRPr="00E3630F">
        <w:rPr>
          <w:rtl/>
        </w:rPr>
        <w:t xml:space="preserve"> </w:t>
      </w:r>
      <w:r w:rsidRPr="00E3630F">
        <w:rPr>
          <w:rFonts w:hint="eastAsia"/>
          <w:rtl/>
        </w:rPr>
        <w:t>החיפוש</w:t>
      </w:r>
      <w:r w:rsidRPr="00E3630F">
        <w:rPr>
          <w:rtl/>
        </w:rPr>
        <w:t xml:space="preserve"> </w:t>
      </w:r>
      <w:r w:rsidRPr="00E3630F">
        <w:rPr>
          <w:rFonts w:hint="eastAsia"/>
          <w:rtl/>
        </w:rPr>
        <w:t>דרוש</w:t>
      </w:r>
      <w:r w:rsidRPr="00E3630F">
        <w:rPr>
          <w:rtl/>
        </w:rPr>
        <w:t xml:space="preserve"> </w:t>
      </w:r>
      <w:r w:rsidRPr="00E3630F">
        <w:rPr>
          <w:rFonts w:hint="eastAsia"/>
          <w:rtl/>
        </w:rPr>
        <w:t>לצורך</w:t>
      </w:r>
      <w:r w:rsidRPr="00E3630F">
        <w:rPr>
          <w:rtl/>
        </w:rPr>
        <w:t xml:space="preserve"> </w:t>
      </w:r>
      <w:r w:rsidRPr="00E3630F">
        <w:rPr>
          <w:rFonts w:hint="eastAsia"/>
          <w:rtl/>
        </w:rPr>
        <w:t>קיום</w:t>
      </w:r>
      <w:r w:rsidRPr="00E3630F">
        <w:rPr>
          <w:rtl/>
        </w:rPr>
        <w:t xml:space="preserve"> </w:t>
      </w:r>
      <w:r w:rsidRPr="00E3630F">
        <w:rPr>
          <w:rFonts w:hint="eastAsia"/>
          <w:rtl/>
        </w:rPr>
        <w:t>הוראות</w:t>
      </w:r>
      <w:r w:rsidR="00A4264D">
        <w:rPr>
          <w:rFonts w:hint="cs"/>
          <w:rtl/>
        </w:rPr>
        <w:t>" פקודת הסמים, וכן אם הוא סבור כי החיפוש דרוש "</w:t>
      </w:r>
      <w:r w:rsidR="00A4264D" w:rsidRPr="00E3630F">
        <w:rPr>
          <w:rFonts w:hint="eastAsia"/>
          <w:rtl/>
        </w:rPr>
        <w:t>כדי</w:t>
      </w:r>
      <w:r w:rsidR="00A4264D" w:rsidRPr="00E3630F">
        <w:rPr>
          <w:rtl/>
        </w:rPr>
        <w:t xml:space="preserve"> </w:t>
      </w:r>
      <w:r w:rsidR="00A4264D" w:rsidRPr="00E3630F">
        <w:rPr>
          <w:rFonts w:hint="eastAsia"/>
          <w:rtl/>
        </w:rPr>
        <w:t>לשמור</w:t>
      </w:r>
      <w:r w:rsidR="00A4264D" w:rsidRPr="00E3630F">
        <w:rPr>
          <w:rtl/>
        </w:rPr>
        <w:t xml:space="preserve"> </w:t>
      </w:r>
      <w:r w:rsidR="00A4264D" w:rsidRPr="00E3630F">
        <w:rPr>
          <w:rFonts w:hint="eastAsia"/>
          <w:rtl/>
        </w:rPr>
        <w:t>על</w:t>
      </w:r>
      <w:r w:rsidR="00A4264D" w:rsidRPr="00E3630F">
        <w:rPr>
          <w:rtl/>
        </w:rPr>
        <w:t xml:space="preserve"> </w:t>
      </w:r>
      <w:r w:rsidR="00A4264D" w:rsidRPr="00E3630F">
        <w:rPr>
          <w:rFonts w:hint="eastAsia"/>
          <w:rtl/>
        </w:rPr>
        <w:t>בטחון</w:t>
      </w:r>
      <w:r w:rsidR="00A4264D" w:rsidRPr="00E3630F">
        <w:rPr>
          <w:rtl/>
        </w:rPr>
        <w:t xml:space="preserve"> </w:t>
      </w:r>
      <w:r w:rsidR="00A4264D" w:rsidRPr="00E3630F">
        <w:rPr>
          <w:rFonts w:hint="eastAsia"/>
          <w:rtl/>
        </w:rPr>
        <w:t>הציבור</w:t>
      </w:r>
      <w:r w:rsidR="00A4264D">
        <w:rPr>
          <w:rFonts w:hint="cs"/>
          <w:rtl/>
        </w:rPr>
        <w:t>", לפי חוק הטיס.</w:t>
      </w:r>
    </w:p>
    <w:p w:rsidR="00082192" w:rsidRDefault="00082192" w:rsidP="00082192">
      <w:pPr>
        <w:pStyle w:val="Ruller41"/>
        <w:rPr>
          <w:rtl/>
        </w:rPr>
      </w:pPr>
    </w:p>
    <w:p w:rsidR="00082192" w:rsidRDefault="00082192" w:rsidP="00F63B55">
      <w:pPr>
        <w:pStyle w:val="Ruller41"/>
        <w:rPr>
          <w:rtl/>
        </w:rPr>
      </w:pPr>
      <w:r>
        <w:rPr>
          <w:rtl/>
        </w:rPr>
        <w:tab/>
      </w:r>
      <w:r>
        <w:rPr>
          <w:rFonts w:hint="cs"/>
          <w:rtl/>
        </w:rPr>
        <w:t xml:space="preserve">כפי שהדברים באו לידי ביטוי בדברי ההסבר להצעת החוק שבמסגרתה נחקק סעיף </w:t>
      </w:r>
      <w:r w:rsidR="00F63B55">
        <w:rPr>
          <w:rFonts w:hint="cs"/>
          <w:rtl/>
        </w:rPr>
        <w:t>28(ב)(3) לפקודת הסמים</w:t>
      </w:r>
      <w:r>
        <w:rPr>
          <w:rFonts w:hint="cs"/>
          <w:rtl/>
        </w:rPr>
        <w:t>, סמכות החיפוש האמורה בשדה התעופה הוקנתה למשטר</w:t>
      </w:r>
      <w:r w:rsidR="00D5238C">
        <w:rPr>
          <w:rFonts w:hint="cs"/>
          <w:rtl/>
        </w:rPr>
        <w:t>ת ישראל</w:t>
      </w:r>
      <w:r>
        <w:rPr>
          <w:rFonts w:hint="cs"/>
          <w:rtl/>
        </w:rPr>
        <w:t xml:space="preserve"> על רקע קשיים שבהם </w:t>
      </w:r>
      <w:r w:rsidR="00D5238C">
        <w:rPr>
          <w:rFonts w:hint="cs"/>
          <w:rtl/>
        </w:rPr>
        <w:t xml:space="preserve">היא </w:t>
      </w:r>
      <w:r>
        <w:rPr>
          <w:rFonts w:hint="cs"/>
          <w:rtl/>
        </w:rPr>
        <w:t>נתקלה בסיכול הברחות סמים לישראל ובחשיפתן:</w:t>
      </w:r>
    </w:p>
    <w:p w:rsidR="00082192" w:rsidRDefault="00082192" w:rsidP="00082192">
      <w:pPr>
        <w:pStyle w:val="Ruller41"/>
        <w:rPr>
          <w:rtl/>
        </w:rPr>
      </w:pPr>
    </w:p>
    <w:p w:rsidR="00082192" w:rsidRDefault="00082192" w:rsidP="00082192">
      <w:pPr>
        <w:pStyle w:val="Ruller5"/>
        <w:rPr>
          <w:rtl/>
        </w:rPr>
      </w:pPr>
      <w:r>
        <w:rPr>
          <w:rFonts w:hint="cs"/>
          <w:rtl/>
        </w:rPr>
        <w:t xml:space="preserve">"מוצע לתת בידי המשטרה כלי עזר להגברת יעילות פעולתה במלחמתה בנגע הסמים, ופועל יוצא מהקשיים </w:t>
      </w:r>
      <w:r w:rsidR="00F63B55">
        <w:rPr>
          <w:rFonts w:hint="cs"/>
          <w:rtl/>
        </w:rPr>
        <w:t>שבהם היא נתקלת במלחמתה לחשיפ</w:t>
      </w:r>
      <w:r>
        <w:rPr>
          <w:rFonts w:hint="cs"/>
          <w:rtl/>
        </w:rPr>
        <w:t xml:space="preserve">ת מבריחי סמים וסוחרי סמים ולאיסוף ראיות נגדם. בין השאר מכבידות בהקשר זה הוראות החוק הקיים המסדירות את החיפוש. עיקר הקושי מתגלה בתחנת הגבול, שבהן מתמקדת הלוחמה בהברחה, [...] פעילות יעילה של המשטרה מחייבת עריכת חיפושי פתע בשדות תעופה ובנמלים שלא על בסיס קיומו של חשד סביר בלב המחפש שנעברה עבירה" (דברי ההסבר להצעת חוק לתיקון פקודת הסמים המסוכנים (מס' 3), </w:t>
      </w:r>
      <w:proofErr w:type="spellStart"/>
      <w:r>
        <w:rPr>
          <w:rFonts w:hint="cs"/>
          <w:rtl/>
        </w:rPr>
        <w:t>התשמ"ח</w:t>
      </w:r>
      <w:proofErr w:type="spellEnd"/>
      <w:r>
        <w:rPr>
          <w:rtl/>
        </w:rPr>
        <w:t>–</w:t>
      </w:r>
      <w:r>
        <w:rPr>
          <w:rFonts w:hint="cs"/>
          <w:rtl/>
        </w:rPr>
        <w:t xml:space="preserve">1988, </w:t>
      </w:r>
      <w:proofErr w:type="spellStart"/>
      <w:r>
        <w:rPr>
          <w:rFonts w:hint="cs"/>
          <w:rtl/>
        </w:rPr>
        <w:t>ה"ח</w:t>
      </w:r>
      <w:proofErr w:type="spellEnd"/>
      <w:r w:rsidR="00F63B55">
        <w:rPr>
          <w:rFonts w:hint="cs"/>
          <w:rtl/>
        </w:rPr>
        <w:t xml:space="preserve"> 1893, עמ'</w:t>
      </w:r>
      <w:r>
        <w:rPr>
          <w:rFonts w:hint="cs"/>
          <w:rtl/>
        </w:rPr>
        <w:t xml:space="preserve"> 242, 243). </w:t>
      </w:r>
    </w:p>
    <w:p w:rsidR="00082192" w:rsidRDefault="00082192" w:rsidP="00082192">
      <w:pPr>
        <w:pStyle w:val="Ruller5"/>
        <w:rPr>
          <w:rtl/>
        </w:rPr>
      </w:pPr>
    </w:p>
    <w:p w:rsidR="00082192" w:rsidRDefault="00082192" w:rsidP="00082192">
      <w:pPr>
        <w:pStyle w:val="Ruller5"/>
        <w:rPr>
          <w:rtl/>
        </w:rPr>
      </w:pPr>
    </w:p>
    <w:p w:rsidR="00082192" w:rsidRDefault="00082192" w:rsidP="00BC1F07">
      <w:pPr>
        <w:pStyle w:val="Ruller41"/>
        <w:rPr>
          <w:rtl/>
        </w:rPr>
      </w:pPr>
      <w:r>
        <w:rPr>
          <w:rtl/>
        </w:rPr>
        <w:tab/>
      </w:r>
      <w:r>
        <w:rPr>
          <w:rFonts w:hint="cs"/>
          <w:rtl/>
        </w:rPr>
        <w:t>אין חולק אפוא כי במסגרת פקודת הסמים ביקש המחוקק ל</w:t>
      </w:r>
      <w:r w:rsidR="00BC1F07">
        <w:rPr>
          <w:rFonts w:hint="cs"/>
          <w:rtl/>
        </w:rPr>
        <w:t>קבוע</w:t>
      </w:r>
      <w:r>
        <w:rPr>
          <w:rFonts w:hint="cs"/>
          <w:rtl/>
        </w:rPr>
        <w:t xml:space="preserve"> </w:t>
      </w:r>
      <w:r w:rsidR="00BC1F07">
        <w:rPr>
          <w:rFonts w:hint="cs"/>
          <w:rtl/>
        </w:rPr>
        <w:t>סמכו</w:t>
      </w:r>
      <w:r>
        <w:rPr>
          <w:rFonts w:hint="cs"/>
          <w:rtl/>
        </w:rPr>
        <w:t xml:space="preserve">ת </w:t>
      </w:r>
      <w:r w:rsidR="00BC1F07">
        <w:rPr>
          <w:rFonts w:hint="cs"/>
          <w:rtl/>
        </w:rPr>
        <w:t xml:space="preserve">רחבה מהרגיל </w:t>
      </w:r>
      <w:r>
        <w:rPr>
          <w:rFonts w:hint="cs"/>
          <w:rtl/>
        </w:rPr>
        <w:t>לביצוע חיפושים על גופו של אדם בשדה התעופה</w:t>
      </w:r>
      <w:r w:rsidR="00BC1F07">
        <w:rPr>
          <w:rFonts w:hint="cs"/>
          <w:rtl/>
        </w:rPr>
        <w:t>,</w:t>
      </w:r>
      <w:r>
        <w:rPr>
          <w:rFonts w:hint="cs"/>
          <w:rtl/>
        </w:rPr>
        <w:t xml:space="preserve"> לשם חשיפת הברחות סמים</w:t>
      </w:r>
      <w:r w:rsidRPr="00E91364">
        <w:rPr>
          <w:rFonts w:hint="cs"/>
          <w:rtl/>
        </w:rPr>
        <w:t xml:space="preserve"> </w:t>
      </w:r>
      <w:r>
        <w:rPr>
          <w:rFonts w:hint="cs"/>
          <w:rtl/>
        </w:rPr>
        <w:t>וסיכולן. אולם, השאלה הפרשנית המתעוררת לפתחנו עניינה בהיקף סמכות זו ובאופן יישומה הראוי. לסוגיה זו אדרש להלן.</w:t>
      </w:r>
    </w:p>
    <w:p w:rsidR="00082192" w:rsidRPr="0038406F" w:rsidRDefault="00082192" w:rsidP="003108F7">
      <w:pPr>
        <w:pStyle w:val="3"/>
        <w:rPr>
          <w:rtl/>
        </w:rPr>
      </w:pPr>
      <w:r>
        <w:rPr>
          <w:rFonts w:hint="cs"/>
          <w:rtl/>
        </w:rPr>
        <w:lastRenderedPageBreak/>
        <w:t>חיפוש על גופו של אדם ובכליו הדרוש לשם מימוש תכלית הקבועה בחוק</w:t>
      </w:r>
    </w:p>
    <w:p w:rsidR="00082192" w:rsidRDefault="00082192" w:rsidP="00082192">
      <w:pPr>
        <w:pStyle w:val="Ruller4"/>
        <w:rPr>
          <w:rtl/>
        </w:rPr>
      </w:pPr>
      <w:r>
        <w:rPr>
          <w:rtl/>
        </w:rPr>
        <w:tab/>
      </w:r>
      <w:r>
        <w:rPr>
          <w:rFonts w:hint="cs"/>
          <w:rtl/>
        </w:rPr>
        <w:t>המשיבה טוענת כאמור כי החיפוש על גופו של המערער נעשה הן מכוח סעיף 9 לחוק הטיס; הן מכוח סעיף 28(ב)(3) לפקודת הסמים.</w:t>
      </w:r>
    </w:p>
    <w:p w:rsidR="00082192" w:rsidRDefault="00082192" w:rsidP="00082192">
      <w:pPr>
        <w:pStyle w:val="Ruller41"/>
        <w:rPr>
          <w:rtl/>
        </w:rPr>
      </w:pPr>
    </w:p>
    <w:p w:rsidR="00082192" w:rsidRDefault="00082192" w:rsidP="00082192">
      <w:pPr>
        <w:pStyle w:val="Ruller41"/>
        <w:rPr>
          <w:rtl/>
        </w:rPr>
      </w:pPr>
      <w:r>
        <w:rPr>
          <w:rtl/>
        </w:rPr>
        <w:tab/>
      </w:r>
      <w:r>
        <w:rPr>
          <w:rFonts w:hint="cs"/>
          <w:rtl/>
        </w:rPr>
        <w:t xml:space="preserve">סעיף 9 לחוק הטיס, מורה כי: </w:t>
      </w:r>
    </w:p>
    <w:p w:rsidR="00082192" w:rsidRDefault="00082192" w:rsidP="00082192">
      <w:pPr>
        <w:pStyle w:val="Ruller41"/>
        <w:rPr>
          <w:rtl/>
        </w:rPr>
      </w:pPr>
    </w:p>
    <w:p w:rsidR="00082192" w:rsidRDefault="00082192" w:rsidP="00BC1F07">
      <w:pPr>
        <w:pStyle w:val="Ruller5"/>
        <w:rPr>
          <w:rtl/>
        </w:rPr>
      </w:pPr>
      <w:r>
        <w:rPr>
          <w:rFonts w:hint="cs"/>
          <w:rtl/>
        </w:rPr>
        <w:t>"(א)</w:t>
      </w:r>
      <w:r>
        <w:rPr>
          <w:rtl/>
        </w:rPr>
        <w:tab/>
      </w:r>
      <w:r>
        <w:rPr>
          <w:rFonts w:hint="cs"/>
          <w:rtl/>
        </w:rPr>
        <w:t>כל אחד מהמנויים בסעיף 10 רשאי לערוך חיפוש</w:t>
      </w:r>
      <w:r w:rsidR="00BC1F07">
        <w:rPr>
          <w:rFonts w:hint="cs"/>
          <w:rtl/>
        </w:rPr>
        <w:t xml:space="preserve"> </w:t>
      </w:r>
      <w:r w:rsidR="00BC1F07">
        <w:rPr>
          <w:rtl/>
        </w:rPr>
        <w:t>–</w:t>
      </w:r>
      <w:r>
        <w:rPr>
          <w:rFonts w:hint="cs"/>
          <w:rtl/>
        </w:rPr>
        <w:t xml:space="preserve">  </w:t>
      </w:r>
    </w:p>
    <w:p w:rsidR="00082192" w:rsidRDefault="00BC1F07" w:rsidP="0095630E">
      <w:pPr>
        <w:pStyle w:val="Ruller5"/>
        <w:ind w:left="2520" w:right="1276" w:hanging="360"/>
      </w:pPr>
      <w:r>
        <w:rPr>
          <w:rFonts w:hint="cs"/>
          <w:rtl/>
        </w:rPr>
        <w:t>(1)</w:t>
      </w:r>
      <w:r>
        <w:rPr>
          <w:rtl/>
        </w:rPr>
        <w:tab/>
      </w:r>
      <w:r w:rsidR="00082192">
        <w:rPr>
          <w:rFonts w:hint="cs"/>
          <w:rtl/>
        </w:rPr>
        <w:t>על גופו של אדם כאמור בסעיף 22 לפקודת סדר הדין הפלילי (מעצר וחיפוש) [נוסח חדש], תשכ"ט</w:t>
      </w:r>
      <w:r w:rsidR="00082192">
        <w:rPr>
          <w:rtl/>
        </w:rPr>
        <w:t>–</w:t>
      </w:r>
      <w:r w:rsidR="00082192">
        <w:rPr>
          <w:rFonts w:hint="cs"/>
          <w:rtl/>
        </w:rPr>
        <w:t xml:space="preserve">1969, או בכלי רכב אגב כניסת האדם או כלי הרכב לשדה תעופה, למנחת או למיתקן תעופתי או אגב שהייתם שם; </w:t>
      </w:r>
    </w:p>
    <w:p w:rsidR="00082192" w:rsidRDefault="00BC1F07" w:rsidP="0095630E">
      <w:pPr>
        <w:pStyle w:val="Ruller5"/>
        <w:ind w:left="2520" w:right="1276" w:hanging="360"/>
      </w:pPr>
      <w:r>
        <w:rPr>
          <w:rFonts w:hint="cs"/>
          <w:rtl/>
        </w:rPr>
        <w:t>(2)</w:t>
      </w:r>
      <w:r>
        <w:rPr>
          <w:rtl/>
        </w:rPr>
        <w:tab/>
      </w:r>
      <w:r w:rsidR="00082192">
        <w:rPr>
          <w:rFonts w:hint="cs"/>
          <w:rtl/>
        </w:rPr>
        <w:t>על גופו של אדם כאמור בסעיף  22 לפקודת סדר הדין הפלילי (מעצר וחיפוש) [נוסח חדש], תשכ"ט</w:t>
      </w:r>
      <w:r w:rsidR="00082192">
        <w:rPr>
          <w:rtl/>
        </w:rPr>
        <w:t>–</w:t>
      </w:r>
      <w:r w:rsidR="00082192">
        <w:rPr>
          <w:rFonts w:hint="cs"/>
          <w:rtl/>
        </w:rPr>
        <w:t xml:space="preserve">1969 לפני עלייתו לכלי טיס, אגב שהייתו בכלי טיס או בסמוך לירידתו ממנו; </w:t>
      </w:r>
    </w:p>
    <w:p w:rsidR="00082192" w:rsidRDefault="00BC1F07" w:rsidP="00082192">
      <w:pPr>
        <w:pStyle w:val="Ruller5"/>
        <w:ind w:left="2520"/>
      </w:pPr>
      <w:r>
        <w:rPr>
          <w:rFonts w:hint="cs"/>
          <w:rtl/>
        </w:rPr>
        <w:t>...</w:t>
      </w:r>
    </w:p>
    <w:p w:rsidR="00082192" w:rsidRDefault="00082192" w:rsidP="00BC1F07">
      <w:pPr>
        <w:pStyle w:val="Ruller5"/>
        <w:ind w:left="2160" w:right="1276"/>
        <w:rPr>
          <w:rtl/>
        </w:rPr>
      </w:pPr>
      <w:r w:rsidRPr="00F808A2">
        <w:rPr>
          <w:rFonts w:ascii="Century" w:hAnsi="Century" w:cs="Miriam" w:hint="cs"/>
          <w:b/>
          <w:spacing w:val="0"/>
          <w:szCs w:val="24"/>
          <w:rtl/>
        </w:rPr>
        <w:t>אם החיפוש דרוש, לדעתו, כדי לשמור על בטחון הציבור</w:t>
      </w:r>
      <w:r w:rsidRPr="00F808A2">
        <w:rPr>
          <w:rFonts w:hint="cs"/>
          <w:rtl/>
        </w:rPr>
        <w:t xml:space="preserve"> </w:t>
      </w:r>
      <w:r>
        <w:rPr>
          <w:rFonts w:hint="cs"/>
          <w:rtl/>
        </w:rPr>
        <w:t xml:space="preserve">או אם יש לו חשד שהאדם נושא עמו שלא כדין כלי נשק או חומר נפץ או שבכלי הרכב, בכלי הטיס, במטען או בטובין האחרים נמצאים כלי נשק או חומר נפץ שלא כדין" (ההדגשה הוספה </w:t>
      </w:r>
      <w:r>
        <w:rPr>
          <w:rtl/>
        </w:rPr>
        <w:t>–</w:t>
      </w:r>
      <w:r>
        <w:rPr>
          <w:rFonts w:hint="cs"/>
          <w:rtl/>
        </w:rPr>
        <w:t xml:space="preserve"> </w:t>
      </w:r>
      <w:r w:rsidRPr="00A23B7C">
        <w:rPr>
          <w:rFonts w:ascii="Century" w:hAnsi="Century" w:cs="Miriam" w:hint="eastAsia"/>
          <w:b/>
          <w:spacing w:val="0"/>
          <w:szCs w:val="24"/>
          <w:rtl/>
        </w:rPr>
        <w:t>י</w:t>
      </w:r>
      <w:r w:rsidRPr="00A23B7C">
        <w:rPr>
          <w:rFonts w:ascii="Century" w:hAnsi="Century" w:cs="Miriam"/>
          <w:b/>
          <w:spacing w:val="0"/>
          <w:szCs w:val="24"/>
          <w:rtl/>
        </w:rPr>
        <w:t xml:space="preserve">' </w:t>
      </w:r>
      <w:r w:rsidRPr="00A23B7C">
        <w:rPr>
          <w:rFonts w:ascii="Century" w:hAnsi="Century" w:cs="Miriam" w:hint="eastAsia"/>
          <w:b/>
          <w:spacing w:val="0"/>
          <w:szCs w:val="24"/>
          <w:rtl/>
        </w:rPr>
        <w:t>א</w:t>
      </w:r>
      <w:r w:rsidRPr="00A23B7C">
        <w:rPr>
          <w:rFonts w:ascii="Century" w:hAnsi="Century" w:cs="Miriam"/>
          <w:b/>
          <w:spacing w:val="0"/>
          <w:szCs w:val="24"/>
          <w:rtl/>
        </w:rPr>
        <w:t>'</w:t>
      </w:r>
      <w:r>
        <w:rPr>
          <w:rFonts w:hint="cs"/>
          <w:rtl/>
        </w:rPr>
        <w:t xml:space="preserve">). </w:t>
      </w:r>
    </w:p>
    <w:p w:rsidR="00082192" w:rsidRPr="00F5102D" w:rsidRDefault="00082192" w:rsidP="00CB69E5">
      <w:pPr>
        <w:pStyle w:val="Ruller41"/>
      </w:pPr>
      <w:r>
        <w:rPr>
          <w:rFonts w:hint="cs"/>
          <w:rtl/>
        </w:rPr>
        <w:t xml:space="preserve"> </w:t>
      </w:r>
    </w:p>
    <w:p w:rsidR="00082192" w:rsidRDefault="00082192" w:rsidP="00082192">
      <w:pPr>
        <w:pStyle w:val="Ruller4"/>
        <w:rPr>
          <w:rtl/>
        </w:rPr>
      </w:pPr>
      <w:r>
        <w:rPr>
          <w:rFonts w:hint="cs"/>
          <w:rtl/>
        </w:rPr>
        <w:t>בדומה, סעיף 28(ב)(3) לפקודת הסמים מורה:</w:t>
      </w:r>
    </w:p>
    <w:p w:rsidR="00082192" w:rsidRDefault="00082192" w:rsidP="00082192">
      <w:pPr>
        <w:pStyle w:val="Ruller41"/>
        <w:rPr>
          <w:rtl/>
        </w:rPr>
      </w:pPr>
    </w:p>
    <w:p w:rsidR="00082192" w:rsidRDefault="00082192" w:rsidP="005E2F05">
      <w:pPr>
        <w:pStyle w:val="af0"/>
        <w:rPr>
          <w:rtl/>
        </w:rPr>
      </w:pPr>
      <w:r>
        <w:rPr>
          <w:rFonts w:hint="cs"/>
          <w:rtl/>
        </w:rPr>
        <w:t xml:space="preserve">"מבלי לפגוע בסמכות הכללית הניתנת לשוטר לערוך חיפוש, רשאי שוטר לערוך חיפוש בלא צו חיפוש... על גופו של אדם כאמור בסעיף 22 לפקודת סדר הדין הפלילי (מעצר וחיפוש) [נוסח חדש], </w:t>
      </w:r>
      <w:proofErr w:type="spellStart"/>
      <w:r>
        <w:rPr>
          <w:rFonts w:hint="cs"/>
          <w:rtl/>
        </w:rPr>
        <w:t>התשכ"ט</w:t>
      </w:r>
      <w:proofErr w:type="spellEnd"/>
      <w:r>
        <w:rPr>
          <w:rtl/>
        </w:rPr>
        <w:t>–</w:t>
      </w:r>
      <w:r>
        <w:rPr>
          <w:rFonts w:hint="cs"/>
          <w:rtl/>
        </w:rPr>
        <w:t xml:space="preserve">1969 אגב כניסתו לשדה תעופה... </w:t>
      </w:r>
      <w:r w:rsidRPr="00975FCE">
        <w:rPr>
          <w:rStyle w:val="-M"/>
          <w:rFonts w:ascii="Century" w:hAnsi="Century" w:cs="Miriam" w:hint="cs"/>
          <w:b/>
          <w:spacing w:val="0"/>
          <w:szCs w:val="24"/>
          <w:rtl/>
        </w:rPr>
        <w:t>אם החיפוש דרוש לצורך קיום הוראות פקודה זו</w:t>
      </w:r>
      <w:r w:rsidRPr="00975FCE">
        <w:rPr>
          <w:rFonts w:hint="cs"/>
          <w:rtl/>
        </w:rPr>
        <w:t>"</w:t>
      </w:r>
      <w:r>
        <w:rPr>
          <w:rFonts w:hint="cs"/>
          <w:rtl/>
        </w:rPr>
        <w:t xml:space="preserve"> (ההדגשה הוספה </w:t>
      </w:r>
      <w:r>
        <w:rPr>
          <w:rtl/>
        </w:rPr>
        <w:t>–</w:t>
      </w:r>
      <w:r>
        <w:rPr>
          <w:rFonts w:hint="cs"/>
          <w:rtl/>
        </w:rPr>
        <w:t xml:space="preserve"> </w:t>
      </w:r>
      <w:r w:rsidRPr="00C65994">
        <w:rPr>
          <w:rStyle w:val="-M"/>
          <w:rFonts w:ascii="Century" w:hAnsi="Century" w:cs="Miriam" w:hint="cs"/>
          <w:b/>
          <w:spacing w:val="0"/>
          <w:szCs w:val="24"/>
          <w:rtl/>
        </w:rPr>
        <w:t>י' א'</w:t>
      </w:r>
      <w:r>
        <w:rPr>
          <w:rFonts w:hint="cs"/>
          <w:rtl/>
        </w:rPr>
        <w:t>).</w:t>
      </w:r>
    </w:p>
    <w:p w:rsidR="00082192" w:rsidRPr="00B24EFD" w:rsidRDefault="00082192" w:rsidP="00215CCE">
      <w:pPr>
        <w:pStyle w:val="Ruller4"/>
        <w:numPr>
          <w:ilvl w:val="0"/>
          <w:numId w:val="0"/>
        </w:numPr>
        <w:rPr>
          <w:rtl/>
        </w:rPr>
      </w:pPr>
      <w:r>
        <w:rPr>
          <w:rtl/>
        </w:rPr>
        <w:lastRenderedPageBreak/>
        <w:tab/>
      </w:r>
      <w:r>
        <w:rPr>
          <w:rFonts w:hint="cs"/>
          <w:rtl/>
        </w:rPr>
        <w:t xml:space="preserve">סמכות מעין זו קיימת בהקשרים נוספים בפקודת הסמים: בפרט, שוטר רשאי לערוך חיפוש ברכבו של אדם ועל גופו ובכליו בעת כניסתו לבית מעצר בלא צו </w:t>
      </w:r>
      <w:r>
        <w:rPr>
          <w:rFonts w:ascii="FrankRuehl" w:hint="cs"/>
          <w:rtl/>
        </w:rPr>
        <w:t>–</w:t>
      </w:r>
      <w:r>
        <w:rPr>
          <w:rFonts w:hint="cs"/>
          <w:rtl/>
        </w:rPr>
        <w:t xml:space="preserve"> ובלבד ש"החיפוש דרוש לצורך קיום הוראות [ה]פקודה" (סעיפים 28(ב)(1) ו-28(ב)(5) </w:t>
      </w:r>
      <w:r w:rsidR="00215CCE">
        <w:rPr>
          <w:rFonts w:hint="cs"/>
          <w:rtl/>
        </w:rPr>
        <w:t>לפקודת הסמים</w:t>
      </w:r>
      <w:r>
        <w:rPr>
          <w:rFonts w:hint="cs"/>
          <w:rtl/>
        </w:rPr>
        <w:t xml:space="preserve">) </w:t>
      </w:r>
      <w:r>
        <w:rPr>
          <w:rtl/>
        </w:rPr>
        <w:softHyphen/>
        <w:t>–</w:t>
      </w:r>
      <w:r>
        <w:rPr>
          <w:rFonts w:hint="cs"/>
          <w:rtl/>
        </w:rPr>
        <w:t xml:space="preserve"> ובכלל זה, אכיפת האיסור על יצוא, יבוא, סחר והספקת סמים מסוכנים (סעיף 13 לפקודת הסמים). </w:t>
      </w:r>
    </w:p>
    <w:p w:rsidR="00082192" w:rsidRDefault="00082192" w:rsidP="00082192">
      <w:pPr>
        <w:pStyle w:val="Ruller4"/>
        <w:numPr>
          <w:ilvl w:val="0"/>
          <w:numId w:val="0"/>
        </w:numPr>
        <w:rPr>
          <w:rtl/>
        </w:rPr>
      </w:pPr>
    </w:p>
    <w:p w:rsidR="00082192" w:rsidRDefault="00082192" w:rsidP="00215CCE">
      <w:pPr>
        <w:pStyle w:val="Ruller4"/>
        <w:rPr>
          <w:rtl/>
        </w:rPr>
      </w:pPr>
      <w:r>
        <w:rPr>
          <w:rFonts w:hint="cs"/>
          <w:rtl/>
        </w:rPr>
        <w:t xml:space="preserve">אף שההסמכה הקבועה בסעיפים אלו רחבה יחסית, אין לגזור ממנה סמכות כללית לערוך חיפוש על גופו של אדם, בכליו או ברכבו ללא כל תשתית עובדתית המצדיקה זאת, כפי שטוענת המשיבה. פרשנות רחבה מעין זו תרוקן מתוכן את המגבלה שנקבעה בחוק, שלפיה חיפוש כאמור יתבצע אך ורק אם הוא דרוש לשם ביצוע </w:t>
      </w:r>
      <w:r w:rsidR="00215CCE">
        <w:rPr>
          <w:rFonts w:hint="cs"/>
          <w:rtl/>
        </w:rPr>
        <w:t>פקודת הסמים או בכדי לשמור על בטחון ציבור</w:t>
      </w:r>
      <w:r>
        <w:rPr>
          <w:rFonts w:hint="cs"/>
          <w:rtl/>
        </w:rPr>
        <w:t>. היא אף אינה מתיישבת עם הכלל שעליו עמדתי לעיל לפיו יש לפרש בצמצום סעיפי חוק המקנים סמכות לערוך חיפוש על גופו של אדם, בכליו או ברכבו גם בהיעדר חשד סביר לביצוע עבירה על ידו, או לכך שהוא מחזיק בחפץ אסור.</w:t>
      </w:r>
    </w:p>
    <w:p w:rsidR="00082192" w:rsidRDefault="00082192" w:rsidP="00082192">
      <w:pPr>
        <w:pStyle w:val="Ruller41"/>
        <w:rPr>
          <w:rtl/>
        </w:rPr>
      </w:pPr>
    </w:p>
    <w:p w:rsidR="00082192" w:rsidRDefault="00082192" w:rsidP="00082192">
      <w:pPr>
        <w:pStyle w:val="Ruller41"/>
        <w:rPr>
          <w:rtl/>
        </w:rPr>
      </w:pPr>
      <w:r>
        <w:rPr>
          <w:rtl/>
        </w:rPr>
        <w:tab/>
      </w:r>
      <w:r>
        <w:rPr>
          <w:rFonts w:hint="cs"/>
          <w:rtl/>
        </w:rPr>
        <w:t xml:space="preserve">תחת זאת, כפי שהודגש בפסיקת בית משפט זה, הסמכות לביצוע חיפוש מכוח סעיפים אלו מוגבלת אך ורק לתכליות שלשמן צוין במפורש כי היא נועדה; ויש לממשה באופן מידתי להשגת תכליות אלו </w:t>
      </w:r>
      <w:r w:rsidRPr="00F52576">
        <w:rPr>
          <w:rFonts w:ascii="Century" w:hAnsi="Century" w:cs="Miriam" w:hint="eastAsia"/>
          <w:b/>
          <w:spacing w:val="0"/>
          <w:szCs w:val="24"/>
          <w:rtl/>
        </w:rPr>
        <w:t>בלבד</w:t>
      </w:r>
      <w:r w:rsidRPr="007D52F6">
        <w:rPr>
          <w:rFonts w:hint="cs"/>
          <w:rtl/>
        </w:rPr>
        <w:t xml:space="preserve"> </w:t>
      </w:r>
      <w:r>
        <w:rPr>
          <w:rFonts w:hint="cs"/>
          <w:rtl/>
        </w:rPr>
        <w:t xml:space="preserve">(בג"ץ 1550/18 </w:t>
      </w:r>
      <w:r w:rsidRPr="000D74F9">
        <w:rPr>
          <w:rFonts w:ascii="Century" w:hAnsi="Century" w:cs="Miriam" w:hint="cs"/>
          <w:b/>
          <w:spacing w:val="0"/>
          <w:szCs w:val="24"/>
          <w:rtl/>
        </w:rPr>
        <w:t>עמותת הפורום החילוני נ' שר הבריאות</w:t>
      </w:r>
      <w:r>
        <w:rPr>
          <w:rFonts w:hint="cs"/>
          <w:rtl/>
        </w:rPr>
        <w:t>, פסקאות 68</w:t>
      </w:r>
      <w:r>
        <w:rPr>
          <w:rtl/>
        </w:rPr>
        <w:t>–</w:t>
      </w:r>
      <w:r>
        <w:rPr>
          <w:rFonts w:hint="cs"/>
          <w:rtl/>
        </w:rPr>
        <w:t xml:space="preserve">73 לפסק דינו של השופט </w:t>
      </w:r>
      <w:r w:rsidRPr="000D74F9">
        <w:rPr>
          <w:rFonts w:ascii="Century" w:hAnsi="Century" w:cs="Miriam" w:hint="cs"/>
          <w:b/>
          <w:spacing w:val="0"/>
          <w:szCs w:val="24"/>
          <w:rtl/>
        </w:rPr>
        <w:t>ע' פוגלמן</w:t>
      </w:r>
      <w:r w:rsidRPr="008D533E">
        <w:rPr>
          <w:rFonts w:hint="cs"/>
          <w:rtl/>
        </w:rPr>
        <w:t xml:space="preserve"> </w:t>
      </w:r>
      <w:r>
        <w:rPr>
          <w:rFonts w:hint="cs"/>
          <w:rtl/>
        </w:rPr>
        <w:t xml:space="preserve">(30.4.2020). ראו גם בש"פ 8309/14 </w:t>
      </w:r>
      <w:r w:rsidRPr="008D533E">
        <w:rPr>
          <w:rFonts w:ascii="Century" w:hAnsi="Century" w:cs="Miriam" w:hint="cs"/>
          <w:b/>
          <w:spacing w:val="0"/>
          <w:szCs w:val="24"/>
          <w:rtl/>
        </w:rPr>
        <w:t>מדינת ישראל נ' פלוני</w:t>
      </w:r>
      <w:r>
        <w:rPr>
          <w:rFonts w:hint="cs"/>
          <w:rtl/>
        </w:rPr>
        <w:t xml:space="preserve">, פסקה 34 (13.1.2015); בש"פ 8017/16 </w:t>
      </w:r>
      <w:r w:rsidRPr="008D533E">
        <w:rPr>
          <w:rFonts w:ascii="Century" w:hAnsi="Century" w:cs="Miriam" w:hint="cs"/>
          <w:b/>
          <w:spacing w:val="0"/>
          <w:szCs w:val="24"/>
          <w:rtl/>
        </w:rPr>
        <w:t>שאלתיאל נ' מדינת ישראל</w:t>
      </w:r>
      <w:r>
        <w:rPr>
          <w:rFonts w:hint="cs"/>
          <w:rtl/>
        </w:rPr>
        <w:t>, פסקה 16 (6.11.2016)).</w:t>
      </w:r>
    </w:p>
    <w:p w:rsidR="00082192" w:rsidRDefault="00082192" w:rsidP="00082192">
      <w:pPr>
        <w:pStyle w:val="Ruller41"/>
        <w:rPr>
          <w:rtl/>
        </w:rPr>
      </w:pPr>
    </w:p>
    <w:p w:rsidR="00082192" w:rsidRDefault="00082192" w:rsidP="00215CCE">
      <w:pPr>
        <w:pStyle w:val="Ruller41"/>
        <w:rPr>
          <w:rtl/>
        </w:rPr>
      </w:pPr>
      <w:r>
        <w:rPr>
          <w:rtl/>
        </w:rPr>
        <w:tab/>
      </w:r>
      <w:r>
        <w:rPr>
          <w:rFonts w:hint="cs"/>
          <w:rtl/>
        </w:rPr>
        <w:t xml:space="preserve">על כן, את דרישת המחוקק כי חיפוש ללא צו לפי הסעיפים שבמוקד ההליך דנן יבוצע אך ורק אם הוא דרוש לשם קיום הוראות </w:t>
      </w:r>
      <w:r w:rsidR="00215CCE">
        <w:rPr>
          <w:rFonts w:hint="cs"/>
          <w:rtl/>
        </w:rPr>
        <w:t>פקודת הסמים</w:t>
      </w:r>
      <w:r>
        <w:rPr>
          <w:rFonts w:hint="cs"/>
          <w:rtl/>
        </w:rPr>
        <w:t xml:space="preserve"> ולצורך שמירה על בטחון הציבור, יש </w:t>
      </w:r>
      <w:r>
        <w:rPr>
          <w:rFonts w:hint="cs"/>
          <w:rtl/>
        </w:rPr>
        <w:lastRenderedPageBreak/>
        <w:t xml:space="preserve">לפרש באופן דווקני </w:t>
      </w:r>
      <w:r>
        <w:rPr>
          <w:rtl/>
        </w:rPr>
        <w:t>–</w:t>
      </w:r>
      <w:r>
        <w:rPr>
          <w:rFonts w:hint="cs"/>
          <w:rtl/>
        </w:rPr>
        <w:t xml:space="preserve"> כך שעל המשטרה הנטל להראות כי החיפוש אכן נחוץ לשם קיום תכליות אלו; וחוקיות החיפוש תיבחן כאמור בהתאם לנחיצותו לקיום הוראותיה.</w:t>
      </w:r>
    </w:p>
    <w:p w:rsidR="00082192" w:rsidRDefault="00082192" w:rsidP="00082192">
      <w:pPr>
        <w:pStyle w:val="Ruller41"/>
        <w:rPr>
          <w:rtl/>
        </w:rPr>
      </w:pPr>
    </w:p>
    <w:p w:rsidR="00082192" w:rsidRDefault="00082192" w:rsidP="00526E6F">
      <w:pPr>
        <w:pStyle w:val="Ruller41"/>
        <w:keepNext/>
        <w:rPr>
          <w:rtl/>
        </w:rPr>
      </w:pPr>
      <w:r>
        <w:rPr>
          <w:rtl/>
        </w:rPr>
        <w:tab/>
      </w:r>
      <w:r>
        <w:rPr>
          <w:rFonts w:hint="cs"/>
          <w:rtl/>
        </w:rPr>
        <w:t xml:space="preserve">לא בכדי טענה אף המשיבה בהודעתה המשלימה כי יש להחיל על ענייננו את הוראת סעיף 4(ג) לנוהל חיפוש בהסכמה שלפיו: </w:t>
      </w:r>
    </w:p>
    <w:p w:rsidR="00082192" w:rsidRDefault="00082192" w:rsidP="00526E6F">
      <w:pPr>
        <w:pStyle w:val="Ruller41"/>
        <w:keepNext/>
        <w:rPr>
          <w:rtl/>
        </w:rPr>
      </w:pPr>
    </w:p>
    <w:p w:rsidR="00082192" w:rsidRDefault="00082192" w:rsidP="00082192">
      <w:pPr>
        <w:pStyle w:val="Ruller5"/>
        <w:rPr>
          <w:rtl/>
        </w:rPr>
      </w:pPr>
      <w:r>
        <w:rPr>
          <w:rFonts w:hint="cs"/>
          <w:rtl/>
        </w:rPr>
        <w:t xml:space="preserve">"ההחלטה לבצע חיפוש בהסכמה צריכה </w:t>
      </w:r>
      <w:r w:rsidRPr="00A23B7C">
        <w:rPr>
          <w:rFonts w:ascii="Century" w:hAnsi="Century" w:cs="Miriam" w:hint="eastAsia"/>
          <w:b/>
          <w:spacing w:val="0"/>
          <w:szCs w:val="24"/>
          <w:rtl/>
        </w:rPr>
        <w:t>להתבסס</w:t>
      </w:r>
      <w:r w:rsidRPr="00A23B7C">
        <w:rPr>
          <w:rFonts w:ascii="Century" w:hAnsi="Century" w:cs="Miriam"/>
          <w:b/>
          <w:spacing w:val="0"/>
          <w:szCs w:val="24"/>
          <w:rtl/>
        </w:rPr>
        <w:t xml:space="preserve"> </w:t>
      </w:r>
      <w:r w:rsidRPr="00A23B7C">
        <w:rPr>
          <w:rFonts w:ascii="Century" w:hAnsi="Century" w:cs="Miriam" w:hint="eastAsia"/>
          <w:b/>
          <w:spacing w:val="0"/>
          <w:szCs w:val="24"/>
          <w:rtl/>
        </w:rPr>
        <w:t>על</w:t>
      </w:r>
      <w:r w:rsidRPr="00A23B7C">
        <w:rPr>
          <w:rFonts w:ascii="Century" w:hAnsi="Century" w:cs="Miriam"/>
          <w:b/>
          <w:spacing w:val="0"/>
          <w:szCs w:val="24"/>
          <w:rtl/>
        </w:rPr>
        <w:t xml:space="preserve"> </w:t>
      </w:r>
      <w:r w:rsidRPr="00A23B7C">
        <w:rPr>
          <w:rFonts w:ascii="Century" w:hAnsi="Century" w:cs="Miriam" w:hint="eastAsia"/>
          <w:b/>
          <w:spacing w:val="0"/>
          <w:szCs w:val="24"/>
          <w:rtl/>
        </w:rPr>
        <w:t>צורך</w:t>
      </w:r>
      <w:r w:rsidRPr="00A23B7C">
        <w:rPr>
          <w:rFonts w:ascii="Century" w:hAnsi="Century" w:cs="Miriam"/>
          <w:b/>
          <w:spacing w:val="0"/>
          <w:szCs w:val="24"/>
          <w:rtl/>
        </w:rPr>
        <w:t xml:space="preserve"> </w:t>
      </w:r>
      <w:r w:rsidRPr="00A23B7C">
        <w:rPr>
          <w:rFonts w:ascii="Century" w:hAnsi="Century" w:cs="Miriam" w:hint="eastAsia"/>
          <w:b/>
          <w:spacing w:val="0"/>
          <w:szCs w:val="24"/>
          <w:rtl/>
        </w:rPr>
        <w:t>או</w:t>
      </w:r>
      <w:r w:rsidRPr="00A23B7C">
        <w:rPr>
          <w:rFonts w:ascii="Century" w:hAnsi="Century" w:cs="Miriam"/>
          <w:b/>
          <w:spacing w:val="0"/>
          <w:szCs w:val="24"/>
          <w:rtl/>
        </w:rPr>
        <w:t xml:space="preserve"> </w:t>
      </w:r>
      <w:r w:rsidRPr="00A23B7C">
        <w:rPr>
          <w:rFonts w:ascii="Century" w:hAnsi="Century" w:cs="Miriam" w:hint="eastAsia"/>
          <w:b/>
          <w:spacing w:val="0"/>
          <w:szCs w:val="24"/>
          <w:rtl/>
        </w:rPr>
        <w:t>הצדקה</w:t>
      </w:r>
      <w:r w:rsidRPr="00A23B7C">
        <w:rPr>
          <w:rFonts w:ascii="Century" w:hAnsi="Century" w:cs="Miriam"/>
          <w:b/>
          <w:spacing w:val="0"/>
          <w:szCs w:val="24"/>
          <w:rtl/>
        </w:rPr>
        <w:t xml:space="preserve"> </w:t>
      </w:r>
      <w:r w:rsidRPr="00A23B7C">
        <w:rPr>
          <w:rFonts w:ascii="Century" w:hAnsi="Century" w:cs="Miriam" w:hint="eastAsia"/>
          <w:b/>
          <w:spacing w:val="0"/>
          <w:szCs w:val="24"/>
          <w:rtl/>
        </w:rPr>
        <w:t>מקצועית</w:t>
      </w:r>
      <w:r w:rsidRPr="00A23B7C">
        <w:rPr>
          <w:rFonts w:ascii="Century" w:hAnsi="Century" w:cs="Miriam"/>
          <w:b/>
          <w:spacing w:val="0"/>
          <w:szCs w:val="24"/>
          <w:rtl/>
        </w:rPr>
        <w:t xml:space="preserve"> </w:t>
      </w:r>
      <w:r w:rsidRPr="00A23B7C">
        <w:rPr>
          <w:rFonts w:ascii="Century" w:hAnsi="Century" w:cs="Miriam" w:hint="eastAsia"/>
          <w:b/>
          <w:spacing w:val="0"/>
          <w:szCs w:val="24"/>
          <w:rtl/>
        </w:rPr>
        <w:t>כלשהי</w:t>
      </w:r>
      <w:r>
        <w:rPr>
          <w:rFonts w:hint="cs"/>
          <w:rtl/>
        </w:rPr>
        <w:t xml:space="preserve"> (אף אם היא אינה עולה כדי חשד סביר) ואינה יכולה להתבצע באופן שרירותי וללא צורך כלל" (שם, בסעיף 4(ג); ההדגשה הוספה </w:t>
      </w:r>
      <w:r>
        <w:rPr>
          <w:rtl/>
        </w:rPr>
        <w:t>–</w:t>
      </w:r>
      <w:r>
        <w:rPr>
          <w:rFonts w:hint="cs"/>
          <w:rtl/>
        </w:rPr>
        <w:t xml:space="preserve"> </w:t>
      </w:r>
      <w:r w:rsidRPr="00A23B7C">
        <w:rPr>
          <w:rFonts w:ascii="Century" w:hAnsi="Century" w:cs="Miriam" w:hint="eastAsia"/>
          <w:b/>
          <w:spacing w:val="0"/>
          <w:szCs w:val="24"/>
          <w:rtl/>
        </w:rPr>
        <w:t>י</w:t>
      </w:r>
      <w:r w:rsidRPr="00A23B7C">
        <w:rPr>
          <w:rFonts w:ascii="Century" w:hAnsi="Century" w:cs="Miriam"/>
          <w:b/>
          <w:spacing w:val="0"/>
          <w:szCs w:val="24"/>
          <w:rtl/>
        </w:rPr>
        <w:t xml:space="preserve">' </w:t>
      </w:r>
      <w:r w:rsidRPr="00A23B7C">
        <w:rPr>
          <w:rFonts w:ascii="Century" w:hAnsi="Century" w:cs="Miriam" w:hint="eastAsia"/>
          <w:b/>
          <w:spacing w:val="0"/>
          <w:szCs w:val="24"/>
          <w:rtl/>
        </w:rPr>
        <w:t>א</w:t>
      </w:r>
      <w:r w:rsidRPr="00A23B7C">
        <w:rPr>
          <w:rFonts w:ascii="Century" w:hAnsi="Century" w:cs="Miriam"/>
          <w:b/>
          <w:spacing w:val="0"/>
          <w:szCs w:val="24"/>
          <w:rtl/>
        </w:rPr>
        <w:t>'</w:t>
      </w:r>
      <w:r>
        <w:rPr>
          <w:rFonts w:hint="cs"/>
          <w:rtl/>
        </w:rPr>
        <w:t xml:space="preserve">). </w:t>
      </w:r>
    </w:p>
    <w:p w:rsidR="00082192" w:rsidRDefault="00082192" w:rsidP="00082192">
      <w:pPr>
        <w:pStyle w:val="Ruller41"/>
        <w:rPr>
          <w:rtl/>
        </w:rPr>
      </w:pPr>
    </w:p>
    <w:p w:rsidR="00082192" w:rsidRDefault="00082192" w:rsidP="00215CCE">
      <w:pPr>
        <w:pStyle w:val="Ruller4"/>
        <w:rPr>
          <w:rtl/>
        </w:rPr>
      </w:pPr>
      <w:r>
        <w:rPr>
          <w:rFonts w:hint="cs"/>
          <w:rtl/>
        </w:rPr>
        <w:t xml:space="preserve">אין משמעות הדבר כי נדרש קיומו של חשד </w:t>
      </w:r>
      <w:r w:rsidRPr="008833BC">
        <w:rPr>
          <w:rFonts w:ascii="Century" w:hAnsi="Century" w:cs="Miriam" w:hint="cs"/>
          <w:b/>
          <w:spacing w:val="0"/>
          <w:sz w:val="22"/>
          <w:szCs w:val="24"/>
          <w:rtl/>
        </w:rPr>
        <w:t>קונקרטי</w:t>
      </w:r>
      <w:r>
        <w:rPr>
          <w:rFonts w:hint="cs"/>
          <w:rtl/>
        </w:rPr>
        <w:t xml:space="preserve"> כי אדם פלוני נושא על גופו סם, הנלמד ממידע מודיעני או התנהגותי. אולם, יש להבטיח כי החיפוש יבוצע לפי אמות מידה </w:t>
      </w:r>
      <w:r w:rsidRPr="000050FE">
        <w:rPr>
          <w:rFonts w:hint="cs"/>
          <w:rtl/>
        </w:rPr>
        <w:t>ברורות</w:t>
      </w:r>
      <w:r>
        <w:rPr>
          <w:rFonts w:hint="cs"/>
          <w:rtl/>
        </w:rPr>
        <w:t xml:space="preserve"> ואחידות, אשר יעוגנו בנוהל, ויתבססו על תשתית עובדתית מינימאלית המלמדת על קשר רציונאלי בינן לבין נחיצות החיפוש שיבוצע לפיהן לשם קיום </w:t>
      </w:r>
      <w:r w:rsidR="00215CCE">
        <w:rPr>
          <w:rFonts w:hint="cs"/>
          <w:rtl/>
        </w:rPr>
        <w:t xml:space="preserve">התכליות שנקבעו בחוק או </w:t>
      </w:r>
      <w:r w:rsidR="00A4264D">
        <w:rPr>
          <w:rFonts w:hint="cs"/>
          <w:rtl/>
        </w:rPr>
        <w:t>ב</w:t>
      </w:r>
      <w:r w:rsidR="00215CCE">
        <w:rPr>
          <w:rFonts w:hint="cs"/>
          <w:rtl/>
        </w:rPr>
        <w:t>פקודה הרלוונטיים</w:t>
      </w:r>
      <w:r>
        <w:rPr>
          <w:rFonts w:hint="cs"/>
          <w:rtl/>
        </w:rPr>
        <w:t xml:space="preserve">; על כך שהיקף החיפושים שיבוצעו לפיהן לא יעלה על הנדרש; וכן על כך שאופן ביצוע החיפוש בכל מקרה ומקרה לא יפגע בפרטיות של אדם מעבר לנדרש. </w:t>
      </w:r>
    </w:p>
    <w:p w:rsidR="00EE7491" w:rsidRPr="001C7DBE" w:rsidRDefault="00EE7491" w:rsidP="00526E6F">
      <w:pPr>
        <w:pStyle w:val="Ruller41"/>
        <w:rPr>
          <w:rtl/>
        </w:rPr>
      </w:pPr>
    </w:p>
    <w:p w:rsidR="00082192" w:rsidRDefault="00082192" w:rsidP="001C7DBE">
      <w:pPr>
        <w:pStyle w:val="Ruller41"/>
        <w:rPr>
          <w:rtl/>
        </w:rPr>
      </w:pPr>
      <w:r>
        <w:rPr>
          <w:rtl/>
        </w:rPr>
        <w:tab/>
      </w:r>
      <w:r>
        <w:rPr>
          <w:rFonts w:hint="cs"/>
          <w:rtl/>
        </w:rPr>
        <w:t xml:space="preserve">בפרט, ומבלי למצות את סוג המידע שעשוי להיות רלוונטי לקביעת אמות המידה האמורות לשם ביצוע חיפוש בשדה התעופה, ניתן להתחשב בין היתר במידע כללי אודות דפוסי פעולה של </w:t>
      </w:r>
      <w:r w:rsidR="00EE7491">
        <w:rPr>
          <w:rFonts w:hint="cs"/>
          <w:rtl/>
        </w:rPr>
        <w:t>גורמים עברייניים המהווים איום על ביטחון הציבור והמעורבים בהברחות סמים</w:t>
      </w:r>
      <w:r>
        <w:rPr>
          <w:rFonts w:hint="cs"/>
          <w:rtl/>
        </w:rPr>
        <w:t>;</w:t>
      </w:r>
      <w:r w:rsidRPr="00B41EEE">
        <w:rPr>
          <w:rFonts w:hint="cs"/>
          <w:rtl/>
        </w:rPr>
        <w:t xml:space="preserve"> </w:t>
      </w:r>
      <w:r>
        <w:rPr>
          <w:rFonts w:hint="cs"/>
          <w:rtl/>
        </w:rPr>
        <w:t xml:space="preserve">וכן, במידע באשר למדינות שמהן קיים סיכון </w:t>
      </w:r>
      <w:r w:rsidR="00EE7491">
        <w:rPr>
          <w:rFonts w:hint="cs"/>
          <w:rtl/>
        </w:rPr>
        <w:t>לפעילות עבריינית מסוגים אלו</w:t>
      </w:r>
      <w:r>
        <w:rPr>
          <w:rFonts w:hint="cs"/>
          <w:rtl/>
        </w:rPr>
        <w:t xml:space="preserve">, אשר יש בו כדי למקד את החיפושים דווקא כלפי מי שנחת ממדינות אלו. </w:t>
      </w:r>
    </w:p>
    <w:p w:rsidR="00082192" w:rsidRDefault="00082192" w:rsidP="00082192">
      <w:pPr>
        <w:pStyle w:val="Ruller41"/>
        <w:rPr>
          <w:rtl/>
        </w:rPr>
      </w:pPr>
    </w:p>
    <w:p w:rsidR="00082192" w:rsidRDefault="00082192" w:rsidP="00F63B55">
      <w:pPr>
        <w:pStyle w:val="Ruller41"/>
        <w:rPr>
          <w:rtl/>
        </w:rPr>
      </w:pPr>
      <w:r>
        <w:rPr>
          <w:rtl/>
        </w:rPr>
        <w:lastRenderedPageBreak/>
        <w:tab/>
      </w:r>
      <w:r>
        <w:rPr>
          <w:rFonts w:hint="cs"/>
          <w:rtl/>
        </w:rPr>
        <w:t xml:space="preserve">באמצעות אמות מידה אלו, ניתן יהיה להבטיח כי החיפושים המתבצעים לפיהן לא ייערכו באופן שרירותי ומפלה </w:t>
      </w:r>
      <w:r w:rsidRPr="000050FE">
        <w:rPr>
          <w:rFonts w:ascii="FrankRuehl" w:hint="cs"/>
          <w:rtl/>
        </w:rPr>
        <w:t>–</w:t>
      </w:r>
      <w:r w:rsidRPr="00B41EEE">
        <w:rPr>
          <w:rFonts w:hint="cs"/>
          <w:rtl/>
        </w:rPr>
        <w:t xml:space="preserve"> </w:t>
      </w:r>
      <w:r>
        <w:rPr>
          <w:rFonts w:hint="cs"/>
          <w:rtl/>
        </w:rPr>
        <w:t xml:space="preserve">אשר ממילא לא ישרת את תכליתן ויביא לפגיעה נוספת בזכויות יסוד; וכי </w:t>
      </w:r>
      <w:r>
        <w:rPr>
          <w:rFonts w:ascii="Garamond" w:hAnsi="Garamond" w:hint="cs"/>
          <w:sz w:val="24"/>
          <w:rtl/>
        </w:rPr>
        <w:t xml:space="preserve">החיפוש </w:t>
      </w:r>
      <w:r>
        <w:rPr>
          <w:rFonts w:hint="cs"/>
          <w:rtl/>
        </w:rPr>
        <w:t xml:space="preserve"> אכן דרוש לשם קיום </w:t>
      </w:r>
      <w:r w:rsidR="00215CCE">
        <w:rPr>
          <w:rFonts w:hint="cs"/>
          <w:rtl/>
        </w:rPr>
        <w:t>תכליותיו על פי דין</w:t>
      </w:r>
      <w:r>
        <w:rPr>
          <w:rFonts w:hint="cs"/>
          <w:rtl/>
        </w:rPr>
        <w:t xml:space="preserve"> </w:t>
      </w:r>
      <w:r>
        <w:rPr>
          <w:rFonts w:ascii="FrankRuehl" w:hint="cs"/>
          <w:rtl/>
        </w:rPr>
        <w:t>–</w:t>
      </w:r>
      <w:r>
        <w:rPr>
          <w:rFonts w:hint="cs"/>
          <w:rtl/>
        </w:rPr>
        <w:t xml:space="preserve"> כמצוות המחוקק (ראו בג"ץ 4455/19 </w:t>
      </w:r>
      <w:r w:rsidRPr="000050FE">
        <w:rPr>
          <w:rFonts w:ascii="Century" w:hAnsi="Century" w:cs="Miriam" w:hint="cs"/>
          <w:b/>
          <w:spacing w:val="0"/>
          <w:szCs w:val="24"/>
          <w:rtl/>
        </w:rPr>
        <w:t xml:space="preserve">עמותת </w:t>
      </w:r>
      <w:proofErr w:type="spellStart"/>
      <w:r w:rsidRPr="000050FE">
        <w:rPr>
          <w:rFonts w:ascii="Century" w:hAnsi="Century" w:cs="Miriam" w:hint="cs"/>
          <w:b/>
          <w:spacing w:val="0"/>
          <w:szCs w:val="24"/>
          <w:rtl/>
        </w:rPr>
        <w:t>טבקה</w:t>
      </w:r>
      <w:proofErr w:type="spellEnd"/>
      <w:r w:rsidRPr="000050FE">
        <w:rPr>
          <w:rFonts w:ascii="Century" w:hAnsi="Century" w:cs="Miriam" w:hint="cs"/>
          <w:b/>
          <w:spacing w:val="0"/>
          <w:szCs w:val="24"/>
          <w:rtl/>
        </w:rPr>
        <w:t xml:space="preserve"> נ' משטרת ישראל</w:t>
      </w:r>
      <w:r w:rsidRPr="008D533E">
        <w:rPr>
          <w:rFonts w:hint="cs"/>
          <w:rtl/>
        </w:rPr>
        <w:t xml:space="preserve"> </w:t>
      </w:r>
      <w:r>
        <w:rPr>
          <w:rFonts w:hint="cs"/>
          <w:rtl/>
        </w:rPr>
        <w:t xml:space="preserve">(25.1.2021). ראו גם בג"ץ 2311/11 </w:t>
      </w:r>
      <w:r w:rsidRPr="000050FE">
        <w:rPr>
          <w:rFonts w:ascii="Century" w:hAnsi="Century" w:cs="Miriam" w:hint="cs"/>
          <w:b/>
          <w:spacing w:val="0"/>
          <w:szCs w:val="24"/>
          <w:rtl/>
        </w:rPr>
        <w:t>סבח נ' הכנסת</w:t>
      </w:r>
      <w:r>
        <w:rPr>
          <w:rFonts w:hint="cs"/>
          <w:rtl/>
        </w:rPr>
        <w:t>, פסקה 34 (17.9.2014)).</w:t>
      </w:r>
    </w:p>
    <w:p w:rsidR="00082192" w:rsidRDefault="00082192" w:rsidP="00EE7491">
      <w:pPr>
        <w:pStyle w:val="Ruller41"/>
        <w:rPr>
          <w:rtl/>
        </w:rPr>
      </w:pPr>
    </w:p>
    <w:p w:rsidR="00082192" w:rsidRDefault="00082192" w:rsidP="00EE7491">
      <w:pPr>
        <w:pStyle w:val="Ruller41"/>
        <w:rPr>
          <w:rtl/>
        </w:rPr>
      </w:pPr>
      <w:r>
        <w:rPr>
          <w:rtl/>
        </w:rPr>
        <w:tab/>
      </w:r>
      <w:r>
        <w:rPr>
          <w:rFonts w:hint="cs"/>
          <w:rtl/>
        </w:rPr>
        <w:t xml:space="preserve">במאמר מוסגר, ובכדי שלא ישתמע מדבריי אחרת </w:t>
      </w:r>
      <w:r>
        <w:rPr>
          <w:rtl/>
        </w:rPr>
        <w:t>–</w:t>
      </w:r>
      <w:r>
        <w:rPr>
          <w:rFonts w:hint="cs"/>
          <w:rtl/>
        </w:rPr>
        <w:t xml:space="preserve"> יובהר כי החובה שלא לממש את סמכות החיפוש בשרירותיות חלה אף במקרים שבהם סמכות החיפוש אינה מסויגת לתכלית מסוימת. כך, בפרט ביחס לחיפוש הנערך מכוח סעיף 22(א) לפקודת המעצר והחיפוש, ובחלק מההוראות פקודת בתי הסוהר, אשר צוינו לעיל. </w:t>
      </w:r>
    </w:p>
    <w:p w:rsidR="00082192" w:rsidRDefault="00082192" w:rsidP="003108F7">
      <w:pPr>
        <w:pStyle w:val="3"/>
        <w:rPr>
          <w:rtl/>
        </w:rPr>
      </w:pPr>
      <w:r>
        <w:rPr>
          <w:rFonts w:hint="cs"/>
          <w:rtl/>
        </w:rPr>
        <w:t>מן הכלל אל הפרט</w:t>
      </w:r>
    </w:p>
    <w:p w:rsidR="00526E6F" w:rsidRDefault="00082192" w:rsidP="008B7080">
      <w:pPr>
        <w:pStyle w:val="Ruller4"/>
        <w:rPr>
          <w:rtl/>
        </w:rPr>
      </w:pPr>
      <w:r>
        <w:rPr>
          <w:rFonts w:hint="cs"/>
          <w:rtl/>
        </w:rPr>
        <w:t xml:space="preserve">אין מחלוקת של ממש כי החיפוש על גופו של המערער </w:t>
      </w:r>
      <w:r w:rsidR="001C7DBE">
        <w:rPr>
          <w:rFonts w:hint="cs"/>
          <w:rtl/>
        </w:rPr>
        <w:t xml:space="preserve">במקרה דנן </w:t>
      </w:r>
      <w:r>
        <w:rPr>
          <w:rFonts w:hint="cs"/>
          <w:rtl/>
        </w:rPr>
        <w:t xml:space="preserve">נעשה ללא חשד סביר כי הוא </w:t>
      </w:r>
      <w:r w:rsidR="00526E6F">
        <w:rPr>
          <w:rFonts w:hint="cs"/>
          <w:rtl/>
        </w:rPr>
        <w:t>נשא עימו סם מסוכן</w:t>
      </w:r>
      <w:r>
        <w:rPr>
          <w:rFonts w:hint="cs"/>
          <w:rtl/>
        </w:rPr>
        <w:t xml:space="preserve">. אומנם, המשיבה טענה כי התקיים חשד סביר בעניינו בהודעתה המשלימה, אך דומה כי מדובר היה בפליטת קולמוס בלבד </w:t>
      </w:r>
      <w:r>
        <w:rPr>
          <w:rtl/>
        </w:rPr>
        <w:t>–</w:t>
      </w:r>
      <w:r>
        <w:rPr>
          <w:rFonts w:hint="cs"/>
          <w:rtl/>
        </w:rPr>
        <w:t xml:space="preserve"> שכן כפי </w:t>
      </w:r>
      <w:r w:rsidR="008B7080">
        <w:rPr>
          <w:rFonts w:hint="cs"/>
          <w:rtl/>
        </w:rPr>
        <w:t xml:space="preserve">שהובהר בדיון שלפנינו, וכפי שעולה גם מעדות </w:t>
      </w:r>
      <w:r>
        <w:rPr>
          <w:rFonts w:hint="cs"/>
          <w:rtl/>
        </w:rPr>
        <w:t>השוטר שביצע את החיפוש בבית משפט השלום במענה לשאלותיו של בא כוח המערער</w:t>
      </w:r>
      <w:r w:rsidR="001C7DBE">
        <w:rPr>
          <w:rFonts w:hint="cs"/>
          <w:rtl/>
        </w:rPr>
        <w:t xml:space="preserve">, החיפוש נעשה באופן אקראי </w:t>
      </w:r>
      <w:r w:rsidR="00526E6F">
        <w:rPr>
          <w:rFonts w:hint="cs"/>
          <w:rtl/>
        </w:rPr>
        <w:t>(פרוטוקול הדיון בבית משפט השלום, עמודים 14</w:t>
      </w:r>
      <w:r w:rsidR="00526E6F">
        <w:rPr>
          <w:rtl/>
        </w:rPr>
        <w:t>–</w:t>
      </w:r>
      <w:r w:rsidR="00526E6F">
        <w:rPr>
          <w:rFonts w:hint="cs"/>
          <w:rtl/>
        </w:rPr>
        <w:t>17)</w:t>
      </w:r>
      <w:r w:rsidR="001C7DBE">
        <w:rPr>
          <w:rFonts w:hint="cs"/>
          <w:rtl/>
        </w:rPr>
        <w:t>.</w:t>
      </w:r>
      <w:r w:rsidR="00526E6F">
        <w:rPr>
          <w:rFonts w:hint="cs"/>
          <w:rtl/>
        </w:rPr>
        <w:t xml:space="preserve"> </w:t>
      </w:r>
    </w:p>
    <w:p w:rsidR="00526E6F" w:rsidRPr="00526E6F" w:rsidRDefault="00526E6F" w:rsidP="00526E6F">
      <w:pPr>
        <w:pStyle w:val="Ruller41"/>
      </w:pPr>
    </w:p>
    <w:p w:rsidR="00082192" w:rsidRDefault="00526E6F" w:rsidP="00526E6F">
      <w:pPr>
        <w:pStyle w:val="Ruller4"/>
        <w:numPr>
          <w:ilvl w:val="0"/>
          <w:numId w:val="0"/>
        </w:numPr>
        <w:rPr>
          <w:rtl/>
        </w:rPr>
      </w:pPr>
      <w:r>
        <w:rPr>
          <w:rtl/>
        </w:rPr>
        <w:tab/>
      </w:r>
      <w:r>
        <w:rPr>
          <w:rFonts w:hint="cs"/>
          <w:rtl/>
        </w:rPr>
        <w:t xml:space="preserve">בהתאם לכך, המשיבה טענה לכל אורך ההליך עד כה, כי יש ללמוד על סמכות החיפוש במקרה דנן מתוקף הוראות סעיף 9(א) לחוק הטיס וסעיף 28(ב)(3) לפקודת הסמים שצוטטו לעיל </w:t>
      </w:r>
      <w:r>
        <w:rPr>
          <w:rtl/>
        </w:rPr>
        <w:t>–</w:t>
      </w:r>
      <w:r>
        <w:rPr>
          <w:rFonts w:hint="cs"/>
          <w:rtl/>
        </w:rPr>
        <w:t xml:space="preserve"> ולא מתוקף קיומו של חשד לביצוע עבירה על ידי המערער.</w:t>
      </w:r>
    </w:p>
    <w:p w:rsidR="001C7DBE" w:rsidRDefault="001C7DBE" w:rsidP="00526E6F">
      <w:pPr>
        <w:pStyle w:val="Ruller41"/>
        <w:rPr>
          <w:rtl/>
        </w:rPr>
      </w:pPr>
    </w:p>
    <w:p w:rsidR="001C7DBE" w:rsidRDefault="00526E6F" w:rsidP="001C7DBE">
      <w:pPr>
        <w:pStyle w:val="Ruller4"/>
        <w:rPr>
          <w:rtl/>
        </w:rPr>
      </w:pPr>
      <w:r>
        <w:rPr>
          <w:rFonts w:hint="cs"/>
          <w:rtl/>
        </w:rPr>
        <w:t xml:space="preserve">אולם, </w:t>
      </w:r>
      <w:r w:rsidR="001C7DBE">
        <w:rPr>
          <w:rFonts w:hint="cs"/>
          <w:rtl/>
        </w:rPr>
        <w:t xml:space="preserve">אין ללמוד על חוקיות החיפוש שבוצע במקרה דנן מכוח הוראותיו של חוק הטיס. זאת, שכן אף המשיבה טוענת כי החיפוש נועד לאתר סמים מסוכנים בכליו של המערער </w:t>
      </w:r>
      <w:r w:rsidR="001C7DBE">
        <w:rPr>
          <w:rtl/>
        </w:rPr>
        <w:t>–</w:t>
      </w:r>
      <w:r w:rsidR="001C7DBE">
        <w:rPr>
          <w:rFonts w:hint="cs"/>
          <w:rtl/>
        </w:rPr>
        <w:t xml:space="preserve"> וממילא לא נטען כי הייתה הצדקה לביצוע חיפוש זה לצורך "שמירה על בטחון </w:t>
      </w:r>
      <w:r w:rsidR="00F63B55">
        <w:rPr>
          <w:rFonts w:hint="cs"/>
          <w:rtl/>
        </w:rPr>
        <w:t>ה</w:t>
      </w:r>
      <w:r w:rsidR="001C7DBE">
        <w:rPr>
          <w:rFonts w:hint="cs"/>
          <w:rtl/>
        </w:rPr>
        <w:t xml:space="preserve">ציבור", כלשון סעיף 9(א) לחוק הטיס. </w:t>
      </w:r>
    </w:p>
    <w:p w:rsidR="001C7DBE" w:rsidRPr="001C7DBE" w:rsidRDefault="001C7DBE" w:rsidP="00526E6F">
      <w:pPr>
        <w:pStyle w:val="Ruller41"/>
        <w:rPr>
          <w:rtl/>
        </w:rPr>
      </w:pPr>
    </w:p>
    <w:p w:rsidR="00526E6F" w:rsidRDefault="001C7DBE" w:rsidP="00526E6F">
      <w:pPr>
        <w:pStyle w:val="Ruller41"/>
        <w:rPr>
          <w:rtl/>
        </w:rPr>
      </w:pPr>
      <w:r>
        <w:rPr>
          <w:rtl/>
        </w:rPr>
        <w:tab/>
      </w:r>
      <w:r w:rsidR="00526E6F">
        <w:rPr>
          <w:rFonts w:hint="cs"/>
          <w:rtl/>
        </w:rPr>
        <w:t>כמו כן, אף פקודת הסמים אינה כוללת הסמכה מספקת לחיפוש שבוצע בכליו של המערער. זאת, מאחר ש</w:t>
      </w:r>
      <w:r>
        <w:rPr>
          <w:rFonts w:hint="cs"/>
          <w:rtl/>
        </w:rPr>
        <w:t xml:space="preserve">אין </w:t>
      </w:r>
      <w:r w:rsidR="00526E6F">
        <w:rPr>
          <w:rFonts w:hint="cs"/>
          <w:rtl/>
        </w:rPr>
        <w:t xml:space="preserve">כיום </w:t>
      </w:r>
      <w:r>
        <w:rPr>
          <w:rFonts w:hint="cs"/>
          <w:rtl/>
        </w:rPr>
        <w:t>אמות מידה כלשהן לביצוע חיפושים בשדה התעופה מכוח פקודת הסמים</w:t>
      </w:r>
      <w:r w:rsidR="00526E6F">
        <w:rPr>
          <w:rFonts w:hint="cs"/>
          <w:rtl/>
        </w:rPr>
        <w:t xml:space="preserve"> אשר עשויות היו לבסס את הצורך בביצוע החיפוש. </w:t>
      </w:r>
    </w:p>
    <w:p w:rsidR="00526E6F" w:rsidRDefault="00526E6F" w:rsidP="00526E6F">
      <w:pPr>
        <w:pStyle w:val="Ruller41"/>
        <w:rPr>
          <w:rtl/>
        </w:rPr>
      </w:pPr>
    </w:p>
    <w:p w:rsidR="001C7DBE" w:rsidRDefault="00526E6F" w:rsidP="00526E6F">
      <w:pPr>
        <w:pStyle w:val="Ruller41"/>
        <w:rPr>
          <w:rtl/>
        </w:rPr>
      </w:pPr>
      <w:r>
        <w:rPr>
          <w:rtl/>
        </w:rPr>
        <w:tab/>
      </w:r>
      <w:r>
        <w:rPr>
          <w:rFonts w:hint="cs"/>
          <w:rtl/>
        </w:rPr>
        <w:t>יתר על כן,</w:t>
      </w:r>
      <w:r w:rsidR="001C7DBE">
        <w:rPr>
          <w:rFonts w:hint="cs"/>
          <w:rtl/>
        </w:rPr>
        <w:t xml:space="preserve"> מעדות השוטר שביצע את החיפוש ניתן ללמוד באופן נהיר וברור כי החיפוש על גופו של המערער נעשה באופן שרירותי </w:t>
      </w:r>
      <w:r w:rsidR="001C7DBE">
        <w:rPr>
          <w:rFonts w:ascii="FrankRuehl" w:hint="cs"/>
          <w:rtl/>
        </w:rPr>
        <w:t>–</w:t>
      </w:r>
      <w:r w:rsidR="001C7DBE">
        <w:rPr>
          <w:rFonts w:hint="cs"/>
          <w:rtl/>
        </w:rPr>
        <w:t xml:space="preserve"> בלי שנקבעו אמות מידה כלשהן המצדיקות את ביצוע החיפוש; בלי שנבחנו ההצדקות והצורך בעריכתו</w:t>
      </w:r>
      <w:r>
        <w:rPr>
          <w:rFonts w:hint="cs"/>
          <w:rtl/>
        </w:rPr>
        <w:t>; ו</w:t>
      </w:r>
      <w:r w:rsidR="001C7DBE">
        <w:rPr>
          <w:rFonts w:hint="cs"/>
          <w:rtl/>
        </w:rPr>
        <w:t>בלי שניתנה הסכמתו של המערער לביצוע החיפוש. זאת, אף בניגוד להוראות סעיף 4(ג) לנוהל חיפוש בהסכמה שצוטט לעיל, אשר לטענת המשיבה חל על המקרה דנן, ועל פי הוראותיו אין לערוך חיפוש ללא צו בהיעדר הצדקה מקצועית או צורך לכך.</w:t>
      </w:r>
    </w:p>
    <w:p w:rsidR="001C7DBE" w:rsidRDefault="001C7DBE" w:rsidP="001C7DBE">
      <w:pPr>
        <w:pStyle w:val="Ruller41"/>
        <w:rPr>
          <w:rtl/>
        </w:rPr>
      </w:pPr>
    </w:p>
    <w:p w:rsidR="001C7DBE" w:rsidRDefault="001C7DBE" w:rsidP="00526E6F">
      <w:pPr>
        <w:pStyle w:val="Ruller41"/>
      </w:pPr>
      <w:r>
        <w:rPr>
          <w:rtl/>
        </w:rPr>
        <w:tab/>
      </w:r>
      <w:r>
        <w:rPr>
          <w:rFonts w:hint="cs"/>
          <w:rtl/>
        </w:rPr>
        <w:t>בפרט, כאשר נשאל אותו שוטר באשר לאופן ביצוע החיפושים בשדה התעופה, ציין:</w:t>
      </w:r>
    </w:p>
    <w:p w:rsidR="00082192" w:rsidRDefault="00082192" w:rsidP="00586924">
      <w:pPr>
        <w:pStyle w:val="Ruller5"/>
        <w:rPr>
          <w:rtl/>
        </w:rPr>
      </w:pPr>
      <w:r>
        <w:rPr>
          <w:rFonts w:hint="cs"/>
          <w:rtl/>
        </w:rPr>
        <w:t>"</w:t>
      </w:r>
      <w:r w:rsidRPr="002A7A02">
        <w:rPr>
          <w:rFonts w:ascii="Century" w:hAnsi="Century" w:cs="Miriam" w:hint="cs"/>
          <w:b/>
          <w:spacing w:val="0"/>
          <w:szCs w:val="24"/>
          <w:rtl/>
        </w:rPr>
        <w:t>אם אני רוצה אני יכול לתפוס 10 אנשים ואם אני רוצה אחד</w:t>
      </w:r>
      <w:r>
        <w:rPr>
          <w:rFonts w:hint="cs"/>
          <w:rtl/>
        </w:rPr>
        <w:t>.</w:t>
      </w:r>
      <w:r w:rsidR="001C7DBE">
        <w:rPr>
          <w:rFonts w:hint="cs"/>
          <w:rtl/>
        </w:rPr>
        <w:t xml:space="preserve">.. </w:t>
      </w:r>
      <w:r>
        <w:rPr>
          <w:rFonts w:hint="cs"/>
          <w:rtl/>
        </w:rPr>
        <w:t xml:space="preserve">יכול גם עשרים. </w:t>
      </w:r>
      <w:r w:rsidRPr="002A7A02">
        <w:rPr>
          <w:rFonts w:ascii="Century" w:hAnsi="Century" w:cs="Miriam" w:hint="cs"/>
          <w:b/>
          <w:spacing w:val="0"/>
          <w:szCs w:val="24"/>
          <w:rtl/>
        </w:rPr>
        <w:t>לא מחייבים אותי במספר</w:t>
      </w:r>
      <w:r w:rsidR="001C7DBE">
        <w:rPr>
          <w:rFonts w:hint="cs"/>
          <w:rtl/>
        </w:rPr>
        <w:t>" (</w:t>
      </w:r>
      <w:r w:rsidR="00526E6F">
        <w:rPr>
          <w:rFonts w:hint="cs"/>
          <w:rtl/>
        </w:rPr>
        <w:t>פרוטוק</w:t>
      </w:r>
      <w:r w:rsidR="0050174D">
        <w:rPr>
          <w:rFonts w:hint="cs"/>
          <w:rtl/>
        </w:rPr>
        <w:t>ול הדיון בבית משפט השלום, עמוד</w:t>
      </w:r>
      <w:r w:rsidR="00526E6F">
        <w:rPr>
          <w:rFonts w:hint="cs"/>
          <w:rtl/>
        </w:rPr>
        <w:t xml:space="preserve"> 14)</w:t>
      </w:r>
      <w:r>
        <w:rPr>
          <w:rFonts w:hint="cs"/>
          <w:rtl/>
        </w:rPr>
        <w:t xml:space="preserve">. </w:t>
      </w:r>
    </w:p>
    <w:p w:rsidR="00082192" w:rsidRPr="00F44A5C" w:rsidRDefault="00082192" w:rsidP="00526E6F">
      <w:pPr>
        <w:pStyle w:val="Ruller5"/>
        <w:ind w:left="1276" w:right="1644"/>
      </w:pPr>
      <w:r>
        <w:rPr>
          <w:rFonts w:hint="cs"/>
          <w:rtl/>
        </w:rPr>
        <w:t xml:space="preserve"> </w:t>
      </w:r>
      <w:r>
        <w:rPr>
          <w:rFonts w:hint="cs"/>
          <w:rtl/>
        </w:rPr>
        <w:tab/>
      </w:r>
      <w:r>
        <w:rPr>
          <w:rFonts w:hint="cs"/>
          <w:rtl/>
        </w:rPr>
        <w:tab/>
      </w:r>
      <w:r>
        <w:rPr>
          <w:rFonts w:hint="cs"/>
          <w:rtl/>
        </w:rPr>
        <w:tab/>
      </w:r>
    </w:p>
    <w:p w:rsidR="00082192" w:rsidRDefault="00082192" w:rsidP="00BC1F07">
      <w:pPr>
        <w:pStyle w:val="Ruller41"/>
        <w:rPr>
          <w:rtl/>
        </w:rPr>
      </w:pPr>
      <w:r>
        <w:rPr>
          <w:rtl/>
        </w:rPr>
        <w:tab/>
      </w:r>
      <w:r>
        <w:rPr>
          <w:rFonts w:hint="cs"/>
          <w:rtl/>
        </w:rPr>
        <w:t xml:space="preserve">בנסיבות אלו, אין מנוס מהמסקנה כי החיפוש שבמסגרתו נמצא הסם על גופו של המערער בוצע </w:t>
      </w:r>
      <w:r w:rsidR="00526E6F">
        <w:rPr>
          <w:rFonts w:hint="cs"/>
          <w:rtl/>
        </w:rPr>
        <w:t xml:space="preserve">ללא כל הצדקה מקצועית </w:t>
      </w:r>
      <w:r w:rsidR="00526E6F">
        <w:rPr>
          <w:rtl/>
        </w:rPr>
        <w:t>–</w:t>
      </w:r>
      <w:r w:rsidR="00526E6F">
        <w:rPr>
          <w:rFonts w:hint="cs"/>
          <w:rtl/>
        </w:rPr>
        <w:t xml:space="preserve"> וממילא, מדובר בחיפוש שבוצע </w:t>
      </w:r>
      <w:r>
        <w:rPr>
          <w:rFonts w:hint="cs"/>
          <w:rtl/>
        </w:rPr>
        <w:t>שלא כדין.</w:t>
      </w:r>
    </w:p>
    <w:p w:rsidR="005A174A" w:rsidRDefault="005A174A" w:rsidP="005A174A">
      <w:pPr>
        <w:pStyle w:val="Ruller41"/>
        <w:rPr>
          <w:rtl/>
        </w:rPr>
      </w:pPr>
    </w:p>
    <w:p w:rsidR="005A174A" w:rsidRDefault="005A174A" w:rsidP="00D5238C">
      <w:pPr>
        <w:pStyle w:val="Ruller41"/>
        <w:rPr>
          <w:rtl/>
        </w:rPr>
      </w:pPr>
      <w:r>
        <w:rPr>
          <w:rtl/>
        </w:rPr>
        <w:tab/>
      </w:r>
      <w:r>
        <w:rPr>
          <w:rFonts w:hint="cs"/>
          <w:rtl/>
        </w:rPr>
        <w:t xml:space="preserve">מוטב אפוא, כי המשיבה תפעל בהקדם להסדרת נהלים אשר ינחו את </w:t>
      </w:r>
      <w:r w:rsidR="00D5238C">
        <w:rPr>
          <w:rFonts w:hint="cs"/>
          <w:rtl/>
        </w:rPr>
        <w:t>שוטרי</w:t>
      </w:r>
      <w:r>
        <w:rPr>
          <w:rFonts w:hint="cs"/>
          <w:rtl/>
        </w:rPr>
        <w:t xml:space="preserve"> </w:t>
      </w:r>
      <w:r w:rsidR="00D5238C">
        <w:rPr>
          <w:rFonts w:hint="cs"/>
          <w:rtl/>
        </w:rPr>
        <w:t>משטרת ישראל</w:t>
      </w:r>
      <w:r>
        <w:rPr>
          <w:rFonts w:hint="cs"/>
          <w:rtl/>
        </w:rPr>
        <w:t xml:space="preserve"> בביצוע חיפושים במעברי גבול על מנת שיוכלו לממש את סמכויותיהם כדין </w:t>
      </w:r>
      <w:r>
        <w:rPr>
          <w:rtl/>
        </w:rPr>
        <w:t>–</w:t>
      </w:r>
      <w:r>
        <w:rPr>
          <w:rFonts w:hint="cs"/>
          <w:rtl/>
        </w:rPr>
        <w:t xml:space="preserve"> וימנעו מהם מלפעול באופן שרירותי, כפי שאירע במקרה דנן. אך מובן כי אף הנחיות ונהלים אלו, עשויים לעמוד בעתיד תחת ביקורת שיפוטית לבחינת התאמתן לדרישת המחוקק.</w:t>
      </w:r>
    </w:p>
    <w:p w:rsidR="005A174A" w:rsidRDefault="005A174A" w:rsidP="005A174A">
      <w:pPr>
        <w:pStyle w:val="Ruller41"/>
        <w:rPr>
          <w:rtl/>
        </w:rPr>
      </w:pPr>
    </w:p>
    <w:p w:rsidR="00082192" w:rsidRDefault="005A174A" w:rsidP="005A174A">
      <w:pPr>
        <w:pStyle w:val="Ruller4"/>
        <w:rPr>
          <w:rtl/>
        </w:rPr>
      </w:pPr>
      <w:r>
        <w:rPr>
          <w:rFonts w:hint="cs"/>
          <w:rtl/>
        </w:rPr>
        <w:t xml:space="preserve">סוגיה נפרדת היא כיצד קביעתי שלפיה החיפוש בכליו של המערער בוצע שלא כדין, משליכה על הרשעתו בעבירה שיוחסה לו. </w:t>
      </w:r>
      <w:r w:rsidR="00082192">
        <w:rPr>
          <w:rFonts w:hint="cs"/>
          <w:rtl/>
        </w:rPr>
        <w:t xml:space="preserve">אומנם, בהתאם להלכת </w:t>
      </w:r>
      <w:proofErr w:type="spellStart"/>
      <w:r w:rsidR="00082192" w:rsidRPr="005A174A">
        <w:rPr>
          <w:rFonts w:ascii="Century" w:hAnsi="Century" w:cs="Miriam" w:hint="cs"/>
          <w:b/>
          <w:spacing w:val="0"/>
          <w:sz w:val="22"/>
          <w:szCs w:val="24"/>
          <w:rtl/>
        </w:rPr>
        <w:t>יששכרוב</w:t>
      </w:r>
      <w:proofErr w:type="spellEnd"/>
      <w:r w:rsidR="00082192">
        <w:rPr>
          <w:rFonts w:hint="cs"/>
          <w:rtl/>
        </w:rPr>
        <w:t xml:space="preserve">, אין בעצם העובדה כי ראייה נתפסה שלא כדין כדי להצדיק פסילתה </w:t>
      </w:r>
      <w:r w:rsidR="00082192" w:rsidRPr="005A174A">
        <w:rPr>
          <w:rFonts w:ascii="FrankRuehl" w:hint="cs"/>
          <w:rtl/>
        </w:rPr>
        <w:t>–</w:t>
      </w:r>
      <w:r w:rsidR="00082192">
        <w:rPr>
          <w:rFonts w:hint="cs"/>
          <w:rtl/>
        </w:rPr>
        <w:t xml:space="preserve"> אלא יש לאזן בין חומרת אי החוקיות שבהשגת הראיה, לבין האינטרס הציבורי שבקבלתה לאור חומרת העבירה (ע"פ 5121/98 </w:t>
      </w:r>
      <w:proofErr w:type="spellStart"/>
      <w:r w:rsidR="00082192" w:rsidRPr="005A174A">
        <w:rPr>
          <w:rFonts w:ascii="Century" w:hAnsi="Century" w:cs="Miriam" w:hint="cs"/>
          <w:b/>
          <w:spacing w:val="0"/>
          <w:sz w:val="22"/>
          <w:szCs w:val="24"/>
          <w:rtl/>
        </w:rPr>
        <w:t>יששכרוב</w:t>
      </w:r>
      <w:proofErr w:type="spellEnd"/>
      <w:r w:rsidR="00082192" w:rsidRPr="005A174A">
        <w:rPr>
          <w:rFonts w:ascii="Century" w:hAnsi="Century" w:cs="Miriam" w:hint="cs"/>
          <w:b/>
          <w:spacing w:val="0"/>
          <w:sz w:val="22"/>
          <w:szCs w:val="24"/>
          <w:rtl/>
        </w:rPr>
        <w:t xml:space="preserve"> נ' התובע הצבאי הראשי</w:t>
      </w:r>
      <w:r w:rsidR="00082192">
        <w:rPr>
          <w:rFonts w:hint="cs"/>
          <w:rtl/>
        </w:rPr>
        <w:t xml:space="preserve">, פ"ד </w:t>
      </w:r>
      <w:proofErr w:type="spellStart"/>
      <w:r w:rsidR="00082192">
        <w:rPr>
          <w:rFonts w:hint="cs"/>
          <w:rtl/>
        </w:rPr>
        <w:t>סא</w:t>
      </w:r>
      <w:proofErr w:type="spellEnd"/>
      <w:r w:rsidR="00082192">
        <w:rPr>
          <w:rFonts w:hint="cs"/>
          <w:rtl/>
        </w:rPr>
        <w:t xml:space="preserve">(1) 461 (2006)). </w:t>
      </w:r>
    </w:p>
    <w:p w:rsidR="00082192" w:rsidRDefault="00082192" w:rsidP="00082192">
      <w:pPr>
        <w:pStyle w:val="Ruller41"/>
        <w:rPr>
          <w:rtl/>
        </w:rPr>
      </w:pPr>
    </w:p>
    <w:p w:rsidR="00082192" w:rsidRDefault="00082192" w:rsidP="001F01D7">
      <w:pPr>
        <w:pStyle w:val="Ruller41"/>
        <w:rPr>
          <w:rtl/>
        </w:rPr>
      </w:pPr>
      <w:r>
        <w:rPr>
          <w:rtl/>
        </w:rPr>
        <w:tab/>
      </w:r>
      <w:r>
        <w:rPr>
          <w:rFonts w:hint="cs"/>
          <w:rtl/>
        </w:rPr>
        <w:t xml:space="preserve">אולם, במקרה דנן אני סבור כי באיזון שבין חומרת הפגיעה בזכויות המערער כתוצאה מביצוע החיפוש שלא כדין לבין חומרת העבירה שיוחסה לו </w:t>
      </w:r>
      <w:r>
        <w:rPr>
          <w:rtl/>
        </w:rPr>
        <w:t>–</w:t>
      </w:r>
      <w:r>
        <w:rPr>
          <w:rFonts w:hint="cs"/>
          <w:rtl/>
        </w:rPr>
        <w:t xml:space="preserve"> הכף נוטה לטובת פסילת פירות החיפוש שבוצעו על גופו. זאת, שכן מחד</w:t>
      </w:r>
      <w:r w:rsidR="00BC1F07">
        <w:rPr>
          <w:rFonts w:hint="cs"/>
          <w:rtl/>
        </w:rPr>
        <w:t xml:space="preserve"> גיסא</w:t>
      </w:r>
      <w:r>
        <w:rPr>
          <w:rFonts w:hint="cs"/>
          <w:rtl/>
        </w:rPr>
        <w:t>, נסיבות ביצוע העבירה שיוחסה למערער אינן מן החמורות, כפי שניתן ללמוד בין היתר מהעונש שנגזר עליו, אשר אינו כולל מאסר בפועל; ומאידך</w:t>
      </w:r>
      <w:r w:rsidR="00BC1F07">
        <w:rPr>
          <w:rFonts w:hint="cs"/>
          <w:rtl/>
        </w:rPr>
        <w:t xml:space="preserve"> גיסא</w:t>
      </w:r>
      <w:r>
        <w:rPr>
          <w:rFonts w:hint="cs"/>
          <w:rtl/>
        </w:rPr>
        <w:t xml:space="preserve">, אין להקל ראש בפגיעה החמורה שנגרמה לפרטיותו של המערער בלא הסמכה מספקת </w:t>
      </w:r>
      <w:r>
        <w:rPr>
          <w:rFonts w:ascii="FrankRuehl" w:hint="cs"/>
          <w:rtl/>
        </w:rPr>
        <w:t>–</w:t>
      </w:r>
      <w:r>
        <w:rPr>
          <w:rFonts w:hint="cs"/>
          <w:rtl/>
        </w:rPr>
        <w:t xml:space="preserve"> וכן בפגם החמור הכרוך בעצם העובדה שהשוטר שביצע את החיפוש על גופו של המערער פעל באופן שרירותי, ללא כל אמות מידה </w:t>
      </w:r>
      <w:r w:rsidR="001F01D7">
        <w:rPr>
          <w:rFonts w:hint="cs"/>
          <w:rtl/>
        </w:rPr>
        <w:t>שהנחו</w:t>
      </w:r>
      <w:r>
        <w:rPr>
          <w:rFonts w:hint="cs"/>
          <w:rtl/>
        </w:rPr>
        <w:t xml:space="preserve"> אותו.</w:t>
      </w:r>
    </w:p>
    <w:p w:rsidR="004D3FE9" w:rsidRDefault="004D3FE9" w:rsidP="006F7294">
      <w:pPr>
        <w:pStyle w:val="Ruller41"/>
        <w:rPr>
          <w:rtl/>
        </w:rPr>
      </w:pPr>
    </w:p>
    <w:p w:rsidR="00082192" w:rsidRDefault="00082192" w:rsidP="00E53E18">
      <w:pPr>
        <w:pStyle w:val="Ruller4"/>
        <w:rPr>
          <w:rtl/>
        </w:rPr>
      </w:pPr>
      <w:r>
        <w:rPr>
          <w:rFonts w:hint="cs"/>
          <w:rtl/>
        </w:rPr>
        <w:t xml:space="preserve">מאחר שאני סבור כי יש לפסול את הראיות שנמצאו בחיפוש על גופו של המערער במסגרת החיפוש שנעשה שלא כדין </w:t>
      </w:r>
      <w:r>
        <w:rPr>
          <w:rtl/>
        </w:rPr>
        <w:t>–</w:t>
      </w:r>
      <w:r>
        <w:rPr>
          <w:rFonts w:hint="cs"/>
          <w:rtl/>
        </w:rPr>
        <w:t xml:space="preserve"> אציע לחבריי כי נקבל את הערעור ונורה על זיכויו של המערער מהעבירה שיוחסה לו בכתב האישום.</w:t>
      </w:r>
    </w:p>
    <w:p w:rsidR="00D26556" w:rsidRPr="00E53E18" w:rsidRDefault="00D26556" w:rsidP="00D26556">
      <w:pPr>
        <w:pStyle w:val="Ruller41"/>
        <w:rPr>
          <w:rtl/>
        </w:rPr>
      </w:pPr>
    </w:p>
    <w:p w:rsidR="006F7294" w:rsidRDefault="006F7294" w:rsidP="00D26556">
      <w:pPr>
        <w:pStyle w:val="Ruller41"/>
        <w:rPr>
          <w:rtl/>
        </w:rPr>
      </w:pPr>
    </w:p>
    <w:p w:rsidR="00D26556" w:rsidRDefault="00D26556" w:rsidP="00D26556">
      <w:pPr>
        <w:pStyle w:val="Ruller41"/>
        <w:jc w:val="right"/>
        <w:rPr>
          <w:rtl/>
        </w:rPr>
      </w:pPr>
      <w:r>
        <w:rPr>
          <w:rFonts w:hint="cs"/>
          <w:rtl/>
        </w:rPr>
        <w:t>ש ו פ ט</w:t>
      </w:r>
    </w:p>
    <w:p w:rsidR="00D26556" w:rsidRDefault="00D26556" w:rsidP="00D26556">
      <w:pPr>
        <w:pStyle w:val="Ruller41"/>
        <w:rPr>
          <w:rtl/>
        </w:rPr>
      </w:pPr>
    </w:p>
    <w:p w:rsidR="00D26556" w:rsidRPr="00D26556" w:rsidRDefault="00D26556" w:rsidP="00D26556">
      <w:pPr>
        <w:pStyle w:val="BODYVERDICT"/>
        <w:rPr>
          <w:rFonts w:cs="Miriam"/>
          <w:sz w:val="24"/>
          <w:szCs w:val="24"/>
          <w:u w:val="single"/>
          <w:rtl/>
        </w:rPr>
      </w:pPr>
      <w:r w:rsidRPr="00D26556">
        <w:rPr>
          <w:rFonts w:cs="Miriam" w:hint="cs"/>
          <w:sz w:val="24"/>
          <w:szCs w:val="24"/>
          <w:u w:val="single"/>
          <w:rtl/>
        </w:rPr>
        <w:t>השופטת ע' ברון</w:t>
      </w:r>
      <w:r w:rsidRPr="00D26556">
        <w:rPr>
          <w:rFonts w:cs="Miriam" w:hint="cs"/>
          <w:sz w:val="24"/>
          <w:szCs w:val="24"/>
          <w:rtl/>
        </w:rPr>
        <w:t>:</w:t>
      </w:r>
    </w:p>
    <w:p w:rsidR="00D26556" w:rsidRDefault="00D26556" w:rsidP="00D26556">
      <w:pPr>
        <w:pStyle w:val="Ruller41"/>
        <w:rPr>
          <w:rtl/>
        </w:rPr>
      </w:pPr>
    </w:p>
    <w:p w:rsidR="00295628" w:rsidRDefault="00295628" w:rsidP="00295628">
      <w:pPr>
        <w:pStyle w:val="Ruller41"/>
        <w:rPr>
          <w:rtl/>
        </w:rPr>
      </w:pPr>
      <w:r>
        <w:rPr>
          <w:rtl/>
        </w:rPr>
        <w:tab/>
      </w:r>
      <w:r>
        <w:rPr>
          <w:rFonts w:hint="cs"/>
          <w:rtl/>
        </w:rPr>
        <w:t xml:space="preserve">אני מצרפת את הסכמתי לפסק דינו של חברי השופט </w:t>
      </w:r>
      <w:r w:rsidRPr="000D5DE0">
        <w:rPr>
          <w:rFonts w:ascii="Century" w:hAnsi="Century" w:cs="Miriam" w:hint="cs"/>
          <w:b/>
          <w:spacing w:val="0"/>
          <w:szCs w:val="24"/>
          <w:rtl/>
        </w:rPr>
        <w:t>י' אלרון</w:t>
      </w:r>
      <w:r>
        <w:rPr>
          <w:rFonts w:hint="cs"/>
          <w:rtl/>
        </w:rPr>
        <w:t xml:space="preserve">. אין חולק כי החיפוש בידי שוטר על גופו ובכליו של המערער, בעת שנחת בנמל התעופה בן גוריון, נערך באופן שרירותי. זאת ללא כל מידע מוקדם או אינדיקציה לקיומו של חשד כלשהו, לא כל שכן חשד סביר, שהמערער נושא עליו שלא כדין סם מסוכן. השלמה עם חיפוש שרירותי כזה </w:t>
      </w:r>
      <w:r>
        <w:rPr>
          <w:rtl/>
        </w:rPr>
        <w:t>–</w:t>
      </w:r>
      <w:r>
        <w:rPr>
          <w:rFonts w:hint="cs"/>
          <w:rtl/>
        </w:rPr>
        <w:t xml:space="preserve"> גם אם הניב תוצאות, מבחינה זו שנמצא סם בכליו של המערער </w:t>
      </w:r>
      <w:r>
        <w:rPr>
          <w:rtl/>
        </w:rPr>
        <w:t>–</w:t>
      </w:r>
      <w:r>
        <w:rPr>
          <w:rFonts w:hint="cs"/>
          <w:rtl/>
        </w:rPr>
        <w:t xml:space="preserve"> משמעה שכל אדם הנוחת בשדה התעופה צפוי לחיפוש על גופו, בנתון להחלטה אקראית של שוטר שמסורה בידיו סמכות חיפוש כללית. בבחינת מצאתָ, </w:t>
      </w:r>
      <w:r w:rsidRPr="000D5DE0">
        <w:rPr>
          <w:rFonts w:hint="cs"/>
          <w:rtl/>
        </w:rPr>
        <w:t>הצלחת</w:t>
      </w:r>
      <w:r>
        <w:rPr>
          <w:rFonts w:hint="cs"/>
          <w:rtl/>
        </w:rPr>
        <w:t xml:space="preserve">ָּ; לא מצאתָ, לא קרה דבר. זוהי פגיעה בפרטיות ובאוטונומיה של אדם על גופו שלא ניתן להשלים </w:t>
      </w:r>
      <w:proofErr w:type="spellStart"/>
      <w:r>
        <w:rPr>
          <w:rFonts w:hint="cs"/>
          <w:rtl/>
        </w:rPr>
        <w:t>עימה</w:t>
      </w:r>
      <w:proofErr w:type="spellEnd"/>
      <w:r>
        <w:rPr>
          <w:rFonts w:hint="cs"/>
          <w:rtl/>
        </w:rPr>
        <w:t xml:space="preserve">. אין לה עיגון מפורש בדין, וטוב שכך. למרבה התמיהה, אף שחיפוש כזה נקוט בידי שוטרי משטרת ישראל, לא קיים כלל נוהל המנחה אותם אימתי, אם בכלל, ניתן </w:t>
      </w:r>
      <w:r>
        <w:rPr>
          <w:rtl/>
        </w:rPr>
        <w:t>–</w:t>
      </w:r>
      <w:r>
        <w:rPr>
          <w:rFonts w:hint="cs"/>
          <w:rtl/>
        </w:rPr>
        <w:t xml:space="preserve"> בלא שקיים צו חיפוש ובלא שמתקיים חשד סביר </w:t>
      </w:r>
      <w:r>
        <w:rPr>
          <w:rtl/>
        </w:rPr>
        <w:t>–</w:t>
      </w:r>
      <w:r>
        <w:rPr>
          <w:rFonts w:hint="cs"/>
          <w:rtl/>
        </w:rPr>
        <w:t xml:space="preserve"> לערוך חיפוש על גופו ובכליו של אדם הנוחת בנמל תעופה בישראל, בניסיון לאתר סם מסוכן; ואינני נוקטת עמדה כמובן לגבי נוהל כזה שבנקודת הזמן הזאת טרם בא לעולם.</w:t>
      </w:r>
    </w:p>
    <w:p w:rsidR="00295628" w:rsidRDefault="00295628" w:rsidP="00295628">
      <w:pPr>
        <w:pStyle w:val="Ruller41"/>
        <w:spacing w:line="240" w:lineRule="auto"/>
        <w:rPr>
          <w:rtl/>
        </w:rPr>
      </w:pPr>
    </w:p>
    <w:p w:rsidR="00295628" w:rsidRDefault="00295628" w:rsidP="00295628">
      <w:pPr>
        <w:pStyle w:val="Ruller41"/>
        <w:rPr>
          <w:rtl/>
        </w:rPr>
      </w:pPr>
      <w:r>
        <w:rPr>
          <w:rtl/>
        </w:rPr>
        <w:tab/>
      </w:r>
      <w:r>
        <w:rPr>
          <w:rFonts w:hint="cs"/>
          <w:rtl/>
        </w:rPr>
        <w:t xml:space="preserve">במצב דברים זה </w:t>
      </w:r>
      <w:proofErr w:type="spellStart"/>
      <w:r>
        <w:rPr>
          <w:rFonts w:hint="cs"/>
          <w:rtl/>
        </w:rPr>
        <w:t>ובאיזונים</w:t>
      </w:r>
      <w:proofErr w:type="spellEnd"/>
      <w:r>
        <w:rPr>
          <w:rFonts w:hint="cs"/>
          <w:rtl/>
        </w:rPr>
        <w:t xml:space="preserve"> המתבקשים, אני מסכימה גם עם התוצאה שאליה הגיע השופט </w:t>
      </w:r>
      <w:r w:rsidRPr="000D5DE0">
        <w:rPr>
          <w:rFonts w:ascii="Century" w:hAnsi="Century" w:cs="Miriam" w:hint="cs"/>
          <w:b/>
          <w:spacing w:val="0"/>
          <w:szCs w:val="24"/>
          <w:rtl/>
        </w:rPr>
        <w:t>אלרון</w:t>
      </w:r>
      <w:r>
        <w:rPr>
          <w:rFonts w:hint="cs"/>
          <w:rtl/>
        </w:rPr>
        <w:t xml:space="preserve"> בנסיבות העניין, שלפיה יש להורות על זיכויו של המערער.</w:t>
      </w:r>
    </w:p>
    <w:p w:rsidR="006F7294" w:rsidRDefault="006F7294" w:rsidP="00D26556">
      <w:pPr>
        <w:pStyle w:val="Ruller41"/>
        <w:rPr>
          <w:rtl/>
        </w:rPr>
      </w:pPr>
    </w:p>
    <w:p w:rsidR="00295628" w:rsidRDefault="00295628" w:rsidP="00D26556">
      <w:pPr>
        <w:pStyle w:val="Ruller41"/>
        <w:rPr>
          <w:rtl/>
        </w:rPr>
      </w:pPr>
    </w:p>
    <w:p w:rsidR="00D26556" w:rsidRDefault="00D26556" w:rsidP="00D26556">
      <w:pPr>
        <w:pStyle w:val="Ruller41"/>
        <w:jc w:val="right"/>
        <w:rPr>
          <w:rtl/>
        </w:rPr>
      </w:pPr>
      <w:r>
        <w:rPr>
          <w:rFonts w:hint="cs"/>
          <w:rtl/>
        </w:rPr>
        <w:t>ש ו פ ט ת</w:t>
      </w:r>
    </w:p>
    <w:p w:rsidR="006F7294" w:rsidRDefault="006F7294" w:rsidP="00D26556">
      <w:pPr>
        <w:pStyle w:val="BODYVERDICT"/>
        <w:rPr>
          <w:rFonts w:cs="Miriam"/>
          <w:sz w:val="24"/>
          <w:szCs w:val="24"/>
          <w:u w:val="single"/>
          <w:rtl/>
        </w:rPr>
      </w:pPr>
    </w:p>
    <w:p w:rsidR="006F7294" w:rsidRDefault="006F7294" w:rsidP="00D26556">
      <w:pPr>
        <w:pStyle w:val="BODYVERDICT"/>
        <w:rPr>
          <w:rFonts w:cs="Miriam"/>
          <w:sz w:val="24"/>
          <w:szCs w:val="24"/>
          <w:u w:val="single"/>
          <w:rtl/>
        </w:rPr>
      </w:pPr>
    </w:p>
    <w:p w:rsidR="006F7294" w:rsidRDefault="006F7294" w:rsidP="00D26556">
      <w:pPr>
        <w:pStyle w:val="BODYVERDICT"/>
        <w:rPr>
          <w:rFonts w:cs="Miriam"/>
          <w:sz w:val="24"/>
          <w:szCs w:val="24"/>
          <w:u w:val="single"/>
          <w:rtl/>
        </w:rPr>
      </w:pPr>
    </w:p>
    <w:p w:rsidR="00D26556" w:rsidRPr="00D26556" w:rsidRDefault="00D26556" w:rsidP="00D26556">
      <w:pPr>
        <w:pStyle w:val="BODYVERDICT"/>
        <w:rPr>
          <w:rFonts w:cs="Miriam"/>
          <w:sz w:val="24"/>
          <w:szCs w:val="24"/>
        </w:rPr>
      </w:pPr>
      <w:r>
        <w:rPr>
          <w:rFonts w:cs="Miriam" w:hint="cs"/>
          <w:sz w:val="24"/>
          <w:szCs w:val="24"/>
          <w:u w:val="single"/>
          <w:rtl/>
        </w:rPr>
        <w:t>השופט ד' מינץ</w:t>
      </w:r>
      <w:r>
        <w:rPr>
          <w:rFonts w:cs="Miriam" w:hint="cs"/>
          <w:sz w:val="24"/>
          <w:szCs w:val="24"/>
          <w:rtl/>
        </w:rPr>
        <w:t>:</w:t>
      </w:r>
    </w:p>
    <w:p w:rsidR="00D26556" w:rsidRDefault="00D26556" w:rsidP="00D26556">
      <w:pPr>
        <w:pStyle w:val="Ruller41"/>
        <w:rPr>
          <w:rtl/>
        </w:rPr>
      </w:pPr>
    </w:p>
    <w:p w:rsidR="00D26556" w:rsidRPr="00F9005F" w:rsidRDefault="00D26556" w:rsidP="00F9005F">
      <w:pPr>
        <w:pStyle w:val="Ruller4"/>
        <w:numPr>
          <w:ilvl w:val="0"/>
          <w:numId w:val="20"/>
        </w:numPr>
        <w:textAlignment w:val="auto"/>
        <w:rPr>
          <w:rFonts w:ascii="Century" w:hAnsi="Century"/>
          <w:sz w:val="22"/>
          <w:rtl/>
        </w:rPr>
      </w:pPr>
      <w:r>
        <w:rPr>
          <w:rFonts w:hint="cs"/>
          <w:rtl/>
        </w:rPr>
        <w:t xml:space="preserve">סעיף 28(ב) לפקודת הסמים המסוכנים [נוסח חדש], התשל"ג-1973 (להלן: </w:t>
      </w:r>
      <w:r w:rsidRPr="00F9005F">
        <w:rPr>
          <w:rFonts w:ascii="Century" w:hAnsi="Century" w:cs="Miriam" w:hint="cs"/>
          <w:b/>
          <w:spacing w:val="0"/>
          <w:sz w:val="22"/>
          <w:szCs w:val="24"/>
          <w:rtl/>
        </w:rPr>
        <w:t>הפקודה</w:t>
      </w:r>
      <w:r w:rsidRPr="00F9005F">
        <w:rPr>
          <w:rFonts w:ascii="Century" w:hAnsi="Century" w:hint="cs"/>
          <w:sz w:val="22"/>
          <w:rtl/>
        </w:rPr>
        <w:t>) מסדיר את סמכותם של שוטרים לערוך חיפוש ללא צו חיפוש בשדות תעופה על גופו של אדם "</w:t>
      </w:r>
      <w:r w:rsidRPr="00F9005F">
        <w:rPr>
          <w:rFonts w:ascii="Century" w:hAnsi="Century" w:cs="Miriam" w:hint="cs"/>
          <w:b/>
          <w:spacing w:val="0"/>
          <w:szCs w:val="24"/>
          <w:rtl/>
        </w:rPr>
        <w:t xml:space="preserve">אם החיפוש דרוש לצורך קיום הוראות [הפקודה]" </w:t>
      </w:r>
      <w:r w:rsidRPr="00F9005F">
        <w:rPr>
          <w:rFonts w:ascii="Century" w:hAnsi="Century" w:hint="cs"/>
          <w:sz w:val="22"/>
          <w:rtl/>
        </w:rPr>
        <w:t xml:space="preserve">(סעיף קטן (3)); ובמטען ובטובין </w:t>
      </w:r>
      <w:r w:rsidRPr="00F9005F">
        <w:rPr>
          <w:rFonts w:ascii="Century" w:hAnsi="Century" w:cs="Miriam" w:hint="cs"/>
          <w:b/>
          <w:spacing w:val="0"/>
          <w:szCs w:val="24"/>
          <w:rtl/>
        </w:rPr>
        <w:t xml:space="preserve">"אם החיפוש דרוש לצורך קיום הוראות [הפקודה]" </w:t>
      </w:r>
      <w:r w:rsidRPr="00F9005F">
        <w:rPr>
          <w:rFonts w:ascii="Century" w:hAnsi="Century" w:hint="cs"/>
          <w:sz w:val="22"/>
          <w:rtl/>
        </w:rPr>
        <w:t xml:space="preserve">(סעיף קטן (4)). </w:t>
      </w:r>
    </w:p>
    <w:p w:rsidR="00D26556" w:rsidRDefault="00D26556" w:rsidP="00D26556">
      <w:pPr>
        <w:pStyle w:val="Ruller41"/>
        <w:rPr>
          <w:rtl/>
        </w:rPr>
      </w:pPr>
    </w:p>
    <w:p w:rsidR="00D26556" w:rsidRDefault="00D26556" w:rsidP="00D26556">
      <w:pPr>
        <w:pStyle w:val="Ruller41"/>
        <w:rPr>
          <w:rFonts w:ascii="Century" w:hAnsi="Century"/>
          <w:rtl/>
        </w:rPr>
      </w:pPr>
      <w:r>
        <w:rPr>
          <w:rFonts w:hint="cs"/>
          <w:rtl/>
        </w:rPr>
        <w:tab/>
        <w:t xml:space="preserve">מכאן אנו למדים כי למשטרה סמכות לחפש בגופו ובכליו של אדם בשדה תעופה, כדוגמת המערער בענייננו, גם ללא קיומו של חשד סביר. זאת לעומת הדרישה לקיומו של "יסוד סביר להניח שאותו אדם נושא עמו שלא כדין סם מסוכן" כאשר אין המדובר בחיפוש המתנהל בשדה תעופה (סעיף 28(ב)(2) לפקודה). </w:t>
      </w:r>
      <w:r>
        <w:rPr>
          <w:rFonts w:ascii="Century" w:hAnsi="Century" w:hint="cs"/>
          <w:rtl/>
        </w:rPr>
        <w:t xml:space="preserve">היינו, סעיפים 28(ב)(3) ו-28(ב)(4) לפקודה מקנים סמכות רחבה בידי המשטרה לערוך חיפושים בגופם ובכליהם של הבאים בשערי נמל התעופה. מכאן שאיני שותף לדעה שאין עיגון מפורש בדין לסמכות עריכת חיפוש כללית על גופו או בכליו של אדם המצוי בשדה תעופה. השאלה במקרה זה אינה אפוא של </w:t>
      </w:r>
      <w:r>
        <w:rPr>
          <w:rFonts w:ascii="Century" w:hAnsi="Century" w:cs="Miriam" w:hint="cs"/>
          <w:b/>
          <w:spacing w:val="0"/>
          <w:szCs w:val="24"/>
          <w:rtl/>
        </w:rPr>
        <w:t>קיום הסמכות</w:t>
      </w:r>
      <w:r>
        <w:rPr>
          <w:rFonts w:ascii="Century" w:hAnsi="Century" w:hint="cs"/>
          <w:rtl/>
        </w:rPr>
        <w:t xml:space="preserve">, אלא שאלה של </w:t>
      </w:r>
      <w:r>
        <w:rPr>
          <w:rFonts w:ascii="Century" w:hAnsi="Century" w:cs="Miriam" w:hint="cs"/>
          <w:b/>
          <w:spacing w:val="0"/>
          <w:szCs w:val="24"/>
          <w:rtl/>
        </w:rPr>
        <w:t>הפעלת הסמכות</w:t>
      </w:r>
      <w:r>
        <w:rPr>
          <w:rFonts w:ascii="Century" w:hAnsi="Century" w:hint="cs"/>
          <w:rtl/>
        </w:rPr>
        <w:t xml:space="preserve"> (פסקה 14 לחוות דעתו של חברי השופט </w:t>
      </w:r>
      <w:r>
        <w:rPr>
          <w:rFonts w:ascii="Century" w:hAnsi="Century" w:cs="Miriam" w:hint="cs"/>
          <w:b/>
          <w:spacing w:val="0"/>
          <w:szCs w:val="24"/>
          <w:rtl/>
        </w:rPr>
        <w:t>י' אלרון</w:t>
      </w:r>
      <w:r>
        <w:rPr>
          <w:rFonts w:ascii="Century" w:hAnsi="Century" w:hint="cs"/>
          <w:rtl/>
        </w:rPr>
        <w:t xml:space="preserve">; לעניין ההבחנה בין עצם קיומה של סמכות לבין הפעלתה באופן כללי ראו לדוגמה: בג"ץ 1827/92‏ </w:t>
      </w:r>
      <w:r>
        <w:rPr>
          <w:rFonts w:ascii="Century" w:hAnsi="Century" w:cs="Miriam" w:hint="cs"/>
          <w:b/>
          <w:spacing w:val="0"/>
          <w:szCs w:val="24"/>
          <w:rtl/>
        </w:rPr>
        <w:t>‏התאחדות התעשיינים בישראל נ' שר האוצר</w:t>
      </w:r>
      <w:r>
        <w:rPr>
          <w:rFonts w:ascii="Century" w:hAnsi="Century" w:hint="cs"/>
          <w:rtl/>
        </w:rPr>
        <w:t xml:space="preserve">, </w:t>
      </w:r>
      <w:proofErr w:type="spellStart"/>
      <w:r>
        <w:rPr>
          <w:rFonts w:ascii="Century" w:hAnsi="Century" w:hint="cs"/>
          <w:rtl/>
        </w:rPr>
        <w:t>פ''ד</w:t>
      </w:r>
      <w:proofErr w:type="spellEnd"/>
      <w:r>
        <w:rPr>
          <w:rFonts w:ascii="Century" w:hAnsi="Century" w:hint="cs"/>
          <w:rtl/>
        </w:rPr>
        <w:t xml:space="preserve"> מו(4) 368, 383 (1992); ובאופן פרטני יותר בהליכים </w:t>
      </w:r>
      <w:proofErr w:type="spellStart"/>
      <w:r>
        <w:rPr>
          <w:rFonts w:ascii="Century" w:hAnsi="Century" w:hint="cs"/>
          <w:rtl/>
        </w:rPr>
        <w:t>אכיפתיים</w:t>
      </w:r>
      <w:proofErr w:type="spellEnd"/>
      <w:r>
        <w:rPr>
          <w:rFonts w:ascii="Century" w:hAnsi="Century" w:hint="cs"/>
          <w:rtl/>
        </w:rPr>
        <w:t xml:space="preserve">: </w:t>
      </w:r>
      <w:proofErr w:type="spellStart"/>
      <w:r>
        <w:rPr>
          <w:rFonts w:ascii="Century" w:hAnsi="Century" w:hint="cs"/>
          <w:rtl/>
        </w:rPr>
        <w:t>עע"מ</w:t>
      </w:r>
      <w:proofErr w:type="spellEnd"/>
      <w:r>
        <w:rPr>
          <w:rFonts w:ascii="Century" w:hAnsi="Century" w:hint="cs"/>
          <w:rtl/>
        </w:rPr>
        <w:t xml:space="preserve"> 3782/12 ‏</w:t>
      </w:r>
      <w:r>
        <w:rPr>
          <w:rFonts w:ascii="Century" w:hAnsi="Century" w:cs="Miriam" w:hint="cs"/>
          <w:b/>
          <w:spacing w:val="0"/>
          <w:szCs w:val="24"/>
          <w:rtl/>
        </w:rPr>
        <w:t>מפקד מחוז תל אביב-יפו במשטרת ישראל נ' איגוד האינטרנט הישראלי</w:t>
      </w:r>
      <w:r>
        <w:rPr>
          <w:rFonts w:ascii="Century" w:hAnsi="Century" w:hint="cs"/>
          <w:rtl/>
        </w:rPr>
        <w:t xml:space="preserve">, </w:t>
      </w:r>
      <w:proofErr w:type="spellStart"/>
      <w:r>
        <w:rPr>
          <w:rFonts w:ascii="Century" w:hAnsi="Century" w:hint="cs"/>
          <w:rtl/>
        </w:rPr>
        <w:t>פ''ד</w:t>
      </w:r>
      <w:proofErr w:type="spellEnd"/>
      <w:r>
        <w:rPr>
          <w:rFonts w:ascii="Century" w:hAnsi="Century" w:hint="cs"/>
          <w:rtl/>
        </w:rPr>
        <w:t xml:space="preserve"> </w:t>
      </w:r>
      <w:proofErr w:type="spellStart"/>
      <w:r>
        <w:rPr>
          <w:rFonts w:ascii="Century" w:hAnsi="Century" w:hint="cs"/>
          <w:rtl/>
        </w:rPr>
        <w:t>סו</w:t>
      </w:r>
      <w:proofErr w:type="spellEnd"/>
      <w:r>
        <w:rPr>
          <w:rFonts w:ascii="Century" w:hAnsi="Century" w:hint="cs"/>
          <w:rtl/>
        </w:rPr>
        <w:t xml:space="preserve">(2) 159 (2013); בג"ץ 2959/17 </w:t>
      </w:r>
      <w:proofErr w:type="spellStart"/>
      <w:r>
        <w:rPr>
          <w:rFonts w:ascii="Century" w:hAnsi="Century" w:cs="Miriam" w:hint="cs"/>
          <w:b/>
          <w:spacing w:val="0"/>
          <w:szCs w:val="24"/>
          <w:rtl/>
        </w:rPr>
        <w:t>אלשואמרה</w:t>
      </w:r>
      <w:proofErr w:type="spellEnd"/>
      <w:r>
        <w:rPr>
          <w:rFonts w:ascii="Century" w:hAnsi="Century" w:cs="Miriam" w:hint="cs"/>
          <w:b/>
          <w:spacing w:val="0"/>
          <w:szCs w:val="24"/>
          <w:rtl/>
        </w:rPr>
        <w:t xml:space="preserve"> נ' מדינת ישראל</w:t>
      </w:r>
      <w:r>
        <w:rPr>
          <w:rFonts w:ascii="Century" w:hAnsi="Century" w:hint="cs"/>
          <w:rtl/>
        </w:rPr>
        <w:t>, פסקה 17 (20.11.2017)).</w:t>
      </w:r>
    </w:p>
    <w:p w:rsidR="00D26556" w:rsidRDefault="00D26556" w:rsidP="00D26556">
      <w:pPr>
        <w:pStyle w:val="Ruller41"/>
        <w:rPr>
          <w:rtl/>
        </w:rPr>
      </w:pPr>
    </w:p>
    <w:p w:rsidR="00D26556" w:rsidRDefault="00D26556" w:rsidP="00D26556">
      <w:pPr>
        <w:pStyle w:val="Ruller4"/>
        <w:numPr>
          <w:ilvl w:val="0"/>
          <w:numId w:val="13"/>
        </w:numPr>
        <w:textAlignment w:val="auto"/>
        <w:rPr>
          <w:rtl/>
        </w:rPr>
      </w:pPr>
      <w:r>
        <w:rPr>
          <w:rFonts w:hint="cs"/>
          <w:rtl/>
        </w:rPr>
        <w:lastRenderedPageBreak/>
        <w:t>ברם, כפי שהצביע חברי</w:t>
      </w:r>
      <w:r w:rsidR="00B600C0">
        <w:rPr>
          <w:rFonts w:hint="cs"/>
          <w:rtl/>
        </w:rPr>
        <w:t xml:space="preserve"> השופט </w:t>
      </w:r>
      <w:r w:rsidR="00B600C0" w:rsidRPr="00B600C0">
        <w:rPr>
          <w:rFonts w:ascii="Century" w:hAnsi="Century" w:cs="Miriam" w:hint="cs"/>
          <w:b/>
          <w:spacing w:val="0"/>
          <w:sz w:val="22"/>
          <w:szCs w:val="24"/>
          <w:rtl/>
        </w:rPr>
        <w:t>י' אלרון</w:t>
      </w:r>
      <w:r>
        <w:rPr>
          <w:rFonts w:hint="cs"/>
          <w:rtl/>
        </w:rPr>
        <w:t xml:space="preserve">, סמכות רחבה איננה סמכות בלתי מוגבלת אותה ניתן להפעיל באופן </w:t>
      </w:r>
      <w:r>
        <w:rPr>
          <w:rFonts w:ascii="Century" w:hAnsi="Century" w:cs="Miriam" w:hint="cs"/>
          <w:b/>
          <w:spacing w:val="0"/>
          <w:sz w:val="22"/>
          <w:szCs w:val="24"/>
          <w:rtl/>
        </w:rPr>
        <w:t>שרירותי</w:t>
      </w:r>
      <w:r>
        <w:rPr>
          <w:rFonts w:hint="cs"/>
          <w:rtl/>
        </w:rPr>
        <w:t xml:space="preserve">. כפי שעולה מתגובת המשיבה, כיום לא קיים כל נוהל המסדיר את אופן הפעלת סמכות החיפוש בשדות התעופה. המקרה שלפנינו אף מדגים מדוע הנחיות מסוג זה נדרשות, כאשר השוטר אשר חיפש בכליו של המערער לא ידע להסביר מדוע בחר דווקא בו, כיצד הוא מפעיל את סמכות החיפוש הנתונה לו ואף סבר כי מקור הסמכות לחיפוש שערך מצוי דווקא בחוק הטיס (בטחון בתעופה אזרחית), התשל"ז-1977. </w:t>
      </w:r>
    </w:p>
    <w:p w:rsidR="00D26556" w:rsidRDefault="00D26556" w:rsidP="00D26556">
      <w:pPr>
        <w:pStyle w:val="Ruller41"/>
        <w:rPr>
          <w:rtl/>
        </w:rPr>
      </w:pPr>
    </w:p>
    <w:p w:rsidR="00D26556" w:rsidRDefault="00D26556" w:rsidP="00D26556">
      <w:pPr>
        <w:pStyle w:val="Ruller4"/>
        <w:numPr>
          <w:ilvl w:val="0"/>
          <w:numId w:val="13"/>
        </w:numPr>
        <w:textAlignment w:val="auto"/>
        <w:rPr>
          <w:rtl/>
        </w:rPr>
      </w:pPr>
      <w:r>
        <w:rPr>
          <w:rFonts w:hint="cs"/>
          <w:rtl/>
        </w:rPr>
        <w:t xml:space="preserve">אין הרבה מקום לספק כי נוכח אופייה של תופעת הברחת הסמים הבינלאומית, קיימת חשיבות רבה בעריכת בדיקות </w:t>
      </w:r>
      <w:r>
        <w:rPr>
          <w:rFonts w:ascii="Century" w:hAnsi="Century" w:cs="Miriam" w:hint="cs"/>
          <w:b/>
          <w:spacing w:val="0"/>
          <w:sz w:val="22"/>
          <w:szCs w:val="24"/>
          <w:rtl/>
        </w:rPr>
        <w:t>אקראיות</w:t>
      </w:r>
      <w:r>
        <w:rPr>
          <w:rFonts w:hint="cs"/>
          <w:rtl/>
        </w:rPr>
        <w:t xml:space="preserve"> לקיומם של סמים על גופם או בכליהם של הבאים בשערי שדות התעופה. ביצוע בדיקות אקראיות לא רק עשוי לגלות הובלת סמים אסורה, אלא בעיקר מהווה גורם מרתיע משמעותי כלפי אלו אשר עוסקים ביבוא סמים דרך שדות התעופה בעצמם או לעתים קרובות דווקא באמצעות בלדרים שאינם מעוררים חשד (וראו לדוגמה בלבד במשך השנים: ע"פ 6886/17 </w:t>
      </w:r>
      <w:r>
        <w:rPr>
          <w:rFonts w:ascii="Century" w:hAnsi="Century" w:cs="Miriam" w:hint="cs"/>
          <w:b/>
          <w:spacing w:val="0"/>
          <w:sz w:val="22"/>
          <w:szCs w:val="24"/>
          <w:rtl/>
        </w:rPr>
        <w:t>מרסל נ' מדינת ישראל</w:t>
      </w:r>
      <w:r>
        <w:rPr>
          <w:rFonts w:hint="cs"/>
          <w:rtl/>
        </w:rPr>
        <w:t xml:space="preserve"> (24.4.2018); ע"פ 7052/06 </w:t>
      </w:r>
      <w:proofErr w:type="spellStart"/>
      <w:r>
        <w:rPr>
          <w:rFonts w:ascii="Century" w:hAnsi="Century" w:cs="Miriam" w:hint="cs"/>
          <w:b/>
          <w:spacing w:val="0"/>
          <w:sz w:val="22"/>
          <w:szCs w:val="24"/>
          <w:rtl/>
        </w:rPr>
        <w:t>יגאלי</w:t>
      </w:r>
      <w:proofErr w:type="spellEnd"/>
      <w:r>
        <w:rPr>
          <w:rFonts w:ascii="Century" w:hAnsi="Century" w:cs="Miriam" w:hint="cs"/>
          <w:b/>
          <w:spacing w:val="0"/>
          <w:sz w:val="22"/>
          <w:szCs w:val="24"/>
          <w:rtl/>
        </w:rPr>
        <w:t xml:space="preserve"> נ' מדינת ישראל</w:t>
      </w:r>
      <w:r>
        <w:rPr>
          <w:rFonts w:hint="cs"/>
          <w:rtl/>
        </w:rPr>
        <w:t xml:space="preserve"> (27.4.2009); ע"פ 5104/06 </w:t>
      </w:r>
      <w:proofErr w:type="spellStart"/>
      <w:r>
        <w:rPr>
          <w:rFonts w:ascii="Century" w:hAnsi="Century" w:cs="Miriam" w:hint="cs"/>
          <w:b/>
          <w:spacing w:val="0"/>
          <w:sz w:val="22"/>
          <w:szCs w:val="24"/>
          <w:rtl/>
        </w:rPr>
        <w:t>בנייורישלויל</w:t>
      </w:r>
      <w:proofErr w:type="spellEnd"/>
      <w:r>
        <w:rPr>
          <w:rFonts w:ascii="Century" w:hAnsi="Century" w:cs="Miriam" w:hint="cs"/>
          <w:b/>
          <w:spacing w:val="0"/>
          <w:sz w:val="22"/>
          <w:szCs w:val="24"/>
          <w:rtl/>
        </w:rPr>
        <w:t xml:space="preserve"> נ' מדינת ישראל</w:t>
      </w:r>
      <w:r>
        <w:rPr>
          <w:rFonts w:hint="cs"/>
          <w:rtl/>
        </w:rPr>
        <w:t xml:space="preserve"> (21.5.2007); ע"פ 257/89 </w:t>
      </w:r>
      <w:r>
        <w:rPr>
          <w:rFonts w:ascii="Century" w:hAnsi="Century" w:cs="Miriam" w:hint="cs"/>
          <w:b/>
          <w:spacing w:val="0"/>
          <w:sz w:val="22"/>
          <w:szCs w:val="24"/>
          <w:rtl/>
        </w:rPr>
        <w:t>סבג נ' מדינת ישראל</w:t>
      </w:r>
      <w:r>
        <w:rPr>
          <w:rFonts w:hint="cs"/>
          <w:rtl/>
        </w:rPr>
        <w:t xml:space="preserve">, פ"ד מד(3) 746 (1990)). על כן, יש להותיר כלי חשוב זה בידי המשטרה במתכונת ביצוע בדיקות אקראיות ולאפשר לה לבצע את הבדיקות כפי שהמציאות מחייבת אף ללא קיומו של חשד סביר. </w:t>
      </w:r>
    </w:p>
    <w:p w:rsidR="00D26556" w:rsidRDefault="00D26556" w:rsidP="00D26556">
      <w:pPr>
        <w:pStyle w:val="Ruller41"/>
        <w:rPr>
          <w:rtl/>
        </w:rPr>
      </w:pPr>
    </w:p>
    <w:p w:rsidR="00D26556" w:rsidRDefault="00D26556" w:rsidP="00D26556">
      <w:pPr>
        <w:pStyle w:val="Ruller4"/>
        <w:numPr>
          <w:ilvl w:val="0"/>
          <w:numId w:val="13"/>
        </w:numPr>
        <w:textAlignment w:val="auto"/>
      </w:pPr>
      <w:r>
        <w:rPr>
          <w:rFonts w:hint="cs"/>
          <w:rtl/>
        </w:rPr>
        <w:t xml:space="preserve">ציינתי כי חשוב לאפשר למשטרה לבצע בדיקות באופן </w:t>
      </w:r>
      <w:r>
        <w:rPr>
          <w:rFonts w:ascii="Century" w:hAnsi="Century" w:cs="Miriam" w:hint="cs"/>
          <w:b/>
          <w:spacing w:val="0"/>
          <w:sz w:val="22"/>
          <w:szCs w:val="24"/>
          <w:rtl/>
        </w:rPr>
        <w:t>אקראי</w:t>
      </w:r>
      <w:r>
        <w:rPr>
          <w:rFonts w:hint="cs"/>
          <w:rtl/>
        </w:rPr>
        <w:t xml:space="preserve">, הן על גופם של באי שדות התעופה והן בחפציהם. אך אין זה אומר כי המשטרה יכולה לפעול באופן </w:t>
      </w:r>
      <w:r>
        <w:rPr>
          <w:rFonts w:ascii="Century" w:hAnsi="Century" w:cs="Miriam" w:hint="cs"/>
          <w:b/>
          <w:spacing w:val="0"/>
          <w:sz w:val="22"/>
          <w:szCs w:val="24"/>
          <w:rtl/>
        </w:rPr>
        <w:t>שרירותי</w:t>
      </w:r>
      <w:r>
        <w:rPr>
          <w:rFonts w:hint="cs"/>
          <w:rtl/>
        </w:rPr>
        <w:t xml:space="preserve"> או תוך תיוג פסול </w:t>
      </w:r>
      <w:r>
        <w:rPr>
          <w:rFonts w:ascii="Century" w:hAnsi="Century" w:hint="cs"/>
          <w:sz w:val="22"/>
          <w:rtl/>
        </w:rPr>
        <w:t>(</w:t>
      </w:r>
      <w:r>
        <w:rPr>
          <w:rFonts w:ascii="Century" w:hAnsi="Century"/>
          <w:sz w:val="22"/>
        </w:rPr>
        <w:t>profiling</w:t>
      </w:r>
      <w:r>
        <w:rPr>
          <w:rFonts w:ascii="Century" w:hAnsi="Century" w:hint="cs"/>
          <w:sz w:val="22"/>
          <w:rtl/>
        </w:rPr>
        <w:t xml:space="preserve">) (השוו: בג"ץ 4455/19 </w:t>
      </w:r>
      <w:r>
        <w:rPr>
          <w:rFonts w:ascii="Century" w:hAnsi="Century" w:cs="Miriam" w:hint="cs"/>
          <w:b/>
          <w:spacing w:val="0"/>
          <w:sz w:val="22"/>
          <w:szCs w:val="24"/>
          <w:rtl/>
        </w:rPr>
        <w:t xml:space="preserve">עמותת </w:t>
      </w:r>
      <w:proofErr w:type="spellStart"/>
      <w:r>
        <w:rPr>
          <w:rFonts w:ascii="Century" w:hAnsi="Century" w:cs="Miriam" w:hint="cs"/>
          <w:b/>
          <w:spacing w:val="0"/>
          <w:sz w:val="22"/>
          <w:szCs w:val="24"/>
          <w:rtl/>
        </w:rPr>
        <w:t>טבקה</w:t>
      </w:r>
      <w:proofErr w:type="spellEnd"/>
      <w:r>
        <w:rPr>
          <w:rFonts w:ascii="Century" w:hAnsi="Century" w:cs="Miriam" w:hint="cs"/>
          <w:b/>
          <w:spacing w:val="0"/>
          <w:sz w:val="22"/>
          <w:szCs w:val="24"/>
          <w:rtl/>
        </w:rPr>
        <w:t xml:space="preserve"> – צדק ושוויון ליוצאי אתיופיה נ' משטרת ישראל</w:t>
      </w:r>
      <w:r>
        <w:rPr>
          <w:rFonts w:ascii="Century" w:hAnsi="Century" w:hint="cs"/>
          <w:sz w:val="22"/>
          <w:rtl/>
        </w:rPr>
        <w:t xml:space="preserve">, פסקאות 21-20 לפסק דינה של הנשיאה </w:t>
      </w:r>
      <w:r>
        <w:rPr>
          <w:rFonts w:ascii="Century" w:hAnsi="Century" w:cs="Miriam" w:hint="cs"/>
          <w:b/>
          <w:spacing w:val="0"/>
          <w:sz w:val="22"/>
          <w:szCs w:val="24"/>
          <w:rtl/>
        </w:rPr>
        <w:t>א' חיות</w:t>
      </w:r>
      <w:r>
        <w:rPr>
          <w:rFonts w:ascii="Century" w:hAnsi="Century" w:hint="cs"/>
          <w:sz w:val="22"/>
          <w:rtl/>
        </w:rPr>
        <w:t xml:space="preserve"> (25.1.2021); בג"ץ 4797/07 </w:t>
      </w:r>
      <w:r>
        <w:rPr>
          <w:rFonts w:ascii="Century" w:hAnsi="Century" w:cs="Miriam" w:hint="cs"/>
          <w:b/>
          <w:spacing w:val="0"/>
          <w:sz w:val="22"/>
          <w:szCs w:val="24"/>
          <w:rtl/>
        </w:rPr>
        <w:t>האגודה לזכויות האזרח בישראל</w:t>
      </w:r>
      <w:r>
        <w:rPr>
          <w:rFonts w:hint="cs"/>
          <w:rtl/>
        </w:rPr>
        <w:t xml:space="preserve"> </w:t>
      </w:r>
      <w:r>
        <w:rPr>
          <w:rFonts w:ascii="Century" w:hAnsi="Century" w:cs="Miriam" w:hint="cs"/>
          <w:b/>
          <w:spacing w:val="0"/>
          <w:sz w:val="22"/>
          <w:szCs w:val="24"/>
          <w:rtl/>
        </w:rPr>
        <w:t>נ' רשות שדות התעופה</w:t>
      </w:r>
      <w:r>
        <w:rPr>
          <w:rFonts w:ascii="Century" w:hAnsi="Century" w:hint="cs"/>
          <w:sz w:val="22"/>
          <w:rtl/>
        </w:rPr>
        <w:t xml:space="preserve"> (10.3.2015)).</w:t>
      </w:r>
      <w:r>
        <w:rPr>
          <w:rFonts w:hint="cs"/>
          <w:rtl/>
        </w:rPr>
        <w:t xml:space="preserve"> קיים פער גדול בין </w:t>
      </w:r>
      <w:r>
        <w:rPr>
          <w:rFonts w:hint="cs"/>
          <w:rtl/>
        </w:rPr>
        <w:lastRenderedPageBreak/>
        <w:t>השניים. בדיקה אקראית כשמה כן היא. היא מושתתת על גמישות בלוח הזמנים של ביצוע הבדיקות, בתדירות הבדיקות, במוקד הבדיקות, ביעד הבדיקות ועוד. אין היא מוסדרת ומתוכננת מראש. כאשר היא נעשית כראוי, יש בכוחה להביא לתוצאות אופטימליות לחשיפת פשיעה ומיגורה, בוודאי כאשר מדובר במלחמה בנגע הסמים. אדרבה, נראה כי דווקא ביצוע בדיקות אקראיות בשדות תעופה הוא דרך המלך למיגור תופעת יבוא סמים בלתי חוקיים לישראל. דווקא משום כך, קיימת חשיבות בקביעת נוהל כמותווה בפסקה 18 לחוות דעתו של חברי. בהעדר נוהל, ההתמודדות במיגור התופעה לוקה בחסר ועלול שלא להוביל לתוצאות המיוחלות בביצוע הבדיקות האקראיות.</w:t>
      </w:r>
    </w:p>
    <w:p w:rsidR="00D26556" w:rsidRDefault="00D26556" w:rsidP="00D26556">
      <w:pPr>
        <w:pStyle w:val="Ruller4"/>
        <w:numPr>
          <w:ilvl w:val="0"/>
          <w:numId w:val="0"/>
        </w:numPr>
      </w:pPr>
    </w:p>
    <w:p w:rsidR="00D26556" w:rsidRDefault="00D26556" w:rsidP="00D26556">
      <w:pPr>
        <w:pStyle w:val="Ruller4"/>
        <w:numPr>
          <w:ilvl w:val="0"/>
          <w:numId w:val="13"/>
        </w:numPr>
        <w:textAlignment w:val="auto"/>
      </w:pPr>
      <w:r>
        <w:rPr>
          <w:rFonts w:hint="cs"/>
          <w:rtl/>
        </w:rPr>
        <w:t xml:space="preserve">ברם, על אף האמור לעיל, ומבלי להקל ראש בחשיבותו של נוהל כאמור, אינני סבור כי נסיבות העניין מצדיקות פסילת הראיות שנמצאו בחיפוש על גופו של המערער, שנעשה ללא אמות מידה ברורות. אכן, חיפוש בלתי חוקי שבוצע בהיעדר הסמכה בחוק, מהווה הפרה חמורה של הזכות להליך הוגן אשר עשוי להביא לפסילת הראיות שהושגו בעקבותיו. זאת הגם שאין בעצם השגתה של ראיה שלא כדין כדי להביא באופן אוטומטי לפסילתה (ע"פ 5121/98 </w:t>
      </w:r>
      <w:proofErr w:type="spellStart"/>
      <w:r>
        <w:rPr>
          <w:rFonts w:ascii="Century" w:hAnsi="Century" w:cs="Miriam" w:hint="cs"/>
          <w:b/>
          <w:spacing w:val="0"/>
          <w:sz w:val="22"/>
          <w:szCs w:val="24"/>
          <w:rtl/>
        </w:rPr>
        <w:t>יששכרוב</w:t>
      </w:r>
      <w:proofErr w:type="spellEnd"/>
      <w:r>
        <w:rPr>
          <w:rFonts w:ascii="Century" w:hAnsi="Century" w:cs="Miriam" w:hint="cs"/>
          <w:b/>
          <w:spacing w:val="0"/>
          <w:sz w:val="22"/>
          <w:szCs w:val="24"/>
          <w:rtl/>
        </w:rPr>
        <w:t xml:space="preserve"> נ' התובע הצבאי הראשי</w:t>
      </w:r>
      <w:r>
        <w:rPr>
          <w:rFonts w:hint="cs"/>
          <w:rtl/>
        </w:rPr>
        <w:t xml:space="preserve">, פ"ד </w:t>
      </w:r>
      <w:proofErr w:type="spellStart"/>
      <w:r>
        <w:rPr>
          <w:rFonts w:hint="cs"/>
          <w:rtl/>
        </w:rPr>
        <w:t>סא</w:t>
      </w:r>
      <w:proofErr w:type="spellEnd"/>
      <w:r>
        <w:rPr>
          <w:rFonts w:hint="cs"/>
          <w:rtl/>
        </w:rPr>
        <w:t xml:space="preserve">(1) 461 (2006)). ברם, בענייננו אין מדובר באי חוקיות תוך הפרת הוראת חוק מפורשת. אף אין מדובר בביצוע חיפוש תוך חריגה מהתנאים הקבועים בחוק (כגון ביצוע חיפוש שלא בנוכחות עדים כאשר הדין מחייב זאת). הפגמים בחיפוש נבעו כאמור </w:t>
      </w:r>
      <w:r>
        <w:rPr>
          <w:rFonts w:ascii="Century" w:hAnsi="Century" w:cs="Miriam" w:hint="cs"/>
          <w:b/>
          <w:spacing w:val="0"/>
          <w:sz w:val="22"/>
          <w:szCs w:val="24"/>
          <w:rtl/>
        </w:rPr>
        <w:t>מאופן הפעלת הסמכות</w:t>
      </w:r>
      <w:r>
        <w:rPr>
          <w:rFonts w:hint="cs"/>
          <w:rtl/>
        </w:rPr>
        <w:t xml:space="preserve"> הקבועה בחוק, להבדיל מביצוע חיפוש </w:t>
      </w:r>
      <w:r>
        <w:rPr>
          <w:rFonts w:ascii="Century" w:hAnsi="Century" w:cs="Miriam" w:hint="cs"/>
          <w:b/>
          <w:spacing w:val="0"/>
          <w:sz w:val="22"/>
          <w:szCs w:val="24"/>
          <w:rtl/>
        </w:rPr>
        <w:t>בהיעדר הסמכה כלל</w:t>
      </w:r>
      <w:r>
        <w:rPr>
          <w:rFonts w:hint="cs"/>
          <w:rtl/>
        </w:rPr>
        <w:t xml:space="preserve">, וגם עובדה זו משפיעה על ההכרעה בשאלת פסילת הראיות שהושגו כתוצאה מהחיפוש. על כן, אף כי נסיבות ביצוע העבירה שיוחסה למערער אינן מן החמורות, אינני סבור כי יש בכך כדי להטות את הכף לטובתו. בנסיבות אלו, על אף שהשוטר שביצע את החיפוש על גופו של המערער פעל בשרירותיות מסוימת, אין בכך כדי להצדיק את פסילת פירות החיפוש. </w:t>
      </w:r>
    </w:p>
    <w:p w:rsidR="00D26556" w:rsidRDefault="00D26556" w:rsidP="00D26556">
      <w:pPr>
        <w:pStyle w:val="Ruller41"/>
        <w:rPr>
          <w:rtl/>
        </w:rPr>
      </w:pPr>
    </w:p>
    <w:p w:rsidR="00D26556" w:rsidRDefault="00D26556" w:rsidP="00D26556">
      <w:pPr>
        <w:pStyle w:val="Ruller41"/>
        <w:rPr>
          <w:rtl/>
        </w:rPr>
      </w:pPr>
      <w:r>
        <w:rPr>
          <w:rFonts w:hint="cs"/>
          <w:rtl/>
        </w:rPr>
        <w:lastRenderedPageBreak/>
        <w:tab/>
        <w:t>משכך, אם דעתי הייתה נשמעת הערעור היה נדחה.</w:t>
      </w:r>
    </w:p>
    <w:p w:rsidR="00D26556" w:rsidRDefault="00D26556" w:rsidP="00D26556">
      <w:pPr>
        <w:pStyle w:val="Ruller41"/>
        <w:rPr>
          <w:rtl/>
        </w:rPr>
      </w:pPr>
    </w:p>
    <w:p w:rsidR="00D26556" w:rsidRDefault="00D26556" w:rsidP="00D26556">
      <w:pPr>
        <w:pStyle w:val="Ruller41"/>
        <w:jc w:val="right"/>
        <w:rPr>
          <w:rtl/>
        </w:rPr>
      </w:pPr>
      <w:r>
        <w:rPr>
          <w:rFonts w:hint="cs"/>
          <w:rtl/>
        </w:rPr>
        <w:t>ש ו פ ט</w:t>
      </w:r>
    </w:p>
    <w:p w:rsidR="00D26556" w:rsidRDefault="00D26556" w:rsidP="00D26556">
      <w:pPr>
        <w:pStyle w:val="Ruller41"/>
        <w:jc w:val="right"/>
        <w:rPr>
          <w:rtl/>
        </w:rPr>
      </w:pPr>
    </w:p>
    <w:p w:rsidR="006F7294" w:rsidRDefault="006F7294" w:rsidP="00D26556">
      <w:pPr>
        <w:pStyle w:val="Ruller41"/>
        <w:jc w:val="right"/>
        <w:rPr>
          <w:rtl/>
        </w:rPr>
      </w:pPr>
    </w:p>
    <w:p w:rsidR="00D26556" w:rsidRDefault="00D26556" w:rsidP="004D3C10">
      <w:pPr>
        <w:pStyle w:val="Ruller41"/>
        <w:rPr>
          <w:rtl/>
        </w:rPr>
      </w:pPr>
      <w:r>
        <w:rPr>
          <w:rtl/>
        </w:rPr>
        <w:tab/>
      </w:r>
      <w:r>
        <w:rPr>
          <w:rFonts w:hint="cs"/>
          <w:rtl/>
        </w:rPr>
        <w:t xml:space="preserve">הוחלט כאמור בפסק דינו של השופט </w:t>
      </w:r>
      <w:r w:rsidRPr="00D26556">
        <w:rPr>
          <w:rFonts w:ascii="Century" w:hAnsi="Century" w:cs="Miriam" w:hint="cs"/>
          <w:b/>
          <w:spacing w:val="0"/>
          <w:szCs w:val="24"/>
          <w:rtl/>
        </w:rPr>
        <w:t>י' אלרון</w:t>
      </w:r>
      <w:r w:rsidRPr="00D26556">
        <w:rPr>
          <w:rFonts w:hint="cs"/>
          <w:rtl/>
        </w:rPr>
        <w:t xml:space="preserve"> </w:t>
      </w:r>
      <w:r w:rsidR="006F6363">
        <w:rPr>
          <w:rFonts w:hint="cs"/>
          <w:rtl/>
        </w:rPr>
        <w:t xml:space="preserve">בהסכמת השופטת </w:t>
      </w:r>
      <w:r w:rsidR="006F6363" w:rsidRPr="006F6363">
        <w:rPr>
          <w:rFonts w:ascii="Century" w:hAnsi="Century" w:cs="Miriam" w:hint="cs"/>
          <w:b/>
          <w:spacing w:val="0"/>
          <w:szCs w:val="24"/>
          <w:rtl/>
        </w:rPr>
        <w:t>ע' ברון</w:t>
      </w:r>
      <w:r w:rsidR="006F6363" w:rsidRPr="006F6363">
        <w:rPr>
          <w:rFonts w:hint="cs"/>
          <w:rtl/>
        </w:rPr>
        <w:t xml:space="preserve"> </w:t>
      </w:r>
      <w:r>
        <w:rPr>
          <w:rFonts w:hint="cs"/>
          <w:rtl/>
        </w:rPr>
        <w:t xml:space="preserve">כנגד דעתו החולקת של השופט </w:t>
      </w:r>
      <w:r w:rsidRPr="00D26556">
        <w:rPr>
          <w:rFonts w:ascii="Century" w:hAnsi="Century" w:cs="Miriam" w:hint="cs"/>
          <w:b/>
          <w:spacing w:val="0"/>
          <w:szCs w:val="24"/>
          <w:rtl/>
        </w:rPr>
        <w:t>ד' מינץ</w:t>
      </w:r>
      <w:r>
        <w:rPr>
          <w:rFonts w:hint="cs"/>
          <w:rtl/>
        </w:rPr>
        <w:t>.</w:t>
      </w:r>
    </w:p>
    <w:p w:rsidR="00D26556" w:rsidRDefault="00D26556" w:rsidP="00D26556">
      <w:pPr>
        <w:pStyle w:val="Ruller41"/>
        <w:rPr>
          <w:rtl/>
        </w:rPr>
      </w:pPr>
    </w:p>
    <w:p w:rsidR="00D26556" w:rsidRDefault="00D26556" w:rsidP="006F7294">
      <w:pPr>
        <w:pStyle w:val="Ruller41"/>
        <w:rPr>
          <w:rtl/>
        </w:rPr>
      </w:pPr>
      <w:r>
        <w:rPr>
          <w:rtl/>
        </w:rPr>
        <w:tab/>
        <w:t xml:space="preserve">ניתן היום, </w:t>
      </w:r>
      <w:r>
        <w:rPr>
          <w:rFonts w:hint="eastAsia"/>
          <w:rtl/>
        </w:rPr>
        <w:t>‏</w:t>
      </w:r>
      <w:r w:rsidR="006F7294">
        <w:rPr>
          <w:rFonts w:hint="cs"/>
          <w:rtl/>
        </w:rPr>
        <w:t>ד</w:t>
      </w:r>
      <w:r>
        <w:rPr>
          <w:rtl/>
        </w:rPr>
        <w:t>' באלול התשפ"א (</w:t>
      </w:r>
      <w:r>
        <w:rPr>
          <w:rFonts w:hint="eastAsia"/>
          <w:rtl/>
        </w:rPr>
        <w:t>‏</w:t>
      </w:r>
      <w:r w:rsidR="006F7294">
        <w:rPr>
          <w:rFonts w:hint="cs"/>
          <w:rtl/>
        </w:rPr>
        <w:t>12</w:t>
      </w:r>
      <w:r>
        <w:rPr>
          <w:rtl/>
        </w:rPr>
        <w:t>.8.2021).</w:t>
      </w:r>
    </w:p>
    <w:p w:rsidR="00D26556" w:rsidRDefault="00D26556" w:rsidP="00D26556">
      <w:pPr>
        <w:pStyle w:val="Ruller41"/>
        <w:rPr>
          <w:rtl/>
        </w:rPr>
      </w:pPr>
    </w:p>
    <w:p w:rsidR="00261648" w:rsidRDefault="00261648" w:rsidP="00D26556">
      <w:pPr>
        <w:pStyle w:val="Ruller41"/>
        <w:rPr>
          <w:rtl/>
        </w:rPr>
      </w:pPr>
    </w:p>
    <w:p w:rsidR="00261648" w:rsidRDefault="00261648" w:rsidP="00D26556">
      <w:pPr>
        <w:pStyle w:val="Ruller41"/>
        <w:rPr>
          <w:rtl/>
        </w:rPr>
      </w:pPr>
    </w:p>
    <w:p w:rsidR="00D26556" w:rsidRPr="00D26556" w:rsidRDefault="00D26556" w:rsidP="00D26556">
      <w:pPr>
        <w:pStyle w:val="Ruller41"/>
        <w:rPr>
          <w:rtl/>
        </w:rPr>
      </w:pPr>
    </w:p>
    <w:tbl>
      <w:tblPr>
        <w:bidiVisual/>
        <w:tblW w:w="8363" w:type="dxa"/>
        <w:tblLook w:val="01E0" w:firstRow="1" w:lastRow="1" w:firstColumn="1" w:lastColumn="1" w:noHBand="0" w:noVBand="0"/>
      </w:tblPr>
      <w:tblGrid>
        <w:gridCol w:w="2787"/>
        <w:gridCol w:w="2788"/>
        <w:gridCol w:w="2788"/>
      </w:tblGrid>
      <w:tr w:rsidR="001A0164" w:rsidTr="00D26556">
        <w:tc>
          <w:tcPr>
            <w:tcW w:w="2787" w:type="dxa"/>
            <w:shd w:val="clear" w:color="auto" w:fill="auto"/>
          </w:tcPr>
          <w:p w:rsidR="00016EF1" w:rsidRDefault="00082192" w:rsidP="00A51FAE">
            <w:pPr>
              <w:pStyle w:val="Ruller41"/>
              <w:rPr>
                <w:rtl/>
              </w:rPr>
            </w:pPr>
            <w:r>
              <w:rPr>
                <w:rFonts w:hint="cs"/>
                <w:rtl/>
              </w:rPr>
              <w:t xml:space="preserve"> </w:t>
            </w:r>
            <w:r w:rsidR="00D26556">
              <w:rPr>
                <w:rFonts w:hint="cs"/>
                <w:rtl/>
              </w:rPr>
              <w:t>ש ו פ ט ת</w:t>
            </w:r>
          </w:p>
        </w:tc>
        <w:tc>
          <w:tcPr>
            <w:tcW w:w="2788" w:type="dxa"/>
            <w:shd w:val="clear" w:color="auto" w:fill="auto"/>
          </w:tcPr>
          <w:p w:rsidR="001A0164" w:rsidRDefault="00D26556" w:rsidP="00BA0B08">
            <w:pPr>
              <w:pStyle w:val="Ruller41"/>
              <w:jc w:val="center"/>
              <w:rPr>
                <w:rtl/>
              </w:rPr>
            </w:pPr>
            <w:r>
              <w:rPr>
                <w:rFonts w:hint="cs"/>
                <w:rtl/>
              </w:rPr>
              <w:t>ש ו פ ט</w:t>
            </w:r>
          </w:p>
        </w:tc>
        <w:tc>
          <w:tcPr>
            <w:tcW w:w="2788" w:type="dxa"/>
            <w:shd w:val="clear" w:color="auto" w:fill="auto"/>
          </w:tcPr>
          <w:p w:rsidR="001A0164" w:rsidRDefault="00D26556" w:rsidP="00FE53C3">
            <w:pPr>
              <w:pStyle w:val="Ruller41"/>
              <w:jc w:val="right"/>
              <w:rPr>
                <w:rtl/>
              </w:rPr>
            </w:pPr>
            <w:r>
              <w:rPr>
                <w:rFonts w:hint="cs"/>
                <w:rtl/>
              </w:rPr>
              <w:t>ש ו פ ט</w:t>
            </w:r>
          </w:p>
        </w:tc>
      </w:tr>
    </w:tbl>
    <w:p w:rsidR="00044953" w:rsidRDefault="00044953" w:rsidP="00A51FAE">
      <w:pPr>
        <w:pStyle w:val="Ruller41"/>
        <w:rPr>
          <w:rtl/>
        </w:rPr>
      </w:pPr>
    </w:p>
    <w:p w:rsidR="006F7294" w:rsidRDefault="006F7294" w:rsidP="00A51FAE">
      <w:pPr>
        <w:pStyle w:val="Ruller41"/>
        <w:rPr>
          <w:rtl/>
        </w:rPr>
      </w:pPr>
    </w:p>
    <w:p w:rsidR="00916FF8" w:rsidRDefault="00916FF8">
      <w:pPr>
        <w:rPr>
          <w:szCs w:val="16"/>
          <w:rtl/>
        </w:rPr>
      </w:pPr>
      <w:r>
        <w:rPr>
          <w:szCs w:val="16"/>
          <w:rtl/>
        </w:rPr>
        <w:t>_________________</w:t>
      </w:r>
      <w:r w:rsidR="00A12E0F">
        <w:rPr>
          <w:rFonts w:hint="cs"/>
          <w:szCs w:val="16"/>
          <w:rtl/>
        </w:rPr>
        <w:t>________</w:t>
      </w:r>
    </w:p>
    <w:p w:rsidR="00916FF8" w:rsidRDefault="00591983" w:rsidP="00B009CC">
      <w:pPr>
        <w:pStyle w:val="Ruller38"/>
        <w:rPr>
          <w:rtl/>
        </w:rPr>
      </w:pPr>
      <w:r>
        <w:rPr>
          <w:sz w:val="16"/>
        </w:rPr>
        <w:t xml:space="preserve"> </w:t>
      </w:r>
      <w:r w:rsidR="00A12E0F">
        <w:rPr>
          <w:sz w:val="16"/>
        </w:rPr>
        <w:t xml:space="preserve">  </w:t>
      </w:r>
      <w:r w:rsidR="00832B55">
        <w:rPr>
          <w:sz w:val="16"/>
        </w:rPr>
        <w:t xml:space="preserve">20031990_J06.docx   </w:t>
      </w:r>
      <w:proofErr w:type="spellStart"/>
      <w:r w:rsidR="00832B55">
        <w:rPr>
          <w:sz w:val="16"/>
          <w:rtl/>
        </w:rPr>
        <w:t>עע</w:t>
      </w:r>
      <w:proofErr w:type="spellEnd"/>
    </w:p>
    <w:p w:rsidR="003F1F97" w:rsidRDefault="00591983" w:rsidP="00A33F5A">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sidR="00866D0F">
        <w:rPr>
          <w:rFonts w:hint="cs"/>
          <w:rtl/>
        </w:rPr>
        <w:t>, 3852*</w:t>
      </w:r>
      <w:r>
        <w:rPr>
          <w:rFonts w:hint="cs"/>
          <w:rtl/>
        </w:rPr>
        <w:t xml:space="preserve"> ; אתר אינטרנט,  </w:t>
      </w:r>
      <w:hyperlink r:id="rId8" w:history="1">
        <w:r w:rsidR="00FC0252" w:rsidRPr="00BB4C68">
          <w:rPr>
            <w:rStyle w:val="Hyperlink"/>
            <w:sz w:val="16"/>
          </w:rPr>
          <w:t>https://supreme.court.gov.il</w:t>
        </w:r>
      </w:hyperlink>
    </w:p>
    <w:sectPr w:rsidR="003F1F97" w:rsidSect="00591983">
      <w:headerReference w:type="even" r:id="rId9"/>
      <w:headerReference w:type="default" r:id="rId10"/>
      <w:footerReference w:type="even" r:id="rId11"/>
      <w:headerReference w:type="first" r:id="rId12"/>
      <w:footerReference w:type="first" r:id="rId13"/>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512" w:rsidRDefault="007F7512">
      <w:r>
        <w:separator/>
      </w:r>
    </w:p>
  </w:endnote>
  <w:endnote w:type="continuationSeparator" w:id="0">
    <w:p w:rsidR="007F7512" w:rsidRDefault="007F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TUR">
    <w:altName w:val="Arial"/>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3"/>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3"/>
      <w:rPr>
        <w:rtl/>
      </w:rPr>
    </w:pPr>
  </w:p>
  <w:p w:rsidR="00377102" w:rsidRDefault="003771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4D" w:rsidRPr="00F959DB" w:rsidRDefault="00045B4D" w:rsidP="00914156">
    <w:pPr>
      <w:pStyle w:val="a3"/>
      <w:bidi w:val="0"/>
      <w:jc w:val="right"/>
      <w:rPr>
        <w:sz w:val="16"/>
        <w:szCs w:val="16"/>
      </w:rPr>
    </w:pPr>
    <w:bookmarkStart w:id="6" w:name="footer_line"/>
    <w:bookmarkEnd w:id="6"/>
  </w:p>
  <w:p w:rsidR="00045B4D" w:rsidRDefault="00045B4D">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512" w:rsidRDefault="007F7512">
      <w:r>
        <w:separator/>
      </w:r>
    </w:p>
  </w:footnote>
  <w:footnote w:type="continuationSeparator" w:id="0">
    <w:p w:rsidR="007F7512" w:rsidRDefault="007F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BC0E82">
      <w:rPr>
        <w:rStyle w:val="a4"/>
        <w:noProof/>
        <w:rtl/>
      </w:rPr>
      <w:t>1</w:t>
    </w:r>
    <w:r>
      <w:rPr>
        <w:rStyle w:val="a4"/>
        <w:rtl/>
      </w:rPr>
      <w:fldChar w:fldCharType="end"/>
    </w:r>
  </w:p>
  <w:p w:rsidR="00377102" w:rsidRDefault="00377102">
    <w:pPr>
      <w:pStyle w:val="a5"/>
      <w:rPr>
        <w:rtl/>
      </w:rPr>
    </w:pPr>
  </w:p>
  <w:p w:rsidR="00377102" w:rsidRDefault="003771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02" w:rsidRDefault="00377102">
    <w:pPr>
      <w:pStyle w:val="a5"/>
      <w:framePr w:wrap="around" w:vAnchor="text" w:hAnchor="margin" w:xAlign="center" w:y="1"/>
      <w:rPr>
        <w:rStyle w:val="a4"/>
        <w:rtl/>
      </w:rPr>
    </w:pPr>
    <w:r>
      <w:rPr>
        <w:rStyle w:val="a4"/>
        <w:rtl/>
      </w:rPr>
      <w:fldChar w:fldCharType="begin"/>
    </w:r>
    <w:r>
      <w:rPr>
        <w:rStyle w:val="a4"/>
      </w:rPr>
      <w:instrText xml:space="preserve">PAGE  </w:instrText>
    </w:r>
    <w:r>
      <w:rPr>
        <w:rStyle w:val="a4"/>
        <w:rtl/>
      </w:rPr>
      <w:fldChar w:fldCharType="separate"/>
    </w:r>
    <w:r w:rsidR="00672547">
      <w:rPr>
        <w:rStyle w:val="a4"/>
        <w:noProof/>
        <w:rtl/>
      </w:rPr>
      <w:t>17</w:t>
    </w:r>
    <w:r>
      <w:rPr>
        <w:rStyle w:val="a4"/>
        <w:rtl/>
      </w:rPr>
      <w:fldChar w:fldCharType="end"/>
    </w:r>
  </w:p>
  <w:p w:rsidR="00377102" w:rsidRDefault="00377102">
    <w:pPr>
      <w:pStyle w:val="a5"/>
      <w:rPr>
        <w:rtl/>
      </w:rPr>
    </w:pPr>
  </w:p>
  <w:p w:rsidR="00377102" w:rsidRDefault="003771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8363" w:type="dxa"/>
      <w:tblLook w:val="0000" w:firstRow="0" w:lastRow="0" w:firstColumn="0" w:lastColumn="0" w:noHBand="0" w:noVBand="0"/>
    </w:tblPr>
    <w:tblGrid>
      <w:gridCol w:w="8363"/>
    </w:tblGrid>
    <w:tr w:rsidR="00045B4D" w:rsidTr="00EC23AC">
      <w:trPr>
        <w:trHeight w:val="342"/>
      </w:trPr>
      <w:tc>
        <w:tcPr>
          <w:tcW w:w="9828" w:type="dxa"/>
        </w:tcPr>
        <w:p w:rsidR="00377102" w:rsidRPr="002F7BB6" w:rsidRDefault="00EE3810" w:rsidP="00045B4D">
          <w:pPr>
            <w:pStyle w:val="Casenameintextbody"/>
            <w:jc w:val="center"/>
            <w:rPr>
              <w:u w:val="none"/>
              <w:rtl/>
            </w:rPr>
          </w:pPr>
          <w:r w:rsidRPr="002F7BB6">
            <w:rPr>
              <w:noProof/>
              <w:sz w:val="16"/>
              <w:szCs w:val="18"/>
              <w:u w:val="none"/>
              <w:rtl/>
            </w:rPr>
            <w:drawing>
              <wp:inline distT="0" distB="0" distL="0" distR="0">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rsidR="00045B4D" w:rsidRDefault="00045B4D" w:rsidP="00045B4D">
    <w:pPr>
      <w:pStyle w:val="a5"/>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D6AA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A04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D47D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C52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E8AE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D290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841D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B064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8C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86C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04354"/>
    <w:multiLevelType w:val="hybridMultilevel"/>
    <w:tmpl w:val="2D0465AC"/>
    <w:lvl w:ilvl="0" w:tplc="467A298C">
      <w:start w:val="1"/>
      <w:numFmt w:val="decimal"/>
      <w:suff w:val="space"/>
      <w:lvlText w:val="(%1)"/>
      <w:lvlJc w:val="left"/>
      <w:pPr>
        <w:ind w:left="2520" w:hanging="360"/>
      </w:pPr>
      <w:rPr>
        <w:rFonts w:hint="default"/>
      </w:rPr>
    </w:lvl>
    <w:lvl w:ilvl="1" w:tplc="550C30A8" w:tentative="1">
      <w:start w:val="1"/>
      <w:numFmt w:val="lowerLetter"/>
      <w:lvlText w:val="%2."/>
      <w:lvlJc w:val="left"/>
      <w:pPr>
        <w:ind w:left="5394" w:hanging="360"/>
      </w:pPr>
    </w:lvl>
    <w:lvl w:ilvl="2" w:tplc="26AE5E2C" w:tentative="1">
      <w:start w:val="1"/>
      <w:numFmt w:val="lowerRoman"/>
      <w:lvlText w:val="%3."/>
      <w:lvlJc w:val="right"/>
      <w:pPr>
        <w:ind w:left="6114" w:hanging="180"/>
      </w:pPr>
    </w:lvl>
    <w:lvl w:ilvl="3" w:tplc="221CD948" w:tentative="1">
      <w:start w:val="1"/>
      <w:numFmt w:val="decimal"/>
      <w:lvlText w:val="%4."/>
      <w:lvlJc w:val="left"/>
      <w:pPr>
        <w:ind w:left="6834" w:hanging="360"/>
      </w:pPr>
    </w:lvl>
    <w:lvl w:ilvl="4" w:tplc="3F446A2C" w:tentative="1">
      <w:start w:val="1"/>
      <w:numFmt w:val="lowerLetter"/>
      <w:lvlText w:val="%5."/>
      <w:lvlJc w:val="left"/>
      <w:pPr>
        <w:ind w:left="7554" w:hanging="360"/>
      </w:pPr>
    </w:lvl>
    <w:lvl w:ilvl="5" w:tplc="8808FBA2" w:tentative="1">
      <w:start w:val="1"/>
      <w:numFmt w:val="lowerRoman"/>
      <w:lvlText w:val="%6."/>
      <w:lvlJc w:val="right"/>
      <w:pPr>
        <w:ind w:left="8274" w:hanging="180"/>
      </w:pPr>
    </w:lvl>
    <w:lvl w:ilvl="6" w:tplc="19623D80" w:tentative="1">
      <w:start w:val="1"/>
      <w:numFmt w:val="decimal"/>
      <w:lvlText w:val="%7."/>
      <w:lvlJc w:val="left"/>
      <w:pPr>
        <w:ind w:left="8994" w:hanging="360"/>
      </w:pPr>
    </w:lvl>
    <w:lvl w:ilvl="7" w:tplc="B190677E" w:tentative="1">
      <w:start w:val="1"/>
      <w:numFmt w:val="lowerLetter"/>
      <w:lvlText w:val="%8."/>
      <w:lvlJc w:val="left"/>
      <w:pPr>
        <w:ind w:left="9714" w:hanging="360"/>
      </w:pPr>
    </w:lvl>
    <w:lvl w:ilvl="8" w:tplc="DD64E4E0" w:tentative="1">
      <w:start w:val="1"/>
      <w:numFmt w:val="lowerRoman"/>
      <w:lvlText w:val="%9."/>
      <w:lvlJc w:val="right"/>
      <w:pPr>
        <w:ind w:left="10434" w:hanging="180"/>
      </w:pPr>
    </w:lvl>
  </w:abstractNum>
  <w:abstractNum w:abstractNumId="11" w15:restartNumberingAfterBreak="0">
    <w:nsid w:val="08A6001B"/>
    <w:multiLevelType w:val="hybridMultilevel"/>
    <w:tmpl w:val="5DC26950"/>
    <w:lvl w:ilvl="0" w:tplc="8B9AF7D8">
      <w:start w:val="1"/>
      <w:numFmt w:val="decimal"/>
      <w:pStyle w:val="Ruller4"/>
      <w:lvlText w:val="%1."/>
      <w:lvlJc w:val="left"/>
      <w:pPr>
        <w:tabs>
          <w:tab w:val="num" w:pos="907"/>
        </w:tabs>
        <w:ind w:left="0" w:firstLine="0"/>
      </w:pPr>
      <w:rPr>
        <w:rFonts w:hint="default"/>
        <w:lang w:val="en-US"/>
      </w:rPr>
    </w:lvl>
    <w:lvl w:ilvl="1" w:tplc="B3487342">
      <w:start w:val="1"/>
      <w:numFmt w:val="lowerLetter"/>
      <w:lvlText w:val="%2."/>
      <w:lvlJc w:val="left"/>
      <w:pPr>
        <w:tabs>
          <w:tab w:val="num" w:pos="1440"/>
        </w:tabs>
        <w:ind w:left="1440" w:hanging="360"/>
      </w:pPr>
    </w:lvl>
    <w:lvl w:ilvl="2" w:tplc="1540AA2E" w:tentative="1">
      <w:start w:val="1"/>
      <w:numFmt w:val="lowerRoman"/>
      <w:lvlText w:val="%3."/>
      <w:lvlJc w:val="right"/>
      <w:pPr>
        <w:tabs>
          <w:tab w:val="num" w:pos="2160"/>
        </w:tabs>
        <w:ind w:left="2160" w:hanging="180"/>
      </w:pPr>
    </w:lvl>
    <w:lvl w:ilvl="3" w:tplc="38801326" w:tentative="1">
      <w:start w:val="1"/>
      <w:numFmt w:val="decimal"/>
      <w:lvlText w:val="%4."/>
      <w:lvlJc w:val="left"/>
      <w:pPr>
        <w:tabs>
          <w:tab w:val="num" w:pos="2880"/>
        </w:tabs>
        <w:ind w:left="2880" w:hanging="360"/>
      </w:pPr>
    </w:lvl>
    <w:lvl w:ilvl="4" w:tplc="E2D6DBB0" w:tentative="1">
      <w:start w:val="1"/>
      <w:numFmt w:val="lowerLetter"/>
      <w:lvlText w:val="%5."/>
      <w:lvlJc w:val="left"/>
      <w:pPr>
        <w:tabs>
          <w:tab w:val="num" w:pos="3600"/>
        </w:tabs>
        <w:ind w:left="3600" w:hanging="360"/>
      </w:pPr>
    </w:lvl>
    <w:lvl w:ilvl="5" w:tplc="96CA541C" w:tentative="1">
      <w:start w:val="1"/>
      <w:numFmt w:val="lowerRoman"/>
      <w:lvlText w:val="%6."/>
      <w:lvlJc w:val="right"/>
      <w:pPr>
        <w:tabs>
          <w:tab w:val="num" w:pos="4320"/>
        </w:tabs>
        <w:ind w:left="4320" w:hanging="180"/>
      </w:pPr>
    </w:lvl>
    <w:lvl w:ilvl="6" w:tplc="05CCABDA" w:tentative="1">
      <w:start w:val="1"/>
      <w:numFmt w:val="decimal"/>
      <w:lvlText w:val="%7."/>
      <w:lvlJc w:val="left"/>
      <w:pPr>
        <w:tabs>
          <w:tab w:val="num" w:pos="5040"/>
        </w:tabs>
        <w:ind w:left="5040" w:hanging="360"/>
      </w:pPr>
    </w:lvl>
    <w:lvl w:ilvl="7" w:tplc="3934E49E" w:tentative="1">
      <w:start w:val="1"/>
      <w:numFmt w:val="lowerLetter"/>
      <w:lvlText w:val="%8."/>
      <w:lvlJc w:val="left"/>
      <w:pPr>
        <w:tabs>
          <w:tab w:val="num" w:pos="5760"/>
        </w:tabs>
        <w:ind w:left="5760" w:hanging="360"/>
      </w:pPr>
    </w:lvl>
    <w:lvl w:ilvl="8" w:tplc="347610D4" w:tentative="1">
      <w:start w:val="1"/>
      <w:numFmt w:val="lowerRoman"/>
      <w:lvlText w:val="%9."/>
      <w:lvlJc w:val="right"/>
      <w:pPr>
        <w:tabs>
          <w:tab w:val="num" w:pos="6480"/>
        </w:tabs>
        <w:ind w:left="6480" w:hanging="180"/>
      </w:pPr>
    </w:lvl>
  </w:abstractNum>
  <w:abstractNum w:abstractNumId="12" w15:restartNumberingAfterBreak="0">
    <w:nsid w:val="45A47590"/>
    <w:multiLevelType w:val="hybridMultilevel"/>
    <w:tmpl w:val="059A307C"/>
    <w:lvl w:ilvl="0" w:tplc="328A3AF2">
      <w:start w:val="2"/>
      <w:numFmt w:val="hebrew1"/>
      <w:lvlText w:val="(%1)"/>
      <w:lvlJc w:val="left"/>
      <w:pPr>
        <w:ind w:left="2520" w:hanging="360"/>
      </w:pPr>
      <w:rPr>
        <w:rFonts w:hint="default"/>
      </w:rPr>
    </w:lvl>
    <w:lvl w:ilvl="1" w:tplc="C388AC48" w:tentative="1">
      <w:start w:val="1"/>
      <w:numFmt w:val="lowerLetter"/>
      <w:lvlText w:val="%2."/>
      <w:lvlJc w:val="left"/>
      <w:pPr>
        <w:ind w:left="3240" w:hanging="360"/>
      </w:pPr>
    </w:lvl>
    <w:lvl w:ilvl="2" w:tplc="C80CF922" w:tentative="1">
      <w:start w:val="1"/>
      <w:numFmt w:val="lowerRoman"/>
      <w:lvlText w:val="%3."/>
      <w:lvlJc w:val="right"/>
      <w:pPr>
        <w:ind w:left="3960" w:hanging="180"/>
      </w:pPr>
    </w:lvl>
    <w:lvl w:ilvl="3" w:tplc="2A0EE058" w:tentative="1">
      <w:start w:val="1"/>
      <w:numFmt w:val="decimal"/>
      <w:lvlText w:val="%4."/>
      <w:lvlJc w:val="left"/>
      <w:pPr>
        <w:ind w:left="4680" w:hanging="360"/>
      </w:pPr>
    </w:lvl>
    <w:lvl w:ilvl="4" w:tplc="362C8398" w:tentative="1">
      <w:start w:val="1"/>
      <w:numFmt w:val="lowerLetter"/>
      <w:lvlText w:val="%5."/>
      <w:lvlJc w:val="left"/>
      <w:pPr>
        <w:ind w:left="5400" w:hanging="360"/>
      </w:pPr>
    </w:lvl>
    <w:lvl w:ilvl="5" w:tplc="FFEEDD7A" w:tentative="1">
      <w:start w:val="1"/>
      <w:numFmt w:val="lowerRoman"/>
      <w:lvlText w:val="%6."/>
      <w:lvlJc w:val="right"/>
      <w:pPr>
        <w:ind w:left="6120" w:hanging="180"/>
      </w:pPr>
    </w:lvl>
    <w:lvl w:ilvl="6" w:tplc="55C61D9C" w:tentative="1">
      <w:start w:val="1"/>
      <w:numFmt w:val="decimal"/>
      <w:lvlText w:val="%7."/>
      <w:lvlJc w:val="left"/>
      <w:pPr>
        <w:ind w:left="6840" w:hanging="360"/>
      </w:pPr>
    </w:lvl>
    <w:lvl w:ilvl="7" w:tplc="69CAEDD0" w:tentative="1">
      <w:start w:val="1"/>
      <w:numFmt w:val="lowerLetter"/>
      <w:lvlText w:val="%8."/>
      <w:lvlJc w:val="left"/>
      <w:pPr>
        <w:ind w:left="7560" w:hanging="360"/>
      </w:pPr>
    </w:lvl>
    <w:lvl w:ilvl="8" w:tplc="FAAA0E62" w:tentative="1">
      <w:start w:val="1"/>
      <w:numFmt w:val="lowerRoman"/>
      <w:lvlText w:val="%9."/>
      <w:lvlJc w:val="right"/>
      <w:pPr>
        <w:ind w:left="8280" w:hanging="180"/>
      </w:pPr>
    </w:lvl>
  </w:abstractNum>
  <w:abstractNum w:abstractNumId="13" w15:restartNumberingAfterBreak="0">
    <w:nsid w:val="4FD7387D"/>
    <w:multiLevelType w:val="hybridMultilevel"/>
    <w:tmpl w:val="AADA10CA"/>
    <w:lvl w:ilvl="0" w:tplc="E018BDC2">
      <w:start w:val="1"/>
      <w:numFmt w:val="decimal"/>
      <w:lvlText w:val="(%1)"/>
      <w:lvlJc w:val="left"/>
      <w:pPr>
        <w:ind w:left="2514" w:hanging="360"/>
      </w:pPr>
      <w:rPr>
        <w:rFonts w:hint="default"/>
      </w:rPr>
    </w:lvl>
    <w:lvl w:ilvl="1" w:tplc="61DA504E" w:tentative="1">
      <w:start w:val="1"/>
      <w:numFmt w:val="lowerLetter"/>
      <w:lvlText w:val="%2."/>
      <w:lvlJc w:val="left"/>
      <w:pPr>
        <w:ind w:left="3234" w:hanging="360"/>
      </w:pPr>
    </w:lvl>
    <w:lvl w:ilvl="2" w:tplc="2CD8B0A0" w:tentative="1">
      <w:start w:val="1"/>
      <w:numFmt w:val="lowerRoman"/>
      <w:lvlText w:val="%3."/>
      <w:lvlJc w:val="right"/>
      <w:pPr>
        <w:ind w:left="3954" w:hanging="180"/>
      </w:pPr>
    </w:lvl>
    <w:lvl w:ilvl="3" w:tplc="84BE13BC" w:tentative="1">
      <w:start w:val="1"/>
      <w:numFmt w:val="decimal"/>
      <w:lvlText w:val="%4."/>
      <w:lvlJc w:val="left"/>
      <w:pPr>
        <w:ind w:left="4674" w:hanging="360"/>
      </w:pPr>
    </w:lvl>
    <w:lvl w:ilvl="4" w:tplc="69EAB994" w:tentative="1">
      <w:start w:val="1"/>
      <w:numFmt w:val="lowerLetter"/>
      <w:lvlText w:val="%5."/>
      <w:lvlJc w:val="left"/>
      <w:pPr>
        <w:ind w:left="5394" w:hanging="360"/>
      </w:pPr>
    </w:lvl>
    <w:lvl w:ilvl="5" w:tplc="E7B22D46" w:tentative="1">
      <w:start w:val="1"/>
      <w:numFmt w:val="lowerRoman"/>
      <w:lvlText w:val="%6."/>
      <w:lvlJc w:val="right"/>
      <w:pPr>
        <w:ind w:left="6114" w:hanging="180"/>
      </w:pPr>
    </w:lvl>
    <w:lvl w:ilvl="6" w:tplc="400EA52C" w:tentative="1">
      <w:start w:val="1"/>
      <w:numFmt w:val="decimal"/>
      <w:lvlText w:val="%7."/>
      <w:lvlJc w:val="left"/>
      <w:pPr>
        <w:ind w:left="6834" w:hanging="360"/>
      </w:pPr>
    </w:lvl>
    <w:lvl w:ilvl="7" w:tplc="198C594C" w:tentative="1">
      <w:start w:val="1"/>
      <w:numFmt w:val="lowerLetter"/>
      <w:lvlText w:val="%8."/>
      <w:lvlJc w:val="left"/>
      <w:pPr>
        <w:ind w:left="7554" w:hanging="360"/>
      </w:pPr>
    </w:lvl>
    <w:lvl w:ilvl="8" w:tplc="1EE498AC" w:tentative="1">
      <w:start w:val="1"/>
      <w:numFmt w:val="lowerRoman"/>
      <w:lvlText w:val="%9."/>
      <w:lvlJc w:val="right"/>
      <w:pPr>
        <w:ind w:left="8274" w:hanging="180"/>
      </w:pPr>
    </w:lvl>
  </w:abstractNum>
  <w:abstractNum w:abstractNumId="14" w15:restartNumberingAfterBreak="0">
    <w:nsid w:val="4FE70B62"/>
    <w:multiLevelType w:val="hybridMultilevel"/>
    <w:tmpl w:val="ADA8711E"/>
    <w:lvl w:ilvl="0" w:tplc="D3E0CF1C">
      <w:start w:val="1"/>
      <w:numFmt w:val="hebrew1"/>
      <w:pStyle w:val="Ruller40"/>
      <w:lvlText w:val="%1."/>
      <w:lvlJc w:val="left"/>
      <w:pPr>
        <w:tabs>
          <w:tab w:val="num" w:pos="907"/>
        </w:tabs>
        <w:ind w:left="0" w:firstLine="0"/>
      </w:pPr>
      <w:rPr>
        <w:rFonts w:hint="default"/>
      </w:rPr>
    </w:lvl>
    <w:lvl w:ilvl="1" w:tplc="FFA0216C" w:tentative="1">
      <w:start w:val="1"/>
      <w:numFmt w:val="lowerLetter"/>
      <w:lvlText w:val="%2."/>
      <w:lvlJc w:val="left"/>
      <w:pPr>
        <w:tabs>
          <w:tab w:val="num" w:pos="1440"/>
        </w:tabs>
        <w:ind w:left="1440" w:hanging="360"/>
      </w:pPr>
    </w:lvl>
    <w:lvl w:ilvl="2" w:tplc="8DFA50E2" w:tentative="1">
      <w:start w:val="1"/>
      <w:numFmt w:val="lowerRoman"/>
      <w:lvlText w:val="%3."/>
      <w:lvlJc w:val="right"/>
      <w:pPr>
        <w:tabs>
          <w:tab w:val="num" w:pos="2160"/>
        </w:tabs>
        <w:ind w:left="2160" w:hanging="180"/>
      </w:pPr>
    </w:lvl>
    <w:lvl w:ilvl="3" w:tplc="4E28AC8E" w:tentative="1">
      <w:start w:val="1"/>
      <w:numFmt w:val="decimal"/>
      <w:lvlText w:val="%4."/>
      <w:lvlJc w:val="left"/>
      <w:pPr>
        <w:tabs>
          <w:tab w:val="num" w:pos="2880"/>
        </w:tabs>
        <w:ind w:left="2880" w:hanging="360"/>
      </w:pPr>
    </w:lvl>
    <w:lvl w:ilvl="4" w:tplc="3398DD92" w:tentative="1">
      <w:start w:val="1"/>
      <w:numFmt w:val="lowerLetter"/>
      <w:lvlText w:val="%5."/>
      <w:lvlJc w:val="left"/>
      <w:pPr>
        <w:tabs>
          <w:tab w:val="num" w:pos="3600"/>
        </w:tabs>
        <w:ind w:left="3600" w:hanging="360"/>
      </w:pPr>
    </w:lvl>
    <w:lvl w:ilvl="5" w:tplc="E884C498" w:tentative="1">
      <w:start w:val="1"/>
      <w:numFmt w:val="lowerRoman"/>
      <w:lvlText w:val="%6."/>
      <w:lvlJc w:val="right"/>
      <w:pPr>
        <w:tabs>
          <w:tab w:val="num" w:pos="4320"/>
        </w:tabs>
        <w:ind w:left="4320" w:hanging="180"/>
      </w:pPr>
    </w:lvl>
    <w:lvl w:ilvl="6" w:tplc="6E1A4EE4" w:tentative="1">
      <w:start w:val="1"/>
      <w:numFmt w:val="decimal"/>
      <w:lvlText w:val="%7."/>
      <w:lvlJc w:val="left"/>
      <w:pPr>
        <w:tabs>
          <w:tab w:val="num" w:pos="5040"/>
        </w:tabs>
        <w:ind w:left="5040" w:hanging="360"/>
      </w:pPr>
    </w:lvl>
    <w:lvl w:ilvl="7" w:tplc="02D4B648" w:tentative="1">
      <w:start w:val="1"/>
      <w:numFmt w:val="lowerLetter"/>
      <w:lvlText w:val="%8."/>
      <w:lvlJc w:val="left"/>
      <w:pPr>
        <w:tabs>
          <w:tab w:val="num" w:pos="5760"/>
        </w:tabs>
        <w:ind w:left="5760" w:hanging="360"/>
      </w:pPr>
    </w:lvl>
    <w:lvl w:ilvl="8" w:tplc="8162EF8C" w:tentative="1">
      <w:start w:val="1"/>
      <w:numFmt w:val="lowerRoman"/>
      <w:lvlText w:val="%9."/>
      <w:lvlJc w:val="right"/>
      <w:pPr>
        <w:tabs>
          <w:tab w:val="num" w:pos="6480"/>
        </w:tabs>
        <w:ind w:left="6480" w:hanging="180"/>
      </w:pPr>
    </w:lvl>
  </w:abstractNum>
  <w:abstractNum w:abstractNumId="15" w15:restartNumberingAfterBreak="0">
    <w:nsid w:val="6AE17A65"/>
    <w:multiLevelType w:val="hybridMultilevel"/>
    <w:tmpl w:val="50AC4E64"/>
    <w:lvl w:ilvl="0" w:tplc="BCB2ABB2">
      <w:start w:val="1"/>
      <w:numFmt w:val="hebrew1"/>
      <w:pStyle w:val="3"/>
      <w:lvlText w:val="%1."/>
      <w:lvlJc w:val="left"/>
      <w:pPr>
        <w:ind w:left="720" w:hanging="360"/>
      </w:pPr>
      <w:rPr>
        <w:rFonts w:hint="default"/>
      </w:rPr>
    </w:lvl>
    <w:lvl w:ilvl="1" w:tplc="06AC3622" w:tentative="1">
      <w:start w:val="1"/>
      <w:numFmt w:val="lowerLetter"/>
      <w:lvlText w:val="%2."/>
      <w:lvlJc w:val="left"/>
      <w:pPr>
        <w:ind w:left="1440" w:hanging="360"/>
      </w:pPr>
    </w:lvl>
    <w:lvl w:ilvl="2" w:tplc="2C6A3D1C" w:tentative="1">
      <w:start w:val="1"/>
      <w:numFmt w:val="lowerRoman"/>
      <w:lvlText w:val="%3."/>
      <w:lvlJc w:val="right"/>
      <w:pPr>
        <w:ind w:left="2160" w:hanging="180"/>
      </w:pPr>
    </w:lvl>
    <w:lvl w:ilvl="3" w:tplc="B5F2A2D2" w:tentative="1">
      <w:start w:val="1"/>
      <w:numFmt w:val="decimal"/>
      <w:lvlText w:val="%4."/>
      <w:lvlJc w:val="left"/>
      <w:pPr>
        <w:ind w:left="2880" w:hanging="360"/>
      </w:pPr>
    </w:lvl>
    <w:lvl w:ilvl="4" w:tplc="BE869B36" w:tentative="1">
      <w:start w:val="1"/>
      <w:numFmt w:val="lowerLetter"/>
      <w:lvlText w:val="%5."/>
      <w:lvlJc w:val="left"/>
      <w:pPr>
        <w:ind w:left="3600" w:hanging="360"/>
      </w:pPr>
    </w:lvl>
    <w:lvl w:ilvl="5" w:tplc="1116009E" w:tentative="1">
      <w:start w:val="1"/>
      <w:numFmt w:val="lowerRoman"/>
      <w:lvlText w:val="%6."/>
      <w:lvlJc w:val="right"/>
      <w:pPr>
        <w:ind w:left="4320" w:hanging="180"/>
      </w:pPr>
    </w:lvl>
    <w:lvl w:ilvl="6" w:tplc="2312DCC0" w:tentative="1">
      <w:start w:val="1"/>
      <w:numFmt w:val="decimal"/>
      <w:lvlText w:val="%7."/>
      <w:lvlJc w:val="left"/>
      <w:pPr>
        <w:ind w:left="5040" w:hanging="360"/>
      </w:pPr>
    </w:lvl>
    <w:lvl w:ilvl="7" w:tplc="4CACD53A" w:tentative="1">
      <w:start w:val="1"/>
      <w:numFmt w:val="lowerLetter"/>
      <w:lvlText w:val="%8."/>
      <w:lvlJc w:val="left"/>
      <w:pPr>
        <w:ind w:left="5760" w:hanging="360"/>
      </w:pPr>
    </w:lvl>
    <w:lvl w:ilvl="8" w:tplc="D30E47BA"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12"/>
  </w:num>
  <w:num w:numId="17">
    <w:abstractNumId w:val="10"/>
  </w:num>
  <w:num w:numId="18">
    <w:abstractNumId w:val="11"/>
  </w:num>
  <w:num w:numId="19">
    <w:abstractNumId w:val="11"/>
  </w:num>
  <w:num w:numId="2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7"/>
    <w:rsid w:val="00016EF1"/>
    <w:rsid w:val="00032036"/>
    <w:rsid w:val="00036227"/>
    <w:rsid w:val="00044953"/>
    <w:rsid w:val="00045B4D"/>
    <w:rsid w:val="000725F5"/>
    <w:rsid w:val="00072AD2"/>
    <w:rsid w:val="00082192"/>
    <w:rsid w:val="000B1478"/>
    <w:rsid w:val="000C4690"/>
    <w:rsid w:val="000D25C4"/>
    <w:rsid w:val="00134A67"/>
    <w:rsid w:val="00196A34"/>
    <w:rsid w:val="001A0164"/>
    <w:rsid w:val="001C7DBE"/>
    <w:rsid w:val="001F01D7"/>
    <w:rsid w:val="00200D6B"/>
    <w:rsid w:val="00215B3F"/>
    <w:rsid w:val="00215CCE"/>
    <w:rsid w:val="00261648"/>
    <w:rsid w:val="00265F6E"/>
    <w:rsid w:val="002876BF"/>
    <w:rsid w:val="00295628"/>
    <w:rsid w:val="002A4A7A"/>
    <w:rsid w:val="002A4BF3"/>
    <w:rsid w:val="002B406E"/>
    <w:rsid w:val="002F5D68"/>
    <w:rsid w:val="002F7BB6"/>
    <w:rsid w:val="003108F7"/>
    <w:rsid w:val="003124E6"/>
    <w:rsid w:val="003448B2"/>
    <w:rsid w:val="00361DB2"/>
    <w:rsid w:val="0037622E"/>
    <w:rsid w:val="00377102"/>
    <w:rsid w:val="0039709B"/>
    <w:rsid w:val="003D72DA"/>
    <w:rsid w:val="003E01A8"/>
    <w:rsid w:val="003F1F97"/>
    <w:rsid w:val="00407BDF"/>
    <w:rsid w:val="0041048F"/>
    <w:rsid w:val="00437D59"/>
    <w:rsid w:val="004610A4"/>
    <w:rsid w:val="004B29FF"/>
    <w:rsid w:val="004C0E77"/>
    <w:rsid w:val="004C7868"/>
    <w:rsid w:val="004D3C10"/>
    <w:rsid w:val="004D3FE9"/>
    <w:rsid w:val="004E01D8"/>
    <w:rsid w:val="004F5522"/>
    <w:rsid w:val="0050174D"/>
    <w:rsid w:val="00503A3E"/>
    <w:rsid w:val="00526E6F"/>
    <w:rsid w:val="00527F02"/>
    <w:rsid w:val="005803E2"/>
    <w:rsid w:val="0058440A"/>
    <w:rsid w:val="00586924"/>
    <w:rsid w:val="00591983"/>
    <w:rsid w:val="005A174A"/>
    <w:rsid w:val="005E2F05"/>
    <w:rsid w:val="005F71F8"/>
    <w:rsid w:val="00624A42"/>
    <w:rsid w:val="0065522F"/>
    <w:rsid w:val="00672547"/>
    <w:rsid w:val="006A30F7"/>
    <w:rsid w:val="006C42AD"/>
    <w:rsid w:val="006F6363"/>
    <w:rsid w:val="006F7294"/>
    <w:rsid w:val="00725345"/>
    <w:rsid w:val="00741CC0"/>
    <w:rsid w:val="007B512F"/>
    <w:rsid w:val="007F7512"/>
    <w:rsid w:val="00810894"/>
    <w:rsid w:val="008143AB"/>
    <w:rsid w:val="00832B55"/>
    <w:rsid w:val="0083345F"/>
    <w:rsid w:val="00836667"/>
    <w:rsid w:val="00866D0F"/>
    <w:rsid w:val="008A0048"/>
    <w:rsid w:val="008B7080"/>
    <w:rsid w:val="008C2F11"/>
    <w:rsid w:val="008D78B9"/>
    <w:rsid w:val="008E3F85"/>
    <w:rsid w:val="009051E8"/>
    <w:rsid w:val="00914156"/>
    <w:rsid w:val="00916FF8"/>
    <w:rsid w:val="00922093"/>
    <w:rsid w:val="00930C85"/>
    <w:rsid w:val="0095630E"/>
    <w:rsid w:val="009B38DA"/>
    <w:rsid w:val="009F2F53"/>
    <w:rsid w:val="009F4187"/>
    <w:rsid w:val="00A12E0F"/>
    <w:rsid w:val="00A33F5A"/>
    <w:rsid w:val="00A4264D"/>
    <w:rsid w:val="00A51FAE"/>
    <w:rsid w:val="00A80845"/>
    <w:rsid w:val="00AB69F7"/>
    <w:rsid w:val="00AD097B"/>
    <w:rsid w:val="00AD64B9"/>
    <w:rsid w:val="00AE022B"/>
    <w:rsid w:val="00B009CC"/>
    <w:rsid w:val="00B00C73"/>
    <w:rsid w:val="00B0782A"/>
    <w:rsid w:val="00B600C0"/>
    <w:rsid w:val="00B62B8C"/>
    <w:rsid w:val="00B63343"/>
    <w:rsid w:val="00B87FF7"/>
    <w:rsid w:val="00BA0B08"/>
    <w:rsid w:val="00BC0E82"/>
    <w:rsid w:val="00BC1F07"/>
    <w:rsid w:val="00BD40F9"/>
    <w:rsid w:val="00BD66F3"/>
    <w:rsid w:val="00C10DF5"/>
    <w:rsid w:val="00C1514D"/>
    <w:rsid w:val="00C41C86"/>
    <w:rsid w:val="00C63A6C"/>
    <w:rsid w:val="00CA13AF"/>
    <w:rsid w:val="00CA1444"/>
    <w:rsid w:val="00CB1590"/>
    <w:rsid w:val="00CB69E5"/>
    <w:rsid w:val="00CB7600"/>
    <w:rsid w:val="00CC0E9D"/>
    <w:rsid w:val="00CC3639"/>
    <w:rsid w:val="00D00B1D"/>
    <w:rsid w:val="00D00CB7"/>
    <w:rsid w:val="00D25F16"/>
    <w:rsid w:val="00D26556"/>
    <w:rsid w:val="00D37249"/>
    <w:rsid w:val="00D5238C"/>
    <w:rsid w:val="00D769AE"/>
    <w:rsid w:val="00DB011F"/>
    <w:rsid w:val="00E21CA9"/>
    <w:rsid w:val="00E228BE"/>
    <w:rsid w:val="00E31063"/>
    <w:rsid w:val="00E36FE9"/>
    <w:rsid w:val="00E4342C"/>
    <w:rsid w:val="00E53E18"/>
    <w:rsid w:val="00E73E98"/>
    <w:rsid w:val="00E75223"/>
    <w:rsid w:val="00E90D72"/>
    <w:rsid w:val="00EA05C0"/>
    <w:rsid w:val="00EA0BE1"/>
    <w:rsid w:val="00EC23AC"/>
    <w:rsid w:val="00EC2992"/>
    <w:rsid w:val="00ED46A4"/>
    <w:rsid w:val="00ED6FD9"/>
    <w:rsid w:val="00EE3810"/>
    <w:rsid w:val="00EE7491"/>
    <w:rsid w:val="00F63B55"/>
    <w:rsid w:val="00F63C3B"/>
    <w:rsid w:val="00F9005F"/>
    <w:rsid w:val="00F959DB"/>
    <w:rsid w:val="00F9637C"/>
    <w:rsid w:val="00FA569C"/>
    <w:rsid w:val="00FC0252"/>
    <w:rsid w:val="00FE53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800CB4-549D-4C46-B135-7F1A0BA7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textAlignment w:val="baseline"/>
    </w:pPr>
    <w:rPr>
      <w:rFonts w:cs="David"/>
      <w:szCs w:val="24"/>
    </w:rPr>
  </w:style>
  <w:style w:type="paragraph" w:styleId="1">
    <w:name w:val="heading 1"/>
    <w:aliases w:val="שם שופט"/>
    <w:basedOn w:val="a"/>
    <w:next w:val="Ruller4"/>
    <w:link w:val="10"/>
    <w:qFormat/>
    <w:rsid w:val="00082192"/>
    <w:pPr>
      <w:keepNext/>
      <w:spacing w:after="420"/>
      <w:outlineLvl w:val="0"/>
    </w:pPr>
    <w:rPr>
      <w:rFonts w:cs="Miriam"/>
      <w:spacing w:val="10"/>
      <w:sz w:val="24"/>
      <w:u w:val="single"/>
    </w:rPr>
  </w:style>
  <w:style w:type="paragraph" w:styleId="2">
    <w:name w:val="heading 2"/>
    <w:aliases w:val="כותרת בגוף הטקסט"/>
    <w:basedOn w:val="1"/>
    <w:next w:val="a"/>
    <w:link w:val="20"/>
    <w:uiPriority w:val="9"/>
    <w:unhideWhenUsed/>
    <w:qFormat/>
    <w:rsid w:val="002B406E"/>
    <w:pPr>
      <w:spacing w:before="480" w:after="360"/>
      <w:outlineLvl w:val="1"/>
    </w:pPr>
    <w:rPr>
      <w:u w:val="none"/>
    </w:rPr>
  </w:style>
  <w:style w:type="paragraph" w:styleId="3">
    <w:name w:val="heading 3"/>
    <w:basedOn w:val="2"/>
    <w:next w:val="a"/>
    <w:link w:val="30"/>
    <w:unhideWhenUsed/>
    <w:qFormat/>
    <w:rsid w:val="003108F7"/>
    <w:pPr>
      <w:numPr>
        <w:numId w:val="14"/>
      </w:numPr>
      <w:ind w:left="374"/>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1">
    <w:name w:val="Ruller4"/>
    <w:basedOn w:val="a"/>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customStyle="1" w:styleId="21">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rsid w:val="003F1F97"/>
    <w:rPr>
      <w:color w:val="0000FF"/>
      <w:u w:val="single"/>
    </w:rPr>
  </w:style>
  <w:style w:type="table" w:styleId="a6">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7">
    <w:name w:val="annotation reference"/>
    <w:basedOn w:val="a0"/>
    <w:rsid w:val="00D00B1D"/>
    <w:rPr>
      <w:sz w:val="16"/>
      <w:szCs w:val="16"/>
    </w:rPr>
  </w:style>
  <w:style w:type="paragraph" w:styleId="a8">
    <w:name w:val="annotation text"/>
    <w:basedOn w:val="a"/>
    <w:link w:val="a9"/>
    <w:rsid w:val="00D00B1D"/>
    <w:rPr>
      <w:szCs w:val="20"/>
    </w:rPr>
  </w:style>
  <w:style w:type="character" w:customStyle="1" w:styleId="a9">
    <w:name w:val="טקסט הערה תו"/>
    <w:basedOn w:val="a0"/>
    <w:link w:val="a8"/>
    <w:rsid w:val="00D00B1D"/>
    <w:rPr>
      <w:rFonts w:cs="David"/>
    </w:rPr>
  </w:style>
  <w:style w:type="paragraph" w:styleId="aa">
    <w:name w:val="annotation subject"/>
    <w:basedOn w:val="a8"/>
    <w:next w:val="a8"/>
    <w:link w:val="ab"/>
    <w:rsid w:val="00D00B1D"/>
    <w:rPr>
      <w:b/>
      <w:bCs/>
    </w:rPr>
  </w:style>
  <w:style w:type="character" w:customStyle="1" w:styleId="ab">
    <w:name w:val="נושא הערה תו"/>
    <w:basedOn w:val="a9"/>
    <w:link w:val="aa"/>
    <w:rsid w:val="00D00B1D"/>
    <w:rPr>
      <w:rFonts w:cs="David"/>
      <w:b/>
      <w:bCs/>
    </w:rPr>
  </w:style>
  <w:style w:type="paragraph" w:styleId="ac">
    <w:name w:val="Balloon Text"/>
    <w:basedOn w:val="a"/>
    <w:link w:val="ad"/>
    <w:rsid w:val="00D00B1D"/>
    <w:rPr>
      <w:rFonts w:ascii="Tahoma" w:hAnsi="Tahoma" w:cs="Tahoma"/>
      <w:sz w:val="18"/>
      <w:szCs w:val="18"/>
    </w:rPr>
  </w:style>
  <w:style w:type="character" w:customStyle="1" w:styleId="ad">
    <w:name w:val="טקסט בלונים תו"/>
    <w:basedOn w:val="a0"/>
    <w:link w:val="ac"/>
    <w:rsid w:val="00D00B1D"/>
    <w:rPr>
      <w:rFonts w:ascii="Tahoma" w:hAnsi="Tahoma" w:cs="Tahoma"/>
      <w:sz w:val="18"/>
      <w:szCs w:val="18"/>
    </w:rPr>
  </w:style>
  <w:style w:type="character" w:customStyle="1" w:styleId="10">
    <w:name w:val="כותרת 1 תו"/>
    <w:aliases w:val="שם שופט תו"/>
    <w:basedOn w:val="a0"/>
    <w:link w:val="1"/>
    <w:rsid w:val="00082192"/>
    <w:rPr>
      <w:rFonts w:cs="Miriam"/>
      <w:spacing w:val="10"/>
      <w:sz w:val="24"/>
      <w:szCs w:val="24"/>
      <w:u w:val="single"/>
    </w:rPr>
  </w:style>
  <w:style w:type="character" w:customStyle="1" w:styleId="20">
    <w:name w:val="כותרת 2 תו"/>
    <w:aliases w:val="כותרת בגוף הטקסט תו"/>
    <w:basedOn w:val="a0"/>
    <w:link w:val="2"/>
    <w:uiPriority w:val="9"/>
    <w:rsid w:val="002B406E"/>
    <w:rPr>
      <w:rFonts w:cs="Miriam"/>
      <w:spacing w:val="10"/>
      <w:sz w:val="24"/>
      <w:szCs w:val="24"/>
    </w:rPr>
  </w:style>
  <w:style w:type="character" w:customStyle="1" w:styleId="30">
    <w:name w:val="כותרת 3 תו"/>
    <w:basedOn w:val="a0"/>
    <w:link w:val="3"/>
    <w:rsid w:val="003108F7"/>
    <w:rPr>
      <w:rFonts w:cs="Miriam"/>
      <w:spacing w:val="10"/>
      <w:sz w:val="24"/>
      <w:szCs w:val="24"/>
    </w:rPr>
  </w:style>
  <w:style w:type="paragraph" w:customStyle="1" w:styleId="Ruller4">
    <w:name w:val="Ruller 4 ממוספר"/>
    <w:basedOn w:val="Ruller41"/>
    <w:next w:val="Ruller41"/>
    <w:rsid w:val="00082192"/>
    <w:pPr>
      <w:numPr>
        <w:numId w:val="11"/>
      </w:numPr>
    </w:pPr>
    <w:rPr>
      <w:rFonts w:ascii="Garamond" w:hAnsi="Garamond"/>
      <w:sz w:val="24"/>
    </w:rPr>
  </w:style>
  <w:style w:type="paragraph" w:customStyle="1" w:styleId="Ruller40">
    <w:name w:val="Ruller4 אלפביתי"/>
    <w:basedOn w:val="Ruller41"/>
    <w:next w:val="Ruller41"/>
    <w:rsid w:val="00082192"/>
    <w:pPr>
      <w:numPr>
        <w:numId w:val="12"/>
      </w:numPr>
    </w:pPr>
  </w:style>
  <w:style w:type="character" w:styleId="ae">
    <w:name w:val="Emphasis"/>
    <w:uiPriority w:val="20"/>
    <w:qFormat/>
    <w:rsid w:val="00082192"/>
    <w:rPr>
      <w:rFonts w:ascii="Century" w:hAnsi="Century" w:cs="Miriam" w:hint="default"/>
      <w:b/>
      <w:spacing w:val="0"/>
      <w:szCs w:val="24"/>
    </w:rPr>
  </w:style>
  <w:style w:type="paragraph" w:customStyle="1" w:styleId="p00">
    <w:name w:val="p00"/>
    <w:basedOn w:val="a"/>
    <w:rsid w:val="00082192"/>
    <w:pPr>
      <w:overflowPunct/>
      <w:autoSpaceDE/>
      <w:autoSpaceDN/>
      <w:bidi w:val="0"/>
      <w:adjustRightInd/>
      <w:spacing w:before="100" w:beforeAutospacing="1" w:after="100" w:afterAutospacing="1"/>
      <w:textAlignment w:val="auto"/>
    </w:pPr>
    <w:rPr>
      <w:rFonts w:cs="Times New Roman"/>
      <w:sz w:val="24"/>
    </w:rPr>
  </w:style>
  <w:style w:type="character" w:customStyle="1" w:styleId="big-number">
    <w:name w:val="big-number"/>
    <w:rsid w:val="00082192"/>
  </w:style>
  <w:style w:type="character" w:customStyle="1" w:styleId="default">
    <w:name w:val="default"/>
    <w:rsid w:val="00082192"/>
  </w:style>
  <w:style w:type="paragraph" w:customStyle="1" w:styleId="p22">
    <w:name w:val="p22"/>
    <w:basedOn w:val="a"/>
    <w:rsid w:val="00082192"/>
    <w:pPr>
      <w:overflowPunct/>
      <w:autoSpaceDE/>
      <w:autoSpaceDN/>
      <w:bidi w:val="0"/>
      <w:adjustRightInd/>
      <w:spacing w:before="100" w:beforeAutospacing="1" w:after="100" w:afterAutospacing="1"/>
      <w:textAlignment w:val="auto"/>
    </w:pPr>
    <w:rPr>
      <w:rFonts w:cs="Times New Roman"/>
      <w:sz w:val="24"/>
    </w:rPr>
  </w:style>
  <w:style w:type="character" w:customStyle="1" w:styleId="af">
    <w:name w:val="גופן_רגיל"/>
    <w:uiPriority w:val="1"/>
    <w:qFormat/>
    <w:rsid w:val="00082192"/>
    <w:rPr>
      <w:rFonts w:ascii="Garamond" w:hAnsi="Garamond"/>
      <w:sz w:val="24"/>
    </w:rPr>
  </w:style>
  <w:style w:type="paragraph" w:customStyle="1" w:styleId="af0">
    <w:name w:val="ציטוט ממורכז"/>
    <w:basedOn w:val="af1"/>
    <w:qFormat/>
    <w:rsid w:val="00082192"/>
    <w:pPr>
      <w:spacing w:before="0" w:after="420" w:line="240" w:lineRule="auto"/>
      <w:ind w:left="1644" w:right="1276"/>
      <w:contextualSpacing/>
      <w:jc w:val="both"/>
    </w:pPr>
    <w:rPr>
      <w:rFonts w:ascii="Arial TUR" w:hAnsi="Arial TUR"/>
      <w:i w:val="0"/>
      <w:iCs w:val="0"/>
      <w:color w:val="auto"/>
      <w:sz w:val="22"/>
    </w:rPr>
  </w:style>
  <w:style w:type="paragraph" w:styleId="af1">
    <w:name w:val="Quote"/>
    <w:basedOn w:val="a"/>
    <w:next w:val="a"/>
    <w:link w:val="af2"/>
    <w:uiPriority w:val="29"/>
    <w:qFormat/>
    <w:rsid w:val="00082192"/>
    <w:pPr>
      <w:spacing w:before="200" w:after="160" w:line="360" w:lineRule="auto"/>
      <w:ind w:left="864" w:right="864"/>
      <w:jc w:val="center"/>
    </w:pPr>
    <w:rPr>
      <w:rFonts w:ascii="Century" w:hAnsi="Century" w:cs="FrankRuehl"/>
      <w:i/>
      <w:iCs/>
      <w:color w:val="404040"/>
      <w:spacing w:val="10"/>
      <w:szCs w:val="28"/>
    </w:rPr>
  </w:style>
  <w:style w:type="character" w:customStyle="1" w:styleId="af2">
    <w:name w:val="ציטוט תו"/>
    <w:basedOn w:val="a0"/>
    <w:link w:val="af1"/>
    <w:uiPriority w:val="29"/>
    <w:rsid w:val="00082192"/>
    <w:rPr>
      <w:rFonts w:ascii="Century" w:hAnsi="Century" w:cs="FrankRuehl"/>
      <w:i/>
      <w:iCs/>
      <w:color w:val="404040"/>
      <w:spacing w:val="10"/>
      <w:szCs w:val="28"/>
    </w:rPr>
  </w:style>
  <w:style w:type="character" w:customStyle="1" w:styleId="-M">
    <w:name w:val="הדגשה-M"/>
    <w:uiPriority w:val="1"/>
    <w:qFormat/>
    <w:rsid w:val="00082192"/>
  </w:style>
  <w:style w:type="paragraph" w:styleId="af3">
    <w:name w:val="Revision"/>
    <w:hidden/>
    <w:uiPriority w:val="99"/>
    <w:semiHidden/>
    <w:rsid w:val="00082192"/>
    <w:rPr>
      <w:rFonts w:ascii="Century" w:hAnsi="Century" w:cs="FrankRuehl"/>
      <w:spacing w:val="1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65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upreme.court.gov.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5115</Words>
  <Characters>23543</Characters>
  <Application>Microsoft Office Word</Application>
  <DocSecurity>4</DocSecurity>
  <Lines>196</Lines>
  <Paragraphs>57</Paragraphs>
  <ScaleCrop>false</ScaleCrop>
  <HeadingPairs>
    <vt:vector size="2" baseType="variant">
      <vt:variant>
        <vt:lpstr>שם</vt:lpstr>
      </vt:variant>
      <vt:variant>
        <vt:i4>1</vt:i4>
      </vt:variant>
    </vt:vector>
  </HeadingPairs>
  <TitlesOfParts>
    <vt:vector size="1" baseType="lpstr">
      <vt:lpstr>פסק-דין בתיק רע"פ  3199/20</vt:lpstr>
    </vt:vector>
  </TitlesOfParts>
  <Company>supreme court of israel</Company>
  <LinksUpToDate>false</LinksUpToDate>
  <CharactersWithSpaces>28601</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פסק-דין בתיק רע"פ  3199/20</dc:title>
  <dc:subject/>
  <dc:creator>Administrator</dc:creator>
  <cp:keywords/>
  <dc:description/>
  <cp:lastModifiedBy>מוטי גולן</cp:lastModifiedBy>
  <cp:revision>2</cp:revision>
  <cp:lastPrinted>2021-07-28T11:01:00Z</cp:lastPrinted>
  <dcterms:created xsi:type="dcterms:W3CDTF">2021-08-12T08:15:00Z</dcterms:created>
  <dcterms:modified xsi:type="dcterms:W3CDTF">2021-08-12T08:15:00Z</dcterms:modified>
</cp:coreProperties>
</file>