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F8" w:rsidRPr="00377102" w:rsidRDefault="00916FF8">
      <w:pPr>
        <w:jc w:val="right"/>
        <w:rPr>
          <w:rFonts w:cs="Miriam"/>
          <w:b/>
          <w:bCs/>
          <w:sz w:val="16"/>
          <w:szCs w:val="16"/>
          <w:u w:val="single"/>
        </w:rPr>
      </w:pPr>
      <w:bookmarkStart w:id="0" w:name="_GoBack"/>
      <w:bookmarkEnd w:id="0"/>
    </w:p>
    <w:p w:rsidR="00916FF8" w:rsidRPr="00377102" w:rsidRDefault="00916FF8">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036227" w:rsidTr="0039709B">
        <w:tc>
          <w:tcPr>
            <w:tcW w:w="7848" w:type="dxa"/>
          </w:tcPr>
          <w:p w:rsidR="00916FF8" w:rsidRPr="00624A42" w:rsidRDefault="00F37229" w:rsidP="004C7868">
            <w:pPr>
              <w:pStyle w:val="FileNumber0"/>
              <w:rPr>
                <w:sz w:val="28"/>
                <w:u w:val="single"/>
                <w:rtl/>
              </w:rPr>
            </w:pPr>
            <w:r>
              <w:rPr>
                <w:u w:val="single"/>
                <w:rtl/>
              </w:rPr>
              <w:t>בבית המשפט העליון בשבתו כבית משפט גבוה לצדק</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F37229">
            <w:pPr>
              <w:pStyle w:val="FileNumber"/>
              <w:rPr>
                <w:sz w:val="28"/>
                <w:szCs w:val="28"/>
              </w:rPr>
            </w:pPr>
            <w:bookmarkStart w:id="1" w:name="casename_body"/>
            <w:r>
              <w:rPr>
                <w:sz w:val="28"/>
                <w:szCs w:val="28"/>
                <w:rtl/>
              </w:rPr>
              <w:t>בג"ץ  5782/21</w:t>
            </w:r>
          </w:p>
        </w:tc>
      </w:tr>
      <w:tr w:rsidR="00F37229" w:rsidTr="0039709B">
        <w:trPr>
          <w:trHeight w:val="342"/>
        </w:trPr>
        <w:tc>
          <w:tcPr>
            <w:tcW w:w="9828" w:type="dxa"/>
          </w:tcPr>
          <w:p w:rsidR="00F37229" w:rsidRPr="00810894" w:rsidRDefault="00F37229">
            <w:pPr>
              <w:pStyle w:val="FileNumber"/>
              <w:rPr>
                <w:sz w:val="28"/>
                <w:szCs w:val="28"/>
              </w:rPr>
            </w:pPr>
            <w:r>
              <w:rPr>
                <w:sz w:val="28"/>
                <w:szCs w:val="28"/>
                <w:rtl/>
              </w:rPr>
              <w:t>בג"ץ  5800/21</w:t>
            </w:r>
          </w:p>
        </w:tc>
      </w:tr>
      <w:bookmarkEnd w:id="1"/>
    </w:tbl>
    <w:p w:rsidR="00916FF8" w:rsidRDefault="00916FF8">
      <w:pPr>
        <w:jc w:val="right"/>
        <w:rPr>
          <w:rFonts w:cs="Miriam"/>
          <w:b/>
          <w:bCs/>
          <w:u w:val="single"/>
        </w:rPr>
      </w:pPr>
    </w:p>
    <w:tbl>
      <w:tblPr>
        <w:bidiVisual/>
        <w:tblW w:w="8508" w:type="dxa"/>
        <w:tblInd w:w="-144" w:type="dxa"/>
        <w:tblLayout w:type="fixed"/>
        <w:tblLook w:val="0000" w:firstRow="0" w:lastRow="0" w:firstColumn="0" w:lastColumn="0" w:noHBand="0" w:noVBand="0"/>
      </w:tblPr>
      <w:tblGrid>
        <w:gridCol w:w="3354"/>
        <w:gridCol w:w="5154"/>
      </w:tblGrid>
      <w:tr w:rsidR="00036227" w:rsidTr="00CB2DF1">
        <w:trPr>
          <w:trHeight w:val="287"/>
        </w:trPr>
        <w:tc>
          <w:tcPr>
            <w:tcW w:w="3354"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154" w:type="dxa"/>
          </w:tcPr>
          <w:p w:rsidR="00036227" w:rsidRDefault="00F37229">
            <w:pPr>
              <w:pStyle w:val="BodyRuller"/>
            </w:pPr>
            <w:r>
              <w:rPr>
                <w:rtl/>
              </w:rPr>
              <w:t>כבוד השופט ע' פוגלמן</w:t>
            </w:r>
          </w:p>
        </w:tc>
      </w:tr>
      <w:tr w:rsidR="00F37229" w:rsidTr="00CB2DF1">
        <w:trPr>
          <w:trHeight w:val="287"/>
        </w:trPr>
        <w:tc>
          <w:tcPr>
            <w:tcW w:w="3354" w:type="dxa"/>
          </w:tcPr>
          <w:p w:rsidR="00F37229" w:rsidRDefault="00F37229">
            <w:pPr>
              <w:pStyle w:val="BodyRuller"/>
              <w:rPr>
                <w:rtl/>
              </w:rPr>
            </w:pPr>
          </w:p>
        </w:tc>
        <w:tc>
          <w:tcPr>
            <w:tcW w:w="5154" w:type="dxa"/>
          </w:tcPr>
          <w:p w:rsidR="00F37229" w:rsidRDefault="00F37229">
            <w:pPr>
              <w:pStyle w:val="BodyRuller"/>
              <w:rPr>
                <w:rtl/>
              </w:rPr>
            </w:pPr>
            <w:r>
              <w:rPr>
                <w:rtl/>
              </w:rPr>
              <w:t>כבוד השופט ע' גרוסקופף</w:t>
            </w:r>
          </w:p>
        </w:tc>
      </w:tr>
      <w:tr w:rsidR="00F37229" w:rsidTr="00CB2DF1">
        <w:trPr>
          <w:trHeight w:val="287"/>
        </w:trPr>
        <w:tc>
          <w:tcPr>
            <w:tcW w:w="3354" w:type="dxa"/>
          </w:tcPr>
          <w:p w:rsidR="00F37229" w:rsidRDefault="00F37229">
            <w:pPr>
              <w:pStyle w:val="BodyRuller"/>
              <w:rPr>
                <w:rtl/>
              </w:rPr>
            </w:pPr>
          </w:p>
        </w:tc>
        <w:tc>
          <w:tcPr>
            <w:tcW w:w="5154" w:type="dxa"/>
          </w:tcPr>
          <w:p w:rsidR="00F37229" w:rsidRDefault="00F37229">
            <w:pPr>
              <w:pStyle w:val="BodyRuller"/>
              <w:rPr>
                <w:rtl/>
              </w:rPr>
            </w:pPr>
            <w:r>
              <w:rPr>
                <w:rtl/>
              </w:rPr>
              <w:t>כבוד השופט א' שטיין</w:t>
            </w:r>
          </w:p>
        </w:tc>
      </w:tr>
    </w:tbl>
    <w:p w:rsidR="00916FF8" w:rsidRDefault="00916FF8">
      <w:pPr>
        <w:pStyle w:val="Ruller3"/>
        <w:rPr>
          <w:rFonts w:cs="Miriam"/>
          <w:b/>
          <w:bCs/>
          <w:u w:val="single"/>
          <w:rtl/>
        </w:rPr>
      </w:pPr>
    </w:p>
    <w:tbl>
      <w:tblPr>
        <w:bidiVisual/>
        <w:tblW w:w="8508" w:type="dxa"/>
        <w:tblInd w:w="-144" w:type="dxa"/>
        <w:tblLayout w:type="fixed"/>
        <w:tblLook w:val="0000" w:firstRow="0" w:lastRow="0" w:firstColumn="0" w:lastColumn="0" w:noHBand="0" w:noVBand="0"/>
      </w:tblPr>
      <w:tblGrid>
        <w:gridCol w:w="3354"/>
        <w:gridCol w:w="5154"/>
      </w:tblGrid>
      <w:tr w:rsidR="00D00CB7" w:rsidTr="00CB2DF1">
        <w:trPr>
          <w:trHeight w:val="287"/>
        </w:trPr>
        <w:tc>
          <w:tcPr>
            <w:tcW w:w="3354" w:type="dxa"/>
          </w:tcPr>
          <w:p w:rsidR="00D00CB7" w:rsidRPr="00E75223" w:rsidRDefault="00F37229" w:rsidP="00DD6306">
            <w:pPr>
              <w:pStyle w:val="BodyRuller"/>
              <w:rPr>
                <w:rFonts w:ascii="David" w:hAnsi="David"/>
              </w:rPr>
            </w:pPr>
            <w:r>
              <w:rPr>
                <w:rFonts w:ascii="David" w:hAnsi="David"/>
                <w:rtl/>
              </w:rPr>
              <w:t>העותרים</w:t>
            </w:r>
            <w:r w:rsidR="00CB2DF1">
              <w:rPr>
                <w:rFonts w:ascii="David" w:hAnsi="David" w:hint="cs"/>
                <w:rtl/>
              </w:rPr>
              <w:t xml:space="preserve"> בבג"ץ 5782/21</w:t>
            </w:r>
            <w:r>
              <w:rPr>
                <w:rFonts w:ascii="David" w:hAnsi="David"/>
                <w:rtl/>
              </w:rPr>
              <w:t>:</w:t>
            </w:r>
          </w:p>
        </w:tc>
        <w:tc>
          <w:tcPr>
            <w:tcW w:w="5154" w:type="dxa"/>
          </w:tcPr>
          <w:p w:rsidR="00D00CB7" w:rsidRDefault="00F37229" w:rsidP="00DD6306">
            <w:pPr>
              <w:pStyle w:val="BodyRuller"/>
            </w:pPr>
            <w:r>
              <w:rPr>
                <w:rtl/>
              </w:rPr>
              <w:t>1. לאה זילבר</w:t>
            </w:r>
          </w:p>
        </w:tc>
      </w:tr>
      <w:tr w:rsidR="00F37229" w:rsidTr="00CB2DF1">
        <w:trPr>
          <w:trHeight w:val="287"/>
        </w:trPr>
        <w:tc>
          <w:tcPr>
            <w:tcW w:w="3354" w:type="dxa"/>
          </w:tcPr>
          <w:p w:rsidR="00F37229" w:rsidRDefault="00F37229" w:rsidP="00DD6306">
            <w:pPr>
              <w:pStyle w:val="BodyRuller"/>
              <w:rPr>
                <w:rFonts w:ascii="David" w:hAnsi="David"/>
                <w:rtl/>
              </w:rPr>
            </w:pPr>
          </w:p>
        </w:tc>
        <w:tc>
          <w:tcPr>
            <w:tcW w:w="5154" w:type="dxa"/>
          </w:tcPr>
          <w:p w:rsidR="00F37229" w:rsidRDefault="00F37229" w:rsidP="00DD6306">
            <w:pPr>
              <w:pStyle w:val="BodyRuller"/>
              <w:rPr>
                <w:rtl/>
              </w:rPr>
            </w:pPr>
            <w:r>
              <w:rPr>
                <w:rtl/>
              </w:rPr>
              <w:t>2. אלחנן זילבר</w:t>
            </w:r>
          </w:p>
        </w:tc>
      </w:tr>
      <w:tr w:rsidR="00F37229" w:rsidTr="00CB2DF1">
        <w:trPr>
          <w:trHeight w:val="287"/>
        </w:trPr>
        <w:tc>
          <w:tcPr>
            <w:tcW w:w="3354" w:type="dxa"/>
          </w:tcPr>
          <w:p w:rsidR="00F37229" w:rsidRDefault="00F37229" w:rsidP="00DD6306">
            <w:pPr>
              <w:pStyle w:val="BodyRuller"/>
              <w:rPr>
                <w:rFonts w:ascii="David" w:hAnsi="David"/>
                <w:rtl/>
              </w:rPr>
            </w:pPr>
          </w:p>
        </w:tc>
        <w:tc>
          <w:tcPr>
            <w:tcW w:w="5154" w:type="dxa"/>
          </w:tcPr>
          <w:p w:rsidR="00F37229" w:rsidRDefault="00F37229" w:rsidP="00DD6306">
            <w:pPr>
              <w:pStyle w:val="BodyRuller"/>
              <w:rPr>
                <w:rtl/>
              </w:rPr>
            </w:pPr>
            <w:r>
              <w:rPr>
                <w:rtl/>
              </w:rPr>
              <w:t>3. גולדמן מעונות בע"מ</w:t>
            </w:r>
          </w:p>
        </w:tc>
      </w:tr>
      <w:tr w:rsidR="00F37229" w:rsidTr="00CB2DF1">
        <w:trPr>
          <w:trHeight w:val="287"/>
        </w:trPr>
        <w:tc>
          <w:tcPr>
            <w:tcW w:w="3354" w:type="dxa"/>
          </w:tcPr>
          <w:p w:rsidR="00F37229" w:rsidRDefault="00F37229" w:rsidP="00DD6306">
            <w:pPr>
              <w:pStyle w:val="BodyRuller"/>
              <w:rPr>
                <w:rFonts w:ascii="David" w:hAnsi="David"/>
                <w:rtl/>
              </w:rPr>
            </w:pPr>
          </w:p>
        </w:tc>
        <w:tc>
          <w:tcPr>
            <w:tcW w:w="5154" w:type="dxa"/>
          </w:tcPr>
          <w:p w:rsidR="00F37229" w:rsidRDefault="00F37229" w:rsidP="00DD6306">
            <w:pPr>
              <w:pStyle w:val="BodyRuller"/>
              <w:rPr>
                <w:rtl/>
              </w:rPr>
            </w:pPr>
            <w:r>
              <w:rPr>
                <w:rtl/>
              </w:rPr>
              <w:t>4. מרגלות הגלבוע בע"מ</w:t>
            </w:r>
          </w:p>
        </w:tc>
      </w:tr>
    </w:tbl>
    <w:p w:rsidR="00D00CB7" w:rsidRDefault="00D00CB7">
      <w:pPr>
        <w:pStyle w:val="Ruller3"/>
        <w:rPr>
          <w:rtl/>
        </w:rPr>
      </w:pPr>
    </w:p>
    <w:tbl>
      <w:tblPr>
        <w:bidiVisual/>
        <w:tblW w:w="8507" w:type="dxa"/>
        <w:tblInd w:w="-144" w:type="dxa"/>
        <w:tblLook w:val="0000" w:firstRow="0" w:lastRow="0" w:firstColumn="0" w:lastColumn="0" w:noHBand="0" w:noVBand="0"/>
      </w:tblPr>
      <w:tblGrid>
        <w:gridCol w:w="3366"/>
        <w:gridCol w:w="5141"/>
      </w:tblGrid>
      <w:tr w:rsidR="00CB2DF1" w:rsidTr="00CB2DF1">
        <w:tc>
          <w:tcPr>
            <w:tcW w:w="3366" w:type="dxa"/>
          </w:tcPr>
          <w:p w:rsidR="00CB2DF1" w:rsidRPr="00CB2DF1" w:rsidRDefault="00CB2DF1" w:rsidP="00CB2DF1">
            <w:pPr>
              <w:pStyle w:val="BodyRuller"/>
            </w:pPr>
            <w:r w:rsidRPr="00CB2DF1">
              <w:rPr>
                <w:rtl/>
              </w:rPr>
              <w:t>העותרים</w:t>
            </w:r>
            <w:r w:rsidRPr="00CB2DF1">
              <w:rPr>
                <w:rFonts w:hint="cs"/>
                <w:rtl/>
              </w:rPr>
              <w:t xml:space="preserve"> בבג"ץ </w:t>
            </w:r>
            <w:r>
              <w:rPr>
                <w:rFonts w:hint="cs"/>
                <w:rtl/>
              </w:rPr>
              <w:t>5800</w:t>
            </w:r>
            <w:r w:rsidRPr="00CB2DF1">
              <w:rPr>
                <w:rFonts w:hint="cs"/>
                <w:rtl/>
              </w:rPr>
              <w:t>/21</w:t>
            </w:r>
            <w:r w:rsidRPr="00CB2DF1">
              <w:rPr>
                <w:rtl/>
              </w:rPr>
              <w:t>:</w:t>
            </w:r>
          </w:p>
        </w:tc>
        <w:tc>
          <w:tcPr>
            <w:tcW w:w="5141" w:type="dxa"/>
          </w:tcPr>
          <w:p w:rsidR="00CB2DF1" w:rsidRDefault="00CB2DF1" w:rsidP="00CB2DF1">
            <w:pPr>
              <w:pStyle w:val="BodyRuller"/>
            </w:pPr>
            <w:r>
              <w:rPr>
                <w:rtl/>
              </w:rPr>
              <w:t xml:space="preserve">1. </w:t>
            </w:r>
            <w:r>
              <w:rPr>
                <w:rFonts w:hint="cs"/>
                <w:rtl/>
              </w:rPr>
              <w:t>אמת ליעקב</w:t>
            </w:r>
          </w:p>
        </w:tc>
      </w:tr>
      <w:tr w:rsidR="00CB2DF1" w:rsidTr="00CB2DF1">
        <w:tc>
          <w:tcPr>
            <w:tcW w:w="3366" w:type="dxa"/>
          </w:tcPr>
          <w:p w:rsidR="00CB2DF1" w:rsidRPr="00CB2DF1" w:rsidRDefault="00CB2DF1" w:rsidP="00F57889">
            <w:pPr>
              <w:pStyle w:val="BodyRuller"/>
              <w:rPr>
                <w:rtl/>
              </w:rPr>
            </w:pPr>
          </w:p>
        </w:tc>
        <w:tc>
          <w:tcPr>
            <w:tcW w:w="5141" w:type="dxa"/>
          </w:tcPr>
          <w:p w:rsidR="00CB2DF1" w:rsidRDefault="00CB2DF1" w:rsidP="00CB2DF1">
            <w:pPr>
              <w:pStyle w:val="BodyRuller"/>
              <w:rPr>
                <w:rtl/>
              </w:rPr>
            </w:pPr>
            <w:r>
              <w:rPr>
                <w:rtl/>
              </w:rPr>
              <w:t xml:space="preserve">2. </w:t>
            </w:r>
            <w:r>
              <w:rPr>
                <w:rFonts w:hint="cs"/>
                <w:rtl/>
              </w:rPr>
              <w:t>עמותת שמורה</w:t>
            </w:r>
          </w:p>
        </w:tc>
      </w:tr>
      <w:tr w:rsidR="00036227" w:rsidTr="00CB2DF1">
        <w:tc>
          <w:tcPr>
            <w:tcW w:w="3366" w:type="dxa"/>
          </w:tcPr>
          <w:p w:rsidR="00036227" w:rsidRDefault="00036227">
            <w:pPr>
              <w:pStyle w:val="BodyRuller"/>
            </w:pPr>
          </w:p>
        </w:tc>
        <w:tc>
          <w:tcPr>
            <w:tcW w:w="5141" w:type="dxa"/>
          </w:tcPr>
          <w:p w:rsidR="00CB2DF1" w:rsidRDefault="00CB2DF1">
            <w:pPr>
              <w:pStyle w:val="BodyRuller"/>
              <w:rPr>
                <w:rtl/>
              </w:rPr>
            </w:pPr>
          </w:p>
          <w:p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rsidR="00916FF8" w:rsidRDefault="00916FF8">
      <w:pPr>
        <w:pStyle w:val="Ruller3"/>
        <w:rPr>
          <w:rtl/>
        </w:rPr>
      </w:pPr>
    </w:p>
    <w:tbl>
      <w:tblPr>
        <w:bidiVisual/>
        <w:tblW w:w="8508" w:type="dxa"/>
        <w:tblInd w:w="-144" w:type="dxa"/>
        <w:tblLayout w:type="fixed"/>
        <w:tblLook w:val="0000" w:firstRow="0" w:lastRow="0" w:firstColumn="0" w:lastColumn="0" w:noHBand="0" w:noVBand="0"/>
      </w:tblPr>
      <w:tblGrid>
        <w:gridCol w:w="3354"/>
        <w:gridCol w:w="5154"/>
      </w:tblGrid>
      <w:tr w:rsidR="0083345F" w:rsidTr="00CB2DF1">
        <w:trPr>
          <w:trHeight w:val="287"/>
        </w:trPr>
        <w:tc>
          <w:tcPr>
            <w:tcW w:w="3354" w:type="dxa"/>
          </w:tcPr>
          <w:p w:rsidR="0083345F" w:rsidRPr="00E75223" w:rsidRDefault="00F37229" w:rsidP="00DD6306">
            <w:pPr>
              <w:pStyle w:val="BodyRuller"/>
              <w:rPr>
                <w:rFonts w:ascii="David" w:hAnsi="David"/>
              </w:rPr>
            </w:pPr>
            <w:r>
              <w:rPr>
                <w:rFonts w:ascii="David" w:hAnsi="David"/>
                <w:rtl/>
              </w:rPr>
              <w:t>המשיבים</w:t>
            </w:r>
            <w:r w:rsidR="00CB2DF1">
              <w:rPr>
                <w:rFonts w:ascii="David" w:hAnsi="David" w:hint="cs"/>
                <w:rtl/>
              </w:rPr>
              <w:t xml:space="preserve"> בבג"ץ 5782/21</w:t>
            </w:r>
            <w:r>
              <w:rPr>
                <w:rFonts w:ascii="David" w:hAnsi="David"/>
                <w:rtl/>
              </w:rPr>
              <w:t>:</w:t>
            </w:r>
          </w:p>
        </w:tc>
        <w:tc>
          <w:tcPr>
            <w:tcW w:w="5154" w:type="dxa"/>
          </w:tcPr>
          <w:p w:rsidR="0083345F" w:rsidRDefault="00F37229" w:rsidP="00DD6306">
            <w:pPr>
              <w:pStyle w:val="BodyRuller"/>
            </w:pPr>
            <w:r>
              <w:rPr>
                <w:rtl/>
              </w:rPr>
              <w:t>1. שר האוצר</w:t>
            </w:r>
          </w:p>
        </w:tc>
      </w:tr>
      <w:tr w:rsidR="00F37229" w:rsidTr="00CB2DF1">
        <w:trPr>
          <w:trHeight w:val="287"/>
        </w:trPr>
        <w:tc>
          <w:tcPr>
            <w:tcW w:w="3354" w:type="dxa"/>
          </w:tcPr>
          <w:p w:rsidR="00F37229" w:rsidRDefault="00F37229" w:rsidP="00DD6306">
            <w:pPr>
              <w:pStyle w:val="BodyRuller"/>
              <w:rPr>
                <w:rFonts w:ascii="David" w:hAnsi="David"/>
                <w:rtl/>
              </w:rPr>
            </w:pPr>
          </w:p>
        </w:tc>
        <w:tc>
          <w:tcPr>
            <w:tcW w:w="5154" w:type="dxa"/>
          </w:tcPr>
          <w:p w:rsidR="00F37229" w:rsidRDefault="00F37229" w:rsidP="00DD6306">
            <w:pPr>
              <w:pStyle w:val="BodyRuller"/>
              <w:rPr>
                <w:rtl/>
              </w:rPr>
            </w:pPr>
            <w:r>
              <w:rPr>
                <w:rtl/>
              </w:rPr>
              <w:t>2. שרת הכלכלה והתעשייה</w:t>
            </w:r>
          </w:p>
        </w:tc>
      </w:tr>
      <w:tr w:rsidR="00F37229" w:rsidTr="00CB2DF1">
        <w:trPr>
          <w:trHeight w:val="287"/>
        </w:trPr>
        <w:tc>
          <w:tcPr>
            <w:tcW w:w="3354" w:type="dxa"/>
          </w:tcPr>
          <w:p w:rsidR="00F37229" w:rsidRDefault="00F37229" w:rsidP="00DD6306">
            <w:pPr>
              <w:pStyle w:val="BodyRuller"/>
              <w:rPr>
                <w:rFonts w:ascii="David" w:hAnsi="David"/>
                <w:rtl/>
              </w:rPr>
            </w:pPr>
          </w:p>
        </w:tc>
        <w:tc>
          <w:tcPr>
            <w:tcW w:w="5154" w:type="dxa"/>
          </w:tcPr>
          <w:p w:rsidR="00F37229" w:rsidRDefault="00F37229" w:rsidP="00DD6306">
            <w:pPr>
              <w:pStyle w:val="BodyRuller"/>
              <w:rPr>
                <w:rtl/>
              </w:rPr>
            </w:pPr>
            <w:r>
              <w:rPr>
                <w:rtl/>
              </w:rPr>
              <w:t>3. היועץ המשפטי לממשלה</w:t>
            </w:r>
          </w:p>
        </w:tc>
      </w:tr>
      <w:tr w:rsidR="00F37229" w:rsidTr="00CB2DF1">
        <w:trPr>
          <w:trHeight w:val="287"/>
        </w:trPr>
        <w:tc>
          <w:tcPr>
            <w:tcW w:w="3354" w:type="dxa"/>
          </w:tcPr>
          <w:p w:rsidR="00F37229" w:rsidRDefault="00F37229" w:rsidP="00DD6306">
            <w:pPr>
              <w:pStyle w:val="BodyRuller"/>
              <w:rPr>
                <w:rFonts w:ascii="David" w:hAnsi="David"/>
                <w:rtl/>
              </w:rPr>
            </w:pPr>
          </w:p>
        </w:tc>
        <w:tc>
          <w:tcPr>
            <w:tcW w:w="5154" w:type="dxa"/>
          </w:tcPr>
          <w:p w:rsidR="00F37229" w:rsidRDefault="00F37229" w:rsidP="00CB2DF1">
            <w:pPr>
              <w:pStyle w:val="BodyRuller"/>
              <w:rPr>
                <w:rtl/>
              </w:rPr>
            </w:pPr>
            <w:r>
              <w:rPr>
                <w:rtl/>
              </w:rPr>
              <w:t xml:space="preserve">4. </w:t>
            </w:r>
            <w:r w:rsidR="00CB2DF1">
              <w:rPr>
                <w:rFonts w:hint="cs"/>
                <w:rtl/>
              </w:rPr>
              <w:t>ה</w:t>
            </w:r>
            <w:r>
              <w:rPr>
                <w:rtl/>
              </w:rPr>
              <w:t>ממונה על זרוע העבודה</w:t>
            </w:r>
            <w:r w:rsidR="00CB2DF1">
              <w:rPr>
                <w:rFonts w:hint="cs"/>
                <w:rtl/>
              </w:rPr>
              <w:t>,</w:t>
            </w:r>
            <w:r>
              <w:rPr>
                <w:rtl/>
              </w:rPr>
              <w:t xml:space="preserve"> משרד הכלכלה והת</w:t>
            </w:r>
            <w:r w:rsidR="00CB2DF1">
              <w:rPr>
                <w:rFonts w:hint="cs"/>
                <w:rtl/>
              </w:rPr>
              <w:t>עשייה</w:t>
            </w:r>
          </w:p>
        </w:tc>
      </w:tr>
      <w:tr w:rsidR="00CB2DF1" w:rsidTr="00CB2DF1">
        <w:trPr>
          <w:trHeight w:val="287"/>
        </w:trPr>
        <w:tc>
          <w:tcPr>
            <w:tcW w:w="3354" w:type="dxa"/>
          </w:tcPr>
          <w:p w:rsidR="00D35BC1" w:rsidRDefault="00D35BC1" w:rsidP="00F57889">
            <w:pPr>
              <w:pStyle w:val="BodyRuller"/>
              <w:rPr>
                <w:rFonts w:ascii="David" w:hAnsi="David"/>
                <w:rtl/>
              </w:rPr>
            </w:pPr>
          </w:p>
          <w:p w:rsidR="00CB2DF1" w:rsidRPr="00E75223" w:rsidRDefault="00CB2DF1" w:rsidP="00D35BC1">
            <w:pPr>
              <w:pStyle w:val="BodyRuller"/>
              <w:rPr>
                <w:rFonts w:ascii="David" w:hAnsi="David"/>
              </w:rPr>
            </w:pPr>
            <w:r>
              <w:rPr>
                <w:rFonts w:ascii="David" w:hAnsi="David"/>
                <w:rtl/>
              </w:rPr>
              <w:t>המשיבים</w:t>
            </w:r>
            <w:r>
              <w:rPr>
                <w:rFonts w:ascii="David" w:hAnsi="David" w:hint="cs"/>
                <w:rtl/>
              </w:rPr>
              <w:t xml:space="preserve"> בבג"ץ </w:t>
            </w:r>
            <w:r w:rsidR="00D35BC1">
              <w:rPr>
                <w:rFonts w:ascii="David" w:hAnsi="David" w:hint="cs"/>
                <w:rtl/>
              </w:rPr>
              <w:t>5800</w:t>
            </w:r>
            <w:r>
              <w:rPr>
                <w:rFonts w:ascii="David" w:hAnsi="David" w:hint="cs"/>
                <w:rtl/>
              </w:rPr>
              <w:t>/21</w:t>
            </w:r>
            <w:r>
              <w:rPr>
                <w:rFonts w:ascii="David" w:hAnsi="David"/>
                <w:rtl/>
              </w:rPr>
              <w:t>:</w:t>
            </w:r>
          </w:p>
        </w:tc>
        <w:tc>
          <w:tcPr>
            <w:tcW w:w="5154" w:type="dxa"/>
          </w:tcPr>
          <w:p w:rsidR="00D35BC1" w:rsidRDefault="00D35BC1" w:rsidP="00F57889">
            <w:pPr>
              <w:pStyle w:val="BodyRuller"/>
              <w:rPr>
                <w:rtl/>
              </w:rPr>
            </w:pPr>
          </w:p>
          <w:p w:rsidR="00CB2DF1" w:rsidRDefault="00CB2DF1" w:rsidP="00F57889">
            <w:pPr>
              <w:pStyle w:val="BodyRuller"/>
            </w:pPr>
            <w:r>
              <w:rPr>
                <w:rtl/>
              </w:rPr>
              <w:t>1. שר האוצר</w:t>
            </w:r>
          </w:p>
        </w:tc>
      </w:tr>
      <w:tr w:rsidR="00CB2DF1" w:rsidTr="00CB2DF1">
        <w:trPr>
          <w:trHeight w:val="287"/>
        </w:trPr>
        <w:tc>
          <w:tcPr>
            <w:tcW w:w="3354" w:type="dxa"/>
          </w:tcPr>
          <w:p w:rsidR="00CB2DF1" w:rsidRDefault="00CB2DF1" w:rsidP="00F57889">
            <w:pPr>
              <w:pStyle w:val="BodyRuller"/>
              <w:rPr>
                <w:rFonts w:ascii="David" w:hAnsi="David"/>
                <w:rtl/>
              </w:rPr>
            </w:pPr>
          </w:p>
        </w:tc>
        <w:tc>
          <w:tcPr>
            <w:tcW w:w="5154" w:type="dxa"/>
          </w:tcPr>
          <w:p w:rsidR="00CB2DF1" w:rsidRDefault="00CB2DF1" w:rsidP="00F57889">
            <w:pPr>
              <w:pStyle w:val="BodyRuller"/>
              <w:rPr>
                <w:rtl/>
              </w:rPr>
            </w:pPr>
            <w:r>
              <w:rPr>
                <w:rtl/>
              </w:rPr>
              <w:t>2. שרת הכלכלה והתעשייה</w:t>
            </w:r>
          </w:p>
        </w:tc>
      </w:tr>
      <w:tr w:rsidR="00CB2DF1" w:rsidTr="00CB2DF1">
        <w:trPr>
          <w:trHeight w:val="287"/>
        </w:trPr>
        <w:tc>
          <w:tcPr>
            <w:tcW w:w="3354" w:type="dxa"/>
          </w:tcPr>
          <w:p w:rsidR="00CB2DF1" w:rsidRDefault="00CB2DF1" w:rsidP="00F57889">
            <w:pPr>
              <w:pStyle w:val="BodyRuller"/>
              <w:rPr>
                <w:rFonts w:ascii="David" w:hAnsi="David"/>
                <w:rtl/>
              </w:rPr>
            </w:pPr>
          </w:p>
        </w:tc>
        <w:tc>
          <w:tcPr>
            <w:tcW w:w="5154" w:type="dxa"/>
          </w:tcPr>
          <w:p w:rsidR="00CB2DF1" w:rsidRDefault="00D35BC1" w:rsidP="00F57889">
            <w:pPr>
              <w:pStyle w:val="BodyRuller"/>
              <w:rPr>
                <w:rtl/>
              </w:rPr>
            </w:pPr>
            <w:r>
              <w:rPr>
                <w:rFonts w:hint="cs"/>
                <w:rtl/>
              </w:rPr>
              <w:t>3</w:t>
            </w:r>
            <w:r w:rsidR="00CB2DF1">
              <w:rPr>
                <w:rtl/>
              </w:rPr>
              <w:t xml:space="preserve">. </w:t>
            </w:r>
            <w:r w:rsidR="00CB2DF1">
              <w:rPr>
                <w:rFonts w:hint="cs"/>
                <w:rtl/>
              </w:rPr>
              <w:t>ה</w:t>
            </w:r>
            <w:r w:rsidR="00CB2DF1">
              <w:rPr>
                <w:rtl/>
              </w:rPr>
              <w:t>ממונה על זרוע העבודה</w:t>
            </w:r>
            <w:r w:rsidR="00CB2DF1">
              <w:rPr>
                <w:rFonts w:hint="cs"/>
                <w:rtl/>
              </w:rPr>
              <w:t>,</w:t>
            </w:r>
            <w:r w:rsidR="00CB2DF1">
              <w:rPr>
                <w:rtl/>
              </w:rPr>
              <w:t xml:space="preserve"> משרד הכלכלה והת</w:t>
            </w:r>
            <w:r w:rsidR="00CB2DF1">
              <w:rPr>
                <w:rFonts w:hint="cs"/>
                <w:rtl/>
              </w:rPr>
              <w:t>עשייה</w:t>
            </w:r>
          </w:p>
        </w:tc>
      </w:tr>
    </w:tbl>
    <w:p w:rsidR="0083345F" w:rsidRPr="00CB2DF1" w:rsidRDefault="0083345F">
      <w:pPr>
        <w:pStyle w:val="Ruller3"/>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CB2DF1">
            <w:pPr>
              <w:pStyle w:val="BodyRuller"/>
              <w:rPr>
                <w:sz w:val="24"/>
                <w:szCs w:val="24"/>
              </w:rPr>
            </w:pPr>
            <w:r>
              <w:rPr>
                <w:rFonts w:hint="cs"/>
                <w:sz w:val="24"/>
                <w:szCs w:val="24"/>
                <w:rtl/>
              </w:rPr>
              <w:t>התנגדות לצו על תנאי</w:t>
            </w:r>
          </w:p>
        </w:tc>
      </w:tr>
    </w:tbl>
    <w:p w:rsidR="00916FF8" w:rsidRDefault="00916FF8">
      <w:pPr>
        <w:pStyle w:val="Ruller3"/>
        <w:rPr>
          <w:rtl/>
        </w:rPr>
      </w:pPr>
    </w:p>
    <w:tbl>
      <w:tblPr>
        <w:bidiVisual/>
        <w:tblW w:w="850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3"/>
        <w:gridCol w:w="2423"/>
        <w:gridCol w:w="2710"/>
      </w:tblGrid>
      <w:tr w:rsidR="008C2F11" w:rsidTr="00CB2DF1">
        <w:tc>
          <w:tcPr>
            <w:tcW w:w="3373"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2423" w:type="dxa"/>
            <w:tcBorders>
              <w:top w:val="nil"/>
              <w:left w:val="nil"/>
              <w:bottom w:val="nil"/>
              <w:right w:val="nil"/>
            </w:tcBorders>
          </w:tcPr>
          <w:p w:rsidR="008C2F11" w:rsidRDefault="00F37229">
            <w:pPr>
              <w:pStyle w:val="BodyRuller"/>
              <w:rPr>
                <w:rtl/>
              </w:rPr>
            </w:pPr>
            <w:r>
              <w:rPr>
                <w:sz w:val="24"/>
                <w:szCs w:val="24"/>
                <w:rtl/>
              </w:rPr>
              <w:t>כ"ג בטבת התשפ"ב</w:t>
            </w:r>
            <w:r w:rsidR="008C2F11">
              <w:t xml:space="preserve">       </w:t>
            </w:r>
          </w:p>
        </w:tc>
        <w:tc>
          <w:tcPr>
            <w:tcW w:w="2710" w:type="dxa"/>
            <w:tcBorders>
              <w:top w:val="nil"/>
              <w:left w:val="nil"/>
              <w:bottom w:val="nil"/>
              <w:right w:val="nil"/>
            </w:tcBorders>
          </w:tcPr>
          <w:p w:rsidR="008C2F11" w:rsidRDefault="00F37229">
            <w:pPr>
              <w:pStyle w:val="BodyRuller"/>
              <w:rPr>
                <w:sz w:val="24"/>
                <w:szCs w:val="24"/>
                <w:rtl/>
              </w:rPr>
            </w:pPr>
            <w:r>
              <w:t>(27.12.2021)</w:t>
            </w:r>
            <w:r w:rsidR="00200D6B">
              <w:t xml:space="preserve"> </w:t>
            </w:r>
          </w:p>
        </w:tc>
      </w:tr>
    </w:tbl>
    <w:p w:rsidR="00916FF8" w:rsidRDefault="00916FF8">
      <w:pPr>
        <w:pStyle w:val="Ruller3"/>
      </w:pPr>
    </w:p>
    <w:tbl>
      <w:tblPr>
        <w:bidiVisual/>
        <w:tblW w:w="850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5149"/>
      </w:tblGrid>
      <w:tr w:rsidR="00036227" w:rsidTr="00CB2DF1">
        <w:tc>
          <w:tcPr>
            <w:tcW w:w="3358" w:type="dxa"/>
            <w:tcBorders>
              <w:top w:val="nil"/>
              <w:left w:val="nil"/>
              <w:bottom w:val="nil"/>
              <w:right w:val="nil"/>
            </w:tcBorders>
          </w:tcPr>
          <w:p w:rsidR="00036227" w:rsidRDefault="00F37229" w:rsidP="00D35BC1">
            <w:pPr>
              <w:pStyle w:val="BodyRuller"/>
            </w:pPr>
            <w:r>
              <w:rPr>
                <w:rtl/>
              </w:rPr>
              <w:t>בשם העותרים</w:t>
            </w:r>
            <w:r w:rsidR="00CB2DF1">
              <w:rPr>
                <w:rFonts w:hint="cs"/>
                <w:rtl/>
              </w:rPr>
              <w:t xml:space="preserve"> בבג"ץ </w:t>
            </w:r>
            <w:r w:rsidR="00D35BC1">
              <w:rPr>
                <w:rFonts w:hint="cs"/>
                <w:rtl/>
              </w:rPr>
              <w:t>5782</w:t>
            </w:r>
            <w:r w:rsidR="00CB2DF1">
              <w:rPr>
                <w:rFonts w:hint="cs"/>
                <w:rtl/>
              </w:rPr>
              <w:t>/21</w:t>
            </w:r>
            <w:r>
              <w:rPr>
                <w:rtl/>
              </w:rPr>
              <w:t>:</w:t>
            </w:r>
          </w:p>
        </w:tc>
        <w:tc>
          <w:tcPr>
            <w:tcW w:w="5149" w:type="dxa"/>
            <w:tcBorders>
              <w:top w:val="nil"/>
              <w:left w:val="nil"/>
              <w:bottom w:val="nil"/>
              <w:right w:val="nil"/>
            </w:tcBorders>
          </w:tcPr>
          <w:p w:rsidR="00036227" w:rsidRDefault="00F37229" w:rsidP="00D35BC1">
            <w:pPr>
              <w:pStyle w:val="BodyRuller"/>
            </w:pPr>
            <w:r>
              <w:rPr>
                <w:rtl/>
              </w:rPr>
              <w:t xml:space="preserve">עו"ד </w:t>
            </w:r>
            <w:r w:rsidR="00D35BC1">
              <w:rPr>
                <w:rFonts w:hint="cs"/>
                <w:rtl/>
              </w:rPr>
              <w:t xml:space="preserve">יונתן פלדמן; עו"ד שמואל מקלב; </w:t>
            </w:r>
            <w:r w:rsidR="00D35BC1">
              <w:rPr>
                <w:rtl/>
              </w:rPr>
              <w:br/>
            </w:r>
            <w:r w:rsidR="00D35BC1">
              <w:rPr>
                <w:rFonts w:hint="cs"/>
                <w:rtl/>
              </w:rPr>
              <w:t>עו"ד מאיר אברהם; עו"ד טל שחף</w:t>
            </w:r>
          </w:p>
        </w:tc>
      </w:tr>
      <w:tr w:rsidR="00D35BC1" w:rsidTr="00D35BC1">
        <w:tc>
          <w:tcPr>
            <w:tcW w:w="3358" w:type="dxa"/>
            <w:tcBorders>
              <w:top w:val="nil"/>
              <w:left w:val="nil"/>
              <w:bottom w:val="nil"/>
              <w:right w:val="nil"/>
            </w:tcBorders>
          </w:tcPr>
          <w:p w:rsidR="00277FCD" w:rsidRDefault="00277FCD" w:rsidP="00D35BC1">
            <w:pPr>
              <w:pStyle w:val="BodyRuller"/>
              <w:rPr>
                <w:rtl/>
              </w:rPr>
            </w:pPr>
          </w:p>
          <w:p w:rsidR="00D35BC1" w:rsidRDefault="00D35BC1" w:rsidP="00D35BC1">
            <w:pPr>
              <w:pStyle w:val="BodyRuller"/>
            </w:pPr>
            <w:r>
              <w:rPr>
                <w:rtl/>
              </w:rPr>
              <w:t>בשם העותרים</w:t>
            </w:r>
            <w:r>
              <w:rPr>
                <w:rFonts w:hint="cs"/>
                <w:rtl/>
              </w:rPr>
              <w:t xml:space="preserve"> בבג"ץ 5800/21</w:t>
            </w:r>
            <w:r>
              <w:rPr>
                <w:rtl/>
              </w:rPr>
              <w:t>:</w:t>
            </w:r>
          </w:p>
        </w:tc>
        <w:tc>
          <w:tcPr>
            <w:tcW w:w="5149" w:type="dxa"/>
            <w:tcBorders>
              <w:top w:val="nil"/>
              <w:left w:val="nil"/>
              <w:bottom w:val="nil"/>
              <w:right w:val="nil"/>
            </w:tcBorders>
          </w:tcPr>
          <w:p w:rsidR="00277FCD" w:rsidRDefault="00277FCD" w:rsidP="00D35BC1">
            <w:pPr>
              <w:pStyle w:val="BodyRuller"/>
              <w:rPr>
                <w:rtl/>
              </w:rPr>
            </w:pPr>
          </w:p>
          <w:p w:rsidR="00D35BC1" w:rsidRDefault="00D35BC1" w:rsidP="00D35BC1">
            <w:pPr>
              <w:pStyle w:val="BodyRuller"/>
            </w:pPr>
            <w:r>
              <w:rPr>
                <w:rtl/>
              </w:rPr>
              <w:t xml:space="preserve">עו"ד </w:t>
            </w:r>
            <w:r>
              <w:rPr>
                <w:rFonts w:hint="cs"/>
                <w:rtl/>
              </w:rPr>
              <w:t>זלמן בלאק; עו"ד נחמן פאוסט</w:t>
            </w:r>
          </w:p>
        </w:tc>
      </w:tr>
    </w:tbl>
    <w:p w:rsidR="00916FF8" w:rsidRPr="00D35BC1" w:rsidRDefault="00916FF8">
      <w:pPr>
        <w:pStyle w:val="Ruller3"/>
      </w:pPr>
    </w:p>
    <w:tbl>
      <w:tblPr>
        <w:bidiVisual/>
        <w:tblW w:w="850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1"/>
        <w:gridCol w:w="5146"/>
      </w:tblGrid>
      <w:tr w:rsidR="00036227" w:rsidTr="00CB2DF1">
        <w:tc>
          <w:tcPr>
            <w:tcW w:w="3361" w:type="dxa"/>
            <w:tcBorders>
              <w:top w:val="nil"/>
              <w:left w:val="nil"/>
              <w:bottom w:val="nil"/>
              <w:right w:val="nil"/>
            </w:tcBorders>
          </w:tcPr>
          <w:p w:rsidR="00036227" w:rsidRDefault="00F37229" w:rsidP="00CB2DF1">
            <w:pPr>
              <w:pStyle w:val="BodyRuller"/>
            </w:pPr>
            <w:r>
              <w:rPr>
                <w:rtl/>
              </w:rPr>
              <w:t>בשם המשיבים</w:t>
            </w:r>
            <w:r w:rsidR="00CB2DF1">
              <w:rPr>
                <w:rFonts w:hint="cs"/>
                <w:rtl/>
              </w:rPr>
              <w:t xml:space="preserve"> בבג"ץ 5782/21 ובבג"ץ 5800/21</w:t>
            </w:r>
            <w:r>
              <w:rPr>
                <w:rtl/>
              </w:rPr>
              <w:t>:</w:t>
            </w:r>
          </w:p>
        </w:tc>
        <w:tc>
          <w:tcPr>
            <w:tcW w:w="5146" w:type="dxa"/>
            <w:tcBorders>
              <w:top w:val="nil"/>
              <w:left w:val="nil"/>
              <w:bottom w:val="nil"/>
              <w:right w:val="nil"/>
            </w:tcBorders>
          </w:tcPr>
          <w:p w:rsidR="00CB2DF1" w:rsidRDefault="00CB2DF1">
            <w:pPr>
              <w:pStyle w:val="BodyRuller"/>
              <w:rPr>
                <w:rtl/>
              </w:rPr>
            </w:pPr>
          </w:p>
          <w:p w:rsidR="00036227" w:rsidRDefault="00F37229" w:rsidP="00CB2DF1">
            <w:pPr>
              <w:pStyle w:val="BodyRuller"/>
            </w:pPr>
            <w:r>
              <w:rPr>
                <w:rtl/>
              </w:rPr>
              <w:t>עו"ד נטע</w:t>
            </w:r>
            <w:r w:rsidR="00CB2DF1">
              <w:rPr>
                <w:rFonts w:hint="cs"/>
                <w:rtl/>
              </w:rPr>
              <w:t xml:space="preserve"> אורן;</w:t>
            </w:r>
            <w:r w:rsidR="00D35BC1">
              <w:rPr>
                <w:rFonts w:hint="cs"/>
                <w:rtl/>
              </w:rPr>
              <w:t xml:space="preserve"> עו"ד שרון הואש-איגר</w:t>
            </w:r>
          </w:p>
        </w:tc>
      </w:tr>
    </w:tbl>
    <w:p w:rsidR="00916FF8" w:rsidRDefault="00916FF8">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F37229">
            <w:pPr>
              <w:pStyle w:val="DocumentHead"/>
            </w:pPr>
            <w:bookmarkStart w:id="2" w:name="secretary"/>
            <w:bookmarkStart w:id="3" w:name="BeginProtocol"/>
            <w:bookmarkEnd w:id="2"/>
            <w:bookmarkEnd w:id="3"/>
            <w:r>
              <w:rPr>
                <w:rtl/>
              </w:rPr>
              <w:t>פסק-דין</w:t>
            </w:r>
          </w:p>
        </w:tc>
      </w:tr>
    </w:tbl>
    <w:p w:rsidR="0065522F" w:rsidRDefault="0065522F">
      <w:pPr>
        <w:pStyle w:val="BODYVERDICT"/>
      </w:pPr>
    </w:p>
    <w:p w:rsidR="00916FF8" w:rsidRPr="00503A3E" w:rsidRDefault="00F37229">
      <w:pPr>
        <w:pStyle w:val="BODYVERDICT"/>
        <w:rPr>
          <w:rFonts w:cs="Miriam"/>
          <w:sz w:val="24"/>
          <w:szCs w:val="24"/>
          <w:u w:val="single"/>
          <w:rtl/>
        </w:rPr>
      </w:pPr>
      <w:bookmarkStart w:id="4" w:name="Writer_Name"/>
      <w:bookmarkEnd w:id="4"/>
      <w:r>
        <w:rPr>
          <w:rFonts w:cs="Miriam"/>
          <w:sz w:val="24"/>
          <w:szCs w:val="24"/>
          <w:u w:val="single"/>
          <w:rtl/>
        </w:rPr>
        <w:t>השופט א' שטיין:</w:t>
      </w:r>
    </w:p>
    <w:p w:rsidR="00CE5B42" w:rsidRDefault="00CE5B42" w:rsidP="009A10B2">
      <w:pPr>
        <w:spacing w:before="240" w:after="100" w:afterAutospacing="1"/>
        <w:rPr>
          <w:rFonts w:cs="Miriam"/>
          <w:b/>
          <w:sz w:val="22"/>
          <w:rtl/>
        </w:rPr>
      </w:pPr>
      <w:bookmarkStart w:id="5" w:name="Start_Write"/>
      <w:bookmarkEnd w:id="5"/>
    </w:p>
    <w:p w:rsidR="00CB2DF1" w:rsidRPr="00CF4DCC" w:rsidRDefault="00CB2DF1" w:rsidP="009A10B2">
      <w:pPr>
        <w:spacing w:before="240" w:after="100" w:afterAutospacing="1"/>
        <w:rPr>
          <w:rFonts w:cs="Miriam"/>
          <w:b/>
          <w:sz w:val="22"/>
          <w:rtl/>
        </w:rPr>
      </w:pPr>
      <w:r w:rsidRPr="00CF4DCC">
        <w:rPr>
          <w:rFonts w:cs="Miriam" w:hint="cs"/>
          <w:b/>
          <w:sz w:val="22"/>
          <w:rtl/>
        </w:rPr>
        <w:t>נושא העתיר</w:t>
      </w:r>
      <w:r>
        <w:rPr>
          <w:rFonts w:cs="Miriam" w:hint="cs"/>
          <w:b/>
          <w:sz w:val="22"/>
          <w:rtl/>
        </w:rPr>
        <w:t>ות</w:t>
      </w:r>
    </w:p>
    <w:p w:rsidR="00CB2DF1" w:rsidRDefault="00CB2DF1" w:rsidP="00CB2DF1">
      <w:pPr>
        <w:pStyle w:val="Ruller4"/>
        <w:rPr>
          <w:rtl/>
        </w:rPr>
      </w:pPr>
      <w:r>
        <w:rPr>
          <w:rFonts w:hint="cs"/>
          <w:rtl/>
        </w:rPr>
        <w:t xml:space="preserve">העתירות שלפנינו נסובו על שינוי מהותי במדיניות הרווחה של הממשלה: ביטול סבסוד של שכר הלימוד עבור פעוטות במעונות יום למשפחות שלפי אמות המידה החדשות שקבעה הממשלה אינן ממצות את כושר השתכרותן. ברי הוא, כי הממשלה מוסמכת לחולל שינוי כאמור. השאלה שניצבת </w:t>
      </w:r>
      <w:r w:rsidRPr="00356C5A">
        <w:rPr>
          <w:rFonts w:hint="cs"/>
          <w:rtl/>
        </w:rPr>
        <w:t>לפנינו</w:t>
      </w:r>
      <w:r>
        <w:rPr>
          <w:rFonts w:hint="cs"/>
          <w:rtl/>
        </w:rPr>
        <w:t xml:space="preserve"> נוגעת למועד כניסתו לתוקף. האם הממשלה חייבת לקבוע הוראה בדבר מעבר הדרגתי מאמות המידה הישנות לאמות המידה החדשות, ואם כן </w:t>
      </w:r>
      <w:r>
        <w:rPr>
          <w:rtl/>
        </w:rPr>
        <w:t>–</w:t>
      </w:r>
      <w:r>
        <w:rPr>
          <w:rFonts w:hint="cs"/>
          <w:rtl/>
        </w:rPr>
        <w:t xml:space="preserve"> באלו דרישות אמורה הוראה זו לעמוד לפי כללי המשפט המינהלי אשר חלים בכגון דא? </w:t>
      </w:r>
    </w:p>
    <w:p w:rsidR="00CB2DF1" w:rsidRDefault="00CB2DF1" w:rsidP="00CB2DF1">
      <w:pPr>
        <w:pStyle w:val="Ruller4"/>
      </w:pPr>
      <w:r>
        <w:rPr>
          <w:rtl/>
        </w:rPr>
        <w:t xml:space="preserve">מדינת ישראל, באמצעות זרוע העבודה במשרד הכלכלה והתעשייה, מפרסמת מבחני תמיכה לסבסוד שכר הלימוד לילדים עד גיל שלוש במסגרות הזוכות להכרה מטעם המדינה (להלן, בהתאמה: </w:t>
      </w:r>
      <w:r>
        <w:rPr>
          <w:rFonts w:ascii="Century" w:hAnsi="Century" w:cs="Miriam"/>
          <w:b/>
          <w:spacing w:val="0"/>
          <w:sz w:val="22"/>
          <w:szCs w:val="24"/>
          <w:rtl/>
        </w:rPr>
        <w:t xml:space="preserve">מבחני התמיכה </w:t>
      </w:r>
      <w:r>
        <w:rPr>
          <w:rFonts w:ascii="Century" w:hAnsi="Century"/>
          <w:sz w:val="22"/>
          <w:rtl/>
        </w:rPr>
        <w:t>ו-</w:t>
      </w:r>
      <w:r>
        <w:rPr>
          <w:rFonts w:ascii="Century" w:hAnsi="Century" w:cs="Miriam"/>
          <w:b/>
          <w:spacing w:val="0"/>
          <w:sz w:val="22"/>
          <w:szCs w:val="24"/>
          <w:rtl/>
        </w:rPr>
        <w:t>מעונות היום</w:t>
      </w:r>
      <w:r>
        <w:rPr>
          <w:rFonts w:ascii="Century" w:hAnsi="Century"/>
          <w:sz w:val="22"/>
          <w:rtl/>
        </w:rPr>
        <w:t xml:space="preserve">). בהתאם למה שדווח לנו על-ידי המשיבים, עד לשנת הלימודים האחרונה (התשפ"א) </w:t>
      </w:r>
      <w:r>
        <w:rPr>
          <w:rtl/>
        </w:rPr>
        <w:t xml:space="preserve">מבחני התמיכה אִפשרו למשפחות בהן האם עובדת או לומדת והאב לומד תורה "במשרה מלאה" (להלן: </w:t>
      </w:r>
      <w:r>
        <w:rPr>
          <w:rFonts w:ascii="Century" w:hAnsi="Century" w:cs="Miriam"/>
          <w:b/>
          <w:spacing w:val="0"/>
          <w:sz w:val="22"/>
          <w:szCs w:val="24"/>
          <w:rtl/>
        </w:rPr>
        <w:t>משפחות האברכים</w:t>
      </w:r>
      <w:r>
        <w:rPr>
          <w:rFonts w:ascii="Century" w:hAnsi="Century"/>
          <w:sz w:val="22"/>
          <w:rtl/>
        </w:rPr>
        <w:t xml:space="preserve">) לקבל סבסוד למעונות היום (בנתון לכך שבשנת </w:t>
      </w:r>
      <w:r>
        <w:rPr>
          <w:rtl/>
        </w:rPr>
        <w:t xml:space="preserve">התשע"ה הייתה ירידה מסוימת בסבסוד). </w:t>
      </w:r>
    </w:p>
    <w:p w:rsidR="00CB2DF1" w:rsidRDefault="00CB2DF1" w:rsidP="00CB2DF1">
      <w:pPr>
        <w:pStyle w:val="Ruller4"/>
      </w:pPr>
      <w:r>
        <w:rPr>
          <w:rFonts w:hint="cs"/>
          <w:rtl/>
        </w:rPr>
        <w:lastRenderedPageBreak/>
        <w:t xml:space="preserve">ביום א' אלול התשפ"א, 9.8.2021, נפתחה שנת הלימודים הנוכחית, התשפ"ב, במעונות היום החרדיים. עשרה ימים לאחר מכן, ביום 19.8.2021, פורסמו מבחני התמיכה לשנת התשפ"ב בהם נקבע כי תנאי לקבלת סבסוד הינו ששני בני הזוג עובדים או לומדים לימודים מוכווני תעסוקה (להלן: </w:t>
      </w:r>
      <w:r>
        <w:rPr>
          <w:rFonts w:ascii="Century" w:hAnsi="Century" w:cs="Miriam" w:hint="cs"/>
          <w:b/>
          <w:spacing w:val="0"/>
          <w:sz w:val="22"/>
          <w:szCs w:val="24"/>
          <w:rtl/>
        </w:rPr>
        <w:t>מבחני התמיכה החדשים</w:t>
      </w:r>
      <w:r>
        <w:rPr>
          <w:rFonts w:ascii="Century" w:hAnsi="Century" w:hint="cs"/>
          <w:sz w:val="22"/>
          <w:rtl/>
        </w:rPr>
        <w:t xml:space="preserve">). מבחני התמיכה החדשים מבטאים את </w:t>
      </w:r>
      <w:r>
        <w:rPr>
          <w:rFonts w:hint="cs"/>
          <w:rtl/>
        </w:rPr>
        <w:t xml:space="preserve">מדיניותם של שר האוצר ושרת הכלכלה והתעשייה (להלן: </w:t>
      </w:r>
      <w:r w:rsidRPr="007F30EF">
        <w:rPr>
          <w:rFonts w:ascii="Century" w:hAnsi="Century" w:cs="Miriam" w:hint="cs"/>
          <w:b/>
          <w:spacing w:val="0"/>
          <w:sz w:val="22"/>
          <w:szCs w:val="24"/>
          <w:rtl/>
        </w:rPr>
        <w:t>השרים</w:t>
      </w:r>
      <w:r>
        <w:rPr>
          <w:rFonts w:hint="cs"/>
          <w:rtl/>
        </w:rPr>
        <w:t>) להשתמש בסבסוד למעונות היום כתמריץ כללי לעידוד תעסוקה ובפרט כתמריץ לעידוד תעסוקה בקרב גברים חרדים.</w:t>
      </w:r>
    </w:p>
    <w:p w:rsidR="00CB2DF1" w:rsidRPr="00E64E30" w:rsidRDefault="00CB2DF1" w:rsidP="00CB2DF1">
      <w:pPr>
        <w:pStyle w:val="Ruller4"/>
      </w:pPr>
      <w:r>
        <w:rPr>
          <w:rFonts w:hint="cs"/>
          <w:rtl/>
        </w:rPr>
        <w:t xml:space="preserve">בסעיף 10 למבחני התמיכה החדשים, שכותרתו "תחולה", נקבעה הוראת מעבר הקובעת כדלקמן: עד ליום 31.10.2021 יחולו </w:t>
      </w:r>
      <w:r w:rsidRPr="005E232D">
        <w:rPr>
          <w:rFonts w:ascii="Century" w:hAnsi="Century" w:cs="Miriam" w:hint="cs"/>
          <w:b/>
          <w:spacing w:val="0"/>
          <w:sz w:val="22"/>
          <w:szCs w:val="24"/>
          <w:rtl/>
        </w:rPr>
        <w:t>במקביל</w:t>
      </w:r>
      <w:r w:rsidRPr="005E232D">
        <w:rPr>
          <w:rFonts w:hint="cs"/>
          <w:rtl/>
        </w:rPr>
        <w:t xml:space="preserve"> </w:t>
      </w:r>
      <w:r>
        <w:rPr>
          <w:rFonts w:hint="cs"/>
          <w:rtl/>
        </w:rPr>
        <w:t xml:space="preserve">מבחני התמיכה החדשים ומבחני התמיכה שחלו בשנת התשפ"א, אשר אִפשרו מתן סבסוד למשפחות האברכים (להלן: </w:t>
      </w:r>
      <w:r>
        <w:rPr>
          <w:rFonts w:ascii="Century" w:hAnsi="Century" w:cs="Miriam" w:hint="cs"/>
          <w:b/>
          <w:spacing w:val="0"/>
          <w:sz w:val="22"/>
          <w:szCs w:val="24"/>
          <w:rtl/>
        </w:rPr>
        <w:t>מבחני התמיכה הישנים</w:t>
      </w:r>
      <w:r>
        <w:rPr>
          <w:rFonts w:ascii="Century" w:hAnsi="Century" w:hint="cs"/>
          <w:sz w:val="22"/>
          <w:rtl/>
        </w:rPr>
        <w:t>)</w:t>
      </w:r>
      <w:r>
        <w:rPr>
          <w:rFonts w:hint="cs"/>
          <w:rtl/>
        </w:rPr>
        <w:t xml:space="preserve">, באופן שבו תחול הדרגה המיטיבה מבין שני מבחני התמיכה; ואילו החל מיום 1.11.2021 יחולו </w:t>
      </w:r>
      <w:r w:rsidRPr="005E232D">
        <w:rPr>
          <w:rFonts w:ascii="Century" w:hAnsi="Century" w:cs="Miriam" w:hint="cs"/>
          <w:b/>
          <w:spacing w:val="0"/>
          <w:sz w:val="22"/>
          <w:szCs w:val="24"/>
          <w:rtl/>
        </w:rPr>
        <w:t>באופן בלעדי</w:t>
      </w:r>
      <w:r w:rsidRPr="005E232D">
        <w:rPr>
          <w:rFonts w:hint="cs"/>
          <w:rtl/>
        </w:rPr>
        <w:t xml:space="preserve"> </w:t>
      </w:r>
      <w:r>
        <w:rPr>
          <w:rFonts w:hint="cs"/>
          <w:rtl/>
        </w:rPr>
        <w:t xml:space="preserve">מבחני התמיכה החדשים (להלן: </w:t>
      </w:r>
      <w:r>
        <w:rPr>
          <w:rFonts w:ascii="Century" w:hAnsi="Century" w:cs="Miriam" w:hint="cs"/>
          <w:b/>
          <w:spacing w:val="0"/>
          <w:sz w:val="22"/>
          <w:szCs w:val="24"/>
          <w:rtl/>
        </w:rPr>
        <w:t>הוראת המעבר</w:t>
      </w:r>
      <w:r>
        <w:rPr>
          <w:rFonts w:ascii="Century" w:hAnsi="Century" w:hint="cs"/>
          <w:sz w:val="22"/>
          <w:rtl/>
        </w:rPr>
        <w:t xml:space="preserve">). </w:t>
      </w:r>
    </w:p>
    <w:p w:rsidR="00CB2DF1" w:rsidRDefault="00CB2DF1" w:rsidP="00CB2DF1">
      <w:pPr>
        <w:pStyle w:val="Ruller4"/>
        <w:numPr>
          <w:ilvl w:val="0"/>
          <w:numId w:val="0"/>
        </w:numPr>
      </w:pPr>
      <w:r>
        <w:rPr>
          <w:rFonts w:ascii="Century" w:hAnsi="Century"/>
          <w:sz w:val="22"/>
          <w:rtl/>
        </w:rPr>
        <w:tab/>
      </w:r>
      <w:r>
        <w:rPr>
          <w:rFonts w:hint="cs"/>
          <w:rtl/>
        </w:rPr>
        <w:t>כפי שיתואר להלן, במהלך בירור העתירות שונתה הוראת המעבר פעמיים. נכון להיום, מועד התחולה הבלעדית של מבחני התמיכה החדשים הוא 1.1.2022. בהתאם לכך, מועד התפוגה של מבחני התמיכה הישנים הוא 31.12.2021.</w:t>
      </w:r>
    </w:p>
    <w:p w:rsidR="00CB2DF1" w:rsidRDefault="00CB2DF1" w:rsidP="00CB2DF1">
      <w:pPr>
        <w:pStyle w:val="Ruller4"/>
      </w:pPr>
      <w:r>
        <w:rPr>
          <w:rFonts w:hint="cs"/>
          <w:rtl/>
        </w:rPr>
        <w:t xml:space="preserve">השאלה שבעניינה ניתן צו-על-תנאי, ואשר עומדת להכרעתנו, היא זאת: </w:t>
      </w:r>
    </w:p>
    <w:p w:rsidR="00CB2DF1" w:rsidRPr="007F30EF" w:rsidRDefault="00CB2DF1" w:rsidP="00CB2DF1">
      <w:pPr>
        <w:pStyle w:val="Ruller5"/>
        <w:spacing w:before="240" w:after="100" w:afterAutospacing="1"/>
        <w:rPr>
          <w:rFonts w:ascii="Century" w:hAnsi="Century" w:cs="Miriam"/>
          <w:b/>
          <w:spacing w:val="0"/>
          <w:szCs w:val="24"/>
          <w:rtl/>
        </w:rPr>
      </w:pPr>
      <w:r w:rsidRPr="007F30EF">
        <w:rPr>
          <w:rFonts w:ascii="Century" w:hAnsi="Century" w:cs="Miriam" w:hint="cs"/>
          <w:b/>
          <w:spacing w:val="0"/>
          <w:szCs w:val="24"/>
          <w:rtl/>
        </w:rPr>
        <w:t>האם עלינו להתערב בהוראת המעבר באופן שנקבע כי מבחני התמיכה הישנים ימשיכו לחול, במקביל למבחני התמיכה החדשים, עד למועד שאחרי יום התפוגה שקבעו השרים, 31.12.2021?</w:t>
      </w:r>
      <w:r>
        <w:rPr>
          <w:rFonts w:ascii="Century" w:hAnsi="Century" w:cs="Miriam" w:hint="cs"/>
          <w:b/>
          <w:spacing w:val="0"/>
          <w:szCs w:val="24"/>
          <w:rtl/>
        </w:rPr>
        <w:t xml:space="preserve"> אם כן </w:t>
      </w:r>
      <w:r>
        <w:rPr>
          <w:rFonts w:ascii="Century" w:hAnsi="Century" w:cs="Miriam"/>
          <w:b/>
          <w:spacing w:val="0"/>
          <w:szCs w:val="24"/>
          <w:rtl/>
        </w:rPr>
        <w:t>–</w:t>
      </w:r>
      <w:r>
        <w:rPr>
          <w:rFonts w:ascii="Century" w:hAnsi="Century" w:cs="Miriam" w:hint="cs"/>
          <w:b/>
          <w:spacing w:val="0"/>
          <w:szCs w:val="24"/>
          <w:rtl/>
        </w:rPr>
        <w:t xml:space="preserve"> מה יהא מועד התפוגה החדש?</w:t>
      </w:r>
    </w:p>
    <w:p w:rsidR="00CB2DF1" w:rsidRDefault="00CB2DF1" w:rsidP="00CB2DF1">
      <w:pPr>
        <w:pStyle w:val="Ruller4"/>
        <w:rPr>
          <w:rtl/>
        </w:rPr>
      </w:pPr>
      <w:r>
        <w:rPr>
          <w:rFonts w:hint="cs"/>
          <w:rtl/>
        </w:rPr>
        <w:t xml:space="preserve">אקדים ואומר את דעתי בשאלה זו: על-פי כללי המשפט המינהלי שעניינם הוראות מעבר, המועד המוקדם ביותר לתפוגת מבחני התמיכה הישנים במקרה דנן אמור להיות סוף שנת </w:t>
      </w:r>
      <w:r>
        <w:rPr>
          <w:rFonts w:hint="cs"/>
          <w:rtl/>
        </w:rPr>
        <w:lastRenderedPageBreak/>
        <w:t>הלימודים הנוכחית, התשפ"ב. לפיכך, לו תשמע דעתי, נהפוך את הצו-על-תנאי למוחלט ונורה כי מבחני התמיכה הישנים ימשיכו לחול, לצד מבחני התמיכה החדשים, עד לסוף שנת הלימודים התשפ"ב.</w:t>
      </w:r>
    </w:p>
    <w:p w:rsidR="00CB2DF1" w:rsidRDefault="00CB2DF1" w:rsidP="00CB2DF1">
      <w:pPr>
        <w:pStyle w:val="Ruller4"/>
        <w:numPr>
          <w:ilvl w:val="0"/>
          <w:numId w:val="0"/>
        </w:numPr>
        <w:rPr>
          <w:rFonts w:ascii="Century" w:hAnsi="Century" w:cs="Miriam"/>
          <w:b/>
          <w:spacing w:val="0"/>
          <w:sz w:val="22"/>
          <w:szCs w:val="24"/>
          <w:rtl/>
        </w:rPr>
      </w:pPr>
      <w:r>
        <w:rPr>
          <w:rFonts w:ascii="Century" w:hAnsi="Century" w:cs="Miriam" w:hint="cs"/>
          <w:b/>
          <w:spacing w:val="0"/>
          <w:sz w:val="22"/>
          <w:szCs w:val="24"/>
          <w:rtl/>
        </w:rPr>
        <w:t>הרקע העובדתי</w:t>
      </w:r>
    </w:p>
    <w:p w:rsidR="00CB2DF1" w:rsidRDefault="00CB2DF1" w:rsidP="00CB2DF1">
      <w:pPr>
        <w:pStyle w:val="Ruller4"/>
        <w:rPr>
          <w:rtl/>
        </w:rPr>
      </w:pPr>
      <w:r>
        <w:rPr>
          <w:rFonts w:hint="cs"/>
          <w:rtl/>
        </w:rPr>
        <w:t xml:space="preserve">מדיניותן ההיסטורית של ממשלות ישראל אפשרה למשפחות האברכים, שתורתם היא אומנותם, לקבל תמיכה לשכר הלימוד במעונות היום. מדיניות זו השתנתה בהחלטת הממשלה ה-33 מיום 13.5.2013 (החלטת ממשלה מס' 149 בנושא "עידוד תעסוקת שני בני הזוג באמצעות סבסוד מעונות יום") (להלן: </w:t>
      </w:r>
      <w:r w:rsidRPr="0069460E">
        <w:rPr>
          <w:rFonts w:ascii="Century" w:hAnsi="Century" w:cs="Miriam" w:hint="cs"/>
          <w:b/>
          <w:spacing w:val="0"/>
          <w:sz w:val="22"/>
          <w:szCs w:val="24"/>
          <w:rtl/>
        </w:rPr>
        <w:t>החל</w:t>
      </w:r>
      <w:r>
        <w:rPr>
          <w:rFonts w:ascii="Century" w:hAnsi="Century" w:cs="Miriam" w:hint="cs"/>
          <w:b/>
          <w:spacing w:val="0"/>
          <w:sz w:val="22"/>
          <w:szCs w:val="24"/>
          <w:rtl/>
        </w:rPr>
        <w:t>ט</w:t>
      </w:r>
      <w:r w:rsidRPr="0069460E">
        <w:rPr>
          <w:rFonts w:ascii="Century" w:hAnsi="Century" w:cs="Miriam" w:hint="cs"/>
          <w:b/>
          <w:spacing w:val="0"/>
          <w:sz w:val="22"/>
          <w:szCs w:val="24"/>
          <w:rtl/>
        </w:rPr>
        <w:t>ה 149</w:t>
      </w:r>
      <w:r>
        <w:rPr>
          <w:rFonts w:hint="cs"/>
          <w:rtl/>
        </w:rPr>
        <w:t xml:space="preserve">). בהחלטה זו נקבע, לענייננו, כי הסבסוד שהוענק למשפחות האברכים יופחת באופן הדרגתי. הוראת המעבר בהחלטה 149 קבעה שהפעימה הראשונה בהפחתת הסבסוד לא תחל בשנת הלימודים בה התקבלה ההחלטה (התשע"ג), ואף לא בשנת הלימודים העוקבת (התשע"ד), אלא רק בשנת הלימודים שלאחריה (התשע"ה) אשר צפויה הייתה להתחיל ביום 1.9.2014 ובמוסדות החרדיים ביום א' אלול התשע"ד (27.8.2014). </w:t>
      </w:r>
    </w:p>
    <w:p w:rsidR="00CB2DF1" w:rsidRDefault="00CB2DF1" w:rsidP="00CB2DF1">
      <w:pPr>
        <w:pStyle w:val="Ruller4"/>
        <w:rPr>
          <w:rtl/>
        </w:rPr>
      </w:pPr>
      <w:r>
        <w:rPr>
          <w:rFonts w:hint="cs"/>
          <w:rtl/>
        </w:rPr>
        <w:t>ביום 19.5.2015 החליטה הממשלה ה-34 על ביטולה של החלטה 149, וזאת החל משנת הלימודים התשע"ו אשר צפויה הייתה להתחיל ביום 1.9.2015, ובמוסדות הלימוד החרדיים ביום א' אלול התשע"ה (16.8.2015). אציין כי גם החלטה זו לא הוחלה על שנת הלימודים בה התקבלה (התשע"ה), אלא רק על שנת הלימודים שלאחריה (התשע"ו).</w:t>
      </w:r>
    </w:p>
    <w:p w:rsidR="00CB2DF1" w:rsidRDefault="00CB2DF1" w:rsidP="00CB2DF1">
      <w:pPr>
        <w:pStyle w:val="Ruller4"/>
        <w:rPr>
          <w:rtl/>
        </w:rPr>
      </w:pPr>
      <w:r>
        <w:rPr>
          <w:rFonts w:hint="cs"/>
          <w:rtl/>
        </w:rPr>
        <w:t xml:space="preserve">ביום 23.3.2021 התקיימו הבחירות לכנסת ה-24. ביום 13.6.2021 הושבעה הממשלה ה-36 והשרים נכנסו לתפקידיהם. ביני לביני, ביום 31.5.2021 התכנסה ועדת הכספים הזמנית של הכנסת לדיון שעניינו פרסום מבחני התמיכה לשנת הלימודים התשפ"ב. במהלך הדיון עלתה </w:t>
      </w:r>
      <w:r>
        <w:rPr>
          <w:rFonts w:hint="cs"/>
          <w:rtl/>
        </w:rPr>
        <w:lastRenderedPageBreak/>
        <w:t xml:space="preserve">דרישה מצד יו"ר הוועדה לפרסם את מבחני התמיכה לשנת הלימודים התשפ"ב בנוסח של מבחני התמיכה הישנים, אולם דרישה זו ירדה מן הפרק נוכח עמדתם של נציגי הממשלה לפיה אין לקבל החלטה בכגון דא בעת כהונתה של ממשלת מעבר </w:t>
      </w:r>
      <w:r>
        <w:rPr>
          <w:rtl/>
        </w:rPr>
        <w:t>–</w:t>
      </w:r>
      <w:r>
        <w:rPr>
          <w:rFonts w:hint="cs"/>
          <w:rtl/>
        </w:rPr>
        <w:t xml:space="preserve"> זאת, מאחר שהחלטה זו תכבול את ידי הממשלה העתידית. במאמר מוסגר, אעיר כי מאחורי האמירה לפיה החלטה בעניין מבחני התמיכה תכבול את ידי הממשלה העתידית עמדה ההנחה </w:t>
      </w:r>
      <w:r>
        <w:rPr>
          <w:rtl/>
        </w:rPr>
        <w:t>–</w:t>
      </w:r>
      <w:r>
        <w:rPr>
          <w:rFonts w:hint="cs"/>
          <w:rtl/>
        </w:rPr>
        <w:t xml:space="preserve"> אשר שיקפה את הפרקטיקה שהתגבשה </w:t>
      </w:r>
      <w:r>
        <w:rPr>
          <w:rtl/>
        </w:rPr>
        <w:t>–</w:t>
      </w:r>
      <w:r>
        <w:rPr>
          <w:rFonts w:hint="cs"/>
          <w:rtl/>
        </w:rPr>
        <w:t xml:space="preserve"> שההחלטה בנוגע לתמיכות עבור שנת לימודים מסויימת אינה יכולה להשתנות לאחר תחילתה של אותה שנת לימודים או בסמוך לפניה.</w:t>
      </w:r>
    </w:p>
    <w:p w:rsidR="00CB2DF1" w:rsidRDefault="00CB2DF1" w:rsidP="00CB2DF1">
      <w:pPr>
        <w:pStyle w:val="Ruller4"/>
        <w:rPr>
          <w:rtl/>
        </w:rPr>
      </w:pPr>
      <w:r>
        <w:rPr>
          <w:rFonts w:hint="cs"/>
          <w:rtl/>
        </w:rPr>
        <w:t xml:space="preserve">במהלך חודש יולי 2021 פורסמו הודעות בתקשורת מטעם השרים בנוגע למבחני התמיכה החדשים אשר עתידים היו להתפרסם בקשר לשנת הלימודים התשפ"ב. המשיבים ייחסו משקל רב להודעות אלה, ועל-כן אתייחס אליהן גם אני. בהודעת שר האוצר מיום 7.7.2021 נאמר שהחל משנת הלימודים התשפ"ב "על מנת להיות זכאי לסבסוד ממשלתי [...] יצטרך בן הזוג לעבוד בהיקף משרה של לפחות 24 שעות שבועיות". מהודעה זו השתמע </w:t>
      </w:r>
      <w:r w:rsidRPr="004567D7">
        <w:rPr>
          <w:rFonts w:ascii="Century" w:hAnsi="Century" w:cs="Miriam" w:hint="cs"/>
          <w:b/>
          <w:spacing w:val="0"/>
          <w:sz w:val="22"/>
          <w:szCs w:val="24"/>
          <w:rtl/>
        </w:rPr>
        <w:t>ש</w:t>
      </w:r>
      <w:r>
        <w:rPr>
          <w:rFonts w:ascii="Century" w:hAnsi="Century" w:cs="Miriam" w:hint="cs"/>
          <w:b/>
          <w:spacing w:val="0"/>
          <w:sz w:val="22"/>
          <w:szCs w:val="24"/>
          <w:rtl/>
        </w:rPr>
        <w:t xml:space="preserve">תנאי מוקדם </w:t>
      </w:r>
      <w:r>
        <w:rPr>
          <w:rFonts w:ascii="Century" w:hAnsi="Century" w:hint="cs"/>
          <w:sz w:val="22"/>
          <w:rtl/>
        </w:rPr>
        <w:t>לסבסוד מעונות היום הינו עבודה של בן הזוג, וממילא ברור שמשפחות האברכים לא תהיינה זכאיות לסבסוד</w:t>
      </w:r>
      <w:r>
        <w:rPr>
          <w:rFonts w:hint="cs"/>
          <w:rtl/>
        </w:rPr>
        <w:t xml:space="preserve">. לעומת זאת, בהודעתם המשותפת של השרים מיום 14.7.2021 נאמר שהתקבלה החלטה "שעניינה עידוד תעסוקה ומתן סבסוד בשכר הלימוד למשפחה ששני בני הזוג עובדים או רוכשים הכשרה מקצועית ו/או השכלה גבוהה לשם תעסוקה". מהודעה זו נעדר ה"תנאי" האמור בהודעתו של שר האוצר. ברור אפוא, כי מעבר לכך שמדובר בהודעות כלליות ונטולות מעמד רשמי, תוכנן יכול היה להתפרש באופן שונה ואף בלתי עקבי. כך או כך, לית מאן דפליג שההודעות האמורות ביקשו להודיע על החלטת ממשלה אשר טרם התקבלה באותה העת, ומבלי לפרט את פרטיה של אותה החלטה. </w:t>
      </w:r>
    </w:p>
    <w:p w:rsidR="00CB2DF1" w:rsidRDefault="00CB2DF1" w:rsidP="00CB2DF1">
      <w:pPr>
        <w:pStyle w:val="Ruller4"/>
      </w:pPr>
      <w:r>
        <w:rPr>
          <w:rFonts w:hint="cs"/>
          <w:rtl/>
        </w:rPr>
        <w:lastRenderedPageBreak/>
        <w:t xml:space="preserve">ביום 19.8.2021, עשרה ימים </w:t>
      </w:r>
      <w:r w:rsidRPr="00A31F5C">
        <w:rPr>
          <w:rFonts w:ascii="Century" w:hAnsi="Century" w:hint="cs"/>
          <w:sz w:val="22"/>
          <w:rtl/>
        </w:rPr>
        <w:t>לאחר</w:t>
      </w:r>
      <w:r w:rsidRPr="00A31F5C">
        <w:rPr>
          <w:rFonts w:hint="cs"/>
          <w:rtl/>
        </w:rPr>
        <w:t xml:space="preserve"> </w:t>
      </w:r>
      <w:r>
        <w:rPr>
          <w:rFonts w:hint="cs"/>
          <w:rtl/>
        </w:rPr>
        <w:t xml:space="preserve">תחילת שנת הלימודים במעונות היום החרדיים, פורסמו מבחני התמיכה החדשים אשר שללו לחלוטין את הזכאות לסבסוד מעונות היום ממשפחות האברכים שתורתם אומנותם. מבחנים אלה כללו בתוכם את הוראת המעבר. </w:t>
      </w:r>
    </w:p>
    <w:p w:rsidR="00CB2DF1" w:rsidRDefault="00CB2DF1" w:rsidP="00CB2DF1">
      <w:pPr>
        <w:pStyle w:val="Ruller4"/>
        <w:rPr>
          <w:rFonts w:ascii="Century" w:hAnsi="Century" w:cs="Miriam"/>
          <w:b/>
          <w:spacing w:val="0"/>
          <w:szCs w:val="24"/>
          <w:rtl/>
        </w:rPr>
      </w:pPr>
      <w:r>
        <w:rPr>
          <w:rFonts w:hint="cs"/>
          <w:rtl/>
        </w:rPr>
        <w:t xml:space="preserve">כנגד החלטה זו </w:t>
      </w:r>
      <w:r>
        <w:rPr>
          <w:rtl/>
        </w:rPr>
        <w:t>–</w:t>
      </w:r>
      <w:r>
        <w:rPr>
          <w:rFonts w:hint="cs"/>
          <w:rtl/>
        </w:rPr>
        <w:t xml:space="preserve"> פרסומם של מבחני התמיכה החדשים </w:t>
      </w:r>
      <w:r>
        <w:rPr>
          <w:rtl/>
        </w:rPr>
        <w:t>–</w:t>
      </w:r>
      <w:r>
        <w:rPr>
          <w:rFonts w:hint="cs"/>
          <w:rtl/>
        </w:rPr>
        <w:t xml:space="preserve"> הוגשו העתירות שלפנינו.</w:t>
      </w:r>
      <w:r>
        <w:rPr>
          <w:rFonts w:ascii="Century" w:hAnsi="Century" w:cs="Miriam"/>
          <w:b/>
          <w:spacing w:val="0"/>
          <w:szCs w:val="24"/>
          <w:rtl/>
        </w:rPr>
        <w:t xml:space="preserve"> </w:t>
      </w:r>
    </w:p>
    <w:p w:rsidR="00CB2DF1" w:rsidRDefault="00CB2DF1" w:rsidP="00CB2DF1">
      <w:pPr>
        <w:pStyle w:val="Ruller41"/>
        <w:spacing w:before="240" w:after="100" w:afterAutospacing="1"/>
        <w:rPr>
          <w:rFonts w:ascii="Century" w:hAnsi="Century" w:cs="Miriam"/>
          <w:b/>
          <w:spacing w:val="0"/>
          <w:szCs w:val="24"/>
          <w:rtl/>
        </w:rPr>
      </w:pPr>
      <w:r>
        <w:rPr>
          <w:rFonts w:ascii="Century" w:hAnsi="Century" w:cs="Miriam" w:hint="cs"/>
          <w:b/>
          <w:spacing w:val="0"/>
          <w:szCs w:val="24"/>
          <w:rtl/>
        </w:rPr>
        <w:t>העתירות והשתלשלות ההליכים עד כה</w:t>
      </w:r>
    </w:p>
    <w:p w:rsidR="00CB2DF1" w:rsidRDefault="00CB2DF1" w:rsidP="00CB2DF1">
      <w:pPr>
        <w:pStyle w:val="Ruller4"/>
        <w:rPr>
          <w:rtl/>
        </w:rPr>
      </w:pPr>
      <w:r>
        <w:rPr>
          <w:rFonts w:hint="cs"/>
          <w:rtl/>
        </w:rPr>
        <w:t xml:space="preserve">ביום 23.8.2021 הוגשה העתירה הראשונה, בג"ץ 5782/21 (להלן: </w:t>
      </w:r>
      <w:r w:rsidRPr="00C836BF">
        <w:rPr>
          <w:rFonts w:ascii="Century" w:hAnsi="Century" w:cs="Miriam" w:hint="cs"/>
          <w:b/>
          <w:spacing w:val="0"/>
          <w:sz w:val="22"/>
          <w:szCs w:val="24"/>
          <w:rtl/>
        </w:rPr>
        <w:t>עתירת זילבר</w:t>
      </w:r>
      <w:r>
        <w:rPr>
          <w:rFonts w:hint="cs"/>
          <w:rtl/>
        </w:rPr>
        <w:t xml:space="preserve">); וביום 24.8.2021 הוגשה העתירה השנייה, בג"ץ 5800/21 (להלן: </w:t>
      </w:r>
      <w:r>
        <w:rPr>
          <w:rFonts w:ascii="Century" w:hAnsi="Century" w:cs="Miriam" w:hint="cs"/>
          <w:b/>
          <w:spacing w:val="0"/>
          <w:sz w:val="22"/>
          <w:szCs w:val="24"/>
          <w:rtl/>
        </w:rPr>
        <w:t>עתירת יעקב</w:t>
      </w:r>
      <w:r>
        <w:rPr>
          <w:rFonts w:ascii="Century" w:hAnsi="Century" w:hint="cs"/>
          <w:sz w:val="22"/>
          <w:rtl/>
        </w:rPr>
        <w:t>)</w:t>
      </w:r>
      <w:r>
        <w:rPr>
          <w:rFonts w:hint="cs"/>
          <w:rtl/>
        </w:rPr>
        <w:t xml:space="preserve">. הסעד העיקרי שהתבקש בשתי העתירות זהה בעיקרו והוא שנוציא מלפנינו צו-על-תנאי המורה למשיבים להתייצב וליתן טעם מדוע לא יבוטלו מבחני התמיכה החדשים באופן שמבחני התמיכה הישנים יוסיפו לעמוד על כנם. בקשת העותרים לקבלת סעד עיקרי זה נדחתה על-ידינו בהחלטה בדבר מתן צו-על-תנאי מיום 10.11.2021. החלטה זו מייתרת במידה רבה את הדיון בטענותיהם של בעלי הדין בעניינו של הסעד העיקרי, ועל כן אסקור טענות אלה בקיצור נמרץ. </w:t>
      </w:r>
    </w:p>
    <w:p w:rsidR="00CB2DF1" w:rsidRDefault="00CB2DF1" w:rsidP="00CB2DF1">
      <w:pPr>
        <w:pStyle w:val="Ruller4"/>
        <w:rPr>
          <w:rtl/>
        </w:rPr>
      </w:pPr>
      <w:r>
        <w:rPr>
          <w:rFonts w:hint="cs"/>
          <w:rtl/>
        </w:rPr>
        <w:t xml:space="preserve">טענתם העיקרית של העותרים בעתירת זילבר בעניין הסעד העיקרי היתה זאת: מבחני התמיכה החדשים מפלים את לומדי התורה לעומת סטודנטים הלומדים לתארים שאינם מוכווני תעסוקה. בפרט, נטען שלימודים תורניים, ובמיוחד לימודי רבנות או דיינות, מכשירים את לומדיהם למציאת מקצוע הרבה יותר מרבים ממקצועות התואר הראשון אשר נלמדים במוסדות להשכלה גבוהה. הטענה העיקרית שהועלתה בעתירת יעקב בעניין הסעד העיקרי הייתה זאת: מבחני התמיכה החדשים פוגעים בנשות האברכים ומפלים לרעה את הנשים במשפחות האברכים </w:t>
      </w:r>
      <w:r>
        <w:rPr>
          <w:rtl/>
        </w:rPr>
        <w:t>–</w:t>
      </w:r>
      <w:r>
        <w:rPr>
          <w:rFonts w:hint="cs"/>
          <w:rtl/>
        </w:rPr>
        <w:t xml:space="preserve"> זאת, מאחר שאב המשפחה, החי לפי צו אמונתו, יבחר להמשיך וללמוד תורה והעול </w:t>
      </w:r>
      <w:r>
        <w:rPr>
          <w:rFonts w:hint="cs"/>
          <w:rtl/>
        </w:rPr>
        <w:lastRenderedPageBreak/>
        <w:t xml:space="preserve">הכלכלי ייפול על כתפי אם המשפחה אשר תיאלץ לעבוד יותר שעות, לצד מטלותיה האחרות, או לוותר על עבודתה כדי להישאר בבית עם הילדים. </w:t>
      </w:r>
    </w:p>
    <w:p w:rsidR="00CB2DF1" w:rsidRPr="00900A0E" w:rsidRDefault="00CB2DF1" w:rsidP="00CB2DF1">
      <w:pPr>
        <w:pStyle w:val="Ruller4"/>
      </w:pPr>
      <w:r>
        <w:rPr>
          <w:rFonts w:hint="cs"/>
          <w:rtl/>
        </w:rPr>
        <w:t xml:space="preserve">מנגד, המשיבים טענו כי עניינן של העתירות הוא יישום מדיניותה הכלכלית של הממשלה בענייני מענקים וסובסידיות </w:t>
      </w:r>
      <w:r>
        <w:rPr>
          <w:rtl/>
        </w:rPr>
        <w:t>–</w:t>
      </w:r>
      <w:r>
        <w:rPr>
          <w:rFonts w:hint="cs"/>
          <w:rtl/>
        </w:rPr>
        <w:t xml:space="preserve"> מדיניות שבה בית משפט זה ככלל אינו מתערב. במהלך בירור העתירות הודיעונו המשיבים כי הוחלט לכלול במבחני התמיכה החדשים גם תלמידי רבנות או דיינות, בכפוף לעמידתם בתנאים שנקבעו ובשאר מבחני התמיכה (מבחני התמיכה אשר נועדו לאלו שלומדים דיינות ורבנות עומדים במרכזן של שתי עתירות אחרות, שעדיין תלויות ועומדות: בג"ץ6877/21 ובג"ץ8368/21).</w:t>
      </w:r>
    </w:p>
    <w:p w:rsidR="00CB2DF1" w:rsidRDefault="00CB2DF1" w:rsidP="00CB2DF1">
      <w:pPr>
        <w:pStyle w:val="Ruller4"/>
        <w:rPr>
          <w:rtl/>
        </w:rPr>
      </w:pPr>
      <w:r>
        <w:rPr>
          <w:rFonts w:hint="cs"/>
          <w:rtl/>
        </w:rPr>
        <w:t>בעתירות שלפנינו נתבקש גם סעד חילופי: צו-על-תנאי המורה למשיבים להתייצב וליתן טעם מדוע לא תשונה הוראת המעבר כך שהמועד בו יפסיקו לחול מבחני התמיכה הישנים יידחה מעבר לאמור בהוראת המעבר שקבעו השרים (בעתירת זילבר התבקשה דחייה עד לשנת הלימודים הבאה (התשפ"ג) ובעתירת יעקב התבקשה דחייה של שנתיים מיום קבלת ההחלטה). במסגרתה של עתירת זילבר נתבקש גם צו ביניים המורה על עיכוב כניסתם לתוקף של מבחני התמיכה החדשים.</w:t>
      </w:r>
    </w:p>
    <w:p w:rsidR="00CB2DF1" w:rsidRDefault="00CB2DF1" w:rsidP="00CB2DF1">
      <w:pPr>
        <w:pStyle w:val="Ruller4"/>
        <w:rPr>
          <w:rtl/>
        </w:rPr>
      </w:pPr>
      <w:r>
        <w:rPr>
          <w:rFonts w:hint="cs"/>
          <w:rtl/>
        </w:rPr>
        <w:t xml:space="preserve">ביום 23.8.2021 החליטה השופטת </w:t>
      </w:r>
      <w:r>
        <w:rPr>
          <w:rFonts w:ascii="Century" w:hAnsi="Century" w:cs="Miriam" w:hint="cs"/>
          <w:b/>
          <w:spacing w:val="0"/>
          <w:sz w:val="22"/>
          <w:szCs w:val="24"/>
          <w:rtl/>
        </w:rPr>
        <w:t xml:space="preserve">ע' ברון </w:t>
      </w:r>
      <w:r>
        <w:rPr>
          <w:rFonts w:ascii="Century" w:hAnsi="Century" w:hint="cs"/>
          <w:sz w:val="22"/>
          <w:rtl/>
        </w:rPr>
        <w:t xml:space="preserve">כי עתירת זילבר תיקבע לדיון לפני הרכב עד לסוף חודש אוקטובר 2021. ביום 24.8.2021 קבעה השופטת </w:t>
      </w:r>
      <w:r>
        <w:rPr>
          <w:rFonts w:ascii="Century" w:hAnsi="Century" w:cs="Miriam" w:hint="cs"/>
          <w:b/>
          <w:spacing w:val="0"/>
          <w:sz w:val="22"/>
          <w:szCs w:val="24"/>
          <w:rtl/>
        </w:rPr>
        <w:t xml:space="preserve">ברון </w:t>
      </w:r>
      <w:r>
        <w:rPr>
          <w:rFonts w:ascii="Century" w:hAnsi="Century" w:hint="cs"/>
          <w:sz w:val="22"/>
          <w:rtl/>
        </w:rPr>
        <w:t>כי עתירת יעקב תיקבע גם היא לדיון לפני הרכב ותישמע יחד עם עתירת זילבר. בהתאם להחלטות האמורות, העתירות נקבעו לדיון ליום 25.10.2021.</w:t>
      </w:r>
    </w:p>
    <w:p w:rsidR="00CB2DF1" w:rsidRDefault="00CB2DF1" w:rsidP="00CB2DF1">
      <w:pPr>
        <w:pStyle w:val="Ruller4"/>
        <w:rPr>
          <w:rtl/>
        </w:rPr>
      </w:pPr>
      <w:r>
        <w:rPr>
          <w:rFonts w:hint="cs"/>
          <w:rtl/>
        </w:rPr>
        <w:t xml:space="preserve">ביום 21.10.2021 הגישו המשיבים בקשה מוסכמת לדחיית מועד הדיון. במסגרת הבקשה נאמר כי העתירות העלו סוגיות הדורשות ליבון ושיח בין גורמי ממשלה שונים בהובלת היועץ </w:t>
      </w:r>
      <w:r>
        <w:rPr>
          <w:rFonts w:hint="cs"/>
          <w:rtl/>
        </w:rPr>
        <w:lastRenderedPageBreak/>
        <w:t xml:space="preserve">המשפטי לממשלה, וכי למשיבים דרוש זמן נוסף על-מנת למצות את השיח. כן דווח לנו, כי בנסיבות שנוצרו הוחלט על דחיית מועד תחולתם של מבחני התמיכה החדשים ליום 15.11.2021. </w:t>
      </w:r>
    </w:p>
    <w:p w:rsidR="00CB2DF1" w:rsidRDefault="00CB2DF1" w:rsidP="00CB2DF1">
      <w:pPr>
        <w:pStyle w:val="Ruller4"/>
        <w:rPr>
          <w:rtl/>
        </w:rPr>
      </w:pPr>
      <w:r>
        <w:rPr>
          <w:rFonts w:hint="cs"/>
          <w:rtl/>
        </w:rPr>
        <w:t xml:space="preserve">ביום 21.10.2021 קבעה הנשיאה </w:t>
      </w:r>
      <w:r>
        <w:rPr>
          <w:rFonts w:ascii="Century" w:hAnsi="Century" w:cs="Miriam" w:hint="cs"/>
          <w:b/>
          <w:spacing w:val="0"/>
          <w:sz w:val="22"/>
          <w:szCs w:val="24"/>
          <w:rtl/>
        </w:rPr>
        <w:t xml:space="preserve">א' חיות </w:t>
      </w:r>
      <w:r>
        <w:rPr>
          <w:rFonts w:ascii="Century" w:hAnsi="Century" w:hint="cs"/>
          <w:sz w:val="22"/>
          <w:rtl/>
        </w:rPr>
        <w:t>כי הדיון בעתירות הקבוע ליום 25.10.2021 יבוטל, וכי ייקבע מועד חלופי לדיון לא יאוחר מיום 10.11.2021.</w:t>
      </w:r>
    </w:p>
    <w:p w:rsidR="00CB2DF1" w:rsidRDefault="00CB2DF1" w:rsidP="00CB2DF1">
      <w:pPr>
        <w:pStyle w:val="Ruller4"/>
      </w:pPr>
      <w:r>
        <w:rPr>
          <w:rFonts w:hint="cs"/>
          <w:rtl/>
        </w:rPr>
        <w:t xml:space="preserve">ביום 7.11.2021 הגישו המשיבים תגובה מקדמית מטעמם, וביום 10.11.2021 התקיים דיון בעתירות. לאחר שמיעת טענות הצדדים סברנו כי עלינו להוציא צו-על-תנאי מצומצם, הנוגע למועד תחולתם של מבחני התמיכה החדשים במסגרת הוראת המעבר. </w:t>
      </w:r>
    </w:p>
    <w:p w:rsidR="00CB2DF1" w:rsidRDefault="00CB2DF1" w:rsidP="00CB2DF1">
      <w:pPr>
        <w:pStyle w:val="Ruller4"/>
        <w:numPr>
          <w:ilvl w:val="0"/>
          <w:numId w:val="0"/>
        </w:numPr>
        <w:rPr>
          <w:rtl/>
        </w:rPr>
      </w:pPr>
      <w:r>
        <w:rPr>
          <w:rtl/>
        </w:rPr>
        <w:tab/>
      </w:r>
      <w:r>
        <w:rPr>
          <w:rFonts w:hint="cs"/>
          <w:rtl/>
        </w:rPr>
        <w:t>כך סברנו וכך עשינו, וזהו לשונו של הצו:</w:t>
      </w:r>
    </w:p>
    <w:p w:rsidR="00CB2DF1" w:rsidRDefault="00CB2DF1" w:rsidP="00CB2DF1">
      <w:pPr>
        <w:pStyle w:val="Ruller5"/>
        <w:spacing w:before="240" w:after="100" w:afterAutospacing="1"/>
        <w:rPr>
          <w:rtl/>
        </w:rPr>
      </w:pPr>
      <w:r>
        <w:rPr>
          <w:rFonts w:hint="cs"/>
          <w:rtl/>
        </w:rPr>
        <w:t>"ניתן בזה צו על תנאי המורה למשיבים להתייצב וליתן טעם מדוע לא יחולו מבחני התמיכה נושא העתירות החל משנת הלימודים התשפ"ג; או לחלופין במועד מאוחר יותר מיום 15.11.2021. זאת, על מנת לאפשר לגורמים הנוגעים בדבר התארגנות ראויה".</w:t>
      </w:r>
    </w:p>
    <w:p w:rsidR="00CB2DF1" w:rsidRDefault="00CB2DF1" w:rsidP="00CB2DF1">
      <w:pPr>
        <w:pStyle w:val="Ruller4"/>
      </w:pPr>
      <w:r>
        <w:rPr>
          <w:rFonts w:hint="cs"/>
          <w:rtl/>
        </w:rPr>
        <w:t xml:space="preserve">ביום 18.11.2021 הגישו המשיבים הודעה מעדכנת לפיה הצו-על-תנאי, כמו גם הערות בית המשפט במסגרת הדיון, שכאמור התקיים ביום 10.11.2021, הוצגו בפני השרים, אשר החליטו, ביום 15.11.2021, על דחיית מועד התחילה של מבחני התמיכה החדשים ליום 1.1.2022. </w:t>
      </w:r>
    </w:p>
    <w:p w:rsidR="00CB2DF1" w:rsidRDefault="00CB2DF1" w:rsidP="00CB2DF1">
      <w:pPr>
        <w:pStyle w:val="Ruller4"/>
        <w:numPr>
          <w:ilvl w:val="0"/>
          <w:numId w:val="0"/>
        </w:numPr>
      </w:pPr>
      <w:r>
        <w:rPr>
          <w:rFonts w:hint="cs"/>
          <w:rtl/>
        </w:rPr>
        <w:t xml:space="preserve">22. </w:t>
      </w:r>
      <w:r>
        <w:rPr>
          <w:rtl/>
        </w:rPr>
        <w:tab/>
      </w:r>
      <w:r>
        <w:rPr>
          <w:rFonts w:hint="cs"/>
          <w:rtl/>
        </w:rPr>
        <w:t>כמו כן הודיעונו המשיבים כי מבחינתם הדחייה הנוספת נותנת מענה מספק לטענות שהועלו בעתירות; ומשכך הוא, ביקשו כי נורה על מחיקת העתירות.</w:t>
      </w:r>
    </w:p>
    <w:p w:rsidR="00CB2DF1" w:rsidRDefault="00CB2DF1" w:rsidP="00CB2DF1">
      <w:pPr>
        <w:pStyle w:val="Ruller4"/>
      </w:pPr>
      <w:r>
        <w:rPr>
          <w:rFonts w:hint="cs"/>
          <w:rtl/>
        </w:rPr>
        <w:lastRenderedPageBreak/>
        <w:t xml:space="preserve">ביום 21.11.2021 הורינו כי העותרים יגיבו להודעת המשיבים מיום 18.11.2021, וכי כתב התשובה מטעם המשיבים </w:t>
      </w:r>
      <w:r>
        <w:rPr>
          <w:rtl/>
        </w:rPr>
        <w:t>–</w:t>
      </w:r>
      <w:r>
        <w:rPr>
          <w:rFonts w:hint="cs"/>
          <w:rtl/>
        </w:rPr>
        <w:t xml:space="preserve"> אשר יוגש בסמוך לאחר מכן </w:t>
      </w:r>
      <w:r>
        <w:rPr>
          <w:rtl/>
        </w:rPr>
        <w:t>–</w:t>
      </w:r>
      <w:r>
        <w:rPr>
          <w:rFonts w:hint="cs"/>
          <w:rtl/>
        </w:rPr>
        <w:t xml:space="preserve"> יתייחס גם לתגובות העותרים. ביום 29.11.2021 הוגשו תגובות העותרים להודעת המשיבים. במסגרתן, טענו העותרים כי הדחייה שאושרה על ידי השרים איננה מסַפֶּקֶת ועל-כן הם עומדים על עתירתם. ביום 13.12.2021 הוגש כתב התשובה מטעם המשיבים.</w:t>
      </w:r>
    </w:p>
    <w:p w:rsidR="00CB2DF1" w:rsidRDefault="00CB2DF1" w:rsidP="00CB2DF1">
      <w:pPr>
        <w:pStyle w:val="Ruller4"/>
        <w:rPr>
          <w:rtl/>
        </w:rPr>
      </w:pPr>
      <w:r>
        <w:rPr>
          <w:rFonts w:hint="cs"/>
          <w:rtl/>
        </w:rPr>
        <w:t xml:space="preserve">ביום 27.12.2021 נערך דיון בהתנגדות המשיבים לצו-על-תנאי. במסגרתו, הצענו לבעלי הדין </w:t>
      </w:r>
      <w:r>
        <w:rPr>
          <w:rtl/>
        </w:rPr>
        <w:t>–</w:t>
      </w:r>
      <w:r>
        <w:rPr>
          <w:rFonts w:hint="cs"/>
          <w:rtl/>
        </w:rPr>
        <w:t xml:space="preserve"> כניסיון לפשר ביניהם ותוך שאנו מדגישים כי זו לא בהכרח תהא פסיקתנו </w:t>
      </w:r>
      <w:r>
        <w:rPr>
          <w:rtl/>
        </w:rPr>
        <w:t>–</w:t>
      </w:r>
      <w:r>
        <w:rPr>
          <w:rFonts w:hint="cs"/>
          <w:rtl/>
        </w:rPr>
        <w:t xml:space="preserve"> כי ההליך יסתיים בהסכמה כדלקמן: מועד התפוגה של מבחני התמיכה הישנים יידחה ליום 13.4.2022, לאחר חופשת חג הפסח, ועד לאותו מועד ימשיכו לחול המבחנים הישנים לצד המבחנים החדשים. לאחר התייעצות עם השרים, הודיעה לנו באת-כוח המשיבים כי השרים שקלו את הצעתנו, אולם זו אינה מקובלת עליהם.</w:t>
      </w:r>
    </w:p>
    <w:p w:rsidR="00CB2DF1" w:rsidRDefault="00CB2DF1" w:rsidP="00CB2DF1">
      <w:pPr>
        <w:pStyle w:val="Ruller4"/>
        <w:rPr>
          <w:rtl/>
        </w:rPr>
      </w:pPr>
      <w:r>
        <w:rPr>
          <w:rFonts w:hint="cs"/>
          <w:rtl/>
        </w:rPr>
        <w:t xml:space="preserve">בהיעדר הסכמה ובאין פשרה, הגיעה העת להכריע בעתירות על פי הדין. </w:t>
      </w:r>
    </w:p>
    <w:p w:rsidR="00CB2DF1" w:rsidRDefault="00CB2DF1" w:rsidP="00CB2DF1">
      <w:pPr>
        <w:pStyle w:val="Ruller41"/>
        <w:spacing w:before="240" w:after="100" w:afterAutospacing="1"/>
        <w:rPr>
          <w:rFonts w:ascii="Century" w:hAnsi="Century" w:cs="Miriam"/>
          <w:b/>
          <w:spacing w:val="0"/>
          <w:szCs w:val="24"/>
          <w:rtl/>
        </w:rPr>
      </w:pPr>
      <w:r>
        <w:rPr>
          <w:rFonts w:ascii="Century" w:hAnsi="Century" w:cs="Miriam" w:hint="cs"/>
          <w:b/>
          <w:spacing w:val="0"/>
          <w:szCs w:val="24"/>
          <w:rtl/>
        </w:rPr>
        <w:t>השאלה שעומדת להכרעה</w:t>
      </w:r>
    </w:p>
    <w:p w:rsidR="00CB2DF1" w:rsidRPr="002C505F" w:rsidRDefault="00CB2DF1" w:rsidP="00CB2DF1">
      <w:pPr>
        <w:pStyle w:val="Ruller4"/>
        <w:rPr>
          <w:rFonts w:ascii="Century" w:hAnsi="Century"/>
        </w:rPr>
      </w:pPr>
      <w:r w:rsidRPr="002C505F">
        <w:rPr>
          <w:rFonts w:ascii="Century" w:hAnsi="Century" w:hint="cs"/>
          <w:sz w:val="22"/>
          <w:rtl/>
        </w:rPr>
        <w:t xml:space="preserve">בפתח הדברים, אבהיר כי הצו-על-תנאי שיצא מלפנינו בעניינה של הוראת המעבר כמוהו כהחלטה לדחות את העתירות בכל הקשור ליתר הסעדים אשר נתבקשו על ידי העותרים. </w:t>
      </w:r>
      <w:r>
        <w:rPr>
          <w:rFonts w:ascii="Century" w:hAnsi="Century" w:hint="cs"/>
          <w:sz w:val="22"/>
          <w:rtl/>
        </w:rPr>
        <w:t>ה</w:t>
      </w:r>
      <w:r w:rsidRPr="002C505F">
        <w:rPr>
          <w:rFonts w:ascii="Century" w:hAnsi="Century" w:hint="cs"/>
          <w:sz w:val="22"/>
          <w:rtl/>
        </w:rPr>
        <w:t xml:space="preserve">הלכה שקבעה כלל זה סוכמה באחרונה על ידי </w:t>
      </w:r>
      <w:r>
        <w:rPr>
          <w:rFonts w:hint="cs"/>
          <w:rtl/>
        </w:rPr>
        <w:t xml:space="preserve">השופטת </w:t>
      </w:r>
      <w:r w:rsidRPr="002C505F">
        <w:rPr>
          <w:rFonts w:ascii="Century" w:hAnsi="Century" w:cs="Miriam" w:hint="cs"/>
          <w:b/>
          <w:spacing w:val="0"/>
          <w:sz w:val="22"/>
          <w:szCs w:val="24"/>
          <w:rtl/>
        </w:rPr>
        <w:t xml:space="preserve">ע' ברון </w:t>
      </w:r>
      <w:r w:rsidRPr="002C505F">
        <w:rPr>
          <w:rFonts w:ascii="Century" w:hAnsi="Century" w:hint="cs"/>
          <w:sz w:val="22"/>
          <w:rtl/>
        </w:rPr>
        <w:t xml:space="preserve">בבג"ץ 2335/19 </w:t>
      </w:r>
      <w:r w:rsidRPr="002C505F">
        <w:rPr>
          <w:rFonts w:ascii="Century" w:hAnsi="Century" w:cs="Miriam" w:hint="cs"/>
          <w:b/>
          <w:spacing w:val="0"/>
          <w:sz w:val="22"/>
          <w:szCs w:val="24"/>
          <w:rtl/>
        </w:rPr>
        <w:t>עמותת הקנאביס הרפואי נ' משרד הבריאות</w:t>
      </w:r>
      <w:r w:rsidRPr="002C505F">
        <w:rPr>
          <w:rFonts w:ascii="Century" w:hAnsi="Century" w:hint="cs"/>
          <w:sz w:val="22"/>
          <w:rtl/>
        </w:rPr>
        <w:t>, פסקה 18 (16.11.2021)</w:t>
      </w:r>
      <w:r>
        <w:rPr>
          <w:rFonts w:hint="cs"/>
          <w:rtl/>
        </w:rPr>
        <w:t>,</w:t>
      </w:r>
      <w:r>
        <w:rPr>
          <w:rFonts w:ascii="Century" w:hAnsi="Century" w:hint="cs"/>
          <w:rtl/>
        </w:rPr>
        <w:t xml:space="preserve"> באלו המילים:</w:t>
      </w:r>
    </w:p>
    <w:p w:rsidR="00CB2DF1" w:rsidRPr="002C505F" w:rsidRDefault="00CB2DF1" w:rsidP="00CB2DF1">
      <w:pPr>
        <w:pStyle w:val="Ruller5"/>
        <w:spacing w:before="240" w:after="100" w:afterAutospacing="1"/>
        <w:rPr>
          <w:rFonts w:ascii="Century" w:hAnsi="Century"/>
          <w:rtl/>
        </w:rPr>
      </w:pPr>
      <w:r>
        <w:rPr>
          <w:rFonts w:hint="cs"/>
          <w:rtl/>
        </w:rPr>
        <w:t xml:space="preserve">"משנמנע בית המשפט מלהוציא צו על-תנאי הנוגע ליתר רכיבי העתירה, משמעות הדבר שהעתירה ביחס לראשים אלה נדחתה, והדיון בעתירה המשיך להתנהל אך ורק בגבולות הצו שניתן [...] קביעה זו עולה בקנה אחד עם הוראות תקנות סדר הדין בבית המשפט </w:t>
      </w:r>
      <w:r>
        <w:rPr>
          <w:rFonts w:hint="cs"/>
          <w:rtl/>
        </w:rPr>
        <w:lastRenderedPageBreak/>
        <w:t xml:space="preserve">הגבוה לצדק, התשמ"ד-1984 (להלן: </w:t>
      </w:r>
      <w:r w:rsidRPr="002C505F">
        <w:rPr>
          <w:rFonts w:ascii="Century" w:hAnsi="Century" w:cs="Miriam" w:hint="cs"/>
          <w:b/>
          <w:spacing w:val="0"/>
          <w:szCs w:val="24"/>
          <w:rtl/>
        </w:rPr>
        <w:t>תקנות סדר הדין בבג"ץ</w:t>
      </w:r>
      <w:r w:rsidRPr="002C505F">
        <w:rPr>
          <w:rFonts w:ascii="Century" w:hAnsi="Century" w:hint="cs"/>
          <w:rtl/>
        </w:rPr>
        <w:t>). תקנה 1 לתקנות סדר הדין בבג"ץ מורה כי בקשה לצו על-תנאי תוגש לבית משפט זה באמצעות עתירה; כלומר, העתירה מהווה בקשה לצו על-תנאי "</w:t>
      </w:r>
      <w:r w:rsidRPr="002C505F">
        <w:rPr>
          <w:rFonts w:ascii="Century" w:hAnsi="Century" w:cs="Miriam" w:hint="cs"/>
          <w:b/>
          <w:spacing w:val="0"/>
          <w:szCs w:val="24"/>
          <w:rtl/>
        </w:rPr>
        <w:t xml:space="preserve">ומשהוחלט ליתן צו על-תנאי רק ביחס לחלק מהנושאים המבוקשים בעתירה, הרי שאין עוד כל דרך להיענות לנושאים שלא נכללו בצו על-תנאי, ודינם להידחות" </w:t>
      </w:r>
      <w:r w:rsidRPr="002C505F">
        <w:rPr>
          <w:rFonts w:ascii="Century" w:hAnsi="Century" w:hint="cs"/>
          <w:rtl/>
        </w:rPr>
        <w:t xml:space="preserve">[...] בהמשך לכך, תקנה 9 לתקנות סדר הדין בבג"ץ מורה שככל שהמשיב מעוניין להתנגד לעשיית הצו על-תנאי למוחלט, עליו להגיש תצהיר תשובה </w:t>
      </w:r>
      <w:r w:rsidRPr="002C505F">
        <w:rPr>
          <w:rFonts w:ascii="Century" w:hAnsi="Century" w:cs="Miriam" w:hint="cs"/>
          <w:b/>
          <w:spacing w:val="0"/>
          <w:szCs w:val="24"/>
          <w:rtl/>
        </w:rPr>
        <w:t>לצו על-תנאי</w:t>
      </w:r>
      <w:r w:rsidRPr="002C505F">
        <w:rPr>
          <w:rFonts w:ascii="Century" w:hAnsi="Century" w:hint="cs"/>
          <w:rtl/>
        </w:rPr>
        <w:t>. יצוין כי בהתאם לתקנה 16(ב) לתקנות סדר הדין בבג"ץ, מקום שבו צו על-תנאי שניתן הצר את המחלוקת בעתירה, רשאי כל צד לכלול בעיקרי הטיעון מטעמו רק את הטענות לפי המסגרת שנקבעה בצו על-תנאי והוא לא יורשה לטעון טענות נוספות [...] כך שמתן צו מוחלט בעניין שלא ניתן לגביו צו על-תנאי, מהווה חריגה ממתכונת הדיון הדו-שלבי בבג"ץ, תוך קיפוח זכויותיהם הדיוניות של המשיבים [...]</w:t>
      </w:r>
      <w:r w:rsidRPr="002C505F">
        <w:rPr>
          <w:rFonts w:ascii="Garamond" w:hAnsi="Garamond" w:hint="cs"/>
          <w:color w:val="000000"/>
          <w:sz w:val="27"/>
          <w:szCs w:val="27"/>
          <w:rtl/>
        </w:rPr>
        <w:t xml:space="preserve"> הנה כי כן, הצו על-תנאי שניתן בעתירה </w:t>
      </w:r>
      <w:r w:rsidRPr="002C505F">
        <w:rPr>
          <w:rFonts w:ascii="Century" w:hAnsi="Century" w:cs="Miriam" w:hint="cs"/>
          <w:b/>
          <w:spacing w:val="0"/>
          <w:szCs w:val="24"/>
          <w:rtl/>
        </w:rPr>
        <w:t xml:space="preserve">תחם </w:t>
      </w:r>
      <w:r w:rsidRPr="002C505F">
        <w:rPr>
          <w:rFonts w:ascii="Century" w:hAnsi="Century" w:hint="cs"/>
          <w:rtl/>
        </w:rPr>
        <w:t xml:space="preserve">את הדיון בה לסוגיית הפיקוח על מחירי הקנביס הרפואי, ובכך למעשה נדחו יתר הסעדים המבוקשים בה." </w:t>
      </w:r>
      <w:r>
        <w:rPr>
          <w:rFonts w:hint="cs"/>
          <w:rtl/>
        </w:rPr>
        <w:t xml:space="preserve">(ההדגשה במקור; לשם הנוחות ורצף הקריאה האסמכתאות הוסרו </w:t>
      </w:r>
      <w:r>
        <w:rPr>
          <w:rtl/>
        </w:rPr>
        <w:t>–</w:t>
      </w:r>
      <w:r>
        <w:rPr>
          <w:rFonts w:hint="cs"/>
          <w:rtl/>
        </w:rPr>
        <w:t xml:space="preserve"> א.ש.).</w:t>
      </w:r>
    </w:p>
    <w:p w:rsidR="00CB2DF1" w:rsidRDefault="00CB2DF1" w:rsidP="00CB2DF1">
      <w:pPr>
        <w:pStyle w:val="Ruller4"/>
      </w:pPr>
      <w:r>
        <w:rPr>
          <w:rFonts w:hint="cs"/>
          <w:rtl/>
        </w:rPr>
        <w:t>הוראת המעבר אשר נקבעה בסעיף 10 למבחני התמיכה החדשים קובעת כדלקמן:</w:t>
      </w:r>
    </w:p>
    <w:p w:rsidR="00CB2DF1" w:rsidRDefault="00CB2DF1" w:rsidP="00CB2DF1">
      <w:pPr>
        <w:pStyle w:val="Ruller5"/>
        <w:spacing w:before="240" w:after="100" w:afterAutospacing="1"/>
        <w:rPr>
          <w:rtl/>
        </w:rPr>
      </w:pPr>
      <w:r>
        <w:rPr>
          <w:rFonts w:hint="cs"/>
          <w:rtl/>
        </w:rPr>
        <w:t>"א. תחולתם של מבחני תמיכה אלה היא מיום 1.11.2021 ועד לסיום שנת הלימודים תשפ"ב.</w:t>
      </w:r>
    </w:p>
    <w:p w:rsidR="00CB2DF1" w:rsidRDefault="00CB2DF1" w:rsidP="00CB2DF1">
      <w:pPr>
        <w:pStyle w:val="Ruller5"/>
        <w:spacing w:before="240" w:after="100" w:afterAutospacing="1"/>
        <w:rPr>
          <w:rtl/>
        </w:rPr>
      </w:pPr>
      <w:r>
        <w:rPr>
          <w:rFonts w:hint="cs"/>
          <w:rtl/>
        </w:rPr>
        <w:t>ב. מבחני התמיכה להשתתפות המדינה בעלות שכר לימוד במעון או במשפחתון משנת הלימודים תשפ"א מוארכים בזאת עד ליום 31.10.2021.</w:t>
      </w:r>
    </w:p>
    <w:p w:rsidR="00CB2DF1" w:rsidRDefault="00CB2DF1" w:rsidP="00CB2DF1">
      <w:pPr>
        <w:pStyle w:val="Ruller5"/>
        <w:spacing w:before="240" w:after="100" w:afterAutospacing="1"/>
      </w:pPr>
      <w:r>
        <w:rPr>
          <w:rFonts w:hint="cs"/>
          <w:rtl/>
        </w:rPr>
        <w:t>ג. על אף האמור לעיל, בתקופה שבין תחילת שנת הלימודים תשפ"ב ועד לכניסת מבחנים אלה לתוקף, ככל שקיים הבדל בזכאות לדרגה בין מבחני התמיכה של שנת תשפ"א למבחני התמיכה של שנת תשפ"ב, הרי שתחול הדרגה המיטיבה עם ההורה".</w:t>
      </w:r>
    </w:p>
    <w:p w:rsidR="00CB2DF1" w:rsidRDefault="00CB2DF1" w:rsidP="00CB2DF1">
      <w:pPr>
        <w:pStyle w:val="Ruller4"/>
        <w:rPr>
          <w:rFonts w:ascii="Century" w:hAnsi="Century"/>
          <w:sz w:val="22"/>
          <w:rtl/>
        </w:rPr>
      </w:pPr>
      <w:r>
        <w:rPr>
          <w:rFonts w:hint="cs"/>
          <w:rtl/>
        </w:rPr>
        <w:lastRenderedPageBreak/>
        <w:t xml:space="preserve">נוסחה של הוראת המעבר לוקה בחוסר דיוק. סעיף 10א להוראה קובע כי מבחני התמיכה החדשים יכנסו לתוקף ביום 1.11.2021. בד-בבד, סעיף 10ג מורה כי מבחני התמיכה החדשים נכנסו לתוקף בתחילת שנת הלימודים, 1.9.2021 (ביחס למוסדות הלימוד החרדיים, אשר פתחו את שנת הלימודים ביום א' אלול התשפ"א, מדובר בתחולה רטרואקטיבית). בעניין זה, אדגיש ואציין כי קיימת הסכמה על כך שמתחילת שנת הלימודים הנוכחית משפחות הזכאיות לסבסוד לפי </w:t>
      </w:r>
      <w:r w:rsidRPr="000E403C">
        <w:rPr>
          <w:rFonts w:ascii="Century" w:hAnsi="Century" w:cs="Miriam" w:hint="cs"/>
          <w:b/>
          <w:spacing w:val="0"/>
          <w:sz w:val="22"/>
          <w:szCs w:val="24"/>
          <w:rtl/>
        </w:rPr>
        <w:t>מבחני התמיכה</w:t>
      </w:r>
      <w:r>
        <w:rPr>
          <w:rFonts w:hint="cs"/>
          <w:rtl/>
        </w:rPr>
        <w:t xml:space="preserve"> </w:t>
      </w:r>
      <w:r w:rsidRPr="000E403C">
        <w:rPr>
          <w:rFonts w:ascii="Century" w:hAnsi="Century" w:cs="Miriam" w:hint="cs"/>
          <w:b/>
          <w:spacing w:val="0"/>
          <w:sz w:val="22"/>
          <w:szCs w:val="24"/>
          <w:rtl/>
        </w:rPr>
        <w:t xml:space="preserve">החדשים </w:t>
      </w:r>
      <w:r>
        <w:rPr>
          <w:rFonts w:hint="cs"/>
          <w:rtl/>
        </w:rPr>
        <w:t xml:space="preserve">רשאיות לממש את זכאותן. ברור אפוא, כי מנסח ההוראה לא התכוון אלא לזאת: (1) בתקופה שבין תחילת שנת הלימודים התשפ"ב ליום 31.10.2021, יחלו מבחני התמיכה החדשים לצד המבחנים הישנים; (2) </w:t>
      </w:r>
      <w:r w:rsidRPr="00E44665">
        <w:rPr>
          <w:rFonts w:ascii="Century" w:hAnsi="Century" w:hint="cs"/>
          <w:sz w:val="22"/>
          <w:rtl/>
        </w:rPr>
        <w:t>החל מיום 1.11.2021</w:t>
      </w:r>
      <w:r>
        <w:rPr>
          <w:rFonts w:hint="cs"/>
          <w:rtl/>
        </w:rPr>
        <w:t xml:space="preserve">, יחולו מבחני התמיכה החדשים </w:t>
      </w:r>
      <w:r w:rsidRPr="00E44665">
        <w:rPr>
          <w:rFonts w:ascii="Century" w:hAnsi="Century" w:cs="Miriam" w:hint="cs"/>
          <w:b/>
          <w:spacing w:val="0"/>
          <w:sz w:val="22"/>
          <w:szCs w:val="24"/>
          <w:rtl/>
        </w:rPr>
        <w:t>באופן בלעדי</w:t>
      </w:r>
      <w:r>
        <w:rPr>
          <w:rFonts w:ascii="Century" w:hAnsi="Century" w:hint="cs"/>
          <w:sz w:val="22"/>
          <w:rtl/>
        </w:rPr>
        <w:t xml:space="preserve">, ותוקפם של המבחנים הישנים יפוג. </w:t>
      </w:r>
    </w:p>
    <w:p w:rsidR="00CB2DF1" w:rsidRDefault="00CB2DF1" w:rsidP="00CB2DF1">
      <w:pPr>
        <w:pStyle w:val="Ruller4"/>
        <w:rPr>
          <w:rtl/>
        </w:rPr>
      </w:pPr>
      <w:r>
        <w:rPr>
          <w:rFonts w:hint="cs"/>
          <w:rtl/>
        </w:rPr>
        <w:t xml:space="preserve">המחלוקת נושא דיוננו נסובה, אם כן, על מועד תחולתם הבלעדית של מבחני התמיכה החדשים, מועד שבו לא יהא עוד תוקף למבחני התמיכה הישנים. </w:t>
      </w:r>
      <w:r w:rsidRPr="00391927">
        <w:rPr>
          <w:rFonts w:ascii="Century" w:hAnsi="Century" w:hint="cs"/>
          <w:sz w:val="22"/>
          <w:rtl/>
        </w:rPr>
        <w:t xml:space="preserve">במילים אחרות: </w:t>
      </w:r>
      <w:r w:rsidRPr="00391927">
        <w:rPr>
          <w:rFonts w:ascii="Century" w:hAnsi="Century" w:cs="Miriam" w:hint="cs"/>
          <w:b/>
          <w:spacing w:val="0"/>
          <w:sz w:val="22"/>
          <w:szCs w:val="24"/>
          <w:rtl/>
        </w:rPr>
        <w:t>מהו המועד שבו תפקע תחולתם המקבילה של מבחני התמיכה הישנים</w:t>
      </w:r>
      <w:r w:rsidRPr="00391927">
        <w:rPr>
          <w:rFonts w:ascii="Century" w:hAnsi="Century" w:hint="cs"/>
          <w:sz w:val="22"/>
          <w:rtl/>
        </w:rPr>
        <w:t xml:space="preserve">? </w:t>
      </w:r>
    </w:p>
    <w:p w:rsidR="00CB2DF1" w:rsidRPr="00B7595F" w:rsidRDefault="00CB2DF1" w:rsidP="00CB2DF1">
      <w:pPr>
        <w:pStyle w:val="Ruller41"/>
        <w:spacing w:before="240" w:after="100" w:afterAutospacing="1"/>
        <w:rPr>
          <w:rFonts w:ascii="Century" w:hAnsi="Century" w:cs="Miriam"/>
          <w:b/>
          <w:spacing w:val="0"/>
          <w:szCs w:val="24"/>
          <w:rtl/>
        </w:rPr>
      </w:pPr>
      <w:r>
        <w:rPr>
          <w:rFonts w:ascii="Century" w:hAnsi="Century" w:cs="Miriam" w:hint="cs"/>
          <w:b/>
          <w:spacing w:val="0"/>
          <w:szCs w:val="24"/>
          <w:rtl/>
        </w:rPr>
        <w:t>טענות הצדדים בשאלה שעומדת להכרעה</w:t>
      </w:r>
    </w:p>
    <w:p w:rsidR="00CB2DF1" w:rsidRDefault="00CB2DF1" w:rsidP="00CB2DF1">
      <w:pPr>
        <w:pStyle w:val="Ruller4"/>
      </w:pPr>
      <w:r>
        <w:rPr>
          <w:rFonts w:hint="cs"/>
          <w:rtl/>
        </w:rPr>
        <w:t xml:space="preserve">העותרים טוענים שצבר נסיבות הובילם להסתמך על כך שמבחני התמיכה הישנים ימשיכו לחול גם השנה. בעניין זה מצביעים העותרים על הנסיבות הבאות: במשך שנים רבות, מבחני התמיכה כללו סבסוד מעונות יום למשפחות האברכים; בפעם הקודמת בה החליטה הממשלה לשנות את מבחני התמיכה (בהחלטה 149) נקבע כי השינוי ייעשה באופן מדורג והפחתת הסבסוד לא תחל בשנה בה התקבלה ההחלטה, ואף לא בשנה שלאחריה; הפעוטות כבר התקבלו למסגרות חינוך </w:t>
      </w:r>
      <w:r>
        <w:rPr>
          <w:rtl/>
        </w:rPr>
        <w:t>–</w:t>
      </w:r>
      <w:r>
        <w:rPr>
          <w:rFonts w:hint="cs"/>
          <w:rtl/>
        </w:rPr>
        <w:t xml:space="preserve"> מעונות היום </w:t>
      </w:r>
      <w:r>
        <w:rPr>
          <w:rtl/>
        </w:rPr>
        <w:t>–</w:t>
      </w:r>
      <w:r>
        <w:rPr>
          <w:rFonts w:hint="cs"/>
          <w:rtl/>
        </w:rPr>
        <w:t xml:space="preserve"> לשנת הלימודים הנוכחית, אשר החלה מבלי שמבחני התמיכה שונו; באתר האינטרנט הרשמי של משרד העבודה והכלכלה הוצב סימולטור המאפשר הערכה של הסבסוד לו תהא זכאית המשפחה, אשר הראה </w:t>
      </w:r>
      <w:r>
        <w:rPr>
          <w:rtl/>
        </w:rPr>
        <w:t>–</w:t>
      </w:r>
      <w:r>
        <w:rPr>
          <w:rFonts w:hint="cs"/>
          <w:rtl/>
        </w:rPr>
        <w:t xml:space="preserve"> לפחות עד לאחרונה </w:t>
      </w:r>
      <w:r>
        <w:rPr>
          <w:rtl/>
        </w:rPr>
        <w:t>–</w:t>
      </w:r>
      <w:r>
        <w:rPr>
          <w:rFonts w:hint="cs"/>
          <w:rtl/>
        </w:rPr>
        <w:t xml:space="preserve"> כי </w:t>
      </w:r>
      <w:r>
        <w:rPr>
          <w:rFonts w:hint="cs"/>
          <w:rtl/>
        </w:rPr>
        <w:lastRenderedPageBreak/>
        <w:t>משפחות האברכים זכאיות לתמיכה. נסיבות אלה, כך נטען לפנינו, יצרו אצל העותרים ואצל משפחות האברכים, שלמענן הוגשו העתירות, הסתמכות לגיטימית על כך שיעלה בידם ליהנות ממבחני התמיכה הישנים בשנת הלימודים התשפ"ב.</w:t>
      </w:r>
    </w:p>
    <w:p w:rsidR="00CB2DF1" w:rsidRDefault="00CB2DF1" w:rsidP="00CB2DF1">
      <w:pPr>
        <w:pStyle w:val="Ruller4"/>
        <w:rPr>
          <w:rtl/>
        </w:rPr>
      </w:pPr>
      <w:r>
        <w:rPr>
          <w:rFonts w:hint="cs"/>
          <w:rtl/>
        </w:rPr>
        <w:t xml:space="preserve">לטענת העותרים, ביטול מבחני התמיכה הישנים תוך כדי שנת הלימודים יביא לפגיעה ממשית ובלתי מידתית במשפחות האברכים ובסדרי החיים במשפחות אלה. זאת, מהסיבה הבאה: מסגרת הלימוד של הילדים ועלותה הם גורמים רבי משמעות בתכנון הכלכלי השנתי של חיי המשפחה. תכנון זה לקח בחשבון את הזכאות לתמיכה לפי המבחנים שבתוקף, ועל בסיסו נטלו המשפחות על עצמן התחייבויות כלכליות שונות, ובכללן התחייבות למקום עובדה ולמסגרת לימוד תורני. במקרים לא מעטים, השפיע הסבסוד שעל-פי המבחנים הישנים אף על מציאת מקום מגורים למשפחה כולה. כמו כן טענו העותרים כי הוצאת פעוט ממעון יום באמצע השנה </w:t>
      </w:r>
      <w:r>
        <w:rPr>
          <w:rtl/>
        </w:rPr>
        <w:t>–</w:t>
      </w:r>
      <w:r>
        <w:rPr>
          <w:rFonts w:hint="cs"/>
          <w:rtl/>
        </w:rPr>
        <w:t xml:space="preserve"> כפועל יוצא של האילוץ הכלכלי אשר נובע ממבחני התמיכה החדשים </w:t>
      </w:r>
      <w:r>
        <w:rPr>
          <w:rtl/>
        </w:rPr>
        <w:t>–</w:t>
      </w:r>
      <w:r>
        <w:rPr>
          <w:rFonts w:hint="cs"/>
          <w:rtl/>
        </w:rPr>
        <w:t xml:space="preserve"> תביא לפגיעה של ממש ברווחתו ובחינוכו של הפעוט ובתפקוד משפחתו.</w:t>
      </w:r>
    </w:p>
    <w:p w:rsidR="00CB2DF1" w:rsidRDefault="00CB2DF1" w:rsidP="00CB2DF1">
      <w:pPr>
        <w:pStyle w:val="Ruller4"/>
        <w:rPr>
          <w:rtl/>
        </w:rPr>
      </w:pPr>
      <w:r>
        <w:rPr>
          <w:rFonts w:hint="cs"/>
          <w:rtl/>
        </w:rPr>
        <w:t>עוד טענו העותרים כי פקיעת מבחני התמיכה הישנים באמצע שנת הלימודים תביא לפגיעה קשה בבעלי מעונות היום, אשר הסתמכו על הכנסה שוטפת ועל יכולתם של הורי הילדים לשאת בשכר הלימוד בעזרת הסבסוד. כחלק מטענה זו, הוצגו לפנינו נתונים אשר מראים ירידה בהרשמה למעונות שבבעלות העותרים 4-3 בעתירת זילבר בשנת הלימודים הנוכחית.</w:t>
      </w:r>
    </w:p>
    <w:p w:rsidR="00CB2DF1" w:rsidRDefault="00CB2DF1" w:rsidP="00CB2DF1">
      <w:pPr>
        <w:pStyle w:val="Ruller4"/>
      </w:pPr>
      <w:r>
        <w:rPr>
          <w:rFonts w:hint="cs"/>
          <w:rtl/>
        </w:rPr>
        <w:t xml:space="preserve">על יסוד האמור לעיל, טענו העותרים כי הוראת המעבר שנקבעה ביחס למבחני התמיכה הישנים אינה סבירה, אינה מידתית, וחורגת מאמות המידה שהמשפט המינהלי קבע בכגון דא. </w:t>
      </w:r>
    </w:p>
    <w:p w:rsidR="00CB2DF1" w:rsidRDefault="00CB2DF1" w:rsidP="00CB2DF1">
      <w:pPr>
        <w:pStyle w:val="Ruller4"/>
      </w:pPr>
      <w:r>
        <w:rPr>
          <w:rFonts w:hint="cs"/>
          <w:rtl/>
        </w:rPr>
        <w:t xml:space="preserve">המשיבים לא הסכימו עם טענות אלה. לטענתם, לטענות העותרים בדבר הסתמכותם על המבחנים הישנים אין אחיזה בעובדות ובדין. </w:t>
      </w:r>
    </w:p>
    <w:p w:rsidR="00CB2DF1" w:rsidRDefault="00CB2DF1" w:rsidP="00CB2DF1">
      <w:pPr>
        <w:pStyle w:val="Ruller4"/>
        <w:rPr>
          <w:rtl/>
        </w:rPr>
      </w:pPr>
      <w:r>
        <w:rPr>
          <w:rFonts w:hint="cs"/>
          <w:rtl/>
        </w:rPr>
        <w:lastRenderedPageBreak/>
        <w:t>במישור העובדתי, טענו המשיבים כדלקמן: הדיון בוועדת הכספים שהתקיים בחודש מאי 2021 והודעות השרים מחודש יולי 2021 זכו לפרסום וקיבלו תהודה בקרב הציבור החרדי; פרסומים אלה הבהירו בצורה שאינה משתמעת לשתי פנים כי לא ניתן יהיה להסתמך על מבחני התמיכה הישנים; משכך הוא, משפחות האברכים אשר בחרו לשלוח את ילדיהם למעונות היום נטלו על עצמם סיכון שמבחני התמיכה ישתנו; במקרים רבים, התמיכות מתפרסמות לאחר תחילת שנת הלימודים במעונות היום החרדיים, וההורים סופגים את מחיר השינוי; הנזקים שכביכול עלולים להיגרם בעקבות הפסקת הסבסוד לא הוכחו, וספק רב אם הם אכן ייגרמו. בפרט, נטען כי הוצאה מבוקרת של פעוט ממעון יום והעברתו למסגרת ביתית לא תפגענה בו.</w:t>
      </w:r>
    </w:p>
    <w:p w:rsidR="00CB2DF1" w:rsidRDefault="00CB2DF1" w:rsidP="00CB2DF1">
      <w:pPr>
        <w:pStyle w:val="Ruller4"/>
      </w:pPr>
      <w:r>
        <w:rPr>
          <w:rFonts w:hint="cs"/>
          <w:rtl/>
        </w:rPr>
        <w:t xml:space="preserve">במישור המשפטי, טענו המשיבים כדלקמן: הממשלה מוסמכת לשנות בכל עת את מדיניות הרווחה שלה ואת אמות המידה למתן סובסידיות לאזרחים; לאיש אין זכות מוקנית לקבל מהמדינה סובסידיה כזאת או אחרת; למשפחות האברכים לא היתה הסתמכות לגיטימית לכך שמדיניות הסובסידיה, שהטיבה עמן, לא תשתנה; וממילא אין חובה שבדין לקבוע תקופת היערכות לקראת מבחני תמיכה חדשים וביטול מבחני התמיכה הישנים. כמו כן, נטען כי הממשלה הייתה רשאית להודיע, באופן גורף, כי היא אינה מעניקה שום סובסידיות לשנת הלימודים התשפ"ב וכי סמכות רחבה זו אִפשרה לשרים להודיע </w:t>
      </w:r>
      <w:r>
        <w:rPr>
          <w:rtl/>
        </w:rPr>
        <w:t>–</w:t>
      </w:r>
      <w:r>
        <w:rPr>
          <w:rFonts w:hint="cs"/>
          <w:rtl/>
        </w:rPr>
        <w:t xml:space="preserve"> בשמם ומטעם הממשלה </w:t>
      </w:r>
      <w:r>
        <w:rPr>
          <w:rtl/>
        </w:rPr>
        <w:t>–</w:t>
      </w:r>
      <w:r>
        <w:rPr>
          <w:rFonts w:hint="cs"/>
          <w:rtl/>
        </w:rPr>
        <w:t xml:space="preserve"> כי התמיכות לשנת הלימודים התשפ"ב תוענקנה בהתאם למבחנים החדשים שנקבעו על ידיהם. הסמכות הרחבה שלא להעניק לאזרחים שום סובסידיה כוללת בחובה את הסמכות להתנות מתן סובסידיה בעמידת מקבליה בדרישות אשר תואמות את המדיניות החברתית שהשרים ביקשו להוביל כאן ועכשיו. בהתאם לכך, נטען כי לעותרים אין זכות לדרוש כי השרים ימתינו וישהו את יישומה של מדיניות זו, שכאמור באה לעודד תעסוקה ופעילות יצרנית בחברה הישראלית. </w:t>
      </w:r>
    </w:p>
    <w:p w:rsidR="00CB2DF1" w:rsidRDefault="00CB2DF1" w:rsidP="00CB2DF1">
      <w:pPr>
        <w:pStyle w:val="Ruller4"/>
        <w:rPr>
          <w:rtl/>
        </w:rPr>
      </w:pPr>
      <w:r>
        <w:rPr>
          <w:rFonts w:hint="cs"/>
          <w:rtl/>
        </w:rPr>
        <w:t xml:space="preserve">לעניין הוראת המעבר שנקבעה, נטען כי על-אף שאין חובה לקבוע הוראת מעבר השרים קבעו הוראת מעבר סבירה ומידתית, אשר מאזנת בין רצונה של הממשלה לשנות את מדיניותה </w:t>
      </w:r>
      <w:r>
        <w:rPr>
          <w:rFonts w:hint="cs"/>
          <w:rtl/>
        </w:rPr>
        <w:lastRenderedPageBreak/>
        <w:t>הקודמת בתחום הסובסידיות והתמיכות לבין הצורך לאפשר למשפחות האברכים להתארגן כיאות לקראת שינוי המדיניות. באופן ספציפי יותר, נטען כי דחיית המועד לפקיעת מבחני התמיכה הישנים הותירה בידי משפחות האברכים למעלה מחמישה חודשי התארגנות. המשיבים סבורים כי מדובר בתקופת התארגנות מספקת ומבקשים מאתנו, לסיכום, כי נבטל את הצו-על-תנאי ונדחה את העתירות.</w:t>
      </w:r>
    </w:p>
    <w:p w:rsidR="00CE5B42" w:rsidRDefault="00CE5B42" w:rsidP="00CB2DF1">
      <w:pPr>
        <w:pStyle w:val="Ruller4"/>
        <w:numPr>
          <w:ilvl w:val="0"/>
          <w:numId w:val="0"/>
        </w:numPr>
        <w:rPr>
          <w:rFonts w:ascii="Century" w:hAnsi="Century" w:cs="Miriam"/>
          <w:b/>
          <w:spacing w:val="0"/>
          <w:sz w:val="22"/>
          <w:szCs w:val="24"/>
          <w:rtl/>
        </w:rPr>
      </w:pPr>
    </w:p>
    <w:p w:rsidR="00CB2DF1" w:rsidRDefault="00CB2DF1" w:rsidP="00CB2DF1">
      <w:pPr>
        <w:pStyle w:val="Ruller4"/>
        <w:numPr>
          <w:ilvl w:val="0"/>
          <w:numId w:val="0"/>
        </w:numPr>
        <w:rPr>
          <w:rFonts w:ascii="Century" w:hAnsi="Century" w:cs="Miriam"/>
          <w:b/>
          <w:spacing w:val="0"/>
          <w:sz w:val="22"/>
          <w:szCs w:val="24"/>
          <w:rtl/>
        </w:rPr>
      </w:pPr>
      <w:r>
        <w:rPr>
          <w:rFonts w:ascii="Century" w:hAnsi="Century" w:cs="Miriam" w:hint="cs"/>
          <w:b/>
          <w:spacing w:val="0"/>
          <w:sz w:val="22"/>
          <w:szCs w:val="24"/>
          <w:rtl/>
        </w:rPr>
        <w:t>דיון והכרעה</w:t>
      </w:r>
    </w:p>
    <w:p w:rsidR="00CB2DF1" w:rsidRDefault="00CB2DF1" w:rsidP="00CB2DF1">
      <w:pPr>
        <w:pStyle w:val="Ruller4"/>
        <w:rPr>
          <w:rFonts w:ascii="Century" w:hAnsi="Century"/>
          <w:sz w:val="22"/>
          <w:rtl/>
        </w:rPr>
      </w:pPr>
      <w:r>
        <w:rPr>
          <w:rFonts w:hint="cs"/>
          <w:rtl/>
        </w:rPr>
        <w:t xml:space="preserve">הלכה היא עמנו כי אין לאדם זכות קנויה לקבל סובסידיה מהמדינה, וכי סובסידיה שניתנה בעבר אינה יוצרת ציפייה מוגנת בדין לכך שזו תמשיך להינתן. יפים לעניין זה דבריו של השופט </w:t>
      </w:r>
      <w:r>
        <w:rPr>
          <w:rFonts w:ascii="Century" w:hAnsi="Century" w:cs="Miriam" w:hint="cs"/>
          <w:b/>
          <w:spacing w:val="0"/>
          <w:sz w:val="22"/>
          <w:szCs w:val="24"/>
          <w:rtl/>
        </w:rPr>
        <w:t xml:space="preserve">א' ברק </w:t>
      </w:r>
      <w:r>
        <w:rPr>
          <w:rFonts w:ascii="Century" w:hAnsi="Century" w:hint="cs"/>
          <w:sz w:val="22"/>
          <w:rtl/>
        </w:rPr>
        <w:t xml:space="preserve">(כתוארו אז) בבג"ץ 198/82 </w:t>
      </w:r>
      <w:r>
        <w:rPr>
          <w:rFonts w:ascii="Century" w:hAnsi="Century" w:cs="Miriam" w:hint="cs"/>
          <w:b/>
          <w:spacing w:val="0"/>
          <w:sz w:val="22"/>
          <w:szCs w:val="24"/>
          <w:rtl/>
        </w:rPr>
        <w:t>מוניץ נ' בנק ישראל</w:t>
      </w:r>
      <w:r>
        <w:rPr>
          <w:rFonts w:ascii="Century" w:hAnsi="Century" w:hint="cs"/>
          <w:sz w:val="22"/>
          <w:rtl/>
        </w:rPr>
        <w:t xml:space="preserve">, פ"ד לו(3) 466, פסקה 10 (1982) (להלן: </w:t>
      </w:r>
      <w:r w:rsidRPr="00E44665">
        <w:rPr>
          <w:rFonts w:ascii="Century" w:hAnsi="Century" w:hint="cs"/>
          <w:sz w:val="22"/>
          <w:rtl/>
        </w:rPr>
        <w:t>עניין</w:t>
      </w:r>
      <w:r>
        <w:rPr>
          <w:rFonts w:ascii="Century" w:hAnsi="Century" w:cs="Miriam" w:hint="cs"/>
          <w:b/>
          <w:spacing w:val="0"/>
          <w:sz w:val="22"/>
          <w:szCs w:val="24"/>
          <w:rtl/>
        </w:rPr>
        <w:t xml:space="preserve"> מוניץ</w:t>
      </w:r>
      <w:r>
        <w:rPr>
          <w:rFonts w:ascii="Century" w:hAnsi="Century" w:hint="cs"/>
          <w:sz w:val="22"/>
          <w:rtl/>
        </w:rPr>
        <w:t>):</w:t>
      </w:r>
    </w:p>
    <w:p w:rsidR="00CB2DF1" w:rsidRPr="00E3131A" w:rsidRDefault="00CB2DF1" w:rsidP="00CB2DF1">
      <w:pPr>
        <w:pStyle w:val="Ruller5"/>
        <w:spacing w:before="240" w:after="100" w:afterAutospacing="1"/>
        <w:rPr>
          <w:rtl/>
        </w:rPr>
      </w:pPr>
      <w:r>
        <w:rPr>
          <w:rFonts w:hint="cs"/>
          <w:rtl/>
        </w:rPr>
        <w:t xml:space="preserve">"כידוע, הלכה פסוקה היא, כי אין לשום אדם זכות מוקנית לכך שמדיניות כלכלית, עליה ביסס את חישוביו העסקיים, תימשך [...] מתן סובסידיה לאשראי, כמו כל סובסידיה או הטבה אחרת, הוא עניין לשיקול הדעת הכלכלי של המינהל. זוהי שאלה מובהקת של מדיניות ציבורית, הקשורה בקביעת סדר העדיפויות של השימוש בתקציב הלאומי. שאלה זו נתונה, מעצם טבעה, להכרעתה של הרשות המבצעת, והפיקוח עליה הוא, בעיקרו, פיקוח פרלמנטארי של הרשות המחוקקת [...] </w:t>
      </w:r>
      <w:r w:rsidRPr="00582007">
        <w:rPr>
          <w:rFonts w:ascii="Century" w:hAnsi="Century" w:cs="Miriam" w:hint="cs"/>
          <w:b/>
          <w:spacing w:val="0"/>
          <w:szCs w:val="24"/>
          <w:rtl/>
        </w:rPr>
        <w:t>משניתנה הטבה, אין לו לאזרח "חזקה או זכות קנויה במצב הקיים</w:t>
      </w:r>
      <w:r>
        <w:rPr>
          <w:rFonts w:ascii="Century" w:hAnsi="Century" w:cs="Miriam" w:hint="cs"/>
          <w:b/>
          <w:spacing w:val="0"/>
          <w:szCs w:val="24"/>
          <w:rtl/>
        </w:rPr>
        <w:t>"</w:t>
      </w:r>
      <w:r w:rsidRPr="00582007">
        <w:rPr>
          <w:rFonts w:ascii="Century" w:hAnsi="Century" w:cs="Miriam" w:hint="cs"/>
          <w:b/>
          <w:spacing w:val="0"/>
          <w:szCs w:val="24"/>
          <w:rtl/>
        </w:rPr>
        <w:t xml:space="preserve"> [...] "ואין לשום אדם זכות קנויה שמדיניות כלכלית מסויימת, הנוחה לו, תימשך</w:t>
      </w:r>
      <w:r>
        <w:rPr>
          <w:rFonts w:ascii="Century" w:hAnsi="Century" w:cs="Miriam" w:hint="cs"/>
          <w:b/>
          <w:spacing w:val="0"/>
          <w:szCs w:val="24"/>
          <w:rtl/>
        </w:rPr>
        <w:t>"</w:t>
      </w:r>
      <w:r w:rsidRPr="00582007">
        <w:rPr>
          <w:rFonts w:ascii="Century" w:hAnsi="Century" w:cs="Miriam" w:hint="cs"/>
          <w:b/>
          <w:spacing w:val="0"/>
          <w:szCs w:val="24"/>
          <w:rtl/>
        </w:rPr>
        <w:t xml:space="preserve"> [...] על-כן, רשאי המינהל בכל עת לשנות את מדיניותו "ולא יישמע אדם בטענה ששם מבטחו בהסדר הקיים ושעל סמך זה קיבל על עצמו התחייבויות</w:t>
      </w:r>
      <w:r>
        <w:rPr>
          <w:rFonts w:hint="cs"/>
          <w:rtl/>
        </w:rPr>
        <w:t>. אין ביטול כזה אלא צרת הרבים, ולזה, כנראה, כל אחד חייב להיות מוכן" [...] "ואם שינוי במדיניות גורם נזק כלכלי לשכבה מסויימת של האוכלוסיי</w:t>
      </w:r>
      <w:r>
        <w:rPr>
          <w:rFonts w:hint="eastAsia"/>
          <w:rtl/>
        </w:rPr>
        <w:t>ה</w:t>
      </w:r>
      <w:r>
        <w:rPr>
          <w:rFonts w:hint="cs"/>
          <w:rtl/>
        </w:rPr>
        <w:t xml:space="preserve"> או לענף כלכלי מסוים, הרי הדרך לתיקון העוול, אם קיים כזה, היא על-ידי פעולה </w:t>
      </w:r>
      <w:r>
        <w:rPr>
          <w:rFonts w:hint="cs"/>
          <w:rtl/>
        </w:rPr>
        <w:lastRenderedPageBreak/>
        <w:t xml:space="preserve">בשטח הציבורי" [...] </w:t>
      </w:r>
      <w:r w:rsidRPr="004455EF">
        <w:rPr>
          <w:rFonts w:ascii="Century" w:hAnsi="Century" w:cs="Miriam" w:hint="cs"/>
          <w:b/>
          <w:spacing w:val="0"/>
          <w:szCs w:val="24"/>
          <w:rtl/>
        </w:rPr>
        <w:t>נמצא, כי אדם, הנוטל סובסידיה או כל הטבה אחרת מהרשות הציבורית, נוטל על עצמו סיכוי עם סיכון, והסיכון הוא, כי הסובסידיה או ההטבה יבוטלו או ישונו, ועליו לכלכל מעשיו תוך לקיחת אפשרות זו בחשבון שיקוליו</w:t>
      </w:r>
      <w:r>
        <w:rPr>
          <w:rFonts w:hint="cs"/>
          <w:rtl/>
        </w:rPr>
        <w:t xml:space="preserve">" (ההדגשה הוספה, לשם הנוחות ורצף הקריאה האסמכתאות הוסרו </w:t>
      </w:r>
      <w:r>
        <w:rPr>
          <w:rtl/>
        </w:rPr>
        <w:t>–</w:t>
      </w:r>
      <w:r>
        <w:rPr>
          <w:rFonts w:hint="cs"/>
          <w:rtl/>
        </w:rPr>
        <w:t xml:space="preserve"> א.ש.).</w:t>
      </w:r>
    </w:p>
    <w:p w:rsidR="00CB2DF1" w:rsidRDefault="00CB2DF1" w:rsidP="00CB2DF1">
      <w:pPr>
        <w:pStyle w:val="Ruller4"/>
        <w:rPr>
          <w:rFonts w:ascii="Century" w:hAnsi="Century"/>
          <w:sz w:val="22"/>
          <w:rtl/>
        </w:rPr>
      </w:pPr>
      <w:r>
        <w:rPr>
          <w:rFonts w:hint="cs"/>
          <w:rtl/>
        </w:rPr>
        <w:t xml:space="preserve">בפסק דינו בעניין </w:t>
      </w:r>
      <w:r>
        <w:rPr>
          <w:rFonts w:ascii="Century" w:hAnsi="Century" w:cs="Miriam" w:hint="cs"/>
          <w:b/>
          <w:spacing w:val="0"/>
          <w:sz w:val="22"/>
          <w:szCs w:val="24"/>
          <w:rtl/>
        </w:rPr>
        <w:t>מוניץ</w:t>
      </w:r>
      <w:r w:rsidRPr="00A17289">
        <w:rPr>
          <w:rFonts w:ascii="Century" w:hAnsi="Century" w:hint="cs"/>
          <w:sz w:val="22"/>
          <w:rtl/>
        </w:rPr>
        <w:t>,</w:t>
      </w:r>
      <w:r>
        <w:rPr>
          <w:rFonts w:hint="cs"/>
          <w:rtl/>
        </w:rPr>
        <w:t xml:space="preserve"> השופט </w:t>
      </w:r>
      <w:r w:rsidRPr="008740DD">
        <w:rPr>
          <w:rFonts w:ascii="Century" w:hAnsi="Century" w:cs="Miriam" w:hint="cs"/>
          <w:b/>
          <w:spacing w:val="0"/>
          <w:sz w:val="22"/>
          <w:szCs w:val="24"/>
          <w:rtl/>
        </w:rPr>
        <w:t>ברק</w:t>
      </w:r>
      <w:r w:rsidRPr="008740DD">
        <w:rPr>
          <w:rFonts w:hint="cs"/>
          <w:rtl/>
        </w:rPr>
        <w:t xml:space="preserve"> </w:t>
      </w:r>
      <w:r>
        <w:rPr>
          <w:rFonts w:hint="cs"/>
          <w:rtl/>
        </w:rPr>
        <w:t xml:space="preserve">המשיך וקבע כי </w:t>
      </w:r>
      <w:r w:rsidRPr="00A17289">
        <w:rPr>
          <w:rFonts w:ascii="Century" w:hAnsi="Century" w:hint="cs"/>
          <w:sz w:val="22"/>
          <w:rtl/>
        </w:rPr>
        <w:t xml:space="preserve">החלטה </w:t>
      </w:r>
      <w:r>
        <w:rPr>
          <w:rFonts w:ascii="Century" w:hAnsi="Century" w:hint="cs"/>
          <w:sz w:val="22"/>
          <w:rtl/>
        </w:rPr>
        <w:t>בדבר</w:t>
      </w:r>
      <w:r w:rsidRPr="00A17289">
        <w:rPr>
          <w:rFonts w:ascii="Century" w:hAnsi="Century" w:hint="cs"/>
          <w:sz w:val="22"/>
          <w:rtl/>
        </w:rPr>
        <w:t xml:space="preserve"> ביטול סובסידיה</w:t>
      </w:r>
      <w:r>
        <w:rPr>
          <w:rFonts w:ascii="Century" w:hAnsi="Century" w:hint="cs"/>
          <w:sz w:val="22"/>
          <w:rtl/>
        </w:rPr>
        <w:t xml:space="preserve">, כמו כל החלטה מינהלית, </w:t>
      </w:r>
      <w:r w:rsidRPr="00A17289">
        <w:rPr>
          <w:rFonts w:ascii="Century" w:hAnsi="Century" w:hint="cs"/>
          <w:sz w:val="22"/>
          <w:rtl/>
        </w:rPr>
        <w:t>כפופה לביקורת שיפוטית</w:t>
      </w:r>
      <w:r>
        <w:rPr>
          <w:rFonts w:ascii="Century" w:hAnsi="Century" w:hint="cs"/>
          <w:sz w:val="22"/>
          <w:rtl/>
        </w:rPr>
        <w:t xml:space="preserve"> (ראו שם בפסקה 11). אולם, הביקורת השיפוטית על </w:t>
      </w:r>
      <w:r w:rsidRPr="00A17289">
        <w:rPr>
          <w:rFonts w:ascii="Century" w:hAnsi="Century" w:hint="cs"/>
          <w:sz w:val="22"/>
          <w:rtl/>
        </w:rPr>
        <w:t xml:space="preserve">החלטות </w:t>
      </w:r>
      <w:r>
        <w:rPr>
          <w:rFonts w:ascii="Century" w:hAnsi="Century" w:hint="cs"/>
          <w:sz w:val="22"/>
          <w:rtl/>
        </w:rPr>
        <w:t xml:space="preserve">ממשלה שעניינן סובסידיות </w:t>
      </w:r>
      <w:r>
        <w:rPr>
          <w:rFonts w:hint="cs"/>
          <w:rtl/>
        </w:rPr>
        <w:t>ו</w:t>
      </w:r>
      <w:r w:rsidRPr="00A17289">
        <w:rPr>
          <w:rFonts w:ascii="Century" w:hAnsi="Century" w:hint="cs"/>
          <w:sz w:val="22"/>
          <w:rtl/>
        </w:rPr>
        <w:t>מדיניות כלכלית</w:t>
      </w:r>
      <w:r>
        <w:rPr>
          <w:rFonts w:ascii="Century" w:hAnsi="Century" w:hint="cs"/>
          <w:sz w:val="22"/>
          <w:rtl/>
        </w:rPr>
        <w:t xml:space="preserve"> הינה מצומצמת מהרגיל. האפשרות שבית משפט זה יתערב בהחלטה כזאת שמורה ל</w:t>
      </w:r>
      <w:r w:rsidRPr="00A17289">
        <w:rPr>
          <w:rFonts w:ascii="Century" w:hAnsi="Century" w:hint="cs"/>
          <w:sz w:val="22"/>
          <w:rtl/>
        </w:rPr>
        <w:t xml:space="preserve">מקרים </w:t>
      </w:r>
      <w:r>
        <w:rPr>
          <w:rFonts w:ascii="Century" w:hAnsi="Century" w:hint="cs"/>
          <w:sz w:val="22"/>
          <w:rtl/>
        </w:rPr>
        <w:t>חריגים במיוחד</w:t>
      </w:r>
      <w:r w:rsidRPr="00A17289">
        <w:rPr>
          <w:rFonts w:ascii="Century" w:hAnsi="Century" w:hint="cs"/>
          <w:sz w:val="22"/>
          <w:rtl/>
        </w:rPr>
        <w:t xml:space="preserve"> בהם </w:t>
      </w:r>
      <w:r>
        <w:rPr>
          <w:rFonts w:ascii="Century" w:hAnsi="Century" w:hint="cs"/>
          <w:sz w:val="22"/>
          <w:rtl/>
        </w:rPr>
        <w:t>מדובר בהחלטה אשר נפגמה ב</w:t>
      </w:r>
      <w:r w:rsidRPr="00A17289">
        <w:rPr>
          <w:rFonts w:ascii="Century" w:hAnsi="Century" w:hint="cs"/>
          <w:sz w:val="22"/>
          <w:rtl/>
        </w:rPr>
        <w:t xml:space="preserve">פגם </w:t>
      </w:r>
      <w:r>
        <w:rPr>
          <w:rFonts w:ascii="Century" w:hAnsi="Century" w:hint="cs"/>
          <w:sz w:val="22"/>
          <w:rtl/>
        </w:rPr>
        <w:t xml:space="preserve">חמור כדוגמת שרירות, זדון, הפליה, שיקולים זרים, חוסר תום-לב, או היעדר סבירות במידה קיצונית שמוציאה את ההחלטה מכלל ההחלטות שרשות שלטונית הנאמנה לתפקידיה עשויה היתה לקבל </w:t>
      </w:r>
      <w:r>
        <w:rPr>
          <w:rFonts w:hint="cs"/>
          <w:rtl/>
        </w:rPr>
        <w:t xml:space="preserve">בנסיבות המקרה (ראו: בג"ץ 5042/15 </w:t>
      </w:r>
      <w:r w:rsidRPr="002E2A6E">
        <w:rPr>
          <w:rFonts w:cs="Miriam" w:hint="cs"/>
          <w:b/>
          <w:spacing w:val="0"/>
          <w:szCs w:val="24"/>
          <w:rtl/>
        </w:rPr>
        <w:t>מנו ספנות בע"מ נ' מדינת ישראל</w:t>
      </w:r>
      <w:r>
        <w:rPr>
          <w:rFonts w:hint="cs"/>
          <w:rtl/>
        </w:rPr>
        <w:t>, פסקה 9 והאסמכתאות שם (3.4.2019)).</w:t>
      </w:r>
    </w:p>
    <w:p w:rsidR="00CB2DF1" w:rsidRDefault="00CB2DF1" w:rsidP="00CB2DF1">
      <w:pPr>
        <w:pStyle w:val="Ruller4"/>
        <w:rPr>
          <w:rtl/>
        </w:rPr>
      </w:pPr>
      <w:r>
        <w:rPr>
          <w:rFonts w:hint="cs"/>
          <w:rtl/>
        </w:rPr>
        <w:t>דברים אלו יפים גם לענייננו-שלנו. הסובסידיה למעונות היום, בדומה לכל סובסידיה אחרת, משקפת את סדרי העדיפות הלאומית והשקפת העולם של השלטון, אשר לעולם יכולים להשתנות. ממילא ברור שהעובדה שבעבר נקבע כי משפחות האברכים זכאיות לסבסוד התשלום למעונות היום, אין משמעה שבידי משפחות האברכים זכאות עתידית כלשהי לכך שסבסוד זה יימשך. דברים אלה ברורים וידועים לכל מי שמצוי במשפט המינהלי, והם מסבירים מדוע תחמנו את הצו-על-תנאי שהוצאנו באופן שימחק מסדר יומנוּ את הטענות המהותיות שעניינן עצם ההחלטה לצמצם את הסבסוד ולקבוע תנאים חדשים למתן התמיכות. לטענות העותרים אשר מתיימרות לתקוף את סדרי העדיפות שהממשלה קובעת בתחום הסובסידיות אין אחיזה בדין הקיים, ולא נטה להן אוזן קשבת.</w:t>
      </w:r>
    </w:p>
    <w:p w:rsidR="00CB2DF1" w:rsidRDefault="00CB2DF1" w:rsidP="00CB2DF1">
      <w:pPr>
        <w:pStyle w:val="Ruller4"/>
        <w:rPr>
          <w:rtl/>
        </w:rPr>
      </w:pPr>
      <w:r>
        <w:rPr>
          <w:rFonts w:hint="cs"/>
          <w:rtl/>
        </w:rPr>
        <w:lastRenderedPageBreak/>
        <w:t xml:space="preserve">לצד זאת, עלינו להדגיש כי העובדה שהממשלה לעולם רשאית לסגור את ברז הסבסוד משיקולי מדיניות שתואמת את השקפתה ואת רצון בוחריה, אין משמעה כי היא רשאית לעשות כן </w:t>
      </w:r>
      <w:r w:rsidRPr="00C17750">
        <w:rPr>
          <w:rFonts w:ascii="Century" w:hAnsi="Century" w:cs="Miriam" w:hint="cs"/>
          <w:b/>
          <w:spacing w:val="0"/>
          <w:sz w:val="22"/>
          <w:szCs w:val="24"/>
          <w:rtl/>
        </w:rPr>
        <w:t>ללא הוראת מעבר הולמת</w:t>
      </w:r>
      <w:r>
        <w:rPr>
          <w:rFonts w:hint="cs"/>
          <w:rtl/>
        </w:rPr>
        <w:t xml:space="preserve">. בכתב התשובה טענו המשיבים כי "אין חובה בדין ליתן "תקופת היערכות" לקראת מבחן תמיכה חדש"; וככל שהתיבה "דין" כוללת בתוכה הלכה פסוקה פרי המשפט המקובל הישראלי </w:t>
      </w:r>
      <w:r>
        <w:rPr>
          <w:rtl/>
        </w:rPr>
        <w:t>–</w:t>
      </w:r>
      <w:r>
        <w:rPr>
          <w:rFonts w:hint="cs"/>
          <w:rtl/>
        </w:rPr>
        <w:t xml:space="preserve"> וכידוע "הלכה פסוקה של בית המשפט העליון היא דין בישראל" (ראו: דנ"א 5698/11 </w:t>
      </w:r>
      <w:r>
        <w:rPr>
          <w:rFonts w:ascii="Century" w:hAnsi="Century" w:cs="Miriam" w:hint="cs"/>
          <w:b/>
          <w:spacing w:val="0"/>
          <w:sz w:val="22"/>
          <w:szCs w:val="24"/>
          <w:rtl/>
        </w:rPr>
        <w:t>מדינת ישראל נ' דיראני</w:t>
      </w:r>
      <w:r>
        <w:rPr>
          <w:rFonts w:ascii="Century" w:hAnsi="Century" w:hint="cs"/>
          <w:sz w:val="22"/>
          <w:rtl/>
        </w:rPr>
        <w:t xml:space="preserve">, פסקה 70 לפסק דינו של הנשיא </w:t>
      </w:r>
      <w:r>
        <w:rPr>
          <w:rFonts w:ascii="Century" w:hAnsi="Century" w:cs="Miriam" w:hint="cs"/>
          <w:b/>
          <w:spacing w:val="0"/>
          <w:sz w:val="22"/>
          <w:szCs w:val="24"/>
          <w:rtl/>
        </w:rPr>
        <w:t>א' גרוניס</w:t>
      </w:r>
      <w:r>
        <w:rPr>
          <w:rFonts w:ascii="Century" w:hAnsi="Century" w:hint="cs"/>
          <w:sz w:val="22"/>
          <w:rtl/>
        </w:rPr>
        <w:t xml:space="preserve"> (15.1.2015)) </w:t>
      </w:r>
      <w:r>
        <w:rPr>
          <w:rtl/>
        </w:rPr>
        <w:t>–</w:t>
      </w:r>
      <w:r>
        <w:rPr>
          <w:rFonts w:hint="cs"/>
          <w:rtl/>
        </w:rPr>
        <w:t xml:space="preserve"> טענה זו איננה מדוייקת כלל ועיקר. כפי שאסביר בהמשך דבריי, החובה לקבוע הוראת מעבר לביטול מלא או מותנה של סובסידיה, שמלכתחילה לא היתה שום חובה להעניקה לאזרח, מושרשת היטב במשפט המינהלי שעיקרו בהלכה פסוקה. את הרציונל העומד מאחורי הלכה זו ניתן לסכם בשתי מילים: הסתמכות והגינות. חובת ההגינות אשר חלה על השלטון מחייבת אותו להימנע מהסרה נמהרת של רשת הביטחון, שמתוקף מדיניות הרווחה הקודמת שלו נפרשה מתחת לרגלי אזרח, באופן שגורם לאזרח ליפול לתהום כלכלית ולשנות לרעה את דפוסי החיים הבסיסיים שלו ושל בני משפחתו. לעניינו של עיקרון זה </w:t>
      </w:r>
      <w:r>
        <w:rPr>
          <w:rtl/>
        </w:rPr>
        <w:t>–</w:t>
      </w:r>
      <w:r>
        <w:rPr>
          <w:rFonts w:hint="cs"/>
          <w:rtl/>
        </w:rPr>
        <w:t xml:space="preserve"> אשר מושתת, כאמור, על הסתמכות האזרח ועל הגינות השלטון </w:t>
      </w:r>
      <w:r>
        <w:rPr>
          <w:rtl/>
        </w:rPr>
        <w:t>–</w:t>
      </w:r>
      <w:r>
        <w:rPr>
          <w:rFonts w:hint="cs"/>
          <w:rtl/>
        </w:rPr>
        <w:t xml:space="preserve"> יפים הם דבריו של השופט האמריקני הדגול, </w:t>
      </w:r>
      <w:r w:rsidRPr="009676A4">
        <w:rPr>
          <w:rFonts w:asciiTheme="majorBidi" w:hAnsiTheme="majorBidi" w:cstheme="majorBidi"/>
        </w:rPr>
        <w:t>Benjamin N. Cardozo</w:t>
      </w:r>
      <w:r>
        <w:rPr>
          <w:rFonts w:hint="cs"/>
          <w:rtl/>
        </w:rPr>
        <w:t>, אשר נאמרו בהקשר אחר:</w:t>
      </w:r>
    </w:p>
    <w:p w:rsidR="00CB2DF1" w:rsidRPr="00A26CB1" w:rsidRDefault="00CB2DF1" w:rsidP="00CB2DF1">
      <w:pPr>
        <w:pStyle w:val="Ruller5"/>
        <w:bidi w:val="0"/>
        <w:spacing w:before="240" w:after="100" w:afterAutospacing="1"/>
        <w:rPr>
          <w:rFonts w:asciiTheme="majorBidi" w:hAnsiTheme="majorBidi" w:cstheme="majorBidi"/>
          <w:sz w:val="24"/>
          <w:szCs w:val="24"/>
        </w:rPr>
      </w:pPr>
      <w:r w:rsidRPr="009676A4">
        <w:rPr>
          <w:rFonts w:asciiTheme="majorBidi" w:hAnsiTheme="majorBidi" w:cstheme="majorBidi"/>
          <w:sz w:val="24"/>
          <w:szCs w:val="24"/>
        </w:rPr>
        <w:t>"</w:t>
      </w:r>
      <w:r w:rsidRPr="00A26CB1">
        <w:rPr>
          <w:rFonts w:asciiTheme="majorBidi" w:hAnsiTheme="majorBidi" w:cstheme="majorBidi"/>
          <w:sz w:val="24"/>
          <w:szCs w:val="24"/>
        </w:rPr>
        <w:t>The hand once set to a ta</w:t>
      </w:r>
      <w:r>
        <w:rPr>
          <w:rFonts w:asciiTheme="majorBidi" w:hAnsiTheme="majorBidi" w:cstheme="majorBidi"/>
          <w:sz w:val="24"/>
          <w:szCs w:val="24"/>
        </w:rPr>
        <w:t xml:space="preserve">sk may not always be withdrawn </w:t>
      </w:r>
      <w:r w:rsidRPr="00A26CB1">
        <w:rPr>
          <w:rFonts w:asciiTheme="majorBidi" w:hAnsiTheme="majorBidi" w:cstheme="majorBidi"/>
          <w:sz w:val="24"/>
          <w:szCs w:val="24"/>
        </w:rPr>
        <w:t>with impunity though liability would fail if it had never been applied at all</w:t>
      </w:r>
      <w:r>
        <w:rPr>
          <w:rFonts w:asciiTheme="majorBidi" w:hAnsiTheme="majorBidi" w:cstheme="majorBidi"/>
          <w:sz w:val="24"/>
          <w:szCs w:val="24"/>
        </w:rPr>
        <w:t xml:space="preserve">." </w:t>
      </w:r>
    </w:p>
    <w:p w:rsidR="00CB2DF1" w:rsidRPr="009676A4" w:rsidRDefault="00CB2DF1" w:rsidP="00CB2DF1">
      <w:pPr>
        <w:pStyle w:val="Ruller5"/>
        <w:bidi w:val="0"/>
        <w:spacing w:before="240" w:after="100" w:afterAutospacing="1"/>
        <w:rPr>
          <w:rFonts w:asciiTheme="majorBidi" w:hAnsiTheme="majorBidi" w:cstheme="majorBidi"/>
          <w:sz w:val="24"/>
          <w:szCs w:val="24"/>
        </w:rPr>
      </w:pPr>
      <w:r w:rsidRPr="00A26CB1">
        <w:rPr>
          <w:rFonts w:asciiTheme="majorBidi" w:hAnsiTheme="majorBidi" w:cstheme="majorBidi"/>
          <w:sz w:val="24"/>
          <w:szCs w:val="24"/>
        </w:rPr>
        <w:t>H.R. Moch Co. v. Rensselaer Water Co., 159 N.E. 896 (N.Y. 1928)</w:t>
      </w:r>
      <w:r>
        <w:rPr>
          <w:rFonts w:asciiTheme="majorBidi" w:hAnsiTheme="majorBidi" w:cstheme="majorBidi"/>
          <w:sz w:val="24"/>
          <w:szCs w:val="24"/>
        </w:rPr>
        <w:t>.</w:t>
      </w:r>
      <w:r w:rsidRPr="009676A4">
        <w:rPr>
          <w:rFonts w:asciiTheme="majorBidi" w:hAnsiTheme="majorBidi" w:cstheme="majorBidi"/>
          <w:sz w:val="24"/>
          <w:szCs w:val="24"/>
        </w:rPr>
        <w:t xml:space="preserve"> </w:t>
      </w:r>
    </w:p>
    <w:p w:rsidR="00CB2DF1" w:rsidRPr="0076699B" w:rsidRDefault="00CB2DF1" w:rsidP="00CB2DF1">
      <w:pPr>
        <w:pStyle w:val="Ruller41"/>
        <w:spacing w:before="240" w:after="100" w:afterAutospacing="1"/>
        <w:rPr>
          <w:rFonts w:ascii="Century" w:hAnsi="Century" w:cs="Miriam"/>
          <w:b/>
          <w:spacing w:val="0"/>
          <w:szCs w:val="24"/>
          <w:rtl/>
        </w:rPr>
      </w:pPr>
      <w:r>
        <w:rPr>
          <w:rFonts w:ascii="Century" w:hAnsi="Century" w:cs="Miriam" w:hint="cs"/>
          <w:b/>
          <w:spacing w:val="0"/>
          <w:szCs w:val="24"/>
          <w:rtl/>
        </w:rPr>
        <w:t>החובה לקבוע הוראת מעבר</w:t>
      </w:r>
    </w:p>
    <w:p w:rsidR="00CB2DF1" w:rsidRPr="007506D4" w:rsidRDefault="00CB2DF1" w:rsidP="00CB2DF1">
      <w:pPr>
        <w:pStyle w:val="Ruller4"/>
        <w:rPr>
          <w:rFonts w:ascii="Century" w:hAnsi="Century"/>
          <w:sz w:val="22"/>
          <w:rtl/>
        </w:rPr>
      </w:pPr>
      <w:r>
        <w:rPr>
          <w:rFonts w:hint="cs"/>
          <w:rtl/>
        </w:rPr>
        <w:lastRenderedPageBreak/>
        <w:t xml:space="preserve">בית משפט זה הכיר זה מכבר בחובה השלטונית לקבוע הוראת מעבר במקרים בהם זו </w:t>
      </w:r>
      <w:r>
        <w:rPr>
          <w:rFonts w:ascii="Century" w:hAnsi="Century" w:hint="cs"/>
          <w:sz w:val="22"/>
          <w:rtl/>
        </w:rPr>
        <w:t>נחוצה למען הגנה על אינטרס לגיטימי של אזרח</w:t>
      </w:r>
      <w:r>
        <w:rPr>
          <w:rFonts w:hint="cs"/>
          <w:rtl/>
        </w:rPr>
        <w:t xml:space="preserve">. </w:t>
      </w:r>
      <w:r>
        <w:rPr>
          <w:rFonts w:ascii="Century" w:hAnsi="Century" w:hint="cs"/>
          <w:sz w:val="22"/>
          <w:rtl/>
        </w:rPr>
        <w:t xml:space="preserve">במקרים כאלה, ובהם בלבד, יהא האזרח זכאי להוראת מעבר מידתית וסבירה. </w:t>
      </w:r>
      <w:r>
        <w:rPr>
          <w:rFonts w:hint="cs"/>
          <w:rtl/>
        </w:rPr>
        <w:t xml:space="preserve">למיטב ידיעתי, הזכות להוראת מעבר הוכרה לראשונה בשנת 1972 במסגרתו של ע"פ 104/72 </w:t>
      </w:r>
      <w:r w:rsidRPr="007506D4">
        <w:rPr>
          <w:rFonts w:ascii="Century" w:hAnsi="Century" w:cs="Miriam" w:hint="cs"/>
          <w:b/>
          <w:spacing w:val="0"/>
          <w:sz w:val="22"/>
          <w:szCs w:val="24"/>
          <w:rtl/>
        </w:rPr>
        <w:t>ראב נ' מדינת ישראל</w:t>
      </w:r>
      <w:r w:rsidRPr="007506D4">
        <w:rPr>
          <w:rFonts w:ascii="Century" w:hAnsi="Century" w:hint="cs"/>
          <w:sz w:val="22"/>
          <w:rtl/>
        </w:rPr>
        <w:t>, פ"ד כו(2) 412 (1972)</w:t>
      </w:r>
      <w:r>
        <w:rPr>
          <w:rFonts w:hint="cs"/>
          <w:rtl/>
        </w:rPr>
        <w:t xml:space="preserve"> (להלן: </w:t>
      </w:r>
      <w:r w:rsidRPr="007506D4">
        <w:rPr>
          <w:rFonts w:ascii="Century" w:hAnsi="Century" w:hint="cs"/>
          <w:sz w:val="22"/>
          <w:rtl/>
        </w:rPr>
        <w:t>עניין</w:t>
      </w:r>
      <w:r w:rsidRPr="007506D4">
        <w:rPr>
          <w:rFonts w:ascii="Century" w:hAnsi="Century" w:cs="Miriam" w:hint="cs"/>
          <w:b/>
          <w:spacing w:val="0"/>
          <w:sz w:val="22"/>
          <w:szCs w:val="24"/>
          <w:rtl/>
        </w:rPr>
        <w:t xml:space="preserve"> ראב</w:t>
      </w:r>
      <w:r w:rsidRPr="007506D4">
        <w:rPr>
          <w:rFonts w:ascii="Century" w:hAnsi="Century" w:hint="cs"/>
          <w:sz w:val="22"/>
          <w:rtl/>
        </w:rPr>
        <w:t>)</w:t>
      </w:r>
      <w:r>
        <w:rPr>
          <w:rFonts w:hint="cs"/>
          <w:rtl/>
        </w:rPr>
        <w:t xml:space="preserve">. בפסק דין זה נקבע כי אין זה סביר לקבוע הוראה לפיה תפעול בית עסק מצריך רישיון, מבלי שמלווה לקביעה זו תקופת מעבר אשר מאפשרת לבתי העסק הקיימים להמשיך ולפעול במשך פרק זמן מסוים במקביל לניסיון בעליהם לקבל את הרישיון הדרוש. אחרי נתינתו של פסק הדין בעניין </w:t>
      </w:r>
      <w:r w:rsidRPr="007506D4">
        <w:rPr>
          <w:rFonts w:ascii="Miriam" w:hAnsi="Miriam" w:cs="Miriam" w:hint="cs"/>
          <w:sz w:val="22"/>
          <w:szCs w:val="24"/>
          <w:rtl/>
        </w:rPr>
        <w:t>ראב</w:t>
      </w:r>
      <w:r>
        <w:rPr>
          <w:rFonts w:hint="cs"/>
          <w:rtl/>
        </w:rPr>
        <w:t xml:space="preserve">, בית משפט זה הכיר בזכות האזרח להוראת מעבר במקרים נוספים. פסיקתו העקבית בעניין זה הביאה את השופט </w:t>
      </w:r>
      <w:r w:rsidRPr="007506D4">
        <w:rPr>
          <w:rFonts w:ascii="Century" w:hAnsi="Century" w:cs="Miriam" w:hint="cs"/>
          <w:b/>
          <w:spacing w:val="0"/>
          <w:sz w:val="22"/>
          <w:szCs w:val="24"/>
          <w:rtl/>
        </w:rPr>
        <w:t xml:space="preserve">י' זמיר </w:t>
      </w:r>
      <w:r w:rsidRPr="007506D4">
        <w:rPr>
          <w:rFonts w:ascii="Century" w:hAnsi="Century" w:hint="cs"/>
          <w:sz w:val="22"/>
          <w:rtl/>
        </w:rPr>
        <w:t xml:space="preserve">לקבוע בבג"ץ 2832/96 </w:t>
      </w:r>
      <w:r w:rsidRPr="007506D4">
        <w:rPr>
          <w:rFonts w:ascii="Century" w:hAnsi="Century" w:cs="Miriam" w:hint="cs"/>
          <w:b/>
          <w:spacing w:val="0"/>
          <w:sz w:val="22"/>
          <w:szCs w:val="24"/>
          <w:rtl/>
        </w:rPr>
        <w:t>בנאי נ' המועצה הארצית של לשכת עורכי הדין</w:t>
      </w:r>
      <w:r w:rsidRPr="007506D4">
        <w:rPr>
          <w:rFonts w:ascii="Century" w:hAnsi="Century" w:hint="cs"/>
          <w:sz w:val="22"/>
          <w:rtl/>
        </w:rPr>
        <w:t>, פ"ד נ(2) 582 (1996) (להלן: עניין</w:t>
      </w:r>
      <w:r w:rsidRPr="007506D4">
        <w:rPr>
          <w:rFonts w:ascii="Century" w:hAnsi="Century" w:cs="Miriam" w:hint="cs"/>
          <w:b/>
          <w:spacing w:val="0"/>
          <w:sz w:val="22"/>
          <w:szCs w:val="24"/>
          <w:rtl/>
        </w:rPr>
        <w:t xml:space="preserve"> בנאי</w:t>
      </w:r>
      <w:r w:rsidRPr="007506D4">
        <w:rPr>
          <w:rFonts w:ascii="Century" w:hAnsi="Century" w:hint="cs"/>
          <w:sz w:val="22"/>
          <w:rtl/>
        </w:rPr>
        <w:t xml:space="preserve">) </w:t>
      </w:r>
      <w:r w:rsidRPr="007506D4">
        <w:rPr>
          <w:rFonts w:ascii="Century" w:hAnsi="Century"/>
          <w:sz w:val="22"/>
          <w:rtl/>
        </w:rPr>
        <w:t>–</w:t>
      </w:r>
      <w:r w:rsidRPr="007506D4">
        <w:rPr>
          <w:rFonts w:ascii="Century" w:hAnsi="Century" w:hint="cs"/>
          <w:sz w:val="22"/>
          <w:rtl/>
        </w:rPr>
        <w:t xml:space="preserve"> לאחר שדן באריכות בנושא הוראות מעבר וסקר את פסיקותיו של בית משפט </w:t>
      </w:r>
      <w:r>
        <w:rPr>
          <w:rFonts w:ascii="Century" w:hAnsi="Century" w:hint="cs"/>
          <w:sz w:val="22"/>
          <w:rtl/>
        </w:rPr>
        <w:t>זה באותו נושא</w:t>
      </w:r>
      <w:r w:rsidRPr="007506D4">
        <w:rPr>
          <w:rFonts w:ascii="Century" w:hAnsi="Century" w:hint="cs"/>
          <w:sz w:val="22"/>
          <w:rtl/>
        </w:rPr>
        <w:t xml:space="preserve"> (ראו: פסקאות 19-13 לפסק הדין) </w:t>
      </w:r>
      <w:r w:rsidRPr="007506D4">
        <w:rPr>
          <w:rFonts w:ascii="Century" w:hAnsi="Century"/>
          <w:sz w:val="22"/>
          <w:rtl/>
        </w:rPr>
        <w:t>–</w:t>
      </w:r>
      <w:r w:rsidRPr="007506D4">
        <w:rPr>
          <w:rFonts w:ascii="Century" w:hAnsi="Century" w:hint="cs"/>
          <w:sz w:val="22"/>
          <w:rtl/>
        </w:rPr>
        <w:t xml:space="preserve"> כדלקמן</w:t>
      </w:r>
      <w:r>
        <w:rPr>
          <w:rFonts w:ascii="Century" w:hAnsi="Century" w:hint="cs"/>
          <w:sz w:val="22"/>
          <w:rtl/>
        </w:rPr>
        <w:t>:</w:t>
      </w:r>
    </w:p>
    <w:p w:rsidR="00CB2DF1" w:rsidRDefault="00CB2DF1" w:rsidP="00CB2DF1">
      <w:pPr>
        <w:pStyle w:val="Ruller5"/>
        <w:spacing w:before="240" w:after="100" w:afterAutospacing="1"/>
        <w:rPr>
          <w:rtl/>
        </w:rPr>
      </w:pPr>
      <w:r>
        <w:rPr>
          <w:rFonts w:hint="cs"/>
          <w:rtl/>
        </w:rPr>
        <w:t xml:space="preserve">"נראה, לסיכום, כי </w:t>
      </w:r>
      <w:r w:rsidRPr="00520AE1">
        <w:rPr>
          <w:rFonts w:ascii="Century" w:hAnsi="Century" w:cs="Miriam" w:hint="cs"/>
          <w:b/>
          <w:spacing w:val="0"/>
          <w:szCs w:val="24"/>
          <w:rtl/>
        </w:rPr>
        <w:t>די בפסקי-דין אלה כדי לבסס הלכה, ולפיה יש נסיבות שבהן אין רשות מינהלית רשאית לקבוע תחילה מיידית להחלטה, אלא עליה לקבוע לה תקופת מעבר</w:t>
      </w:r>
      <w:r>
        <w:rPr>
          <w:rFonts w:hint="cs"/>
          <w:rtl/>
        </w:rPr>
        <w:t xml:space="preserve">. השאלה אם במקרה מסוים ניתן לקבוע תחילה מיידית, או אם חובה לקבוע תקופת מעבר, היא בדרך כלל שאלה של שיקול-דעת. הרשות המינהלית חייבת להפעיל את שיקול הדעת בשאלה זאת, כשם שהיא מפעילה את שיקול הדעת שלה בכל שאלה ושאלה, באופן ענייני, סביר ומידתי. במקרים רבים שיקול הדעת, כאשר הוא מופעל כראוי, מוביל למסקנה שאין מניעה לקבוע תחילה מיידית להחלטה. יתרה מכך. יש שהנסיבות מחייבות לקבוע שההחלטה תיכנס לתוקף מיד. כך יכול להיות, לדוגמה, "בשל אופיו הפיסקאלי החיוני של השינוי, המחייב הסדרים מעתה ואילך שאינם ניתנים עוד לדחייה, או יהיה זה בשל החשש לנזק מהותי" [...] אך יש גם מקרים שבהם הפעלה ראויה של שיקול הדעת תוביל למסקנה כי ההחלטה צריכה תקופת מעבר. </w:t>
      </w:r>
      <w:r w:rsidRPr="00884433">
        <w:rPr>
          <w:rFonts w:ascii="Century" w:hAnsi="Century" w:cs="Miriam" w:hint="cs"/>
          <w:b/>
          <w:spacing w:val="0"/>
          <w:szCs w:val="24"/>
          <w:rtl/>
        </w:rPr>
        <w:t xml:space="preserve">שאלה היא, מה הם סימני ההיכר של מקרים אלה; ושאלה נוספת היא, מה טיבה של תקופת </w:t>
      </w:r>
      <w:r w:rsidRPr="00884433">
        <w:rPr>
          <w:rFonts w:ascii="Century" w:hAnsi="Century" w:cs="Miriam" w:hint="cs"/>
          <w:b/>
          <w:spacing w:val="0"/>
          <w:szCs w:val="24"/>
          <w:rtl/>
        </w:rPr>
        <w:lastRenderedPageBreak/>
        <w:t>המעבר הנדרשת במקרים אלה. האם הכרח הוא, למשל, לדחות את מועד התחילה של ההחלטה, או אולי אפשר להחיל אותה מיד ולהסתפק בהסדרים מיוחדים לתקופת מעבר, שיהיה בהם כדי לאזן כראוי בין טובת הציבור לבין טובת הפרט?</w:t>
      </w:r>
      <w:r>
        <w:rPr>
          <w:rFonts w:hint="cs"/>
          <w:rtl/>
        </w:rPr>
        <w:t xml:space="preserve"> ברור שהתשובות תלויות בכל מקרה, בראש ובראשונה, בנסיבות המקרה. עם זאת, ייתכן כי במהלך הזמן, לאחר שיצטבר ניסיון שיפוטי בסוג זה של מקרים, אפשר יהיה גם לגבש כללים בשאלות אלה." </w:t>
      </w:r>
      <w:r w:rsidRPr="007506D4">
        <w:rPr>
          <w:rFonts w:ascii="Century" w:hAnsi="Century" w:hint="cs"/>
          <w:rtl/>
        </w:rPr>
        <w:t>(</w:t>
      </w:r>
      <w:r>
        <w:rPr>
          <w:rFonts w:ascii="Century" w:hAnsi="Century" w:hint="cs"/>
          <w:rtl/>
        </w:rPr>
        <w:t xml:space="preserve">ראו: </w:t>
      </w:r>
      <w:r w:rsidRPr="007506D4">
        <w:rPr>
          <w:rFonts w:ascii="Century" w:hAnsi="Century" w:hint="cs"/>
          <w:rtl/>
        </w:rPr>
        <w:t xml:space="preserve">פסקה 19 בעניין </w:t>
      </w:r>
      <w:r w:rsidRPr="007506D4">
        <w:rPr>
          <w:rFonts w:ascii="Century" w:hAnsi="Century" w:cs="Miriam" w:hint="cs"/>
          <w:b/>
          <w:spacing w:val="0"/>
          <w:szCs w:val="24"/>
          <w:rtl/>
        </w:rPr>
        <w:t>בנאי</w:t>
      </w:r>
      <w:r>
        <w:rPr>
          <w:rFonts w:ascii="Century" w:hAnsi="Century" w:hint="cs"/>
          <w:rtl/>
        </w:rPr>
        <w:t xml:space="preserve">; </w:t>
      </w:r>
      <w:r>
        <w:rPr>
          <w:rFonts w:hint="cs"/>
          <w:rtl/>
        </w:rPr>
        <w:t xml:space="preserve">ההדגשה הוספה </w:t>
      </w:r>
      <w:r>
        <w:rPr>
          <w:rtl/>
        </w:rPr>
        <w:t>–</w:t>
      </w:r>
      <w:r>
        <w:rPr>
          <w:rFonts w:hint="cs"/>
          <w:rtl/>
        </w:rPr>
        <w:t xml:space="preserve"> א.ש.).</w:t>
      </w:r>
    </w:p>
    <w:p w:rsidR="00CB2DF1" w:rsidRPr="00F20AC9" w:rsidRDefault="00CB2DF1" w:rsidP="00CB2DF1">
      <w:pPr>
        <w:pStyle w:val="Ruller4"/>
      </w:pPr>
      <w:r>
        <w:rPr>
          <w:rFonts w:hint="cs"/>
          <w:rtl/>
        </w:rPr>
        <w:t xml:space="preserve">בכתב התשובה מנסים המשיבים לבסס את טענתם בדבר היעדר חובה ליתן לאזרח תקופת מעבר על פסק הדין בבג"ץ 7691/95 </w:t>
      </w:r>
      <w:r>
        <w:rPr>
          <w:rFonts w:ascii="Century" w:hAnsi="Century" w:cs="Miriam" w:hint="cs"/>
          <w:b/>
          <w:spacing w:val="0"/>
          <w:sz w:val="22"/>
          <w:szCs w:val="24"/>
          <w:rtl/>
        </w:rPr>
        <w:t>שגיא נ' ממשלת ישראל</w:t>
      </w:r>
      <w:r>
        <w:rPr>
          <w:rFonts w:ascii="Century" w:hAnsi="Century" w:hint="cs"/>
          <w:sz w:val="22"/>
          <w:rtl/>
        </w:rPr>
        <w:t xml:space="preserve">, פ"ד נב(5) 577 (1998) (להלן: </w:t>
      </w:r>
      <w:r w:rsidRPr="000729A1">
        <w:rPr>
          <w:rFonts w:ascii="Century" w:hAnsi="Century" w:hint="cs"/>
          <w:sz w:val="22"/>
          <w:rtl/>
        </w:rPr>
        <w:t>עניין</w:t>
      </w:r>
      <w:r>
        <w:rPr>
          <w:rFonts w:ascii="Century" w:hAnsi="Century" w:cs="Miriam" w:hint="cs"/>
          <w:b/>
          <w:spacing w:val="0"/>
          <w:sz w:val="22"/>
          <w:szCs w:val="24"/>
          <w:rtl/>
        </w:rPr>
        <w:t xml:space="preserve"> שגיא</w:t>
      </w:r>
      <w:r>
        <w:rPr>
          <w:rFonts w:ascii="Century" w:hAnsi="Century" w:hint="cs"/>
          <w:sz w:val="22"/>
          <w:rtl/>
        </w:rPr>
        <w:t xml:space="preserve">). בפסק דין זה נקבע כי המדינה אינה רשאית להחיל למפרע את שינוי המדיניות שנדון שם, אולם היא רשאית להחיל אותו באופן מיידי. מכך מבקשים המשיבים ללמוד על קיומה של הלכה לפיה המדינה לעולם רשאית להחיל שינוי במדיניותה באופן מיידי. חוששני שבטענה זו אין ממש. ראשית, בעניין </w:t>
      </w:r>
      <w:r w:rsidRPr="00F545DD">
        <w:rPr>
          <w:rFonts w:ascii="Century" w:hAnsi="Century" w:cs="Miriam" w:hint="cs"/>
          <w:b/>
          <w:spacing w:val="0"/>
          <w:sz w:val="22"/>
          <w:szCs w:val="24"/>
          <w:rtl/>
        </w:rPr>
        <w:t xml:space="preserve">שגיא </w:t>
      </w:r>
      <w:r>
        <w:rPr>
          <w:rFonts w:ascii="Century" w:hAnsi="Century" w:hint="cs"/>
          <w:sz w:val="22"/>
          <w:rtl/>
        </w:rPr>
        <w:t xml:space="preserve">כלל לא נתבקש סעד בדמות הוראת מעבר (ראו תיאור הסעדים המבוקשים בפסקה 1 לפסק הדין); ושנית, לא נטען שם כי שינוי המדיניות הצריך התארגנות כלשהי מצד מי מהעותרים. בנסיבות אלה, נושא הוראת המעבר כלל לא עלה לדיון בעניין </w:t>
      </w:r>
      <w:r w:rsidRPr="00675B43">
        <w:rPr>
          <w:rFonts w:ascii="Century" w:hAnsi="Century" w:cs="Miriam" w:hint="cs"/>
          <w:b/>
          <w:spacing w:val="0"/>
          <w:sz w:val="22"/>
          <w:szCs w:val="24"/>
          <w:rtl/>
        </w:rPr>
        <w:t>שגיא</w:t>
      </w:r>
      <w:r>
        <w:rPr>
          <w:rFonts w:ascii="Century" w:hAnsi="Century" w:hint="cs"/>
          <w:sz w:val="22"/>
          <w:rtl/>
        </w:rPr>
        <w:t xml:space="preserve">; וממילא לא ניתן ללמוד מפסק דין זה דבר או חצי דבר לגבי חובת השלטון לקבוע הוראת מעבר. </w:t>
      </w:r>
    </w:p>
    <w:p w:rsidR="00CB2DF1" w:rsidRDefault="00CB2DF1" w:rsidP="00CB2DF1">
      <w:pPr>
        <w:pStyle w:val="Ruller4"/>
        <w:overflowPunct w:val="0"/>
        <w:autoSpaceDE w:val="0"/>
        <w:autoSpaceDN w:val="0"/>
        <w:adjustRightInd w:val="0"/>
        <w:textAlignment w:val="baseline"/>
        <w:rPr>
          <w:color w:val="000000"/>
          <w:sz w:val="27"/>
          <w:szCs w:val="27"/>
          <w:rtl/>
        </w:rPr>
      </w:pPr>
      <w:r>
        <w:rPr>
          <w:rFonts w:ascii="Century" w:hAnsi="Century" w:hint="cs"/>
          <w:sz w:val="22"/>
          <w:rtl/>
        </w:rPr>
        <w:t xml:space="preserve">מנגד, </w:t>
      </w:r>
      <w:r w:rsidRPr="007A215B">
        <w:rPr>
          <w:rFonts w:ascii="Century" w:hAnsi="Century" w:hint="cs"/>
          <w:sz w:val="22"/>
          <w:rtl/>
        </w:rPr>
        <w:t xml:space="preserve">פסקי דין רבים קבעו </w:t>
      </w:r>
      <w:r>
        <w:rPr>
          <w:rFonts w:ascii="Century" w:hAnsi="Century" w:hint="cs"/>
          <w:sz w:val="22"/>
          <w:rtl/>
        </w:rPr>
        <w:t xml:space="preserve">בצורה מפורשת </w:t>
      </w:r>
      <w:r w:rsidRPr="007A215B">
        <w:rPr>
          <w:rFonts w:ascii="Century" w:hAnsi="Century" w:hint="cs"/>
          <w:sz w:val="22"/>
          <w:rtl/>
        </w:rPr>
        <w:t xml:space="preserve">כי </w:t>
      </w:r>
      <w:r>
        <w:rPr>
          <w:rFonts w:ascii="Century" w:hAnsi="Century" w:hint="cs"/>
          <w:sz w:val="22"/>
          <w:rtl/>
        </w:rPr>
        <w:t>במקרים המתאימים לכך קמה</w:t>
      </w:r>
      <w:r w:rsidRPr="007A215B">
        <w:rPr>
          <w:rFonts w:ascii="Century" w:hAnsi="Century" w:hint="cs"/>
          <w:sz w:val="22"/>
          <w:rtl/>
        </w:rPr>
        <w:t xml:space="preserve"> חובה לקבוע הוראת מעבר</w:t>
      </w:r>
      <w:r>
        <w:rPr>
          <w:rFonts w:ascii="Century" w:hAnsi="Century" w:hint="cs"/>
          <w:sz w:val="22"/>
          <w:rtl/>
        </w:rPr>
        <w:t xml:space="preserve">. כלשונו של השופט </w:t>
      </w:r>
      <w:r>
        <w:rPr>
          <w:rFonts w:ascii="Century" w:hAnsi="Century" w:cs="Miriam" w:hint="cs"/>
          <w:b/>
          <w:spacing w:val="0"/>
          <w:sz w:val="22"/>
          <w:szCs w:val="24"/>
          <w:rtl/>
        </w:rPr>
        <w:t xml:space="preserve">ע' פוגלמן </w:t>
      </w:r>
      <w:r w:rsidRPr="00D16C4C">
        <w:rPr>
          <w:rFonts w:ascii="Century" w:hAnsi="Century" w:hint="cs"/>
          <w:sz w:val="22"/>
          <w:rtl/>
        </w:rPr>
        <w:t>ב</w:t>
      </w:r>
      <w:r w:rsidRPr="007A215B">
        <w:rPr>
          <w:color w:val="000000"/>
          <w:sz w:val="27"/>
          <w:szCs w:val="27"/>
          <w:rtl/>
        </w:rPr>
        <w:t xml:space="preserve">בג"ץ 446/12 </w:t>
      </w:r>
      <w:r w:rsidRPr="007A215B">
        <w:rPr>
          <w:rFonts w:ascii="Century" w:hAnsi="Century" w:cs="Miriam"/>
          <w:b/>
          <w:spacing w:val="0"/>
          <w:sz w:val="22"/>
          <w:szCs w:val="24"/>
          <w:rtl/>
        </w:rPr>
        <w:t>האגודה לצדק חלוקתי בע"מ נ' מועצת מקרקעי ישראל</w:t>
      </w:r>
      <w:r w:rsidRPr="007A215B">
        <w:rPr>
          <w:rFonts w:hint="cs"/>
          <w:color w:val="000000"/>
          <w:sz w:val="27"/>
          <w:szCs w:val="27"/>
          <w:rtl/>
        </w:rPr>
        <w:t xml:space="preserve">, </w:t>
      </w:r>
      <w:r w:rsidRPr="00F73DEF">
        <w:rPr>
          <w:rFonts w:ascii="Century" w:hAnsi="Century" w:hint="cs"/>
          <w:sz w:val="22"/>
          <w:rtl/>
        </w:rPr>
        <w:t>פסקה</w:t>
      </w:r>
      <w:r>
        <w:rPr>
          <w:rFonts w:ascii="Century" w:hAnsi="Century" w:hint="cs"/>
          <w:sz w:val="22"/>
          <w:rtl/>
        </w:rPr>
        <w:t xml:space="preserve"> </w:t>
      </w:r>
      <w:r w:rsidRPr="00F73DEF">
        <w:rPr>
          <w:rFonts w:ascii="Century" w:hAnsi="Century" w:hint="cs"/>
          <w:sz w:val="22"/>
          <w:rtl/>
        </w:rPr>
        <w:t>44</w:t>
      </w:r>
      <w:r w:rsidRPr="00F73DEF">
        <w:rPr>
          <w:rFonts w:ascii="Century" w:hAnsi="Century"/>
          <w:sz w:val="22"/>
          <w:rtl/>
        </w:rPr>
        <w:t xml:space="preserve"> (</w:t>
      </w:r>
      <w:r w:rsidRPr="00F73DEF">
        <w:rPr>
          <w:rFonts w:ascii="Century" w:hAnsi="Century" w:hint="cs"/>
          <w:sz w:val="22"/>
          <w:rtl/>
        </w:rPr>
        <w:t>26.8.2012</w:t>
      </w:r>
      <w:r w:rsidRPr="00F73DEF">
        <w:rPr>
          <w:rFonts w:ascii="Century" w:hAnsi="Century"/>
          <w:sz w:val="22"/>
          <w:rtl/>
        </w:rPr>
        <w:t>)</w:t>
      </w:r>
      <w:r w:rsidRPr="00F73DEF">
        <w:rPr>
          <w:rFonts w:ascii="Century" w:hAnsi="Century" w:hint="cs"/>
          <w:sz w:val="22"/>
          <w:rtl/>
        </w:rPr>
        <w:t xml:space="preserve"> </w:t>
      </w:r>
      <w:r>
        <w:rPr>
          <w:rFonts w:hint="cs"/>
          <w:color w:val="000000"/>
          <w:sz w:val="27"/>
          <w:szCs w:val="27"/>
          <w:rtl/>
        </w:rPr>
        <w:t xml:space="preserve">(להלן: </w:t>
      </w:r>
      <w:r w:rsidRPr="00D16C4C">
        <w:rPr>
          <w:rFonts w:ascii="Century" w:hAnsi="Century" w:cs="Miriam" w:hint="cs"/>
          <w:b/>
          <w:spacing w:val="0"/>
          <w:sz w:val="22"/>
          <w:szCs w:val="24"/>
          <w:rtl/>
        </w:rPr>
        <w:t>עניין</w:t>
      </w:r>
      <w:r>
        <w:rPr>
          <w:rFonts w:hint="cs"/>
          <w:color w:val="000000"/>
          <w:sz w:val="27"/>
          <w:szCs w:val="27"/>
          <w:rtl/>
        </w:rPr>
        <w:t xml:space="preserve"> </w:t>
      </w:r>
      <w:r>
        <w:rPr>
          <w:rFonts w:ascii="Century" w:hAnsi="Century" w:cs="Miriam" w:hint="cs"/>
          <w:b/>
          <w:spacing w:val="0"/>
          <w:sz w:val="22"/>
          <w:szCs w:val="24"/>
          <w:rtl/>
        </w:rPr>
        <w:t>האגודה לצדק חלוקתי</w:t>
      </w:r>
      <w:r>
        <w:rPr>
          <w:rFonts w:ascii="Century" w:hAnsi="Century"/>
          <w:sz w:val="22"/>
        </w:rPr>
        <w:t>(</w:t>
      </w:r>
      <w:r>
        <w:rPr>
          <w:rFonts w:hint="cs"/>
          <w:color w:val="000000"/>
          <w:sz w:val="27"/>
          <w:szCs w:val="27"/>
          <w:rtl/>
        </w:rPr>
        <w:t>:</w:t>
      </w:r>
    </w:p>
    <w:p w:rsidR="00CB2DF1" w:rsidRPr="00D16C4C" w:rsidRDefault="00CB2DF1" w:rsidP="00CB2DF1">
      <w:pPr>
        <w:pStyle w:val="Ruller5"/>
        <w:spacing w:before="240" w:after="100" w:afterAutospacing="1"/>
      </w:pPr>
      <w:r>
        <w:rPr>
          <w:rFonts w:hint="cs"/>
          <w:rtl/>
        </w:rPr>
        <w:t>"כידוע, שינוי מדיניותה של רשות כרוך בפגיעה בציבור שהסתמך בתום-לב על מדיניותה הקודמת של הרשות. מטעם זה, במקרים רבים קיימת הצדקה לקביעתן של הוראות מעבר, לשם הגנה על הסתמכותם הלגיטימית של אותם פרטים על מדיניותה הקודמת של הרשות".</w:t>
      </w:r>
    </w:p>
    <w:p w:rsidR="00CB2DF1" w:rsidRDefault="00CB2DF1" w:rsidP="00CB2DF1">
      <w:pPr>
        <w:pStyle w:val="Ruller4"/>
        <w:overflowPunct w:val="0"/>
        <w:autoSpaceDE w:val="0"/>
        <w:autoSpaceDN w:val="0"/>
        <w:adjustRightInd w:val="0"/>
        <w:textAlignment w:val="baseline"/>
        <w:rPr>
          <w:rtl/>
        </w:rPr>
      </w:pPr>
      <w:r>
        <w:rPr>
          <w:rFonts w:ascii="Century" w:hAnsi="Century" w:hint="cs"/>
          <w:sz w:val="22"/>
          <w:rtl/>
        </w:rPr>
        <w:lastRenderedPageBreak/>
        <w:t xml:space="preserve">בין פסקי הדין הרבים אשר הכירו בחובה לקבוע הוראות מעבר ראוי </w:t>
      </w:r>
      <w:r w:rsidRPr="007A215B">
        <w:rPr>
          <w:rFonts w:ascii="Century" w:hAnsi="Century" w:hint="cs"/>
          <w:sz w:val="22"/>
          <w:rtl/>
        </w:rPr>
        <w:t>להזכיר</w:t>
      </w:r>
      <w:r>
        <w:rPr>
          <w:rFonts w:ascii="Century" w:hAnsi="Century" w:hint="cs"/>
          <w:sz w:val="22"/>
          <w:rtl/>
        </w:rPr>
        <w:t>,</w:t>
      </w:r>
      <w:r w:rsidRPr="007A215B">
        <w:rPr>
          <w:rFonts w:ascii="Century" w:hAnsi="Century" w:hint="cs"/>
          <w:sz w:val="22"/>
          <w:rtl/>
        </w:rPr>
        <w:t xml:space="preserve"> </w:t>
      </w:r>
      <w:r>
        <w:rPr>
          <w:rFonts w:ascii="Century" w:hAnsi="Century" w:hint="cs"/>
          <w:sz w:val="22"/>
          <w:rtl/>
        </w:rPr>
        <w:t>בנוסף ל</w:t>
      </w:r>
      <w:r>
        <w:rPr>
          <w:rFonts w:hint="cs"/>
          <w:rtl/>
        </w:rPr>
        <w:t xml:space="preserve">פסקי הדין בעניין </w:t>
      </w:r>
      <w:r w:rsidRPr="007A215B">
        <w:rPr>
          <w:rFonts w:ascii="Century" w:hAnsi="Century" w:cs="Miriam" w:hint="cs"/>
          <w:b/>
          <w:spacing w:val="0"/>
          <w:sz w:val="22"/>
          <w:szCs w:val="24"/>
          <w:rtl/>
        </w:rPr>
        <w:t>ראב</w:t>
      </w:r>
      <w:r>
        <w:rPr>
          <w:rFonts w:ascii="Century" w:hAnsi="Century" w:hint="cs"/>
          <w:sz w:val="22"/>
          <w:rtl/>
        </w:rPr>
        <w:t>, ב</w:t>
      </w:r>
      <w:r w:rsidRPr="007A215B">
        <w:rPr>
          <w:rFonts w:ascii="Century" w:hAnsi="Century" w:hint="cs"/>
          <w:sz w:val="22"/>
          <w:rtl/>
        </w:rPr>
        <w:t xml:space="preserve">עניין </w:t>
      </w:r>
      <w:r w:rsidRPr="007A215B">
        <w:rPr>
          <w:rFonts w:ascii="Century" w:hAnsi="Century" w:cs="Miriam" w:hint="cs"/>
          <w:b/>
          <w:spacing w:val="0"/>
          <w:sz w:val="22"/>
          <w:szCs w:val="24"/>
          <w:rtl/>
        </w:rPr>
        <w:t>בנאי</w:t>
      </w:r>
      <w:r>
        <w:rPr>
          <w:rFonts w:ascii="Century" w:hAnsi="Century" w:cs="Miriam" w:hint="cs"/>
          <w:b/>
          <w:spacing w:val="0"/>
          <w:sz w:val="22"/>
          <w:szCs w:val="24"/>
          <w:rtl/>
        </w:rPr>
        <w:t xml:space="preserve"> </w:t>
      </w:r>
      <w:r>
        <w:rPr>
          <w:rFonts w:ascii="Century" w:hAnsi="Century" w:hint="cs"/>
          <w:sz w:val="22"/>
          <w:rtl/>
        </w:rPr>
        <w:t xml:space="preserve">ובעניין </w:t>
      </w:r>
      <w:r>
        <w:rPr>
          <w:rFonts w:ascii="Century" w:hAnsi="Century" w:cs="Miriam" w:hint="cs"/>
          <w:b/>
          <w:spacing w:val="0"/>
          <w:sz w:val="22"/>
          <w:szCs w:val="24"/>
          <w:rtl/>
        </w:rPr>
        <w:t>האגודה לצד חלוקתי</w:t>
      </w:r>
      <w:r w:rsidRPr="00617BE9">
        <w:rPr>
          <w:rFonts w:ascii="Century" w:hAnsi="Century" w:hint="cs"/>
          <w:sz w:val="22"/>
          <w:rtl/>
        </w:rPr>
        <w:t>,</w:t>
      </w:r>
      <w:r w:rsidRPr="007A215B">
        <w:rPr>
          <w:rFonts w:ascii="Century" w:hAnsi="Century" w:cs="Miriam" w:hint="cs"/>
          <w:b/>
          <w:spacing w:val="0"/>
          <w:sz w:val="22"/>
          <w:szCs w:val="24"/>
          <w:rtl/>
        </w:rPr>
        <w:t xml:space="preserve"> </w:t>
      </w:r>
      <w:r w:rsidRPr="007A215B">
        <w:rPr>
          <w:rFonts w:ascii="Century" w:hAnsi="Century" w:hint="cs"/>
          <w:sz w:val="22"/>
          <w:rtl/>
        </w:rPr>
        <w:t xml:space="preserve">עליהם עמדתי לעיל, </w:t>
      </w:r>
      <w:r>
        <w:rPr>
          <w:rFonts w:ascii="Century" w:hAnsi="Century" w:hint="cs"/>
          <w:sz w:val="22"/>
          <w:rtl/>
        </w:rPr>
        <w:t>את פסקי הדין הבאים, אשר מהווים רשימה חלקית ולא ממצה</w:t>
      </w:r>
      <w:r w:rsidRPr="007A215B">
        <w:rPr>
          <w:rFonts w:ascii="Century" w:hAnsi="Century" w:hint="cs"/>
          <w:sz w:val="22"/>
          <w:rtl/>
        </w:rPr>
        <w:t xml:space="preserve">: </w:t>
      </w:r>
      <w:r>
        <w:rPr>
          <w:rFonts w:hint="cs"/>
          <w:rtl/>
        </w:rPr>
        <w:t xml:space="preserve">בג"ץ 6300/93 </w:t>
      </w:r>
      <w:r>
        <w:rPr>
          <w:rFonts w:ascii="Century" w:hAnsi="Century" w:cs="Miriam" w:hint="cs"/>
          <w:b/>
          <w:spacing w:val="0"/>
          <w:sz w:val="22"/>
          <w:szCs w:val="24"/>
          <w:rtl/>
        </w:rPr>
        <w:t>המכון להכשרת טוענות בית דין נ' השר לענייני דתות</w:t>
      </w:r>
      <w:r>
        <w:rPr>
          <w:rFonts w:ascii="Century" w:hAnsi="Century" w:hint="cs"/>
          <w:sz w:val="22"/>
          <w:rtl/>
        </w:rPr>
        <w:t xml:space="preserve">, פ"ד מח(4) 441, פסקאות 22-20 ו-24 לפסק דינו של השופט </w:t>
      </w:r>
      <w:r>
        <w:rPr>
          <w:rFonts w:ascii="Century" w:hAnsi="Century" w:cs="Miriam" w:hint="cs"/>
          <w:b/>
          <w:spacing w:val="0"/>
          <w:sz w:val="22"/>
          <w:szCs w:val="24"/>
          <w:rtl/>
        </w:rPr>
        <w:t>ד' לוין</w:t>
      </w:r>
      <w:r>
        <w:rPr>
          <w:rFonts w:ascii="Century" w:hAnsi="Century" w:hint="cs"/>
          <w:sz w:val="22"/>
          <w:rtl/>
        </w:rPr>
        <w:t xml:space="preserve"> (1994); </w:t>
      </w:r>
      <w:r>
        <w:rPr>
          <w:rFonts w:hint="cs"/>
          <w:rtl/>
        </w:rPr>
        <w:t xml:space="preserve">בג"ץ 1715/97 </w:t>
      </w:r>
      <w:r w:rsidRPr="0098110E">
        <w:rPr>
          <w:rFonts w:ascii="Century" w:hAnsi="Century" w:cs="Miriam" w:hint="cs"/>
          <w:b/>
          <w:spacing w:val="0"/>
          <w:sz w:val="22"/>
          <w:szCs w:val="24"/>
          <w:rtl/>
        </w:rPr>
        <w:t>לשכת מנהלי ההשקעות בישראל נ' שר האוצר</w:t>
      </w:r>
      <w:r>
        <w:rPr>
          <w:rFonts w:hint="cs"/>
          <w:rtl/>
        </w:rPr>
        <w:t xml:space="preserve">, פ"ד נא(4) 367, פסקאות 59-52 לפסק דינו של הנשיא </w:t>
      </w:r>
      <w:r>
        <w:rPr>
          <w:rFonts w:ascii="Century" w:hAnsi="Century" w:cs="Miriam" w:hint="cs"/>
          <w:b/>
          <w:spacing w:val="0"/>
          <w:sz w:val="22"/>
          <w:szCs w:val="24"/>
          <w:rtl/>
        </w:rPr>
        <w:t xml:space="preserve">א' ברק </w:t>
      </w:r>
      <w:r>
        <w:rPr>
          <w:rFonts w:hint="cs"/>
          <w:rtl/>
        </w:rPr>
        <w:t>(1997)</w:t>
      </w:r>
      <w:r>
        <w:rPr>
          <w:rFonts w:hint="cs"/>
          <w:color w:val="000000"/>
          <w:sz w:val="27"/>
          <w:szCs w:val="27"/>
          <w:rtl/>
        </w:rPr>
        <w:t xml:space="preserve"> (להלן: </w:t>
      </w:r>
      <w:r>
        <w:rPr>
          <w:rFonts w:ascii="Century" w:hAnsi="Century" w:cs="Miriam" w:hint="cs"/>
          <w:b/>
          <w:spacing w:val="0"/>
          <w:sz w:val="22"/>
          <w:szCs w:val="24"/>
          <w:rtl/>
        </w:rPr>
        <w:t>עניין מנהלי ההשקעות</w:t>
      </w:r>
      <w:r>
        <w:rPr>
          <w:rFonts w:ascii="Century" w:hAnsi="Century" w:hint="cs"/>
          <w:sz w:val="22"/>
          <w:rtl/>
        </w:rPr>
        <w:t>)</w:t>
      </w:r>
      <w:r>
        <w:rPr>
          <w:rFonts w:hint="cs"/>
          <w:color w:val="000000"/>
          <w:sz w:val="27"/>
          <w:szCs w:val="27"/>
          <w:rtl/>
        </w:rPr>
        <w:t xml:space="preserve">; </w:t>
      </w:r>
      <w:r w:rsidRPr="007A215B">
        <w:rPr>
          <w:color w:val="000000"/>
          <w:sz w:val="27"/>
          <w:szCs w:val="27"/>
          <w:rtl/>
        </w:rPr>
        <w:t xml:space="preserve">בג"ץ 4806/94 </w:t>
      </w:r>
      <w:r w:rsidRPr="007A215B">
        <w:rPr>
          <w:rFonts w:ascii="Century" w:hAnsi="Century" w:cs="Miriam"/>
          <w:b/>
          <w:spacing w:val="0"/>
          <w:sz w:val="22"/>
          <w:szCs w:val="24"/>
          <w:rtl/>
        </w:rPr>
        <w:t>ד.ש.א. איכות הסביבה בע"מ נ' שר האוצר</w:t>
      </w:r>
      <w:r w:rsidRPr="007A215B">
        <w:rPr>
          <w:rFonts w:hint="cs"/>
          <w:color w:val="000000"/>
          <w:sz w:val="27"/>
          <w:szCs w:val="27"/>
          <w:rtl/>
        </w:rPr>
        <w:t xml:space="preserve">, </w:t>
      </w:r>
      <w:r w:rsidRPr="003D6EC7">
        <w:rPr>
          <w:rFonts w:ascii="Century" w:hAnsi="Century" w:hint="cs"/>
          <w:sz w:val="22"/>
          <w:rtl/>
        </w:rPr>
        <w:t xml:space="preserve">פ"ד </w:t>
      </w:r>
      <w:r w:rsidRPr="003D6EC7">
        <w:rPr>
          <w:rFonts w:ascii="Century" w:hAnsi="Century"/>
          <w:sz w:val="22"/>
          <w:rtl/>
        </w:rPr>
        <w:t xml:space="preserve">נב(2) </w:t>
      </w:r>
      <w:r w:rsidRPr="003D6EC7">
        <w:rPr>
          <w:rFonts w:ascii="Century" w:hAnsi="Century" w:hint="cs"/>
          <w:sz w:val="22"/>
          <w:rtl/>
        </w:rPr>
        <w:t>193,</w:t>
      </w:r>
      <w:r w:rsidRPr="003D6EC7">
        <w:rPr>
          <w:rFonts w:ascii="Century" w:hAnsi="Century"/>
          <w:sz w:val="22"/>
        </w:rPr>
        <w:t xml:space="preserve"> </w:t>
      </w:r>
      <w:r w:rsidRPr="003D6EC7">
        <w:rPr>
          <w:rFonts w:ascii="Century" w:hAnsi="Century" w:hint="cs"/>
          <w:sz w:val="22"/>
          <w:rtl/>
        </w:rPr>
        <w:t>פסקאות 15-13</w:t>
      </w:r>
      <w:r w:rsidRPr="003D6EC7">
        <w:rPr>
          <w:rFonts w:ascii="Century" w:hAnsi="Century"/>
          <w:sz w:val="22"/>
        </w:rPr>
        <w:t xml:space="preserve"> </w:t>
      </w:r>
      <w:r w:rsidRPr="003D6EC7">
        <w:rPr>
          <w:rFonts w:ascii="Century" w:hAnsi="Century" w:hint="cs"/>
          <w:sz w:val="22"/>
          <w:rtl/>
        </w:rPr>
        <w:t xml:space="preserve">(1998); </w:t>
      </w:r>
      <w:r w:rsidRPr="001234D6">
        <w:rPr>
          <w:rFonts w:hint="eastAsia"/>
          <w:rtl/>
        </w:rPr>
        <w:t>בג</w:t>
      </w:r>
      <w:r w:rsidRPr="001234D6">
        <w:rPr>
          <w:rtl/>
        </w:rPr>
        <w:t>"</w:t>
      </w:r>
      <w:r w:rsidRPr="001234D6">
        <w:rPr>
          <w:rFonts w:hint="eastAsia"/>
          <w:rtl/>
        </w:rPr>
        <w:t>ץ</w:t>
      </w:r>
      <w:r>
        <w:rPr>
          <w:rtl/>
        </w:rPr>
        <w:t xml:space="preserve"> 5936/97</w:t>
      </w:r>
      <w:r w:rsidRPr="001234D6">
        <w:rPr>
          <w:rtl/>
        </w:rPr>
        <w:t xml:space="preserve"> </w:t>
      </w:r>
      <w:r w:rsidRPr="007A215B">
        <w:rPr>
          <w:rFonts w:ascii="Century" w:hAnsi="Century" w:cs="Miriam" w:hint="eastAsia"/>
          <w:b/>
          <w:spacing w:val="0"/>
          <w:sz w:val="22"/>
          <w:szCs w:val="24"/>
          <w:rtl/>
        </w:rPr>
        <w:t>לם</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נ</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מנכ</w:t>
      </w:r>
      <w:r w:rsidRPr="007A215B">
        <w:rPr>
          <w:rFonts w:ascii="Century" w:hAnsi="Century" w:cs="Miriam"/>
          <w:b/>
          <w:spacing w:val="0"/>
          <w:sz w:val="22"/>
          <w:szCs w:val="24"/>
          <w:rtl/>
        </w:rPr>
        <w:t>"</w:t>
      </w:r>
      <w:r w:rsidRPr="007A215B">
        <w:rPr>
          <w:rFonts w:ascii="Century" w:hAnsi="Century" w:cs="Miriam" w:hint="eastAsia"/>
          <w:b/>
          <w:spacing w:val="0"/>
          <w:sz w:val="22"/>
          <w:szCs w:val="24"/>
          <w:rtl/>
        </w:rPr>
        <w:t>ל</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משרד</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החינוך</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התרבות</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והספורט</w:t>
      </w:r>
      <w:r w:rsidRPr="001234D6">
        <w:rPr>
          <w:rtl/>
        </w:rPr>
        <w:t xml:space="preserve">, </w:t>
      </w:r>
      <w:r>
        <w:rPr>
          <w:rFonts w:hint="cs"/>
          <w:rtl/>
        </w:rPr>
        <w:t xml:space="preserve">פ"ד </w:t>
      </w:r>
      <w:r w:rsidRPr="001234D6">
        <w:rPr>
          <w:rFonts w:hint="eastAsia"/>
          <w:rtl/>
        </w:rPr>
        <w:t>נג</w:t>
      </w:r>
      <w:r w:rsidRPr="001234D6">
        <w:rPr>
          <w:rtl/>
        </w:rPr>
        <w:t>(4) 673</w:t>
      </w:r>
      <w:r>
        <w:rPr>
          <w:rFonts w:hint="cs"/>
          <w:rtl/>
        </w:rPr>
        <w:t xml:space="preserve">, פסקאות 16-14 לפסק דינה של השופטת </w:t>
      </w:r>
      <w:r w:rsidRPr="007A215B">
        <w:rPr>
          <w:rFonts w:ascii="Century" w:hAnsi="Century" w:cs="Miriam" w:hint="cs"/>
          <w:b/>
          <w:spacing w:val="0"/>
          <w:sz w:val="22"/>
          <w:szCs w:val="24"/>
          <w:rtl/>
        </w:rPr>
        <w:t>ד' דורנר</w:t>
      </w:r>
      <w:r>
        <w:rPr>
          <w:rtl/>
        </w:rPr>
        <w:t xml:space="preserve"> (1999</w:t>
      </w:r>
      <w:r>
        <w:rPr>
          <w:rFonts w:hint="cs"/>
          <w:rtl/>
        </w:rPr>
        <w:t>)</w:t>
      </w:r>
      <w:r w:rsidRPr="007A215B">
        <w:rPr>
          <w:rFonts w:hint="cs"/>
          <w:color w:val="000000"/>
          <w:sz w:val="27"/>
          <w:szCs w:val="27"/>
          <w:rtl/>
        </w:rPr>
        <w:t>;</w:t>
      </w:r>
      <w:r>
        <w:rPr>
          <w:rFonts w:hint="cs"/>
          <w:color w:val="000000"/>
          <w:sz w:val="27"/>
          <w:szCs w:val="27"/>
          <w:rtl/>
        </w:rPr>
        <w:t xml:space="preserve"> בג"ץ 10934/02 </w:t>
      </w:r>
      <w:r>
        <w:rPr>
          <w:rFonts w:ascii="Century" w:hAnsi="Century" w:cs="Miriam" w:hint="cs"/>
          <w:b/>
          <w:spacing w:val="0"/>
          <w:sz w:val="22"/>
          <w:szCs w:val="24"/>
          <w:rtl/>
        </w:rPr>
        <w:t>קיבוץ כפר עזה אגודה להתיישבות חקלאית שיתופית נ' מינהל מקרקעי ישראל</w:t>
      </w:r>
      <w:r>
        <w:rPr>
          <w:rFonts w:ascii="Century" w:hAnsi="Century" w:hint="cs"/>
          <w:sz w:val="22"/>
          <w:rtl/>
        </w:rPr>
        <w:t>, פ"ד נח(3) 854, פסקאות 8-6 (2004);</w:t>
      </w:r>
      <w:r>
        <w:rPr>
          <w:rFonts w:hint="cs"/>
          <w:rtl/>
        </w:rPr>
        <w:t xml:space="preserve"> </w:t>
      </w:r>
      <w:r w:rsidRPr="00DB2E62">
        <w:rPr>
          <w:rFonts w:hint="eastAsia"/>
          <w:rtl/>
        </w:rPr>
        <w:t>בג</w:t>
      </w:r>
      <w:r w:rsidRPr="00DB2E62">
        <w:rPr>
          <w:rtl/>
        </w:rPr>
        <w:t>"</w:t>
      </w:r>
      <w:r w:rsidRPr="00DB2E62">
        <w:rPr>
          <w:rFonts w:hint="eastAsia"/>
          <w:rtl/>
        </w:rPr>
        <w:t>ץ</w:t>
      </w:r>
      <w:r w:rsidRPr="00DB2E62">
        <w:rPr>
          <w:rtl/>
        </w:rPr>
        <w:t xml:space="preserve"> 6884/07 </w:t>
      </w:r>
      <w:r w:rsidRPr="007A215B">
        <w:rPr>
          <w:rFonts w:ascii="Century" w:hAnsi="Century" w:cs="Miriam" w:hint="eastAsia"/>
          <w:b/>
          <w:spacing w:val="0"/>
          <w:sz w:val="22"/>
          <w:szCs w:val="24"/>
          <w:rtl/>
        </w:rPr>
        <w:t>נאות</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בית</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וגן</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בע</w:t>
      </w:r>
      <w:r w:rsidRPr="007A215B">
        <w:rPr>
          <w:rFonts w:ascii="Century" w:hAnsi="Century" w:cs="Miriam"/>
          <w:b/>
          <w:spacing w:val="0"/>
          <w:sz w:val="22"/>
          <w:szCs w:val="24"/>
          <w:rtl/>
        </w:rPr>
        <w:t>"</w:t>
      </w:r>
      <w:r w:rsidRPr="007A215B">
        <w:rPr>
          <w:rFonts w:ascii="Century" w:hAnsi="Century" w:cs="Miriam" w:hint="eastAsia"/>
          <w:b/>
          <w:spacing w:val="0"/>
          <w:sz w:val="22"/>
          <w:szCs w:val="24"/>
          <w:rtl/>
        </w:rPr>
        <w:t>מ</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נ</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מינהל</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מקרקעי</w:t>
      </w:r>
      <w:r w:rsidRPr="007A215B">
        <w:rPr>
          <w:rFonts w:ascii="Century" w:hAnsi="Century" w:cs="Miriam"/>
          <w:b/>
          <w:spacing w:val="0"/>
          <w:sz w:val="22"/>
          <w:szCs w:val="24"/>
          <w:rtl/>
        </w:rPr>
        <w:t xml:space="preserve"> </w:t>
      </w:r>
      <w:r w:rsidRPr="007A215B">
        <w:rPr>
          <w:rFonts w:ascii="Century" w:hAnsi="Century" w:cs="Miriam" w:hint="eastAsia"/>
          <w:b/>
          <w:spacing w:val="0"/>
          <w:sz w:val="22"/>
          <w:szCs w:val="24"/>
          <w:rtl/>
        </w:rPr>
        <w:t>ישראל</w:t>
      </w:r>
      <w:r w:rsidRPr="007A215B">
        <w:rPr>
          <w:rFonts w:ascii="Century" w:hAnsi="Century" w:hint="cs"/>
          <w:sz w:val="22"/>
          <w:rtl/>
        </w:rPr>
        <w:t xml:space="preserve">, </w:t>
      </w:r>
      <w:r>
        <w:rPr>
          <w:rFonts w:ascii="Century" w:hAnsi="Century" w:hint="cs"/>
          <w:sz w:val="22"/>
          <w:rtl/>
        </w:rPr>
        <w:t xml:space="preserve">פסקה 6 </w:t>
      </w:r>
      <w:r w:rsidRPr="00DB2E62">
        <w:rPr>
          <w:rtl/>
        </w:rPr>
        <w:t>(</w:t>
      </w:r>
      <w:r>
        <w:rPr>
          <w:rFonts w:hint="cs"/>
          <w:rtl/>
        </w:rPr>
        <w:t>6.4.2010</w:t>
      </w:r>
      <w:r w:rsidRPr="00DB2E62">
        <w:rPr>
          <w:rtl/>
        </w:rPr>
        <w:t>)</w:t>
      </w:r>
      <w:r>
        <w:rPr>
          <w:rFonts w:hint="cs"/>
          <w:rtl/>
        </w:rPr>
        <w:t>;</w:t>
      </w:r>
      <w:r w:rsidRPr="00EE5319">
        <w:rPr>
          <w:rFonts w:ascii="Century" w:hAnsi="Century" w:hint="cs"/>
          <w:sz w:val="22"/>
          <w:rtl/>
        </w:rPr>
        <w:t xml:space="preserve"> </w:t>
      </w:r>
      <w:r w:rsidRPr="00EE5319">
        <w:rPr>
          <w:rFonts w:ascii="Century" w:hAnsi="Century"/>
          <w:sz w:val="22"/>
          <w:rtl/>
        </w:rPr>
        <w:t>בג"ץ 4406/16</w:t>
      </w:r>
      <w:r w:rsidRPr="007A215B">
        <w:rPr>
          <w:color w:val="000000"/>
          <w:sz w:val="27"/>
          <w:szCs w:val="27"/>
          <w:rtl/>
        </w:rPr>
        <w:t xml:space="preserve"> </w:t>
      </w:r>
      <w:r w:rsidRPr="007A215B">
        <w:rPr>
          <w:rFonts w:ascii="Century" w:hAnsi="Century" w:cs="Miriam"/>
          <w:b/>
          <w:spacing w:val="0"/>
          <w:sz w:val="22"/>
          <w:szCs w:val="24"/>
          <w:rtl/>
        </w:rPr>
        <w:t>איגוד הבנקים בישראל (ע"ר) נ' כנסת ישראל</w:t>
      </w:r>
      <w:r w:rsidRPr="007A215B">
        <w:rPr>
          <w:rFonts w:ascii="Century" w:hAnsi="Century" w:hint="cs"/>
          <w:sz w:val="22"/>
          <w:rtl/>
        </w:rPr>
        <w:t>, פסק</w:t>
      </w:r>
      <w:r>
        <w:rPr>
          <w:rFonts w:ascii="Century" w:hAnsi="Century" w:hint="cs"/>
          <w:sz w:val="22"/>
          <w:rtl/>
        </w:rPr>
        <w:t>אות</w:t>
      </w:r>
      <w:r w:rsidRPr="007A215B">
        <w:rPr>
          <w:rFonts w:ascii="Century" w:hAnsi="Century" w:hint="cs"/>
          <w:sz w:val="22"/>
          <w:rtl/>
        </w:rPr>
        <w:t xml:space="preserve"> </w:t>
      </w:r>
      <w:r>
        <w:rPr>
          <w:rFonts w:ascii="Century" w:hAnsi="Century" w:hint="cs"/>
          <w:sz w:val="22"/>
          <w:rtl/>
        </w:rPr>
        <w:t xml:space="preserve">70-63 לפסק דינה של הנשיאה </w:t>
      </w:r>
      <w:r>
        <w:rPr>
          <w:rFonts w:ascii="Century" w:hAnsi="Century" w:cs="Miriam" w:hint="cs"/>
          <w:b/>
          <w:spacing w:val="0"/>
          <w:sz w:val="22"/>
          <w:szCs w:val="24"/>
          <w:rtl/>
        </w:rPr>
        <w:t>מ' נאור</w:t>
      </w:r>
      <w:r w:rsidRPr="007A215B">
        <w:rPr>
          <w:color w:val="000000"/>
          <w:sz w:val="27"/>
          <w:szCs w:val="27"/>
          <w:rtl/>
        </w:rPr>
        <w:t xml:space="preserve"> (</w:t>
      </w:r>
      <w:r w:rsidRPr="007A215B">
        <w:rPr>
          <w:rFonts w:hint="cs"/>
          <w:color w:val="000000"/>
          <w:sz w:val="27"/>
          <w:szCs w:val="27"/>
          <w:rtl/>
        </w:rPr>
        <w:t>29.9.2016</w:t>
      </w:r>
      <w:r w:rsidRPr="007A215B">
        <w:rPr>
          <w:color w:val="000000"/>
          <w:sz w:val="27"/>
          <w:szCs w:val="27"/>
          <w:rtl/>
        </w:rPr>
        <w:t>)</w:t>
      </w:r>
      <w:r>
        <w:rPr>
          <w:rFonts w:hint="cs"/>
          <w:rtl/>
        </w:rPr>
        <w:t xml:space="preserve"> (להלן: </w:t>
      </w:r>
      <w:r>
        <w:rPr>
          <w:rFonts w:ascii="Century" w:hAnsi="Century" w:cs="Miriam" w:hint="cs"/>
          <w:b/>
          <w:spacing w:val="0"/>
          <w:sz w:val="22"/>
          <w:szCs w:val="24"/>
          <w:rtl/>
        </w:rPr>
        <w:t>עניין איגוד הבנקים</w:t>
      </w:r>
      <w:r>
        <w:rPr>
          <w:rFonts w:ascii="Century" w:hAnsi="Century" w:hint="cs"/>
          <w:sz w:val="22"/>
          <w:rtl/>
        </w:rPr>
        <w:t>)</w:t>
      </w:r>
      <w:r>
        <w:rPr>
          <w:rFonts w:hint="cs"/>
          <w:rtl/>
        </w:rPr>
        <w:t xml:space="preserve">; </w:t>
      </w:r>
      <w:r>
        <w:rPr>
          <w:rFonts w:ascii="Century" w:hAnsi="Century" w:hint="cs"/>
          <w:sz w:val="22"/>
          <w:rtl/>
        </w:rPr>
        <w:t xml:space="preserve">כמו כן ראו: יצחק זמיר </w:t>
      </w:r>
      <w:r>
        <w:rPr>
          <w:rFonts w:ascii="Century" w:hAnsi="Century" w:cs="Miriam" w:hint="cs"/>
          <w:b/>
          <w:spacing w:val="0"/>
          <w:sz w:val="22"/>
          <w:szCs w:val="24"/>
          <w:rtl/>
        </w:rPr>
        <w:t xml:space="preserve">הסמכות המינהלית </w:t>
      </w:r>
      <w:r w:rsidRPr="00FC250E">
        <w:rPr>
          <w:rFonts w:ascii="Century" w:hAnsi="Century" w:hint="cs"/>
          <w:sz w:val="22"/>
          <w:rtl/>
        </w:rPr>
        <w:t xml:space="preserve">כרך </w:t>
      </w:r>
      <w:r>
        <w:rPr>
          <w:rFonts w:ascii="Century" w:hAnsi="Century" w:hint="cs"/>
          <w:sz w:val="22"/>
          <w:rtl/>
        </w:rPr>
        <w:t>ב:</w:t>
      </w:r>
      <w:r w:rsidRPr="00FC250E">
        <w:rPr>
          <w:rFonts w:ascii="Century" w:hAnsi="Century" w:hint="cs"/>
          <w:sz w:val="22"/>
          <w:rtl/>
        </w:rPr>
        <w:t xml:space="preserve"> </w:t>
      </w:r>
      <w:r>
        <w:rPr>
          <w:rFonts w:ascii="Century" w:hAnsi="Century" w:hint="cs"/>
          <w:sz w:val="22"/>
          <w:rtl/>
        </w:rPr>
        <w:t xml:space="preserve">ההליך המינהלי 1369-1361 (מהדורה שנייה, 2011) (להלן: </w:t>
      </w:r>
      <w:r>
        <w:rPr>
          <w:rFonts w:ascii="Century" w:hAnsi="Century" w:cs="Miriam" w:hint="cs"/>
          <w:b/>
          <w:spacing w:val="0"/>
          <w:sz w:val="22"/>
          <w:szCs w:val="24"/>
          <w:rtl/>
        </w:rPr>
        <w:t>הסמכות המינהלית</w:t>
      </w:r>
      <w:r>
        <w:rPr>
          <w:rFonts w:ascii="Century" w:hAnsi="Century" w:hint="cs"/>
          <w:sz w:val="22"/>
          <w:rtl/>
        </w:rPr>
        <w:t xml:space="preserve">); דפנה ברק-ארז </w:t>
      </w:r>
      <w:r>
        <w:rPr>
          <w:rFonts w:ascii="Century" w:hAnsi="Century" w:cs="Miriam" w:hint="cs"/>
          <w:b/>
          <w:spacing w:val="0"/>
          <w:sz w:val="22"/>
          <w:szCs w:val="24"/>
          <w:rtl/>
        </w:rPr>
        <w:t>משפט מינהלי</w:t>
      </w:r>
      <w:r>
        <w:rPr>
          <w:rFonts w:ascii="Century" w:hAnsi="Century" w:hint="cs"/>
          <w:sz w:val="22"/>
          <w:rtl/>
        </w:rPr>
        <w:t xml:space="preserve"> כרך א, 369-365 (2010)</w:t>
      </w:r>
      <w:r>
        <w:rPr>
          <w:rFonts w:hint="cs"/>
          <w:rtl/>
        </w:rPr>
        <w:t>.</w:t>
      </w:r>
    </w:p>
    <w:p w:rsidR="00CB2DF1" w:rsidRDefault="00CB2DF1" w:rsidP="00CB2DF1">
      <w:pPr>
        <w:pStyle w:val="Ruller4"/>
      </w:pPr>
      <w:r>
        <w:rPr>
          <w:rFonts w:hint="cs"/>
          <w:rtl/>
        </w:rPr>
        <w:t xml:space="preserve">לא זו אף זו. החובה לקבוע במקרים המתאימים לכך הוראת מעבר הוכרה בפסיקת בית המשפט לא רק ביחס לחקיקת משנה, כי אם גם ביחס לחקיקה ראשית. כך, במסגרת עניין </w:t>
      </w:r>
      <w:r>
        <w:rPr>
          <w:rFonts w:ascii="Century" w:hAnsi="Century" w:cs="Miriam" w:hint="cs"/>
          <w:b/>
          <w:spacing w:val="0"/>
          <w:sz w:val="22"/>
          <w:szCs w:val="24"/>
          <w:rtl/>
        </w:rPr>
        <w:t>מנהלי ההשקעות</w:t>
      </w:r>
      <w:r>
        <w:rPr>
          <w:rFonts w:hint="cs"/>
          <w:rtl/>
        </w:rPr>
        <w:t xml:space="preserve"> נקבע פה-אחד </w:t>
      </w:r>
      <w:r>
        <w:rPr>
          <w:rtl/>
        </w:rPr>
        <w:t>–</w:t>
      </w:r>
      <w:r>
        <w:rPr>
          <w:rFonts w:hint="cs"/>
          <w:rtl/>
        </w:rPr>
        <w:t xml:space="preserve"> על-ידי המותב שכלל אחד-עשר שופטים </w:t>
      </w:r>
      <w:r>
        <w:rPr>
          <w:rtl/>
        </w:rPr>
        <w:t>–</w:t>
      </w:r>
      <w:r>
        <w:rPr>
          <w:rFonts w:hint="cs"/>
          <w:rtl/>
        </w:rPr>
        <w:t xml:space="preserve"> כי הוראת המעבר שנקבעה בחוק הסדרת העיסוק בייעוץ השקעות ובניהול תיקי השקעות, התשנ"ה-1995, אינה חוקתית ודינה בטלות (ראו: פיסקה 70 לפסק דינו של הנשיא </w:t>
      </w:r>
      <w:r w:rsidRPr="00890A53">
        <w:rPr>
          <w:rFonts w:ascii="Century" w:hAnsi="Century" w:cs="Miriam" w:hint="cs"/>
          <w:b/>
          <w:spacing w:val="0"/>
          <w:sz w:val="22"/>
          <w:szCs w:val="24"/>
          <w:rtl/>
        </w:rPr>
        <w:t>א' ברק</w:t>
      </w:r>
      <w:r>
        <w:rPr>
          <w:rFonts w:hint="cs"/>
          <w:rtl/>
        </w:rPr>
        <w:t xml:space="preserve">). הווה אומר: הפסיקה הכירה בקיומה העקרוני של חובת השלטון לקבוע הוראות מעבר, ואף העניקה, במקרים מסוימים, מעמד חוקתי לזכות להוראת מעבר. מובן מאליו הוא, </w:t>
      </w:r>
      <w:r w:rsidRPr="00890A53">
        <w:rPr>
          <w:rFonts w:ascii="Century" w:hAnsi="Century" w:hint="cs"/>
          <w:sz w:val="22"/>
          <w:rtl/>
        </w:rPr>
        <w:t>שהרף להתערבות</w:t>
      </w:r>
      <w:r>
        <w:rPr>
          <w:rFonts w:ascii="Century" w:hAnsi="Century" w:hint="cs"/>
          <w:sz w:val="22"/>
          <w:rtl/>
        </w:rPr>
        <w:t>נו</w:t>
      </w:r>
      <w:r w:rsidRPr="00890A53">
        <w:rPr>
          <w:rFonts w:ascii="Century" w:hAnsi="Century" w:hint="cs"/>
          <w:sz w:val="22"/>
          <w:rtl/>
        </w:rPr>
        <w:t xml:space="preserve"> בהוראת </w:t>
      </w:r>
      <w:r w:rsidRPr="00890A53">
        <w:rPr>
          <w:rFonts w:ascii="Century" w:hAnsi="Century" w:hint="cs"/>
          <w:sz w:val="22"/>
          <w:rtl/>
        </w:rPr>
        <w:lastRenderedPageBreak/>
        <w:t xml:space="preserve">מעבר </w:t>
      </w:r>
      <w:r>
        <w:rPr>
          <w:rFonts w:ascii="Century" w:hAnsi="Century" w:hint="cs"/>
          <w:sz w:val="22"/>
          <w:rtl/>
        </w:rPr>
        <w:t xml:space="preserve">שנקבעה </w:t>
      </w:r>
      <w:r w:rsidRPr="00890A53">
        <w:rPr>
          <w:rFonts w:ascii="Century" w:hAnsi="Century" w:hint="cs"/>
          <w:sz w:val="22"/>
          <w:rtl/>
        </w:rPr>
        <w:t xml:space="preserve">בחקיקה ראשית </w:t>
      </w:r>
      <w:r>
        <w:rPr>
          <w:rFonts w:ascii="Century" w:hAnsi="Century" w:hint="cs"/>
          <w:sz w:val="22"/>
          <w:rtl/>
        </w:rPr>
        <w:t xml:space="preserve">הינו </w:t>
      </w:r>
      <w:r w:rsidRPr="00890A53">
        <w:rPr>
          <w:rFonts w:ascii="Century" w:hAnsi="Century" w:hint="cs"/>
          <w:sz w:val="22"/>
          <w:rtl/>
        </w:rPr>
        <w:t xml:space="preserve">גבוה </w:t>
      </w:r>
      <w:r>
        <w:rPr>
          <w:rFonts w:ascii="Century" w:hAnsi="Century" w:hint="cs"/>
          <w:sz w:val="22"/>
          <w:rtl/>
        </w:rPr>
        <w:t xml:space="preserve">בהרבה </w:t>
      </w:r>
      <w:r w:rsidRPr="00890A53">
        <w:rPr>
          <w:rFonts w:ascii="Century" w:hAnsi="Century" w:hint="cs"/>
          <w:sz w:val="22"/>
          <w:rtl/>
        </w:rPr>
        <w:t>מהרף להתערבות</w:t>
      </w:r>
      <w:r>
        <w:rPr>
          <w:rFonts w:ascii="Century" w:hAnsi="Century" w:hint="cs"/>
          <w:sz w:val="22"/>
          <w:rtl/>
        </w:rPr>
        <w:t>נו</w:t>
      </w:r>
      <w:r w:rsidRPr="00890A53">
        <w:rPr>
          <w:rFonts w:ascii="Century" w:hAnsi="Century" w:hint="cs"/>
          <w:sz w:val="22"/>
          <w:rtl/>
        </w:rPr>
        <w:t xml:space="preserve"> בהוראת מעבר בחקיקת משנה </w:t>
      </w:r>
      <w:r>
        <w:rPr>
          <w:rFonts w:ascii="Century" w:hAnsi="Century" w:hint="cs"/>
          <w:sz w:val="22"/>
          <w:rtl/>
        </w:rPr>
        <w:t xml:space="preserve">או בהוראת מינהל רגילה </w:t>
      </w:r>
      <w:r w:rsidRPr="00890A53">
        <w:rPr>
          <w:rFonts w:ascii="Century" w:hAnsi="Century" w:hint="cs"/>
          <w:sz w:val="22"/>
          <w:rtl/>
        </w:rPr>
        <w:t xml:space="preserve">(ראו: עניין </w:t>
      </w:r>
      <w:r w:rsidRPr="00890A53">
        <w:rPr>
          <w:rFonts w:ascii="Century" w:hAnsi="Century" w:cs="Miriam" w:hint="cs"/>
          <w:b/>
          <w:spacing w:val="0"/>
          <w:sz w:val="22"/>
          <w:szCs w:val="24"/>
          <w:rtl/>
        </w:rPr>
        <w:t>איגוד הבנקים</w:t>
      </w:r>
      <w:r w:rsidRPr="005C7C81">
        <w:rPr>
          <w:rFonts w:ascii="Century" w:hAnsi="Century" w:hint="cs"/>
          <w:sz w:val="22"/>
          <w:rtl/>
        </w:rPr>
        <w:t>,</w:t>
      </w:r>
      <w:r>
        <w:rPr>
          <w:rFonts w:ascii="Century" w:hAnsi="Century" w:cs="Miriam" w:hint="cs"/>
          <w:b/>
          <w:spacing w:val="0"/>
          <w:sz w:val="22"/>
          <w:szCs w:val="24"/>
          <w:rtl/>
        </w:rPr>
        <w:t xml:space="preserve"> </w:t>
      </w:r>
      <w:r w:rsidRPr="00890A53">
        <w:rPr>
          <w:rFonts w:ascii="Century" w:hAnsi="Century" w:hint="cs"/>
          <w:sz w:val="22"/>
          <w:rtl/>
        </w:rPr>
        <w:t>פס</w:t>
      </w:r>
      <w:r>
        <w:rPr>
          <w:rFonts w:ascii="Century" w:hAnsi="Century" w:hint="cs"/>
          <w:sz w:val="22"/>
          <w:rtl/>
        </w:rPr>
        <w:t>קה</w:t>
      </w:r>
      <w:r w:rsidRPr="00890A53">
        <w:rPr>
          <w:rFonts w:ascii="Century" w:hAnsi="Century" w:hint="cs"/>
          <w:sz w:val="22"/>
          <w:rtl/>
        </w:rPr>
        <w:t xml:space="preserve"> 67 לפסק דינה של הנשיאה </w:t>
      </w:r>
      <w:r w:rsidRPr="00890A53">
        <w:rPr>
          <w:rFonts w:ascii="Century" w:hAnsi="Century" w:cs="Miriam" w:hint="cs"/>
          <w:b/>
          <w:spacing w:val="0"/>
          <w:sz w:val="22"/>
          <w:szCs w:val="24"/>
          <w:rtl/>
        </w:rPr>
        <w:t>מ' נאור</w:t>
      </w:r>
      <w:r w:rsidRPr="00890A53">
        <w:rPr>
          <w:rFonts w:ascii="Century" w:hAnsi="Century" w:hint="cs"/>
          <w:sz w:val="22"/>
          <w:rtl/>
        </w:rPr>
        <w:t>).</w:t>
      </w:r>
    </w:p>
    <w:p w:rsidR="00CB2DF1" w:rsidRDefault="00CB2DF1" w:rsidP="00CB2DF1">
      <w:pPr>
        <w:pStyle w:val="Ruller4"/>
        <w:rPr>
          <w:rFonts w:ascii="Century" w:hAnsi="Century" w:cs="Miriam"/>
          <w:b/>
          <w:spacing w:val="0"/>
          <w:sz w:val="22"/>
          <w:szCs w:val="24"/>
          <w:rtl/>
        </w:rPr>
      </w:pPr>
      <w:r>
        <w:rPr>
          <w:rFonts w:hint="cs"/>
          <w:rtl/>
        </w:rPr>
        <w:t xml:space="preserve">לכאורה, החובה לקבוע במקרים המתאימים לכך הוראת מעבר סותרת את ההלכה הפסוקה לפיה לאזרח אין זכות קנויה להמשיך ולקבל סבסוד </w:t>
      </w:r>
      <w:r>
        <w:rPr>
          <w:rtl/>
        </w:rPr>
        <w:t>–</w:t>
      </w:r>
      <w:r>
        <w:rPr>
          <w:rFonts w:hint="cs"/>
          <w:rtl/>
        </w:rPr>
        <w:t xml:space="preserve"> וכפועל יוצא מכך, השלטון רשאי בכל עת לשנות את מדיניות הסבסוד שלו בהתאם להשקפתו. ברם, הדברים אינם כך. לאזרח אכן אין זכות קנויה להמשיך ולקבל סבסוד ממנו הוא נהנה והשלטון רשאי לשנות את מדיניותו בכגון דא בכל עת. אולם, בנסיבות מתאימות, עשוי לקום לאזרח אינטרס מוגן </w:t>
      </w:r>
      <w:r>
        <w:rPr>
          <w:rtl/>
        </w:rPr>
        <w:t>–</w:t>
      </w:r>
      <w:r>
        <w:rPr>
          <w:rFonts w:hint="cs"/>
          <w:rtl/>
        </w:rPr>
        <w:t xml:space="preserve"> אינטרס המגיע כדי זכות משפטית בת קיימא </w:t>
      </w:r>
      <w:r>
        <w:rPr>
          <w:rtl/>
        </w:rPr>
        <w:t>–</w:t>
      </w:r>
      <w:r>
        <w:rPr>
          <w:rFonts w:hint="cs"/>
          <w:rtl/>
        </w:rPr>
        <w:t xml:space="preserve"> להסתמך על כך שהסבסוד שאותו הוא מקבל מהשלטון לא יבוטל ולא ישונה באבחה אחת, אלא באופן אשר יגן עליו מפני נזקים והפסדים שמעבר לשלילת הסבסוד גופו, ואשר יאפשר לו היערכות לקראת המציאות החדשה. לטעמי, הזכות כאמור תקום לאזרח רק בנסיבות קשות כאשר הסבסוד שנלקח ממנו מהווה חלק </w:t>
      </w:r>
      <w:r w:rsidRPr="000E10F5">
        <w:rPr>
          <w:rFonts w:ascii="Century" w:hAnsi="Century" w:hint="cs"/>
          <w:sz w:val="22"/>
          <w:rtl/>
        </w:rPr>
        <w:t>מ</w:t>
      </w:r>
      <w:r>
        <w:rPr>
          <w:rFonts w:ascii="Century" w:hAnsi="Century" w:cs="Miriam" w:hint="cs"/>
          <w:b/>
          <w:spacing w:val="0"/>
          <w:sz w:val="22"/>
          <w:szCs w:val="24"/>
          <w:rtl/>
        </w:rPr>
        <w:t>"</w:t>
      </w:r>
      <w:r w:rsidRPr="000E10F5">
        <w:rPr>
          <w:rFonts w:ascii="Century" w:hAnsi="Century" w:cs="Miriam" w:hint="cs"/>
          <w:b/>
          <w:spacing w:val="0"/>
          <w:sz w:val="22"/>
          <w:szCs w:val="24"/>
          <w:rtl/>
        </w:rPr>
        <w:t xml:space="preserve">ליבת החיים" </w:t>
      </w:r>
      <w:r>
        <w:rPr>
          <w:rFonts w:ascii="Century" w:hAnsi="Century" w:cs="Miriam" w:hint="cs"/>
          <w:b/>
          <w:spacing w:val="0"/>
          <w:sz w:val="22"/>
          <w:szCs w:val="24"/>
          <w:rtl/>
        </w:rPr>
        <w:t>שלו ושל משפחתו</w:t>
      </w:r>
      <w:r>
        <w:rPr>
          <w:rFonts w:ascii="Century" w:hAnsi="Century" w:hint="cs"/>
          <w:sz w:val="22"/>
          <w:rtl/>
        </w:rPr>
        <w:t xml:space="preserve">. </w:t>
      </w:r>
    </w:p>
    <w:p w:rsidR="00CB2DF1" w:rsidRDefault="00CB2DF1" w:rsidP="00CB2DF1">
      <w:pPr>
        <w:pStyle w:val="Ruller4"/>
      </w:pPr>
      <w:r>
        <w:rPr>
          <w:rFonts w:hint="cs"/>
          <w:rtl/>
        </w:rPr>
        <w:t xml:space="preserve">למשל, לאדם אין זכות קנויה להמשיך ולקבל סבסוד מהמדינה לתרופה שמצויה בסל הבריאות אשר מאפשרת לו תפקוד יומיומי סביר חרף מחלתו. כלום ייתכן שהמדינה רשאית להודיע לאותו אדם כי סבסוד התרופה ייפסק לאלתר? סבורני שדבר כזה לא ייעשה, שכן הוא מנוגד לזכות להוראת מעבר. אם כך, האם יכולה המדינה לקצוב לאותו אדם תקופת מעבר בת חצי שנה ולהפסיק את סבסוד התרופה בחלוף שישה חודשים, ביודעה שהאדם זקוק לשנה לפחות כדי לגייס משאבים לקניית התרופה? סבורני כי גם לשאלה זו אין להשיב אלא בשלילה.     </w:t>
      </w:r>
    </w:p>
    <w:p w:rsidR="00CB2DF1" w:rsidRDefault="00CB2DF1" w:rsidP="00CB2DF1">
      <w:pPr>
        <w:pStyle w:val="Ruller4"/>
        <w:numPr>
          <w:ilvl w:val="0"/>
          <w:numId w:val="0"/>
        </w:numPr>
        <w:rPr>
          <w:rtl/>
        </w:rPr>
      </w:pPr>
      <w:r>
        <w:rPr>
          <w:rtl/>
        </w:rPr>
        <w:tab/>
      </w:r>
      <w:r>
        <w:rPr>
          <w:rFonts w:hint="cs"/>
          <w:rtl/>
        </w:rPr>
        <w:t xml:space="preserve">לעניין זה יפים דברי השופט </w:t>
      </w:r>
      <w:r w:rsidRPr="00F45F1A">
        <w:rPr>
          <w:rFonts w:ascii="Century" w:hAnsi="Century" w:cs="Miriam" w:hint="cs"/>
          <w:b/>
          <w:spacing w:val="0"/>
          <w:sz w:val="22"/>
          <w:szCs w:val="24"/>
          <w:rtl/>
        </w:rPr>
        <w:t xml:space="preserve">זמיר </w:t>
      </w:r>
      <w:r>
        <w:rPr>
          <w:rFonts w:hint="cs"/>
          <w:rtl/>
        </w:rPr>
        <w:t xml:space="preserve">בעניין </w:t>
      </w:r>
      <w:r>
        <w:rPr>
          <w:rFonts w:ascii="Century" w:hAnsi="Century" w:cs="Miriam" w:hint="cs"/>
          <w:b/>
          <w:spacing w:val="0"/>
          <w:sz w:val="22"/>
          <w:szCs w:val="24"/>
          <w:rtl/>
        </w:rPr>
        <w:t>בנאי</w:t>
      </w:r>
      <w:r>
        <w:rPr>
          <w:rFonts w:hint="cs"/>
          <w:rtl/>
        </w:rPr>
        <w:t>:</w:t>
      </w:r>
    </w:p>
    <w:p w:rsidR="00CB2DF1" w:rsidRPr="0098110E" w:rsidRDefault="00CB2DF1" w:rsidP="00CB2DF1">
      <w:pPr>
        <w:pStyle w:val="Ruller5"/>
        <w:spacing w:before="240" w:after="100" w:afterAutospacing="1"/>
      </w:pPr>
      <w:r>
        <w:rPr>
          <w:rFonts w:hint="cs"/>
          <w:rtl/>
        </w:rPr>
        <w:lastRenderedPageBreak/>
        <w:t>"</w:t>
      </w:r>
      <w:r w:rsidRPr="0098110E">
        <w:rPr>
          <w:rFonts w:ascii="Century" w:hAnsi="Century" w:cs="Miriam"/>
          <w:b/>
          <w:spacing w:val="0"/>
          <w:szCs w:val="24"/>
          <w:rtl/>
        </w:rPr>
        <w:t>אדם נוטה לסמוך על המצב הקיים. הוא מתאים עצמו לדין החל. אכן, הוא אינו מוגן מפני שינוי המצב והדין על-ידי הרשות המוסמכת, אך הוא רשאי לצפות כי השינוי יונהג בסבירות ובהגינות</w:t>
      </w:r>
      <w:r w:rsidRPr="0098110E">
        <w:rPr>
          <w:rtl/>
        </w:rPr>
        <w:t>. תחולה מיידית של השינוי עשויה, בנסיבות מסוימות, להיראות כוחנית ושרירותית ולפגוע באמון הציבור במינהל הציבורי. ההגינות המינהלית עשויה לחייב שהות שבה יוכל אדם, הכפוף להחלטה המינהלית, לערוך בירורים, אולי להגיש בקשה או להציע הצעה לפני שההחלטה מחייבת אותו, ולפחות להכין עצמו באופן סביר לקראת השינוי. במצב כזה עשוי להתעורר</w:t>
      </w:r>
      <w:r>
        <w:rPr>
          <w:rtl/>
        </w:rPr>
        <w:t xml:space="preserve"> צורך בתקופת מעב</w:t>
      </w:r>
      <w:r>
        <w:rPr>
          <w:rFonts w:hint="cs"/>
          <w:rtl/>
        </w:rPr>
        <w:t xml:space="preserve">ר" (ראו עניין </w:t>
      </w:r>
      <w:r w:rsidRPr="00460B66">
        <w:rPr>
          <w:rFonts w:ascii="Century" w:hAnsi="Century" w:cs="Miriam" w:hint="cs"/>
          <w:b/>
          <w:spacing w:val="0"/>
          <w:szCs w:val="24"/>
          <w:rtl/>
        </w:rPr>
        <w:t>בנאי</w:t>
      </w:r>
      <w:r>
        <w:rPr>
          <w:rFonts w:hint="cs"/>
          <w:rtl/>
        </w:rPr>
        <w:t xml:space="preserve">, פסקה 13; ההדגשה הוספה </w:t>
      </w:r>
      <w:r>
        <w:rPr>
          <w:rtl/>
        </w:rPr>
        <w:t>–</w:t>
      </w:r>
      <w:r>
        <w:rPr>
          <w:rFonts w:hint="cs"/>
          <w:rtl/>
        </w:rPr>
        <w:t xml:space="preserve"> א.ש.).</w:t>
      </w:r>
    </w:p>
    <w:p w:rsidR="00CB2DF1" w:rsidRDefault="00CB2DF1" w:rsidP="00CB2DF1">
      <w:pPr>
        <w:pStyle w:val="Ruller4"/>
      </w:pPr>
      <w:r>
        <w:rPr>
          <w:rFonts w:hint="cs"/>
          <w:rtl/>
        </w:rPr>
        <w:t xml:space="preserve">מטבע הדברים, המענה לשאלה האם יש לקבוע הוראת מעבר, או אם הוראת המעבר שנקבעה היא בגדר מספקת ומידתית, תלוי בנסיבותיו הקונקרטיות של כל מקרה ומקרה. העקרונות שנקבעו בכגון דא בפסיקה סוכמו </w:t>
      </w:r>
      <w:r w:rsidRPr="002C4EDD">
        <w:rPr>
          <w:rFonts w:ascii="Century" w:hAnsi="Century" w:cs="Miriam" w:hint="cs"/>
          <w:b/>
          <w:spacing w:val="0"/>
          <w:sz w:val="22"/>
          <w:szCs w:val="24"/>
          <w:rtl/>
        </w:rPr>
        <w:t>בסמכות המינהלית</w:t>
      </w:r>
      <w:r w:rsidRPr="00D27554">
        <w:rPr>
          <w:rFonts w:hint="cs"/>
          <w:rtl/>
        </w:rPr>
        <w:t xml:space="preserve"> </w:t>
      </w:r>
      <w:r>
        <w:rPr>
          <w:rFonts w:hint="cs"/>
          <w:rtl/>
        </w:rPr>
        <w:t xml:space="preserve">בזו הלשון: </w:t>
      </w:r>
    </w:p>
    <w:p w:rsidR="00CB2DF1" w:rsidRDefault="00CB2DF1" w:rsidP="00CB2DF1">
      <w:pPr>
        <w:pStyle w:val="Ruller5"/>
        <w:spacing w:before="240" w:after="100" w:afterAutospacing="1"/>
      </w:pPr>
      <w:r>
        <w:rPr>
          <w:rFonts w:hint="cs"/>
          <w:rtl/>
        </w:rPr>
        <w:t>"הניסיון השיפוטי שהצטבר מאפשר לומר באופן כללי כי השאלה הבסיסית בכל מקרה היא אם ההגינות המינהלית, הסבירות או המידתיות מחייבות לדחות את מועד התחולה, או לקבוע הוראות מיוחדות לתקופת מעבר, כדי למנוע פגיעה בלתי ראויה. כדי להשיב על שאלה זאת יש לתת את הדעת בעיקר לצורך של הציבור או של אדם מסוים בתחולה מיידית של ההחלטה המינהלית או, לשון אחר, לנזק שייגרם לציבור או לאדם מסוים, או לתכלית החוק אם התחולה תידחה; לאינטרס ההסתמכות ולציפייה הלגיטימית של אלה שעליהם חלה ההחלטה המינהלית; לחומרת הפגיעה הנובעת מתחולה מיידית; ולאפשרות לנקוט צעדים שימנעו או יצמצמו את הנזק שעלול להיגרם על ידי תחולה מיידית". (ראו שם, בעמוד 1367).</w:t>
      </w:r>
    </w:p>
    <w:p w:rsidR="00CB2DF1" w:rsidRDefault="00CB2DF1" w:rsidP="00CB2DF1">
      <w:pPr>
        <w:pStyle w:val="Ruller4"/>
      </w:pPr>
      <w:r>
        <w:rPr>
          <w:rFonts w:hint="cs"/>
          <w:rtl/>
        </w:rPr>
        <w:t xml:space="preserve">דברים אלה, כמובן, מקובלים עליי במלואם והם משקפים היטב את הדין הקיים. בהמשך דבריי, אבקש לחדד דברים אלה ולדלות מתוכם </w:t>
      </w:r>
      <w:r>
        <w:rPr>
          <w:rtl/>
        </w:rPr>
        <w:t>–</w:t>
      </w:r>
      <w:r>
        <w:rPr>
          <w:rFonts w:hint="cs"/>
          <w:rtl/>
        </w:rPr>
        <w:t xml:space="preserve"> ככל שניתן, ומבלי למצות את הדיון בסוגיה </w:t>
      </w:r>
      <w:r>
        <w:rPr>
          <w:rtl/>
        </w:rPr>
        <w:t>–</w:t>
      </w:r>
      <w:r>
        <w:rPr>
          <w:rFonts w:hint="cs"/>
          <w:rtl/>
        </w:rPr>
        <w:t xml:space="preserve"> כללים קונקרטיים שאותם נכון יהיה ליישם במקרה דכאן. </w:t>
      </w:r>
    </w:p>
    <w:p w:rsidR="00CB2DF1" w:rsidRPr="006D3010" w:rsidRDefault="00CB2DF1" w:rsidP="00CB2DF1">
      <w:pPr>
        <w:pStyle w:val="Ruller4"/>
      </w:pPr>
      <w:r>
        <w:rPr>
          <w:rFonts w:hint="cs"/>
          <w:rtl/>
        </w:rPr>
        <w:lastRenderedPageBreak/>
        <w:t xml:space="preserve">הראשון מבין הכללים הללו הוא שמירה מרבית על כוחם של מוסדות השלטון שנותנים דין וחשבון לבוחר לשנות את מדיניות הסבסוד, ובמסגרת זו להחליט על </w:t>
      </w:r>
      <w:r w:rsidRPr="00EC0A77">
        <w:rPr>
          <w:rFonts w:ascii="Century" w:hAnsi="Century" w:cs="Miriam" w:hint="cs"/>
          <w:b/>
          <w:spacing w:val="0"/>
          <w:sz w:val="22"/>
          <w:szCs w:val="24"/>
          <w:rtl/>
        </w:rPr>
        <w:t>מועד</w:t>
      </w:r>
      <w:r w:rsidRPr="00A9708D">
        <w:rPr>
          <w:rFonts w:hint="cs"/>
          <w:rtl/>
        </w:rPr>
        <w:t xml:space="preserve"> </w:t>
      </w:r>
      <w:r w:rsidRPr="00EC0A77">
        <w:rPr>
          <w:rFonts w:ascii="Century" w:hAnsi="Century" w:cs="Miriam" w:hint="cs"/>
          <w:b/>
          <w:spacing w:val="0"/>
          <w:sz w:val="22"/>
          <w:szCs w:val="24"/>
          <w:rtl/>
        </w:rPr>
        <w:t>השינוי</w:t>
      </w:r>
      <w:r>
        <w:rPr>
          <w:rFonts w:hint="cs"/>
          <w:rtl/>
        </w:rPr>
        <w:t xml:space="preserve"> (ראו: עניין </w:t>
      </w:r>
      <w:r w:rsidRPr="00EC0A77">
        <w:rPr>
          <w:rFonts w:ascii="Century" w:hAnsi="Century" w:cs="Miriam" w:hint="cs"/>
          <w:b/>
          <w:spacing w:val="0"/>
          <w:sz w:val="22"/>
          <w:szCs w:val="24"/>
          <w:rtl/>
        </w:rPr>
        <w:t>בנאי</w:t>
      </w:r>
      <w:r>
        <w:rPr>
          <w:rFonts w:hint="cs"/>
          <w:rtl/>
        </w:rPr>
        <w:t xml:space="preserve"> פסקה 12). בהתאם לכך, יש לשאוף ככל שניתן לאפשר למוסד שלטוני ליישם את החלטתו </w:t>
      </w:r>
      <w:r w:rsidRPr="00EC0A77">
        <w:rPr>
          <w:rFonts w:ascii="Century" w:hAnsi="Century" w:cs="Miriam" w:hint="cs"/>
          <w:b/>
          <w:spacing w:val="0"/>
          <w:sz w:val="22"/>
          <w:szCs w:val="24"/>
          <w:rtl/>
        </w:rPr>
        <w:t>במועד בו ה</w:t>
      </w:r>
      <w:r>
        <w:rPr>
          <w:rFonts w:ascii="Century" w:hAnsi="Century" w:cs="Miriam" w:hint="cs"/>
          <w:b/>
          <w:spacing w:val="0"/>
          <w:sz w:val="22"/>
          <w:szCs w:val="24"/>
          <w:rtl/>
        </w:rPr>
        <w:t>ו</w:t>
      </w:r>
      <w:r w:rsidRPr="00EC0A77">
        <w:rPr>
          <w:rFonts w:ascii="Century" w:hAnsi="Century" w:cs="Miriam" w:hint="cs"/>
          <w:b/>
          <w:spacing w:val="0"/>
          <w:sz w:val="22"/>
          <w:szCs w:val="24"/>
          <w:rtl/>
        </w:rPr>
        <w:t>א ביקש ל</w:t>
      </w:r>
      <w:r>
        <w:rPr>
          <w:rFonts w:ascii="Century" w:hAnsi="Century" w:cs="Miriam" w:hint="cs"/>
          <w:b/>
          <w:spacing w:val="0"/>
          <w:sz w:val="22"/>
          <w:szCs w:val="24"/>
          <w:rtl/>
        </w:rPr>
        <w:t>הוציאה מן הכוח אל הפועל</w:t>
      </w:r>
      <w:r>
        <w:rPr>
          <w:rFonts w:ascii="Century" w:hAnsi="Century" w:hint="cs"/>
          <w:sz w:val="22"/>
          <w:rtl/>
        </w:rPr>
        <w:t xml:space="preserve">. </w:t>
      </w:r>
    </w:p>
    <w:p w:rsidR="00CB2DF1" w:rsidRDefault="00CB2DF1" w:rsidP="00CB2DF1">
      <w:pPr>
        <w:pStyle w:val="Ruller4"/>
        <w:rPr>
          <w:rFonts w:ascii="Century" w:hAnsi="Century"/>
          <w:sz w:val="22"/>
          <w:rtl/>
        </w:rPr>
      </w:pPr>
      <w:r>
        <w:rPr>
          <w:rFonts w:ascii="Century" w:hAnsi="Century" w:hint="cs"/>
          <w:sz w:val="22"/>
          <w:rtl/>
        </w:rPr>
        <w:t>כלל זה</w:t>
      </w:r>
      <w:r>
        <w:rPr>
          <w:rFonts w:hint="cs"/>
          <w:rtl/>
        </w:rPr>
        <w:t xml:space="preserve"> נגזר מהעיקרון בדבר שיקול דעת עצמאי וחופש הפעולה הנתון למוסד שלטוני בפועלו בדל"ת האמות של סמכויותיו. עיקרון זה כפוף, כמובן, לחריג ההסתמכות עליו דובר לעיל; אך בזכרנו כי מדובר בחריג </w:t>
      </w:r>
      <w:r>
        <w:rPr>
          <w:rtl/>
        </w:rPr>
        <w:t>–</w:t>
      </w:r>
      <w:r>
        <w:rPr>
          <w:rFonts w:hint="cs"/>
          <w:rtl/>
        </w:rPr>
        <w:t xml:space="preserve"> חריג, ותו לא </w:t>
      </w:r>
      <w:r>
        <w:rPr>
          <w:rtl/>
        </w:rPr>
        <w:t>–</w:t>
      </w:r>
      <w:r>
        <w:rPr>
          <w:rFonts w:hint="cs"/>
          <w:rtl/>
        </w:rPr>
        <w:t xml:space="preserve"> עלינו לקבוע עבורו היקף התפרשות מוגדר ומצומצם, כיאה לחריגים אשר נועדו לטפל במצבים מיוחדים שאינם מקבלים מענה הולם ונכון מהכלל הרחב אשר חל במקרים הרגילים. דרישה זו מכתיבה את התוצאה הבאה: לא כל הסתמכות על סבסוד מצד מקבלו תחייב את המוסד השלטוני לקבוע הוראת מעבר אשר דוחה את המועד לביטול הסבסוד או לשינוי התנאים לקבלתו. </w:t>
      </w:r>
      <w:r w:rsidRPr="005D0E0B">
        <w:rPr>
          <w:rFonts w:ascii="Century" w:hAnsi="Century" w:cs="Miriam" w:hint="cs"/>
          <w:b/>
          <w:spacing w:val="0"/>
          <w:sz w:val="22"/>
          <w:szCs w:val="24"/>
          <w:rtl/>
        </w:rPr>
        <w:t xml:space="preserve">חובה כאמור תקום </w:t>
      </w:r>
      <w:r>
        <w:rPr>
          <w:rFonts w:ascii="Century" w:hAnsi="Century" w:cs="Miriam" w:hint="cs"/>
          <w:b/>
          <w:spacing w:val="0"/>
          <w:sz w:val="22"/>
          <w:szCs w:val="24"/>
          <w:rtl/>
        </w:rPr>
        <w:t>אך ו</w:t>
      </w:r>
      <w:r w:rsidRPr="005D0E0B">
        <w:rPr>
          <w:rFonts w:ascii="Century" w:hAnsi="Century" w:cs="Miriam" w:hint="cs"/>
          <w:b/>
          <w:spacing w:val="0"/>
          <w:sz w:val="22"/>
          <w:szCs w:val="24"/>
          <w:rtl/>
        </w:rPr>
        <w:t>רק באותם מקרים בהם ביטול הסבסוד או שינוי בתנאיו, ללא מתן ארכה הולמת להיערכות או התארגנות, עלול לשבש באופן ממשי את חייו או את עסקיו של האזרח.</w:t>
      </w:r>
      <w:r w:rsidRPr="005D0E0B">
        <w:rPr>
          <w:rFonts w:ascii="Century" w:hAnsi="Century" w:hint="cs"/>
          <w:sz w:val="22"/>
          <w:rtl/>
        </w:rPr>
        <w:t xml:space="preserve"> </w:t>
      </w:r>
      <w:r w:rsidRPr="005D0E0B">
        <w:rPr>
          <w:rFonts w:ascii="Century" w:hAnsi="Century" w:cs="Miriam" w:hint="cs"/>
          <w:b/>
          <w:spacing w:val="0"/>
          <w:sz w:val="22"/>
          <w:szCs w:val="24"/>
          <w:rtl/>
        </w:rPr>
        <w:t xml:space="preserve">במסגרת זו, </w:t>
      </w:r>
      <w:r>
        <w:rPr>
          <w:rFonts w:ascii="Century" w:hAnsi="Century" w:cs="Miriam" w:hint="cs"/>
          <w:b/>
          <w:spacing w:val="0"/>
          <w:sz w:val="22"/>
          <w:szCs w:val="24"/>
          <w:rtl/>
        </w:rPr>
        <w:t>אורכה של תקופת המעבר י</w:t>
      </w:r>
      <w:r w:rsidRPr="005D0E0B">
        <w:rPr>
          <w:rFonts w:ascii="Century" w:hAnsi="Century" w:cs="Miriam" w:hint="cs"/>
          <w:b/>
          <w:spacing w:val="0"/>
          <w:sz w:val="22"/>
          <w:szCs w:val="24"/>
          <w:rtl/>
        </w:rPr>
        <w:t>יקבע על ידי עוצמת הפגיעה או השיבוש במהלך הרגיל של חייו או של עסקיו של האזרח והפעולות בהן הלה יצטרך לנקוט כדי להקטין עד כמה שניתן את השיבוש ואת הפגיעה.</w:t>
      </w:r>
      <w:r w:rsidRPr="005D0E0B">
        <w:rPr>
          <w:rFonts w:hint="cs"/>
          <w:rtl/>
        </w:rPr>
        <w:t xml:space="preserve"> </w:t>
      </w:r>
      <w:r w:rsidRPr="005D0E0B">
        <w:rPr>
          <w:rFonts w:ascii="Century" w:hAnsi="Century" w:hint="cs"/>
          <w:sz w:val="22"/>
          <w:rtl/>
        </w:rPr>
        <w:t>לטעמי, זהו הכלל השני שנגזר מההלכה הפסוקה בעניין הוראות מעבר.</w:t>
      </w:r>
    </w:p>
    <w:p w:rsidR="00CB2DF1" w:rsidRDefault="00CB2DF1" w:rsidP="00CB2DF1">
      <w:pPr>
        <w:pStyle w:val="Ruller4"/>
        <w:rPr>
          <w:rtl/>
        </w:rPr>
      </w:pPr>
      <w:r>
        <w:rPr>
          <w:rFonts w:hint="cs"/>
          <w:rtl/>
        </w:rPr>
        <w:t>הכלל השלישי והכלל הרביעי, שאותם אציג כעת, הם כללי עזר אשר נועדו להבטיח את הפעלתם התקינה של שני הכללים הראשונים, כל אימת שאלו באים להגן על הסתמכותו של מקבל הסובסידיה ב</w:t>
      </w:r>
      <w:r w:rsidRPr="007F33FE">
        <w:rPr>
          <w:rFonts w:hint="eastAsia"/>
          <w:rtl/>
        </w:rPr>
        <w:t>מקרים</w:t>
      </w:r>
      <w:r w:rsidRPr="007F33FE">
        <w:rPr>
          <w:rtl/>
        </w:rPr>
        <w:t xml:space="preserve"> </w:t>
      </w:r>
      <w:r w:rsidRPr="007F33FE">
        <w:rPr>
          <w:rFonts w:hint="eastAsia"/>
          <w:rtl/>
        </w:rPr>
        <w:t>בהם</w:t>
      </w:r>
      <w:r w:rsidRPr="007F33FE">
        <w:rPr>
          <w:rtl/>
        </w:rPr>
        <w:t xml:space="preserve"> </w:t>
      </w:r>
      <w:r w:rsidRPr="007F33FE">
        <w:rPr>
          <w:rFonts w:hint="eastAsia"/>
          <w:rtl/>
        </w:rPr>
        <w:t>ביטול</w:t>
      </w:r>
      <w:r>
        <w:rPr>
          <w:rFonts w:hint="cs"/>
          <w:rtl/>
        </w:rPr>
        <w:t>ה</w:t>
      </w:r>
      <w:r w:rsidRPr="007F33FE">
        <w:rPr>
          <w:rtl/>
        </w:rPr>
        <w:t xml:space="preserve"> </w:t>
      </w:r>
      <w:r w:rsidRPr="007F33FE">
        <w:rPr>
          <w:rFonts w:hint="eastAsia"/>
          <w:rtl/>
        </w:rPr>
        <w:t>או</w:t>
      </w:r>
      <w:r w:rsidRPr="007F33FE">
        <w:rPr>
          <w:rtl/>
        </w:rPr>
        <w:t xml:space="preserve"> </w:t>
      </w:r>
      <w:r w:rsidRPr="007F33FE">
        <w:rPr>
          <w:rFonts w:hint="eastAsia"/>
          <w:rtl/>
        </w:rPr>
        <w:t>שינוי</w:t>
      </w:r>
      <w:r w:rsidRPr="007F33FE">
        <w:rPr>
          <w:rtl/>
        </w:rPr>
        <w:t xml:space="preserve"> </w:t>
      </w:r>
      <w:r w:rsidRPr="007F33FE">
        <w:rPr>
          <w:rFonts w:hint="eastAsia"/>
          <w:rtl/>
        </w:rPr>
        <w:t>בתנאי</w:t>
      </w:r>
      <w:r>
        <w:rPr>
          <w:rFonts w:hint="cs"/>
          <w:rtl/>
        </w:rPr>
        <w:t>ה</w:t>
      </w:r>
      <w:r w:rsidRPr="007F33FE">
        <w:rPr>
          <w:rtl/>
        </w:rPr>
        <w:t xml:space="preserve">, </w:t>
      </w:r>
      <w:r w:rsidRPr="007F33FE">
        <w:rPr>
          <w:rFonts w:hint="eastAsia"/>
          <w:rtl/>
        </w:rPr>
        <w:t>ללא</w:t>
      </w:r>
      <w:r w:rsidRPr="007F33FE">
        <w:rPr>
          <w:rtl/>
        </w:rPr>
        <w:t xml:space="preserve"> </w:t>
      </w:r>
      <w:r w:rsidRPr="007F33FE">
        <w:rPr>
          <w:rFonts w:hint="eastAsia"/>
          <w:rtl/>
        </w:rPr>
        <w:t>מתן</w:t>
      </w:r>
      <w:r w:rsidRPr="007F33FE">
        <w:rPr>
          <w:rtl/>
        </w:rPr>
        <w:t xml:space="preserve"> </w:t>
      </w:r>
      <w:r w:rsidRPr="007F33FE">
        <w:rPr>
          <w:rFonts w:hint="eastAsia"/>
          <w:rtl/>
        </w:rPr>
        <w:t>ארכה</w:t>
      </w:r>
      <w:r w:rsidRPr="007F33FE">
        <w:rPr>
          <w:rtl/>
        </w:rPr>
        <w:t xml:space="preserve"> </w:t>
      </w:r>
      <w:r w:rsidRPr="007F33FE">
        <w:rPr>
          <w:rFonts w:hint="eastAsia"/>
          <w:rtl/>
        </w:rPr>
        <w:t>הולמת</w:t>
      </w:r>
      <w:r w:rsidRPr="007F33FE">
        <w:rPr>
          <w:rtl/>
        </w:rPr>
        <w:t xml:space="preserve"> </w:t>
      </w:r>
      <w:r w:rsidRPr="007F33FE">
        <w:rPr>
          <w:rFonts w:hint="eastAsia"/>
          <w:rtl/>
        </w:rPr>
        <w:t>להיערכות</w:t>
      </w:r>
      <w:r w:rsidRPr="007F33FE">
        <w:rPr>
          <w:rtl/>
        </w:rPr>
        <w:t xml:space="preserve"> </w:t>
      </w:r>
      <w:r w:rsidRPr="007F33FE">
        <w:rPr>
          <w:rFonts w:hint="eastAsia"/>
          <w:rtl/>
        </w:rPr>
        <w:t>או</w:t>
      </w:r>
      <w:r w:rsidRPr="007F33FE">
        <w:rPr>
          <w:rtl/>
        </w:rPr>
        <w:t xml:space="preserve"> </w:t>
      </w:r>
      <w:r>
        <w:rPr>
          <w:rFonts w:hint="cs"/>
          <w:rtl/>
        </w:rPr>
        <w:t>ל</w:t>
      </w:r>
      <w:r w:rsidRPr="007F33FE">
        <w:rPr>
          <w:rFonts w:hint="eastAsia"/>
          <w:rtl/>
        </w:rPr>
        <w:t>התארגנות</w:t>
      </w:r>
      <w:r w:rsidRPr="007F33FE">
        <w:rPr>
          <w:rtl/>
        </w:rPr>
        <w:t xml:space="preserve">, </w:t>
      </w:r>
      <w:r w:rsidRPr="007F33FE">
        <w:rPr>
          <w:rFonts w:hint="eastAsia"/>
          <w:rtl/>
        </w:rPr>
        <w:t>עלול</w:t>
      </w:r>
      <w:r w:rsidRPr="007F33FE">
        <w:rPr>
          <w:rtl/>
        </w:rPr>
        <w:t xml:space="preserve"> </w:t>
      </w:r>
      <w:r w:rsidRPr="007F33FE">
        <w:rPr>
          <w:rFonts w:hint="eastAsia"/>
          <w:rtl/>
        </w:rPr>
        <w:t>לשבש</w:t>
      </w:r>
      <w:r w:rsidRPr="007F33FE">
        <w:rPr>
          <w:rtl/>
        </w:rPr>
        <w:t xml:space="preserve"> </w:t>
      </w:r>
      <w:r w:rsidRPr="007F33FE">
        <w:rPr>
          <w:rFonts w:hint="eastAsia"/>
          <w:rtl/>
        </w:rPr>
        <w:t>באופן</w:t>
      </w:r>
      <w:r w:rsidRPr="007F33FE">
        <w:rPr>
          <w:rtl/>
        </w:rPr>
        <w:t xml:space="preserve"> </w:t>
      </w:r>
      <w:r w:rsidRPr="007F33FE">
        <w:rPr>
          <w:rFonts w:hint="eastAsia"/>
          <w:rtl/>
        </w:rPr>
        <w:t>ממשי</w:t>
      </w:r>
      <w:r w:rsidRPr="007F33FE">
        <w:rPr>
          <w:rtl/>
        </w:rPr>
        <w:t xml:space="preserve"> </w:t>
      </w:r>
      <w:r w:rsidRPr="007F33FE">
        <w:rPr>
          <w:rFonts w:hint="eastAsia"/>
          <w:rtl/>
        </w:rPr>
        <w:t>את</w:t>
      </w:r>
      <w:r w:rsidRPr="007F33FE">
        <w:rPr>
          <w:rtl/>
        </w:rPr>
        <w:t xml:space="preserve"> </w:t>
      </w:r>
      <w:r w:rsidRPr="007F33FE">
        <w:rPr>
          <w:rFonts w:hint="eastAsia"/>
          <w:rtl/>
        </w:rPr>
        <w:t>חייו</w:t>
      </w:r>
      <w:r w:rsidRPr="007F33FE">
        <w:rPr>
          <w:rtl/>
        </w:rPr>
        <w:t xml:space="preserve"> </w:t>
      </w:r>
      <w:r w:rsidRPr="007F33FE">
        <w:rPr>
          <w:rFonts w:hint="eastAsia"/>
          <w:rtl/>
        </w:rPr>
        <w:t>או</w:t>
      </w:r>
      <w:r w:rsidRPr="007F33FE">
        <w:rPr>
          <w:rtl/>
        </w:rPr>
        <w:t xml:space="preserve"> </w:t>
      </w:r>
      <w:r w:rsidRPr="007F33FE">
        <w:rPr>
          <w:rFonts w:hint="eastAsia"/>
          <w:rtl/>
        </w:rPr>
        <w:t>את</w:t>
      </w:r>
      <w:r w:rsidRPr="007F33FE">
        <w:rPr>
          <w:rtl/>
        </w:rPr>
        <w:t xml:space="preserve"> </w:t>
      </w:r>
      <w:r w:rsidRPr="007F33FE">
        <w:rPr>
          <w:rFonts w:hint="eastAsia"/>
          <w:rtl/>
        </w:rPr>
        <w:t>עסקיו</w:t>
      </w:r>
      <w:r>
        <w:rPr>
          <w:rtl/>
        </w:rPr>
        <w:t>.</w:t>
      </w:r>
      <w:r>
        <w:rPr>
          <w:rFonts w:hint="cs"/>
          <w:rtl/>
        </w:rPr>
        <w:t xml:space="preserve"> כפי שיובהר להלן, לכללי עזר אלה יש חשיבות לא מבוטלת בענייננו-שלנו. </w:t>
      </w:r>
      <w:r w:rsidRPr="007F33FE">
        <w:rPr>
          <w:rFonts w:ascii="Century" w:hAnsi="Century" w:cs="Miriam" w:hint="cs"/>
          <w:b/>
          <w:spacing w:val="0"/>
          <w:sz w:val="22"/>
          <w:szCs w:val="24"/>
          <w:rtl/>
        </w:rPr>
        <w:t>בעזרתם ניתן לקבוע את אורכה של תקופת המעבר ממשטר הסובסידיות הישן למשטר החדש</w:t>
      </w:r>
      <w:r>
        <w:rPr>
          <w:rFonts w:hint="cs"/>
          <w:rtl/>
        </w:rPr>
        <w:t xml:space="preserve">. </w:t>
      </w:r>
    </w:p>
    <w:p w:rsidR="00CB2DF1" w:rsidRDefault="00CB2DF1" w:rsidP="00CB2DF1">
      <w:pPr>
        <w:pStyle w:val="Ruller4"/>
      </w:pPr>
      <w:r>
        <w:rPr>
          <w:rFonts w:hint="cs"/>
          <w:rtl/>
        </w:rPr>
        <w:lastRenderedPageBreak/>
        <w:t xml:space="preserve">הכלל השלישי מפנה את זרקורו אל הפרקטיקה והנוהגים הקיימים ביחס להוראות מעבר. כך, למשל, אם הרשות השלטונית אשר מעניקה סובסידיה לאזרחים קבעה בעבר תקופות מעבר אשר אִפשרו למקבלי הסובסידיה להיערך לקראת ביטולה או לקראת שינוי לרעה בתנאיה </w:t>
      </w:r>
      <w:r>
        <w:rPr>
          <w:rtl/>
        </w:rPr>
        <w:t>–</w:t>
      </w:r>
      <w:r>
        <w:rPr>
          <w:rFonts w:hint="cs"/>
          <w:rtl/>
        </w:rPr>
        <w:t xml:space="preserve"> תקופות כאמור עשויות לסמן את אמות המידה הראויות לקביעת הוראת מעבר חדשה ולזכאותם של מקבלי הסובסידיה לקבלת זמן היערכות מתאים לפני ששינוי הסובסידיה או ביטולה ייכנס לתוקפו. זאת, מאחר שהפרקטיקה והנוהגים הקיימים אצל הרשות יוצרים הסתמכות אצל האזרח מן השורה ואף מסמנים את אשר מוחזק כהוגן וראוי בקביעת הוראות מעבר.</w:t>
      </w:r>
    </w:p>
    <w:p w:rsidR="00CB2DF1" w:rsidRDefault="00CB2DF1" w:rsidP="00CB2DF1">
      <w:pPr>
        <w:pStyle w:val="Ruller4"/>
      </w:pPr>
      <w:r>
        <w:rPr>
          <w:rFonts w:hint="cs"/>
          <w:rtl/>
        </w:rPr>
        <w:t xml:space="preserve">הכלל הרביעי והאחרון נגזר מעיקרון השוויון ומאיסור חמור על הפליה, אשר מחייבים את מוסדות השלטון בפועלם בכל התחומים, כולל מתן סובסידיות (ראו: בג"ץ 1703/92 </w:t>
      </w:r>
      <w:r w:rsidRPr="00EA362B">
        <w:rPr>
          <w:rFonts w:ascii="Century" w:hAnsi="Century" w:cs="Miriam" w:hint="cs"/>
          <w:b/>
          <w:spacing w:val="0"/>
          <w:sz w:val="22"/>
          <w:szCs w:val="24"/>
          <w:rtl/>
        </w:rPr>
        <w:t>ק.א.ל קוי אויר למטען בע"מ נ' ראש הממשלה</w:t>
      </w:r>
      <w:r>
        <w:rPr>
          <w:rFonts w:hint="cs"/>
          <w:rtl/>
        </w:rPr>
        <w:t xml:space="preserve">, פ"ד נב(4) 193, פסקאות 7-6 לפסק דינו של השופט </w:t>
      </w:r>
      <w:r>
        <w:rPr>
          <w:rFonts w:ascii="Century" w:hAnsi="Century" w:cs="Miriam" w:hint="cs"/>
          <w:b/>
          <w:spacing w:val="0"/>
          <w:sz w:val="22"/>
          <w:szCs w:val="24"/>
          <w:rtl/>
        </w:rPr>
        <w:t xml:space="preserve">מ' חשין </w:t>
      </w:r>
      <w:r>
        <w:rPr>
          <w:rFonts w:ascii="Century" w:hAnsi="Century" w:hint="cs"/>
          <w:sz w:val="22"/>
          <w:rtl/>
        </w:rPr>
        <w:t>(כתוארו אז) (1998)</w:t>
      </w:r>
      <w:r>
        <w:rPr>
          <w:rFonts w:hint="cs"/>
          <w:rtl/>
        </w:rPr>
        <w:t xml:space="preserve">). כלל זה דורש כי החלטת הרשות אשר קובעת מועד לביטול הסבסוד או לשינוי בתנאיו על מנת להגן על הסתמכות מקבליו תתבסס על אמות מידה כלליות אשר חלות בכל המקרים הדומים. במילים אחרות: החלטת הרשות אשר קובעת מועד לביטול הסבסוד או לשינוי תנאיו חייבת להיות מלווה במחויבותה של הרשות לקבל את אותה החלטה ממש, על יסוד אותם שיקולים, בכל מקרה דומה </w:t>
      </w:r>
      <w:r>
        <w:rPr>
          <w:rtl/>
        </w:rPr>
        <w:t>–</w:t>
      </w:r>
      <w:r>
        <w:rPr>
          <w:rFonts w:hint="cs"/>
          <w:rtl/>
        </w:rPr>
        <w:t xml:space="preserve"> ולא רק במקרה הספציפי שבו עסקינן. החלטה שהרשות לא תוכל לעמוד מאחוריה במקרים דומים תיכשל בביקורת שיפוטית מאחר שאין בכוחה לקיים את עיקרון השוויון בקביעת הוראות מעבר. מובן מאליו הוא, שאת הכלל הזה יש להפעיל בזהירות הראויה תוך עמידה על ההבדלים הקיימים בין סובסידיות שונות ונסיבות מקבליהן. כלל זה אמור להיות מופעל רק באין שוני מהותי בין ביטולה או הרעת תנאיה של סובסידיה אחת לבין ביטולה או הרעת תנאיה של סובסידיה אחרת. </w:t>
      </w:r>
    </w:p>
    <w:p w:rsidR="00CB2DF1" w:rsidRDefault="00CB2DF1" w:rsidP="00CB2DF1">
      <w:pPr>
        <w:pStyle w:val="Ruller41"/>
        <w:rPr>
          <w:rFonts w:ascii="Century" w:hAnsi="Century" w:cs="Miriam"/>
          <w:b/>
          <w:spacing w:val="0"/>
          <w:szCs w:val="24"/>
          <w:rtl/>
        </w:rPr>
      </w:pPr>
      <w:r>
        <w:rPr>
          <w:rFonts w:ascii="Century" w:hAnsi="Century" w:cs="Miriam" w:hint="cs"/>
          <w:b/>
          <w:spacing w:val="0"/>
          <w:szCs w:val="24"/>
          <w:rtl/>
        </w:rPr>
        <w:t xml:space="preserve">מן הכלל אל הפרט: </w:t>
      </w:r>
    </w:p>
    <w:p w:rsidR="00CB2DF1" w:rsidRPr="00526B1E" w:rsidRDefault="00CB2DF1" w:rsidP="00CB2DF1">
      <w:pPr>
        <w:pStyle w:val="Ruller41"/>
        <w:rPr>
          <w:rFonts w:ascii="Century" w:hAnsi="Century" w:cs="Miriam"/>
          <w:b/>
          <w:spacing w:val="0"/>
          <w:szCs w:val="24"/>
        </w:rPr>
      </w:pPr>
      <w:r>
        <w:rPr>
          <w:rFonts w:ascii="Century" w:hAnsi="Century" w:cs="Miriam" w:hint="cs"/>
          <w:b/>
          <w:spacing w:val="0"/>
          <w:szCs w:val="24"/>
          <w:rtl/>
        </w:rPr>
        <w:t>האם קיים צורך לקבוע הוראת מעבר בענייננו?</w:t>
      </w:r>
    </w:p>
    <w:p w:rsidR="00CB2DF1" w:rsidRDefault="00CB2DF1" w:rsidP="00CB2DF1">
      <w:pPr>
        <w:pStyle w:val="Ruller4"/>
      </w:pPr>
      <w:r>
        <w:rPr>
          <w:rFonts w:hint="cs"/>
          <w:rtl/>
        </w:rPr>
        <w:lastRenderedPageBreak/>
        <w:t>דומני כי לא ניתן לחלוק על כך שביטול הסבסוד אשר נועד לכסות חלק נכבד מהעלויות של מעונות היום למשפחות האברכים עלול לשבש את חיי המשפחות במידה ניכרת, בהתחשב בכך שהדבר נעשה בעיצומה של שנת לימודים. בנסיבות אלו, האברך ורעייתו, שהפרוטה אינה מצויה בכיסם, יעמדו בפני בחירה קשה מאד שאותה יהא עליהם לעשות באופן כמעט מיידי. כדי לעמוד בתשלומים למעון היום בו שוהה הפעוט (או יותר מפעוט אחד) של בני הזוג, האברך יידרש לעזוב לאלתר את לימודי התורה ולמצוא לעצמו עבודה מכניסה או מסגרת מתאימה להכשרה תעסוקתית אשר תאפשר לו להתפרנס בעתיד. מדובר, בלי ספק, בשינוי דרמטי באורח החיים שהאברך יתקשה עד מאד לעשותו באמצע שנת הלימודים של ילדיו. מהלך השינוי שנדרש מהאברך הוא מהלך קשה ברמה המעשית, ולא רק בהיבט האמונ</w:t>
      </w:r>
      <w:r>
        <w:rPr>
          <w:rFonts w:hint="eastAsia"/>
          <w:rtl/>
        </w:rPr>
        <w:t>י</w:t>
      </w:r>
      <w:r>
        <w:rPr>
          <w:rFonts w:hint="cs"/>
          <w:rtl/>
        </w:rPr>
        <w:t>, שגם בו אין להקל ראש.</w:t>
      </w:r>
    </w:p>
    <w:p w:rsidR="00CB2DF1" w:rsidRDefault="00CB2DF1" w:rsidP="00CB2DF1">
      <w:pPr>
        <w:pStyle w:val="Ruller4"/>
      </w:pPr>
      <w:r>
        <w:rPr>
          <w:rtl/>
        </w:rPr>
        <w:tab/>
      </w:r>
      <w:r>
        <w:rPr>
          <w:rFonts w:hint="cs"/>
          <w:rtl/>
        </w:rPr>
        <w:t xml:space="preserve">האפשרות האחרת של בני הזוג היא להפסיק את שהותו של הפעוט במעון, אליו הוא התרגל, ולהחזירו לביתו, בו הוא יטופל ויחונך, ברוב שעות היום, על ידי רעיית האברך. אם רעיית האברך עובדת לפרנסת המשפחה, היא תידרש לבחון את האפשרות לעזוב את עבודתה בהודעה קצרה, אם בכלל, חרף ההתחייבות שיכול שנתנה למעבידה, ולוותר על הפרנסה, ואף על קריירה אפשרית. גם החלטה זו איננה פשוטה כלל ועיקר, כמו גם עצם הוצאתו המיידית, או כמעט מיידית, של הפעוט ממעון היום </w:t>
      </w:r>
      <w:r>
        <w:rPr>
          <w:rtl/>
        </w:rPr>
        <w:t>–</w:t>
      </w:r>
      <w:r>
        <w:rPr>
          <w:rFonts w:hint="cs"/>
          <w:rtl/>
        </w:rPr>
        <w:t xml:space="preserve"> דבר שעלול לעכב את התפתחותו ולפגוע ברווחתו. </w:t>
      </w:r>
    </w:p>
    <w:p w:rsidR="00CB2DF1" w:rsidRDefault="00CB2DF1" w:rsidP="00CB2DF1">
      <w:pPr>
        <w:pStyle w:val="Ruller4"/>
        <w:rPr>
          <w:rtl/>
        </w:rPr>
      </w:pPr>
      <w:r>
        <w:rPr>
          <w:rFonts w:hint="cs"/>
          <w:rtl/>
        </w:rPr>
        <w:t xml:space="preserve">מטעמים אלה, המשיבים חייבים לקבוע הוראת מעבר שתאפשר למשפחות האברכים לבחון את מצבן כיאות ולהיערך למצב החדש. באומרי זאת, איני בא לגרוע מסמכות השרים לעצב את מדיניות הסבסוד ותמריצי תעסוקה כחוכמתם </w:t>
      </w:r>
      <w:r>
        <w:rPr>
          <w:rtl/>
        </w:rPr>
        <w:t>–</w:t>
      </w:r>
      <w:r>
        <w:rPr>
          <w:rFonts w:hint="cs"/>
          <w:rtl/>
        </w:rPr>
        <w:t xml:space="preserve"> לשם כך הם נבחרו על ידי העם ומונו לכהן כשרים. השרים בלי ספק רשאים לקבוע וליישם מדיניות זו, ולא מצאתי כל רבב ברצונם לממש את מדיניותם בנושא הסבסוד באופן מיידי. ברם, השרים חייבים לעשות כן בהתאם לכללי המשפט המינהלי, שכאמור כוללים דרישה להוראת מעבר. בהינתן ההסתמכות של משפחות </w:t>
      </w:r>
      <w:r>
        <w:rPr>
          <w:rFonts w:hint="cs"/>
          <w:rtl/>
        </w:rPr>
        <w:lastRenderedPageBreak/>
        <w:t xml:space="preserve">האברכים על כך שהסבסוד לא יבוטל באופן מיידי, אלא רק לאחר מתן הודעה מוקדמת על ביטולו </w:t>
      </w:r>
      <w:r>
        <w:rPr>
          <w:rtl/>
        </w:rPr>
        <w:t>–</w:t>
      </w:r>
      <w:r>
        <w:rPr>
          <w:rFonts w:hint="cs"/>
          <w:rtl/>
        </w:rPr>
        <w:t xml:space="preserve"> הודעה אשר תותיר בידי המשפחות זמן סביר להתארגנות ולהיערכות שתמנענה שיבושים ניכרים בחייהן </w:t>
      </w:r>
      <w:r>
        <w:rPr>
          <w:rtl/>
        </w:rPr>
        <w:t>–</w:t>
      </w:r>
      <w:r>
        <w:rPr>
          <w:rFonts w:hint="cs"/>
          <w:rtl/>
        </w:rPr>
        <w:t xml:space="preserve"> החובה לקבוע הוראת מעבר מתאימה להפסקת תחולתם של מבחני התמיכה הישנים הינה ברורה ואף מובנת מאליה.</w:t>
      </w:r>
    </w:p>
    <w:p w:rsidR="00CB2DF1" w:rsidRDefault="00CB2DF1" w:rsidP="00CB2DF1">
      <w:pPr>
        <w:pStyle w:val="Ruller4"/>
        <w:rPr>
          <w:rtl/>
        </w:rPr>
      </w:pPr>
      <w:r>
        <w:rPr>
          <w:rFonts w:hint="cs"/>
          <w:rtl/>
        </w:rPr>
        <w:t xml:space="preserve">בהקשר זה, חובה עלינו לזכור שזכויות רווחה הן בגדר ברכה ולא קללה (ראו: בג"ץ 10662/04 </w:t>
      </w:r>
      <w:r w:rsidRPr="00621A8C">
        <w:rPr>
          <w:rFonts w:ascii="Century" w:hAnsi="Century" w:cs="Miriam" w:hint="cs"/>
          <w:b/>
          <w:spacing w:val="0"/>
          <w:sz w:val="22"/>
          <w:szCs w:val="24"/>
          <w:rtl/>
        </w:rPr>
        <w:t>חסן נ' המוסד לביטוח לאומי</w:t>
      </w:r>
      <w:r>
        <w:rPr>
          <w:rFonts w:hint="cs"/>
          <w:rtl/>
        </w:rPr>
        <w:t xml:space="preserve">, פ"ד סה(1) 782 (2012); וכן ראו והשוו: בג"ץ 6451/18 </w:t>
      </w:r>
      <w:r w:rsidRPr="00621A8C">
        <w:rPr>
          <w:rFonts w:ascii="Century" w:hAnsi="Century" w:cs="Miriam" w:hint="cs"/>
          <w:b/>
          <w:spacing w:val="0"/>
          <w:sz w:val="22"/>
          <w:szCs w:val="24"/>
          <w:rtl/>
        </w:rPr>
        <w:t>חיון נ' בית הדין הארצי לעבודה</w:t>
      </w:r>
      <w:r w:rsidRPr="00621A8C">
        <w:rPr>
          <w:rFonts w:ascii="Century" w:hAnsi="Century" w:hint="cs"/>
          <w:sz w:val="22"/>
          <w:rtl/>
        </w:rPr>
        <w:t xml:space="preserve">, פסקה 31 לפסק דינה של השופטת </w:t>
      </w:r>
      <w:r w:rsidRPr="00621A8C">
        <w:rPr>
          <w:rFonts w:ascii="Century" w:hAnsi="Century" w:cs="Miriam" w:hint="cs"/>
          <w:b/>
          <w:spacing w:val="0"/>
          <w:sz w:val="22"/>
          <w:szCs w:val="24"/>
          <w:rtl/>
        </w:rPr>
        <w:t xml:space="preserve">ע' ברון </w:t>
      </w:r>
      <w:r w:rsidRPr="00621A8C">
        <w:rPr>
          <w:rFonts w:ascii="Century" w:hAnsi="Century" w:hint="cs"/>
          <w:sz w:val="22"/>
          <w:rtl/>
        </w:rPr>
        <w:t>(19.7.2021)</w:t>
      </w:r>
      <w:r>
        <w:rPr>
          <w:rFonts w:hint="cs"/>
          <w:rtl/>
        </w:rPr>
        <w:t xml:space="preserve">). בגדרו של משפט רווחה, מקבליהם של תשלומי רווחה וסובסידיות לסוגיהם אינם מאבדים שום זכות הנתונה לאזרח מן השורה. היזקקותם לתשלומי רווחה אינה גורעת כהוא זה מכבודם וממעמדם כאזרחים שווי זכויות, ועל כן אין להתייחס אליהם כאל חיילים בלוח השחמט, שאותם ניתן להזיז ממקום למקום כדי לקדם את תכנית-העל של מי שמנהל את המשחק. כל אדם הוא עולם ומלואו, והשלטון, כנאמן הציבור, חייב להימנע, ככל שניתן, מלשבש את עולמו. </w:t>
      </w:r>
    </w:p>
    <w:p w:rsidR="00CB2DF1" w:rsidRDefault="00CB2DF1" w:rsidP="00CB2DF1">
      <w:pPr>
        <w:pStyle w:val="Ruller4"/>
        <w:rPr>
          <w:rtl/>
        </w:rPr>
      </w:pPr>
      <w:r>
        <w:rPr>
          <w:rFonts w:hint="cs"/>
          <w:rtl/>
        </w:rPr>
        <w:t>דבריי האחרונים מכוונים במיוחד אל טענת המשיבים לפיה משפחות האברכים לא תסבולנה ולא תחווינה קשיים משמעותיים עקב הוצאת פעוטותיהן ממעונות היום. לנוכח התרחישים האפשריים שמניתי לעיל, טענה זו אינה מקובלת עלי כלל ועיקר; ואציין כי למשיבים לא היה מענה ברור לשאלתי במהלך הדיון באשר לבחינת ההשלכות שתהיינה להוצאה המונית של ילדי משפחות האברכים ממעונות היום. בנסיבות אלה, אסתפק בלומר רק זאת: "היד הנעלמה" של אדם סמית אינה יכולה להאכיל פעוט, לחנכו ולספק לו את צרכי היומיום.</w:t>
      </w:r>
    </w:p>
    <w:p w:rsidR="00CB2DF1" w:rsidRDefault="00CB2DF1" w:rsidP="00CB2DF1">
      <w:pPr>
        <w:pStyle w:val="Ruller4"/>
      </w:pPr>
      <w:r>
        <w:rPr>
          <w:rFonts w:hint="cs"/>
          <w:rtl/>
        </w:rPr>
        <w:t xml:space="preserve">המשיבים טענו כי הפרסומים בתקשורת על אודות ההחלטה בדבר ביטול הסבסוד שעמדה להתקבל שומטים את הקרקע מתחת לטענת ההסתמכות שבפי העותרים. בהקשר זה, </w:t>
      </w:r>
      <w:r>
        <w:rPr>
          <w:rFonts w:hint="cs"/>
          <w:rtl/>
        </w:rPr>
        <w:lastRenderedPageBreak/>
        <w:t xml:space="preserve">נטען כי משפחות האברכים היו אמורות לצפות את ביטול הסבסוד המתקרב ובא, והיה עליהן להיערך לקראתו בהתאם מבעוד מועד. </w:t>
      </w:r>
    </w:p>
    <w:p w:rsidR="00CB2DF1" w:rsidRDefault="00CB2DF1" w:rsidP="00CB2DF1">
      <w:pPr>
        <w:pStyle w:val="Ruller4"/>
      </w:pPr>
      <w:r>
        <w:rPr>
          <w:rFonts w:hint="cs"/>
          <w:rtl/>
        </w:rPr>
        <w:t xml:space="preserve">בטענה זו אין ממש. הממשלה אינה מנהלת דו-שיח רשמי עם אזרחים באמצעות הודעות לתקשורת. בהיעדר הודעה רשמית מטעם הממשלה, למשפחות האברכים לא היתה כל סיבה לשנות את אורח חייהם. ההודעות לתקשורת מטעם הממשלה היו כלליות: הן דיברו על הכיוון העקרוני של ביטול סובסידיות למשפחות האברכים שאינן ממצות את כושר ההשתכרות, מבלי להיכנס לפרטים הקטנים. הודעות אלה לא הכילו פרטים על מבחני התמיכה החדשים וממילא לא המליצו על שום קו פעולה קונקרטי למשפחות האברכים שבדעתן לשמור את הסבסוד בידיהן כנגד הרחבת תעסוקתן. לא זו אף זו: ההודעות פורסמו ברבים רק כחודש לפני פתיחת שנת הלמודים התשפ"ב </w:t>
      </w:r>
      <w:r>
        <w:rPr>
          <w:rtl/>
        </w:rPr>
        <w:t>–</w:t>
      </w:r>
      <w:r>
        <w:rPr>
          <w:rFonts w:hint="cs"/>
          <w:rtl/>
        </w:rPr>
        <w:t xml:space="preserve"> וכחודשיים אחרי שרישום הפעוטות למעונות היום הסתיים. פרסום זה הותיר אפוא את משפחות האברכים ללא אפשרות מעשית לשנות את אורח חייהן בזמן שנותר. קביעתה של מסגרת חינוך לילד או לילדה הינה, בלי ספק, החלטה משמעותית למשפחה </w:t>
      </w:r>
      <w:r>
        <w:rPr>
          <w:rtl/>
        </w:rPr>
        <w:t>–</w:t>
      </w:r>
      <w:r>
        <w:rPr>
          <w:rFonts w:hint="cs"/>
          <w:rtl/>
        </w:rPr>
        <w:t xml:space="preserve"> זאת, הן מחמת רצון ההורים להעמיד מסגרת חינוך מיטבית לילדיהם, והן מסיבות כלכליות הקשורות לגובה שכר הלימוד. בנסיבות אלה, הודעה על ביטול הסבסוד או על שינוי בתנאיו חייבת להימסר באופן רשמי ובדרך שתאפשר להורים למצוא עבור ילדיהם </w:t>
      </w:r>
      <w:r>
        <w:rPr>
          <w:rtl/>
        </w:rPr>
        <w:t>–</w:t>
      </w:r>
      <w:r>
        <w:rPr>
          <w:rFonts w:hint="cs"/>
          <w:rtl/>
        </w:rPr>
        <w:t xml:space="preserve"> מבעוד מועד </w:t>
      </w:r>
      <w:r>
        <w:rPr>
          <w:rtl/>
        </w:rPr>
        <w:t>–</w:t>
      </w:r>
      <w:r>
        <w:rPr>
          <w:rFonts w:hint="cs"/>
          <w:rtl/>
        </w:rPr>
        <w:t xml:space="preserve"> מסגרת חינוך שתתאים להם מבחינת התכנים והעלויות כאחד. אציין כי איני רואה מקום להתייחס לדיון בנושא הסבסוד של מעונות היום אשר נערך בוועדת הכספים של הכנסת בחודש מאי 2021 </w:t>
      </w:r>
      <w:r>
        <w:rPr>
          <w:rtl/>
        </w:rPr>
        <w:t>–</w:t>
      </w:r>
      <w:r>
        <w:rPr>
          <w:rFonts w:hint="cs"/>
          <w:rtl/>
        </w:rPr>
        <w:t xml:space="preserve"> זאת, מאחר שדיון זה הסתיים ללא החלטה ברורה וללא הודעה רשמית על גורל הסבסוד ותנאיו.</w:t>
      </w:r>
    </w:p>
    <w:p w:rsidR="00CB2DF1" w:rsidRPr="00EF2FD2" w:rsidRDefault="00CB2DF1" w:rsidP="00CB2DF1">
      <w:pPr>
        <w:pStyle w:val="Ruller4"/>
      </w:pPr>
      <w:r>
        <w:rPr>
          <w:rFonts w:hint="cs"/>
          <w:rtl/>
        </w:rPr>
        <w:t>זכאותן של משפחות האברכים להוראת מעבר סבירה ומידתית לא יכולה אפוא להיות מוטלת בספק. מה תהא הוראת מעבר מספקת בנסיבות העניין?</w:t>
      </w:r>
      <w:r w:rsidRPr="00EF2FD2">
        <w:rPr>
          <w:rFonts w:ascii="Century" w:hAnsi="Century" w:hint="cs"/>
          <w:sz w:val="22"/>
          <w:rtl/>
        </w:rPr>
        <w:t xml:space="preserve"> בשאלה זו אני עובר לדון כעת.</w:t>
      </w:r>
    </w:p>
    <w:p w:rsidR="00CB2DF1" w:rsidRPr="004A4F0F" w:rsidRDefault="00CB2DF1" w:rsidP="00CB2DF1">
      <w:pPr>
        <w:pStyle w:val="Ruller41"/>
        <w:spacing w:before="240" w:after="100" w:afterAutospacing="1"/>
        <w:rPr>
          <w:rFonts w:ascii="Century" w:hAnsi="Century" w:cs="Miriam"/>
          <w:b/>
          <w:spacing w:val="0"/>
          <w:szCs w:val="24"/>
          <w:rtl/>
        </w:rPr>
      </w:pPr>
      <w:r w:rsidRPr="004A4F0F">
        <w:rPr>
          <w:rFonts w:ascii="Century" w:hAnsi="Century" w:cs="Miriam" w:hint="cs"/>
          <w:b/>
          <w:spacing w:val="0"/>
          <w:szCs w:val="24"/>
          <w:rtl/>
        </w:rPr>
        <w:t>מהו אורכה הראוי והמתחייב של תקופת המעבר</w:t>
      </w:r>
      <w:r>
        <w:rPr>
          <w:rFonts w:ascii="Century" w:hAnsi="Century" w:cs="Miriam" w:hint="cs"/>
          <w:b/>
          <w:spacing w:val="0"/>
          <w:szCs w:val="24"/>
          <w:rtl/>
        </w:rPr>
        <w:t>, ו</w:t>
      </w:r>
      <w:r w:rsidRPr="009D3E6F">
        <w:rPr>
          <w:rFonts w:ascii="Century" w:hAnsi="Century" w:cs="Miriam" w:hint="cs"/>
          <w:b/>
          <w:spacing w:val="0"/>
          <w:szCs w:val="24"/>
          <w:rtl/>
        </w:rPr>
        <w:t>האם הוראת המעבר שנקבעה מספקת</w:t>
      </w:r>
      <w:r w:rsidRPr="004A4F0F">
        <w:rPr>
          <w:rFonts w:ascii="Century" w:hAnsi="Century" w:cs="Miriam" w:hint="cs"/>
          <w:b/>
          <w:spacing w:val="0"/>
          <w:szCs w:val="24"/>
          <w:rtl/>
        </w:rPr>
        <w:t>?</w:t>
      </w:r>
    </w:p>
    <w:p w:rsidR="00CB2DF1" w:rsidRDefault="00CB2DF1" w:rsidP="00CB2DF1">
      <w:pPr>
        <w:pStyle w:val="Ruller4"/>
      </w:pPr>
      <w:r>
        <w:rPr>
          <w:rFonts w:hint="cs"/>
          <w:rtl/>
        </w:rPr>
        <w:lastRenderedPageBreak/>
        <w:t xml:space="preserve">המשיבים טוענים כי הוראת המעבר, אשר נקבעה בסופו של יום, מאפשרת למשפחות האברכים להתאים את חייהן לשינוי המדיניות. בעניין זה נטען כי דמי הביטוח הלאומי המשולמים למובטלים בקבוצות גיל של עד 35 במשק בית של עד שני ילדים משולמים לתקופה שלא תעלה על ארבעה חודשים, מתוך הנחה שזו תקופה מספיקה למציאתה של תעסוקה חלופית או של הכשרה מקצועית. מכאן מבקשים המשיבים להסיק שהוראת המעבר, אשר קבעה כי מבחני התמיכה הישנים ימשיכו לחול לתקופה של למעלה מחמישה חודשים, מותירה פרק זמן סביר למציאת תעסוקה או הכשרה מקצועית. </w:t>
      </w:r>
    </w:p>
    <w:p w:rsidR="00CB2DF1" w:rsidRDefault="00CB2DF1" w:rsidP="00CB2DF1">
      <w:pPr>
        <w:pStyle w:val="Ruller4"/>
        <w:rPr>
          <w:rtl/>
        </w:rPr>
      </w:pPr>
      <w:r>
        <w:rPr>
          <w:rFonts w:hint="cs"/>
          <w:rtl/>
        </w:rPr>
        <w:t xml:space="preserve">לא מצאתי ממש בטענה זו. גודל המשימה של מציאת תעסוקה חלופית הולמת ואיתור המסגרת המתאימה להכשרה מקצועית הם עניין עובדתי-אמפירי ולא נורמטיבי. עמידה במשימה כאמור באמצע שנת-לימודים, כשהאדם נדרש להוציא את ילדיו ממעון היום בשל היעדר יכולת לשלם את שכר הלימוד </w:t>
      </w:r>
      <w:r>
        <w:rPr>
          <w:rtl/>
        </w:rPr>
        <w:t>–</w:t>
      </w:r>
      <w:r>
        <w:rPr>
          <w:rFonts w:hint="cs"/>
          <w:rtl/>
        </w:rPr>
        <w:t xml:space="preserve"> הינה קשה מנשוא עבור משפחות אברכים רבות.</w:t>
      </w:r>
    </w:p>
    <w:p w:rsidR="00CB2DF1" w:rsidRDefault="00CB2DF1" w:rsidP="00CB2DF1">
      <w:pPr>
        <w:pStyle w:val="Ruller4"/>
      </w:pPr>
      <w:r>
        <w:rPr>
          <w:rFonts w:hint="cs"/>
          <w:rtl/>
        </w:rPr>
        <w:t>לאור מכלול הנסיבות, סבורני אפוא כי נכון נעשה אם נחליט כי הוראת המעבר בענייננו צריכה לקבוע שמבחני התמיכה הישנים ימשיכו לחול, במקביל למבחני התמיכה החדשים, עד לסוף שנת הלימודים הנוכחית, התשפ"ב. תקופה מעבר קצרה מכך תהא בהכרח בלתי מידתית ובלתי סבירה באופן קיצוני.</w:t>
      </w:r>
    </w:p>
    <w:p w:rsidR="00CB2DF1" w:rsidRDefault="00CB2DF1" w:rsidP="00CB2DF1">
      <w:pPr>
        <w:pStyle w:val="Ruller4"/>
        <w:numPr>
          <w:ilvl w:val="0"/>
          <w:numId w:val="0"/>
        </w:numPr>
        <w:rPr>
          <w:rtl/>
        </w:rPr>
      </w:pPr>
      <w:r>
        <w:rPr>
          <w:rtl/>
        </w:rPr>
        <w:tab/>
      </w:r>
      <w:r>
        <w:rPr>
          <w:rFonts w:hint="cs"/>
          <w:rtl/>
        </w:rPr>
        <w:t xml:space="preserve">אסביר את דבריי. </w:t>
      </w:r>
    </w:p>
    <w:p w:rsidR="00CB2DF1" w:rsidRDefault="00CB2DF1" w:rsidP="00CB2DF1">
      <w:pPr>
        <w:pStyle w:val="Ruller4"/>
      </w:pPr>
      <w:r>
        <w:rPr>
          <w:rFonts w:hint="cs"/>
          <w:rtl/>
        </w:rPr>
        <w:t xml:space="preserve">כפי שכבר צויין על ידי, מזה שנים רבות המדינה מסבסדת את שכר הלימוד במעונות היום למשפחות האברכים. בפעמיים הקודמות בהן הוחלט על שינוי מדיניות בעניין זה </w:t>
      </w:r>
      <w:r>
        <w:rPr>
          <w:rtl/>
        </w:rPr>
        <w:t>–</w:t>
      </w:r>
      <w:r>
        <w:rPr>
          <w:rFonts w:hint="cs"/>
          <w:rtl/>
        </w:rPr>
        <w:t xml:space="preserve"> בהחלטה 149 בדבר ביטול הסבסוד ובהחלטה מאוחרת יותר על חידושו </w:t>
      </w:r>
      <w:r>
        <w:rPr>
          <w:rtl/>
        </w:rPr>
        <w:t>–</w:t>
      </w:r>
      <w:r>
        <w:rPr>
          <w:rFonts w:hint="cs"/>
          <w:rtl/>
        </w:rPr>
        <w:t xml:space="preserve">ההחלטה שקיבלה הממשלה לא נכנסה לתוקף בשנת הלימודים שהתנהלה באותה עת, ובהחלטה 149 ההחלטה </w:t>
      </w:r>
      <w:r>
        <w:rPr>
          <w:rFonts w:hint="cs"/>
          <w:rtl/>
        </w:rPr>
        <w:lastRenderedPageBreak/>
        <w:t xml:space="preserve">נכנסה לתוקף כשנה וחצי אחרי קבלתה. יתרה מכך: ביטול הסבסוד שנקבע בשעתו היה מדורג ולא מוחלט. </w:t>
      </w:r>
    </w:p>
    <w:p w:rsidR="00CB2DF1" w:rsidRDefault="00CB2DF1" w:rsidP="00CB2DF1">
      <w:pPr>
        <w:pStyle w:val="Ruller4"/>
      </w:pPr>
      <w:r>
        <w:rPr>
          <w:rFonts w:hint="cs"/>
          <w:rtl/>
        </w:rPr>
        <w:t xml:space="preserve">פרקטיקה זו, הגם שהיא עדיין לא הגיעה לכדי נוהג, מסמנת את סוף שנת הלימודים התשפ"ב כסופה של תקופת המעבר הנכונה והראויה בענייננו. מסגרת הלימוד מהווה עבור משפחות רבות "עוגן" סביבו מתכננת המשפחה את חייה למשך שנת הלימודים כולה. דבר זה בא לידי ביטוי בהיבטים רבים ומהותיים, ובהם אפילו בחירת מקום המגורים. עלותן הגבוהה של מסגרות הלימוד לפעוטות מביאה לכך שבמקרים רבים תקציב המשפחה לשנה הקרובה מתוכנן מסביב לשכר הלימוד. דומני כי לא תהא זו הגזמה מצדי אם אומר שמשפחות עם ילדים </w:t>
      </w:r>
      <w:r>
        <w:rPr>
          <w:rtl/>
        </w:rPr>
        <w:t>–</w:t>
      </w:r>
      <w:r>
        <w:rPr>
          <w:rFonts w:hint="cs"/>
          <w:rtl/>
        </w:rPr>
        <w:t xml:space="preserve"> ובפרט, משפחות מרובות ילדים ודלות אמצעים </w:t>
      </w:r>
      <w:r>
        <w:rPr>
          <w:rtl/>
        </w:rPr>
        <w:t>–</w:t>
      </w:r>
      <w:r>
        <w:rPr>
          <w:rFonts w:hint="cs"/>
          <w:rtl/>
        </w:rPr>
        <w:t xml:space="preserve"> חיות את חייהן משנת לימודים אחת לשנייה. עבור משפחות כאלה, שינוי במסגרת הלימודים של ילד או ילדה באמצעה של שנת לימודים והנטל הכספי, הכרוך בכך לעתים קרובות, מציבים קושי של ממש אשר מגיע כדי שיבוש בחיי היומיום. על השלכותיו של שיבוש כאמור כבר עמדתי ולא אחזור על הדברים שאמרתי.</w:t>
      </w:r>
    </w:p>
    <w:p w:rsidR="00CB2DF1" w:rsidRDefault="00CB2DF1" w:rsidP="00CB2DF1">
      <w:pPr>
        <w:pStyle w:val="Ruller4"/>
        <w:rPr>
          <w:rtl/>
        </w:rPr>
      </w:pPr>
      <w:r>
        <w:rPr>
          <w:rFonts w:hint="cs"/>
          <w:rtl/>
        </w:rPr>
        <w:t xml:space="preserve">ומכאן לעיקרון השוויון. מצב הדברים שבו עסקינן דומה בעיניי לסבסוד של שכר הלימוד האוניברסיטאי. כידוע, שכר הלימוד באוניברסיטאות בישראל איננו נקבע על ידי כוחות השוק כי אם על-ידי המדינה, אשר גם מסבסדת אותו באמצעות תמיכה כספית במוסדות הלימוד. לפיכך, שאלתי את באת-כוח המשיבים במהלך הדיון בהתנגדות לצו-על-תנאי האם ניתן להעלות את שכר הלימוד במהלכה של שנת הלימודים האקדמית </w:t>
      </w:r>
      <w:r>
        <w:rPr>
          <w:rtl/>
        </w:rPr>
        <w:t>–</w:t>
      </w:r>
      <w:r>
        <w:rPr>
          <w:rFonts w:hint="cs"/>
          <w:rtl/>
        </w:rPr>
        <w:t xml:space="preserve"> וזאת בכלל או עבור הסטודנטים שיכולים לעבוד ולפרנס את עצמם. לשאלתי זו השיבה באת-כוח המשיבים כי מהלך כזה איננו אפשרי מאחר ששכר הלימוד האוניברסיטאי הוא שנתי, בשונה משכר הלימוד החודשי אשר נגבה על ידי מעונות היום (ראו: עמוד 5 שורות 14-10 לפרוטוקול הדיון מיום 27.12.2021). </w:t>
      </w:r>
    </w:p>
    <w:p w:rsidR="00CB2DF1" w:rsidRDefault="00CB2DF1" w:rsidP="00CB2DF1">
      <w:pPr>
        <w:pStyle w:val="Ruller4"/>
        <w:rPr>
          <w:rtl/>
        </w:rPr>
      </w:pPr>
      <w:r>
        <w:rPr>
          <w:rFonts w:hint="cs"/>
          <w:rtl/>
        </w:rPr>
        <w:lastRenderedPageBreak/>
        <w:t xml:space="preserve">בכל הכבוד, תשובה זו איננה מספקת. השאלה ששאלתי התייחסה, כמובן, לא לאופן פריסת התשלומים, אלא למועד שבו ההחלטה בדבר גובה שכר הלימוד אמורה להיכנס לתוקף במסגרת הוראת המעבר. ברי הוא, כי איש לא יעלה על הדעת שהחלטה בדבר העלאת שכר הלימוד האוניברסיטאי יכולה להיכנס לתוקף במהלכה של שנת הלימודים שבגינה נגבה השכר, או בסמוך לפניה. אשר על כן, הממשלה אינה יכולה להעלות </w:t>
      </w:r>
      <w:r>
        <w:rPr>
          <w:rtl/>
        </w:rPr>
        <w:t>–</w:t>
      </w:r>
      <w:r>
        <w:rPr>
          <w:rFonts w:hint="cs"/>
          <w:rtl/>
        </w:rPr>
        <w:t xml:space="preserve"> ונראה שגם לא תנסה להעלות </w:t>
      </w:r>
      <w:r>
        <w:rPr>
          <w:rtl/>
        </w:rPr>
        <w:t>–</w:t>
      </w:r>
      <w:r>
        <w:rPr>
          <w:rFonts w:hint="cs"/>
          <w:rtl/>
        </w:rPr>
        <w:t xml:space="preserve"> את שכר הלימוד השנתי באוניברסיטאות באמצעה של שנת לימודים. בהקשר זה אעיר שההשפעה של שנת הלימודים במעונות היום על חייהם של הנוגעים בדבר </w:t>
      </w:r>
      <w:r>
        <w:rPr>
          <w:rtl/>
        </w:rPr>
        <w:t>–</w:t>
      </w:r>
      <w:r>
        <w:rPr>
          <w:rFonts w:hint="cs"/>
          <w:rtl/>
        </w:rPr>
        <w:t xml:space="preserve"> משפחת האברך וילדיה </w:t>
      </w:r>
      <w:r>
        <w:rPr>
          <w:rtl/>
        </w:rPr>
        <w:t>–</w:t>
      </w:r>
      <w:r>
        <w:rPr>
          <w:rFonts w:hint="cs"/>
          <w:rtl/>
        </w:rPr>
        <w:t xml:space="preserve"> הינה משמעותית הרבה יותר מהשפעת שנת הלימודים האקדמית. בעוד ששנת הלימודים במעונות היום משפיעה על משפחה שלמה, שנת הלימודים האקדמית משפיעה, ברגיל, רק על חייו של הסטודנט. בנסיבות אלה, אם לא ניתן לשנות את שכר הלימוד האוניברסיטאי באמצע השנה ואף בסמוך לתחילתה, ברי הוא שלא ניתן לעשות כן ביחס למעונות היום.</w:t>
      </w:r>
    </w:p>
    <w:p w:rsidR="00CB2DF1" w:rsidRDefault="00CB2DF1" w:rsidP="00CB2DF1">
      <w:pPr>
        <w:pStyle w:val="Ruller4"/>
      </w:pPr>
      <w:r>
        <w:rPr>
          <w:rFonts w:hint="cs"/>
          <w:rtl/>
        </w:rPr>
        <w:t xml:space="preserve">מכאן לדוגמא אחרת. נניח שהכנסת תחליט לשנות את סעיף 6 לחוק לימוד חובה, התש"ט-1948, בהוראת חוק אשר תקבע כי זכות הקטין ללימוד חינם במוסד חינוך רשמי תהא מותנית במיצוי כושר ההשתכרות של הוריו. מבלי לקבוע מסמרות, אני מעריך שהכנסת מוסמכת לחוקק הוראה זו. אלא מאי? סבורני כי הוראה כאמור עשויה שלא לשרוד את הביקורת החוקתית אם הכנסת תבקש להחילה במהלך שנת הלימודים ואפילו חודש או חודשיים לפני תחילתה. אם כך הוא הדבר, מהו ההבדל בין מקרה היפותטי זה לבין החלטת המשיבים לבטל את הסבסוד של שכר הלימוד אשר נגבה על ידי מעונות היום במהלכה של שנת הלימודים? סבורני כי מדובר במצבים הזהים זה לזה באופן מהותי. </w:t>
      </w:r>
    </w:p>
    <w:p w:rsidR="00CB2DF1" w:rsidRPr="00360633" w:rsidRDefault="00CB2DF1" w:rsidP="00CB2DF1">
      <w:pPr>
        <w:pStyle w:val="Ruller4"/>
        <w:rPr>
          <w:rtl/>
        </w:rPr>
      </w:pPr>
      <w:r>
        <w:rPr>
          <w:rFonts w:hint="cs"/>
          <w:rtl/>
        </w:rPr>
        <w:t xml:space="preserve">מכאן עולה שהוראת המעבר אשר נקבעה, בסופו של יום, על ידי המשיבים איננה מבוססת על אמות מידה כלליות אשר תוחלנה על ידי המדינה בכל המקרים הדומים. הווה אומר: </w:t>
      </w:r>
      <w:r>
        <w:rPr>
          <w:rFonts w:hint="cs"/>
          <w:rtl/>
        </w:rPr>
        <w:lastRenderedPageBreak/>
        <w:t>החלטת המשיבים בנוגע להוראת מעבר זו אינה מלווה במחויבות ברורה של המדינה לקבל את אותה החלטה ממש, על יסוד אותם שיקולים, בכל מקרה דומה, ולא רק במקרה שבו עסקינן. פירושו של דבר הוא שקיים ספק ממשי באשר ליכולתה של ההחלטה מושא העתירות לעמוד בדרישותיו של עיקרון השוויון. מסקנה זו, אף היא תומכת בהרחבתה של תקופת המעבר באופן שימנע את החלתו של ביטול הסבסוד במהלכה של שנת הלימודים הנוכחית.</w:t>
      </w:r>
    </w:p>
    <w:p w:rsidR="00CB2DF1" w:rsidRDefault="00CB2DF1" w:rsidP="00CB2DF1">
      <w:pPr>
        <w:pStyle w:val="Ruller4"/>
        <w:rPr>
          <w:rFonts w:ascii="Century" w:hAnsi="Century"/>
          <w:sz w:val="22"/>
          <w:rtl/>
        </w:rPr>
      </w:pPr>
      <w:r>
        <w:rPr>
          <w:rFonts w:hint="cs"/>
          <w:rtl/>
        </w:rPr>
        <w:t xml:space="preserve">לבסוף, אציין, במאמר מוסגר, כי טענת המשיבים לפיה אין מניעה לשנות את אופן הסבסוד במהלך שנת הלימודים סותרת את טענתם (המסבירה את העיכובים שחלו בגיבוש המדיניות החדשה) לפיה ממשלת המעבר לא הייתה רשאית לקבל החלטה בנוגע לשנת הלימודים התשפ"ב </w:t>
      </w:r>
      <w:r>
        <w:rPr>
          <w:rtl/>
        </w:rPr>
        <w:t>–</w:t>
      </w:r>
      <w:r>
        <w:rPr>
          <w:rFonts w:hint="cs"/>
          <w:rtl/>
        </w:rPr>
        <w:t xml:space="preserve"> זאת, מאחר שהחלטה כאמור הייתה כובלת את ידי הממשלה החדשה. הטענה שהחלטת ממשלת המעבר הייתה כובלת את ידי הממשלה החדשה מניחה, מניה וביה, כי יש לראות בשנת הלימודים יחידה שלמה, אשר לא ניתן לשנות החלטות סבסוד בעניינה </w:t>
      </w:r>
      <w:r>
        <w:rPr>
          <w:rFonts w:ascii="Century" w:hAnsi="Century" w:hint="cs"/>
          <w:sz w:val="22"/>
          <w:rtl/>
        </w:rPr>
        <w:t xml:space="preserve">במהלכה או בסמוך לפני תחילתה. </w:t>
      </w:r>
      <w:r>
        <w:rPr>
          <w:rFonts w:hint="cs"/>
          <w:rtl/>
        </w:rPr>
        <w:t xml:space="preserve">עמדה זו תואמת את עמדתי שלי בנושא, אולם היא אינה עולה בקנה אחד עם טענתם הנוכחית של המשיבים בדבר האפשרות לשנות את הסבסוד במעונות היום </w:t>
      </w:r>
      <w:r w:rsidRPr="00D23528">
        <w:rPr>
          <w:rFonts w:ascii="Century" w:hAnsi="Century" w:cs="Miriam" w:hint="cs"/>
          <w:b/>
          <w:spacing w:val="0"/>
          <w:sz w:val="22"/>
          <w:szCs w:val="24"/>
          <w:rtl/>
        </w:rPr>
        <w:t>בכל עת</w:t>
      </w:r>
      <w:r w:rsidRPr="00D23528">
        <w:rPr>
          <w:rFonts w:ascii="Century" w:hAnsi="Century" w:hint="cs"/>
          <w:sz w:val="22"/>
          <w:rtl/>
        </w:rPr>
        <w:t xml:space="preserve">. </w:t>
      </w:r>
    </w:p>
    <w:p w:rsidR="00CB2DF1" w:rsidRDefault="00CB2DF1" w:rsidP="00CB2DF1">
      <w:pPr>
        <w:pStyle w:val="Ruller4"/>
        <w:rPr>
          <w:rFonts w:ascii="Century" w:hAnsi="Century"/>
          <w:sz w:val="22"/>
          <w:rtl/>
        </w:rPr>
      </w:pPr>
      <w:r>
        <w:rPr>
          <w:rFonts w:ascii="Century" w:hAnsi="Century" w:hint="cs"/>
          <w:sz w:val="22"/>
          <w:rtl/>
        </w:rPr>
        <w:t>כמו כן אוסיף בקצירת האומר, כי לבעליהם של מעונות היום אין טענת זכות בעניין הסבסוד ועל כן אינם ראויים לקבל מאתנו שום סעד.</w:t>
      </w:r>
    </w:p>
    <w:p w:rsidR="00CB2DF1" w:rsidRPr="00BC71D0" w:rsidRDefault="00CB2DF1" w:rsidP="00CB2DF1">
      <w:pPr>
        <w:pStyle w:val="Ruller4"/>
      </w:pPr>
      <w:r>
        <w:rPr>
          <w:rFonts w:hint="cs"/>
          <w:rtl/>
        </w:rPr>
        <w:t xml:space="preserve">לסיכום: למשפחות האברכים אין זכות קנויה לקבל סבסוד למעונות היום. עם זאת, משפחות האברכים זכאיות לכך שהרשות השלטונית לא תנקוט בפעולה אשר יש בה כדי לשבש באופן קשה את אורחות חייהן </w:t>
      </w:r>
      <w:r>
        <w:rPr>
          <w:rtl/>
        </w:rPr>
        <w:t>–</w:t>
      </w:r>
      <w:r>
        <w:rPr>
          <w:rFonts w:hint="cs"/>
          <w:rtl/>
        </w:rPr>
        <w:t xml:space="preserve"> מבלי שיינתן להן זמן מספק להיערכות. </w:t>
      </w:r>
      <w:r w:rsidRPr="008F24B6">
        <w:rPr>
          <w:rFonts w:ascii="Century" w:hAnsi="Century" w:cs="Miriam" w:hint="cs"/>
          <w:b/>
          <w:spacing w:val="0"/>
          <w:sz w:val="22"/>
          <w:szCs w:val="24"/>
          <w:rtl/>
        </w:rPr>
        <w:t xml:space="preserve">בנסיבות העניין, </w:t>
      </w:r>
      <w:r w:rsidRPr="00B7544B">
        <w:rPr>
          <w:rFonts w:ascii="Century" w:hAnsi="Century" w:cs="Miriam" w:hint="cs"/>
          <w:b/>
          <w:spacing w:val="0"/>
          <w:sz w:val="22"/>
          <w:szCs w:val="24"/>
          <w:rtl/>
        </w:rPr>
        <w:t>זמן מספק להיערכות הינו עד לסוף שנת הלימודים הנוכחית</w:t>
      </w:r>
      <w:r>
        <w:rPr>
          <w:rFonts w:hint="cs"/>
          <w:rtl/>
        </w:rPr>
        <w:t>.</w:t>
      </w:r>
    </w:p>
    <w:p w:rsidR="00CB2DF1" w:rsidRPr="005600B1" w:rsidRDefault="00CB2DF1" w:rsidP="00CB2DF1">
      <w:pPr>
        <w:pStyle w:val="Ruller4"/>
        <w:numPr>
          <w:ilvl w:val="0"/>
          <w:numId w:val="0"/>
        </w:numPr>
        <w:rPr>
          <w:rFonts w:ascii="Century" w:hAnsi="Century" w:cs="Miriam"/>
          <w:b/>
          <w:spacing w:val="0"/>
          <w:sz w:val="22"/>
          <w:szCs w:val="24"/>
          <w:rtl/>
        </w:rPr>
      </w:pPr>
      <w:r>
        <w:rPr>
          <w:rFonts w:ascii="Century" w:hAnsi="Century" w:cs="Miriam" w:hint="cs"/>
          <w:b/>
          <w:spacing w:val="0"/>
          <w:sz w:val="22"/>
          <w:szCs w:val="24"/>
          <w:rtl/>
        </w:rPr>
        <w:t>סוף דבר</w:t>
      </w:r>
    </w:p>
    <w:p w:rsidR="00CB2DF1" w:rsidRDefault="00CB2DF1" w:rsidP="00CB2DF1">
      <w:pPr>
        <w:pStyle w:val="Ruller4"/>
        <w:rPr>
          <w:rtl/>
        </w:rPr>
      </w:pPr>
      <w:r>
        <w:rPr>
          <w:rFonts w:hint="cs"/>
          <w:rtl/>
        </w:rPr>
        <w:lastRenderedPageBreak/>
        <w:t>מכל הטעמים שמניתי, הנני מציע לחבריי כי נהפוך את הצו-על-תנאי שיצא מלפנינו לצו מוחלט, ונורה כי מבחני התמיכה הישנים ימשיכו לחול, במקביל למבחני התמיכה החדשים, עד לסוף שנת הלימודים הנוכחית, שנת התשפ"ב. נוכח העובדה שהסעד העיקרי שנתבקש בעתירות נדחה, ובהתחשב בשאר הנסיבות, אציע לחבריי שלא נעשה צו להוצאות.</w:t>
      </w:r>
    </w:p>
    <w:p w:rsidR="00FE44B0" w:rsidRDefault="00FE44B0" w:rsidP="00FE44B0">
      <w:pPr>
        <w:pStyle w:val="Ruller41"/>
        <w:jc w:val="right"/>
        <w:rPr>
          <w:rtl/>
        </w:rPr>
      </w:pPr>
      <w:r>
        <w:rPr>
          <w:rFonts w:hint="cs"/>
          <w:rtl/>
        </w:rPr>
        <w:t>ש ו פ ט</w:t>
      </w:r>
    </w:p>
    <w:p w:rsidR="00FE44B0" w:rsidRPr="00FE44B0" w:rsidRDefault="00FE44B0" w:rsidP="00FE44B0">
      <w:pPr>
        <w:pStyle w:val="Ruller41"/>
        <w:jc w:val="right"/>
        <w:rPr>
          <w:rtl/>
        </w:rPr>
      </w:pPr>
    </w:p>
    <w:p w:rsidR="00FE44B0" w:rsidRPr="00482CA7" w:rsidRDefault="00FE44B0" w:rsidP="00FE44B0">
      <w:pPr>
        <w:pStyle w:val="BODYVERDICT"/>
        <w:rPr>
          <w:rFonts w:cs="Miriam"/>
          <w:sz w:val="24"/>
          <w:szCs w:val="24"/>
          <w:u w:val="single"/>
          <w:rtl/>
        </w:rPr>
      </w:pPr>
      <w:r w:rsidRPr="00482CA7">
        <w:rPr>
          <w:rFonts w:cs="Miriam"/>
          <w:sz w:val="24"/>
          <w:szCs w:val="24"/>
          <w:u w:val="single"/>
          <w:rtl/>
        </w:rPr>
        <w:t>השופט ע' גרוסקופף:</w:t>
      </w:r>
    </w:p>
    <w:p w:rsidR="00FE44B0" w:rsidRPr="00482CA7" w:rsidRDefault="00FE44B0" w:rsidP="00FE44B0">
      <w:pPr>
        <w:pStyle w:val="Ruller41"/>
        <w:rPr>
          <w:rtl/>
        </w:rPr>
      </w:pPr>
    </w:p>
    <w:p w:rsidR="00FE44B0" w:rsidRPr="00482CA7" w:rsidRDefault="00FE44B0" w:rsidP="00FE44B0">
      <w:pPr>
        <w:pStyle w:val="Ruller41"/>
        <w:spacing w:before="240" w:after="100" w:afterAutospacing="1"/>
        <w:rPr>
          <w:rtl/>
        </w:rPr>
      </w:pPr>
      <w:r w:rsidRPr="00482CA7">
        <w:rPr>
          <w:rtl/>
        </w:rPr>
        <w:tab/>
      </w:r>
      <w:r w:rsidRPr="00482CA7">
        <w:rPr>
          <w:rFonts w:hint="eastAsia"/>
          <w:rtl/>
        </w:rPr>
        <w:t>אני</w:t>
      </w:r>
      <w:r w:rsidRPr="00482CA7">
        <w:rPr>
          <w:rtl/>
        </w:rPr>
        <w:t xml:space="preserve"> </w:t>
      </w:r>
      <w:r w:rsidRPr="00482CA7">
        <w:rPr>
          <w:rFonts w:hint="eastAsia"/>
          <w:rtl/>
        </w:rPr>
        <w:t>מסכים</w:t>
      </w:r>
      <w:r w:rsidRPr="00482CA7">
        <w:rPr>
          <w:rtl/>
        </w:rPr>
        <w:t xml:space="preserve"> </w:t>
      </w:r>
      <w:r w:rsidRPr="00482CA7">
        <w:rPr>
          <w:rFonts w:hint="eastAsia"/>
          <w:rtl/>
        </w:rPr>
        <w:t>לתוצאה</w:t>
      </w:r>
      <w:r w:rsidRPr="00482CA7">
        <w:rPr>
          <w:rtl/>
        </w:rPr>
        <w:t xml:space="preserve"> </w:t>
      </w:r>
      <w:r w:rsidRPr="00482CA7">
        <w:rPr>
          <w:rFonts w:hint="eastAsia"/>
          <w:rtl/>
        </w:rPr>
        <w:t>אליה</w:t>
      </w:r>
      <w:r w:rsidRPr="00482CA7">
        <w:rPr>
          <w:rtl/>
        </w:rPr>
        <w:t xml:space="preserve"> </w:t>
      </w:r>
      <w:r w:rsidRPr="00482CA7">
        <w:rPr>
          <w:rFonts w:hint="eastAsia"/>
          <w:rtl/>
        </w:rPr>
        <w:t>הגיע</w:t>
      </w:r>
      <w:r w:rsidRPr="00482CA7">
        <w:rPr>
          <w:rtl/>
        </w:rPr>
        <w:t xml:space="preserve"> </w:t>
      </w:r>
      <w:r w:rsidRPr="00482CA7">
        <w:rPr>
          <w:rFonts w:hint="eastAsia"/>
          <w:rtl/>
        </w:rPr>
        <w:t>חברי</w:t>
      </w:r>
      <w:r w:rsidRPr="00482CA7">
        <w:rPr>
          <w:rtl/>
        </w:rPr>
        <w:t xml:space="preserve">, </w:t>
      </w:r>
      <w:r w:rsidRPr="00482CA7">
        <w:rPr>
          <w:rFonts w:hint="eastAsia"/>
          <w:rtl/>
        </w:rPr>
        <w:t>השופט</w:t>
      </w:r>
      <w:r w:rsidRPr="00482CA7">
        <w:rPr>
          <w:rtl/>
        </w:rPr>
        <w:t xml:space="preserve"> </w:t>
      </w:r>
      <w:r w:rsidRPr="00482CA7">
        <w:rPr>
          <w:rFonts w:ascii="Century" w:hAnsi="Century" w:cs="Miriam" w:hint="eastAsia"/>
          <w:b/>
          <w:spacing w:val="0"/>
          <w:szCs w:val="24"/>
          <w:rtl/>
        </w:rPr>
        <w:t>אלכס</w:t>
      </w:r>
      <w:r w:rsidRPr="00482CA7">
        <w:rPr>
          <w:rFonts w:ascii="Century" w:hAnsi="Century" w:cs="Miriam"/>
          <w:b/>
          <w:spacing w:val="0"/>
          <w:szCs w:val="24"/>
          <w:rtl/>
        </w:rPr>
        <w:t xml:space="preserve"> </w:t>
      </w:r>
      <w:r w:rsidRPr="00482CA7">
        <w:rPr>
          <w:rFonts w:ascii="Century" w:hAnsi="Century" w:cs="Miriam" w:hint="eastAsia"/>
          <w:b/>
          <w:spacing w:val="0"/>
          <w:szCs w:val="24"/>
          <w:rtl/>
        </w:rPr>
        <w:t>שטיין</w:t>
      </w:r>
      <w:r w:rsidRPr="00482CA7">
        <w:rPr>
          <w:rtl/>
        </w:rPr>
        <w:t xml:space="preserve">, </w:t>
      </w:r>
      <w:r w:rsidRPr="00482CA7">
        <w:rPr>
          <w:rFonts w:hint="eastAsia"/>
          <w:rtl/>
        </w:rPr>
        <w:t>ולעיקר</w:t>
      </w:r>
      <w:r w:rsidRPr="00482CA7">
        <w:rPr>
          <w:rtl/>
        </w:rPr>
        <w:t xml:space="preserve"> </w:t>
      </w:r>
      <w:r w:rsidRPr="00482CA7">
        <w:rPr>
          <w:rFonts w:hint="eastAsia"/>
          <w:rtl/>
        </w:rPr>
        <w:t>נימוקיו</w:t>
      </w:r>
      <w:r w:rsidRPr="00482CA7">
        <w:rPr>
          <w:rtl/>
        </w:rPr>
        <w:t xml:space="preserve">. </w:t>
      </w:r>
      <w:r w:rsidRPr="00482CA7">
        <w:rPr>
          <w:rFonts w:hint="eastAsia"/>
          <w:rtl/>
        </w:rPr>
        <w:t>אציג</w:t>
      </w:r>
      <w:r w:rsidRPr="00482CA7">
        <w:rPr>
          <w:rtl/>
        </w:rPr>
        <w:t xml:space="preserve"> </w:t>
      </w:r>
      <w:r w:rsidRPr="00482CA7">
        <w:rPr>
          <w:rFonts w:hint="eastAsia"/>
          <w:rtl/>
        </w:rPr>
        <w:t>בתמצית</w:t>
      </w:r>
      <w:r w:rsidRPr="00482CA7">
        <w:rPr>
          <w:rtl/>
        </w:rPr>
        <w:t xml:space="preserve"> </w:t>
      </w:r>
      <w:r w:rsidRPr="00482CA7">
        <w:rPr>
          <w:rFonts w:hint="eastAsia"/>
          <w:rtl/>
        </w:rPr>
        <w:t>את</w:t>
      </w:r>
      <w:r w:rsidRPr="00482CA7">
        <w:rPr>
          <w:rtl/>
        </w:rPr>
        <w:t xml:space="preserve"> </w:t>
      </w:r>
      <w:r w:rsidRPr="00482CA7">
        <w:rPr>
          <w:rFonts w:hint="eastAsia"/>
          <w:rtl/>
        </w:rPr>
        <w:t>הדרך</w:t>
      </w:r>
      <w:r w:rsidRPr="00482CA7">
        <w:rPr>
          <w:rtl/>
        </w:rPr>
        <w:t xml:space="preserve"> </w:t>
      </w:r>
      <w:r w:rsidRPr="00482CA7">
        <w:rPr>
          <w:rFonts w:hint="eastAsia"/>
          <w:rtl/>
        </w:rPr>
        <w:t>בה</w:t>
      </w:r>
      <w:r w:rsidRPr="00482CA7">
        <w:rPr>
          <w:rtl/>
        </w:rPr>
        <w:t xml:space="preserve"> </w:t>
      </w:r>
      <w:r w:rsidRPr="00482CA7">
        <w:rPr>
          <w:rFonts w:hint="eastAsia"/>
          <w:rtl/>
        </w:rPr>
        <w:t>אני</w:t>
      </w:r>
      <w:r w:rsidRPr="00482CA7">
        <w:rPr>
          <w:rtl/>
        </w:rPr>
        <w:t xml:space="preserve"> </w:t>
      </w:r>
      <w:r w:rsidRPr="00482CA7">
        <w:rPr>
          <w:rFonts w:hint="eastAsia"/>
          <w:rtl/>
        </w:rPr>
        <w:t>רואה</w:t>
      </w:r>
      <w:r w:rsidRPr="00482CA7">
        <w:rPr>
          <w:rtl/>
        </w:rPr>
        <w:t xml:space="preserve"> </w:t>
      </w:r>
      <w:r w:rsidRPr="00482CA7">
        <w:rPr>
          <w:rFonts w:hint="eastAsia"/>
          <w:rtl/>
        </w:rPr>
        <w:t>את</w:t>
      </w:r>
      <w:r w:rsidRPr="00482CA7">
        <w:rPr>
          <w:rtl/>
        </w:rPr>
        <w:t xml:space="preserve"> </w:t>
      </w:r>
      <w:r w:rsidRPr="00482CA7">
        <w:rPr>
          <w:rFonts w:hint="eastAsia"/>
          <w:rtl/>
        </w:rPr>
        <w:t>הדברים</w:t>
      </w:r>
      <w:r w:rsidRPr="00482CA7">
        <w:rPr>
          <w:rtl/>
        </w:rPr>
        <w:t>.</w:t>
      </w:r>
    </w:p>
    <w:p w:rsidR="00FE44B0" w:rsidRPr="00482CA7" w:rsidRDefault="00FE44B0" w:rsidP="00FE44B0">
      <w:pPr>
        <w:pStyle w:val="Ruller4"/>
        <w:numPr>
          <w:ilvl w:val="0"/>
          <w:numId w:val="27"/>
        </w:numPr>
        <w:overflowPunct w:val="0"/>
        <w:autoSpaceDE w:val="0"/>
        <w:autoSpaceDN w:val="0"/>
        <w:adjustRightInd w:val="0"/>
        <w:textAlignment w:val="baseline"/>
        <w:rPr>
          <w:rtl/>
        </w:rPr>
      </w:pPr>
      <w:r w:rsidRPr="00482CA7">
        <w:rPr>
          <w:rFonts w:hint="eastAsia"/>
          <w:rtl/>
        </w:rPr>
        <w:t>סמכותה</w:t>
      </w:r>
      <w:r w:rsidRPr="00482CA7">
        <w:rPr>
          <w:rtl/>
        </w:rPr>
        <w:t xml:space="preserve"> </w:t>
      </w:r>
      <w:r w:rsidRPr="00482CA7">
        <w:rPr>
          <w:rFonts w:hint="eastAsia"/>
          <w:rtl/>
        </w:rPr>
        <w:t>של</w:t>
      </w:r>
      <w:r w:rsidRPr="00482CA7">
        <w:rPr>
          <w:rtl/>
        </w:rPr>
        <w:t xml:space="preserve"> </w:t>
      </w:r>
      <w:r w:rsidRPr="00482CA7">
        <w:rPr>
          <w:rFonts w:hint="eastAsia"/>
          <w:rtl/>
        </w:rPr>
        <w:t>ממשלה</w:t>
      </w:r>
      <w:r w:rsidRPr="00482CA7">
        <w:rPr>
          <w:rtl/>
        </w:rPr>
        <w:t xml:space="preserve"> </w:t>
      </w:r>
      <w:r w:rsidRPr="00482CA7">
        <w:rPr>
          <w:rFonts w:hint="eastAsia"/>
          <w:rtl/>
        </w:rPr>
        <w:t>מכהנת</w:t>
      </w:r>
      <w:r w:rsidRPr="00482CA7">
        <w:rPr>
          <w:rtl/>
        </w:rPr>
        <w:t xml:space="preserve"> </w:t>
      </w:r>
      <w:r w:rsidRPr="00482CA7">
        <w:rPr>
          <w:rFonts w:hint="eastAsia"/>
          <w:rtl/>
        </w:rPr>
        <w:t>לשנות</w:t>
      </w:r>
      <w:r w:rsidRPr="00482CA7">
        <w:rPr>
          <w:rtl/>
        </w:rPr>
        <w:t xml:space="preserve"> </w:t>
      </w:r>
      <w:r w:rsidRPr="00482CA7">
        <w:rPr>
          <w:rFonts w:hint="eastAsia"/>
          <w:rtl/>
        </w:rPr>
        <w:t>מעת</w:t>
      </w:r>
      <w:r w:rsidRPr="00482CA7">
        <w:rPr>
          <w:rtl/>
        </w:rPr>
        <w:t xml:space="preserve"> </w:t>
      </w:r>
      <w:r w:rsidRPr="00482CA7">
        <w:rPr>
          <w:rFonts w:hint="eastAsia"/>
          <w:rtl/>
        </w:rPr>
        <w:t>לעת</w:t>
      </w:r>
      <w:r w:rsidRPr="00482CA7">
        <w:rPr>
          <w:rtl/>
        </w:rPr>
        <w:t xml:space="preserve"> </w:t>
      </w:r>
      <w:r w:rsidRPr="00482CA7">
        <w:rPr>
          <w:rFonts w:hint="eastAsia"/>
          <w:rtl/>
        </w:rPr>
        <w:t>את</w:t>
      </w:r>
      <w:r w:rsidRPr="00482CA7">
        <w:rPr>
          <w:rtl/>
        </w:rPr>
        <w:t xml:space="preserve"> </w:t>
      </w:r>
      <w:r w:rsidRPr="00482CA7">
        <w:rPr>
          <w:rFonts w:hint="eastAsia"/>
          <w:rtl/>
        </w:rPr>
        <w:t>נתיב</w:t>
      </w:r>
      <w:r w:rsidRPr="00482CA7">
        <w:rPr>
          <w:rtl/>
        </w:rPr>
        <w:t xml:space="preserve"> </w:t>
      </w:r>
      <w:r w:rsidRPr="00482CA7">
        <w:rPr>
          <w:rFonts w:hint="eastAsia"/>
          <w:rtl/>
        </w:rPr>
        <w:t>המדיניות</w:t>
      </w:r>
      <w:r w:rsidRPr="00482CA7">
        <w:rPr>
          <w:rtl/>
        </w:rPr>
        <w:t xml:space="preserve"> </w:t>
      </w:r>
      <w:r w:rsidRPr="00482CA7">
        <w:rPr>
          <w:rFonts w:hint="eastAsia"/>
          <w:rtl/>
        </w:rPr>
        <w:t>הכלכלית</w:t>
      </w:r>
      <w:r w:rsidRPr="00482CA7">
        <w:rPr>
          <w:rtl/>
        </w:rPr>
        <w:t xml:space="preserve"> </w:t>
      </w:r>
      <w:r w:rsidRPr="00482CA7">
        <w:rPr>
          <w:rFonts w:hint="eastAsia"/>
          <w:rtl/>
        </w:rPr>
        <w:t>בכלל</w:t>
      </w:r>
      <w:r w:rsidRPr="00482CA7">
        <w:rPr>
          <w:rtl/>
        </w:rPr>
        <w:t xml:space="preserve">, </w:t>
      </w:r>
      <w:r w:rsidRPr="00482CA7">
        <w:rPr>
          <w:rFonts w:hint="eastAsia"/>
          <w:rtl/>
        </w:rPr>
        <w:t>ואת</w:t>
      </w:r>
      <w:r w:rsidRPr="00482CA7">
        <w:rPr>
          <w:rtl/>
        </w:rPr>
        <w:t xml:space="preserve"> </w:t>
      </w:r>
      <w:r w:rsidRPr="00482CA7">
        <w:rPr>
          <w:rFonts w:hint="eastAsia"/>
          <w:rtl/>
        </w:rPr>
        <w:t>מערך</w:t>
      </w:r>
      <w:r w:rsidRPr="00482CA7">
        <w:rPr>
          <w:rtl/>
        </w:rPr>
        <w:t xml:space="preserve"> </w:t>
      </w:r>
      <w:r w:rsidRPr="00482CA7">
        <w:rPr>
          <w:rFonts w:hint="eastAsia"/>
          <w:rtl/>
        </w:rPr>
        <w:t>התמריצים</w:t>
      </w:r>
      <w:r w:rsidRPr="00482CA7">
        <w:rPr>
          <w:rtl/>
        </w:rPr>
        <w:t xml:space="preserve"> </w:t>
      </w:r>
      <w:r w:rsidRPr="00482CA7">
        <w:rPr>
          <w:rFonts w:hint="eastAsia"/>
          <w:rtl/>
        </w:rPr>
        <w:t>שהיא</w:t>
      </w:r>
      <w:r w:rsidRPr="00482CA7">
        <w:rPr>
          <w:rtl/>
        </w:rPr>
        <w:t xml:space="preserve"> </w:t>
      </w:r>
      <w:r w:rsidRPr="00482CA7">
        <w:rPr>
          <w:rFonts w:hint="eastAsia"/>
          <w:rtl/>
        </w:rPr>
        <w:t>מייצרת</w:t>
      </w:r>
      <w:r w:rsidRPr="00482CA7">
        <w:rPr>
          <w:rtl/>
        </w:rPr>
        <w:t xml:space="preserve"> </w:t>
      </w:r>
      <w:r w:rsidRPr="00482CA7">
        <w:rPr>
          <w:rFonts w:hint="eastAsia"/>
          <w:rtl/>
        </w:rPr>
        <w:t>ליציאה</w:t>
      </w:r>
      <w:r w:rsidRPr="00482CA7">
        <w:rPr>
          <w:rtl/>
        </w:rPr>
        <w:t xml:space="preserve"> </w:t>
      </w:r>
      <w:r w:rsidRPr="00482CA7">
        <w:rPr>
          <w:rFonts w:hint="eastAsia"/>
          <w:rtl/>
        </w:rPr>
        <w:t>לעבודה</w:t>
      </w:r>
      <w:r w:rsidRPr="00482CA7">
        <w:rPr>
          <w:rtl/>
        </w:rPr>
        <w:t xml:space="preserve"> </w:t>
      </w:r>
      <w:r w:rsidRPr="00482CA7">
        <w:rPr>
          <w:rFonts w:hint="eastAsia"/>
          <w:rtl/>
        </w:rPr>
        <w:t>בפרט</w:t>
      </w:r>
      <w:r w:rsidRPr="00482CA7">
        <w:rPr>
          <w:rtl/>
        </w:rPr>
        <w:t xml:space="preserve">, </w:t>
      </w:r>
      <w:r w:rsidRPr="00482CA7">
        <w:rPr>
          <w:rFonts w:hint="eastAsia"/>
          <w:rtl/>
        </w:rPr>
        <w:t>אינה</w:t>
      </w:r>
      <w:r w:rsidRPr="00482CA7">
        <w:rPr>
          <w:rtl/>
        </w:rPr>
        <w:t xml:space="preserve"> </w:t>
      </w:r>
      <w:r w:rsidRPr="00482CA7">
        <w:rPr>
          <w:rFonts w:hint="eastAsia"/>
          <w:rtl/>
        </w:rPr>
        <w:t>יכולה</w:t>
      </w:r>
      <w:r w:rsidRPr="00482CA7">
        <w:rPr>
          <w:rtl/>
        </w:rPr>
        <w:t xml:space="preserve"> </w:t>
      </w:r>
      <w:r w:rsidRPr="00482CA7">
        <w:rPr>
          <w:rFonts w:hint="eastAsia"/>
          <w:rtl/>
        </w:rPr>
        <w:t>להיות</w:t>
      </w:r>
      <w:r w:rsidRPr="00482CA7">
        <w:rPr>
          <w:rtl/>
        </w:rPr>
        <w:t xml:space="preserve"> </w:t>
      </w:r>
      <w:r w:rsidRPr="00482CA7">
        <w:rPr>
          <w:rFonts w:hint="eastAsia"/>
          <w:rtl/>
        </w:rPr>
        <w:t>שנויה</w:t>
      </w:r>
      <w:r w:rsidRPr="00482CA7">
        <w:rPr>
          <w:rtl/>
        </w:rPr>
        <w:t xml:space="preserve"> </w:t>
      </w:r>
      <w:r w:rsidRPr="00482CA7">
        <w:rPr>
          <w:rFonts w:hint="eastAsia"/>
          <w:rtl/>
        </w:rPr>
        <w:t>במחלוקת</w:t>
      </w:r>
      <w:r w:rsidRPr="00482CA7">
        <w:rPr>
          <w:rtl/>
        </w:rPr>
        <w:t xml:space="preserve">. </w:t>
      </w:r>
      <w:r w:rsidRPr="00482CA7">
        <w:rPr>
          <w:rFonts w:hint="eastAsia"/>
          <w:rtl/>
        </w:rPr>
        <w:t>לפיכך</w:t>
      </w:r>
      <w:r w:rsidRPr="00482CA7">
        <w:rPr>
          <w:rtl/>
        </w:rPr>
        <w:t xml:space="preserve">, </w:t>
      </w:r>
      <w:r w:rsidRPr="00482CA7">
        <w:rPr>
          <w:rFonts w:hint="eastAsia"/>
          <w:rtl/>
        </w:rPr>
        <w:t>לא</w:t>
      </w:r>
      <w:r w:rsidRPr="00482CA7">
        <w:rPr>
          <w:rtl/>
        </w:rPr>
        <w:t xml:space="preserve"> </w:t>
      </w:r>
      <w:r w:rsidRPr="00482CA7">
        <w:rPr>
          <w:rFonts w:hint="eastAsia"/>
          <w:rtl/>
        </w:rPr>
        <w:t>ראינו</w:t>
      </w:r>
      <w:r w:rsidRPr="00482CA7">
        <w:rPr>
          <w:rtl/>
        </w:rPr>
        <w:t xml:space="preserve"> </w:t>
      </w:r>
      <w:r w:rsidRPr="00482CA7">
        <w:rPr>
          <w:rFonts w:hint="eastAsia"/>
          <w:rtl/>
        </w:rPr>
        <w:t>כל</w:t>
      </w:r>
      <w:r w:rsidRPr="00482CA7">
        <w:rPr>
          <w:rtl/>
        </w:rPr>
        <w:t xml:space="preserve"> </w:t>
      </w:r>
      <w:r w:rsidRPr="00482CA7">
        <w:rPr>
          <w:rFonts w:hint="eastAsia"/>
          <w:rtl/>
        </w:rPr>
        <w:t>אפשרות</w:t>
      </w:r>
      <w:r w:rsidRPr="00482CA7">
        <w:rPr>
          <w:rtl/>
        </w:rPr>
        <w:t xml:space="preserve"> </w:t>
      </w:r>
      <w:r w:rsidRPr="00482CA7">
        <w:rPr>
          <w:rFonts w:hint="eastAsia"/>
          <w:rtl/>
        </w:rPr>
        <w:t>לתת</w:t>
      </w:r>
      <w:r w:rsidRPr="00482CA7">
        <w:rPr>
          <w:rtl/>
        </w:rPr>
        <w:t xml:space="preserve"> </w:t>
      </w:r>
      <w:r w:rsidRPr="00482CA7">
        <w:rPr>
          <w:rFonts w:hint="eastAsia"/>
          <w:rtl/>
        </w:rPr>
        <w:t>צו</w:t>
      </w:r>
      <w:r w:rsidRPr="00482CA7">
        <w:rPr>
          <w:rtl/>
        </w:rPr>
        <w:t xml:space="preserve"> </w:t>
      </w:r>
      <w:r w:rsidRPr="00482CA7">
        <w:rPr>
          <w:rFonts w:hint="eastAsia"/>
          <w:rtl/>
        </w:rPr>
        <w:t>על</w:t>
      </w:r>
      <w:r w:rsidRPr="00482CA7">
        <w:rPr>
          <w:rtl/>
        </w:rPr>
        <w:t xml:space="preserve"> </w:t>
      </w:r>
      <w:r w:rsidRPr="00482CA7">
        <w:rPr>
          <w:rFonts w:hint="eastAsia"/>
          <w:rtl/>
        </w:rPr>
        <w:t>תנאי</w:t>
      </w:r>
      <w:r w:rsidRPr="00482CA7">
        <w:rPr>
          <w:rtl/>
        </w:rPr>
        <w:t xml:space="preserve"> </w:t>
      </w:r>
      <w:r w:rsidRPr="00482CA7">
        <w:rPr>
          <w:rFonts w:hint="eastAsia"/>
          <w:rtl/>
        </w:rPr>
        <w:t>ביחס</w:t>
      </w:r>
      <w:r w:rsidRPr="00482CA7">
        <w:rPr>
          <w:rtl/>
        </w:rPr>
        <w:t xml:space="preserve"> </w:t>
      </w:r>
      <w:r w:rsidRPr="00482CA7">
        <w:rPr>
          <w:rFonts w:hint="eastAsia"/>
          <w:rtl/>
        </w:rPr>
        <w:t>לסעדים</w:t>
      </w:r>
      <w:r w:rsidRPr="00482CA7">
        <w:rPr>
          <w:rtl/>
        </w:rPr>
        <w:t xml:space="preserve"> </w:t>
      </w:r>
      <w:r w:rsidRPr="00482CA7">
        <w:rPr>
          <w:rFonts w:hint="eastAsia"/>
          <w:rtl/>
        </w:rPr>
        <w:t>הע</w:t>
      </w:r>
      <w:r w:rsidRPr="00482CA7">
        <w:rPr>
          <w:rFonts w:hint="cs"/>
          <w:rtl/>
        </w:rPr>
        <w:t>י</w:t>
      </w:r>
      <w:r w:rsidRPr="00482CA7">
        <w:rPr>
          <w:rFonts w:hint="eastAsia"/>
          <w:rtl/>
        </w:rPr>
        <w:t>קריים</w:t>
      </w:r>
      <w:r w:rsidRPr="00482CA7">
        <w:rPr>
          <w:rtl/>
        </w:rPr>
        <w:t xml:space="preserve"> </w:t>
      </w:r>
      <w:r w:rsidRPr="00482CA7">
        <w:rPr>
          <w:rFonts w:hint="eastAsia"/>
          <w:rtl/>
        </w:rPr>
        <w:t>שהתבקשו</w:t>
      </w:r>
      <w:r w:rsidRPr="00482CA7">
        <w:rPr>
          <w:rtl/>
        </w:rPr>
        <w:t xml:space="preserve"> </w:t>
      </w:r>
      <w:r w:rsidRPr="00482CA7">
        <w:rPr>
          <w:rFonts w:hint="eastAsia"/>
          <w:rtl/>
        </w:rPr>
        <w:t>במסגרת</w:t>
      </w:r>
      <w:r w:rsidRPr="00482CA7">
        <w:rPr>
          <w:rtl/>
        </w:rPr>
        <w:t xml:space="preserve"> </w:t>
      </w:r>
      <w:r w:rsidRPr="00482CA7">
        <w:rPr>
          <w:rFonts w:hint="eastAsia"/>
          <w:rtl/>
        </w:rPr>
        <w:t>העתירות</w:t>
      </w:r>
      <w:r w:rsidRPr="00482CA7">
        <w:rPr>
          <w:rtl/>
        </w:rPr>
        <w:t xml:space="preserve"> </w:t>
      </w:r>
      <w:r w:rsidRPr="00482CA7">
        <w:rPr>
          <w:rFonts w:hint="eastAsia"/>
          <w:rtl/>
        </w:rPr>
        <w:t>שלפנינו</w:t>
      </w:r>
      <w:r w:rsidRPr="00482CA7">
        <w:rPr>
          <w:rtl/>
        </w:rPr>
        <w:t xml:space="preserve"> –</w:t>
      </w:r>
      <w:r w:rsidRPr="00482CA7">
        <w:rPr>
          <w:rFonts w:hint="cs"/>
          <w:rtl/>
        </w:rPr>
        <w:t xml:space="preserve"> </w:t>
      </w:r>
      <w:r w:rsidRPr="00482CA7">
        <w:rPr>
          <w:rFonts w:hint="eastAsia"/>
          <w:rtl/>
        </w:rPr>
        <w:t>סעדים</w:t>
      </w:r>
      <w:r w:rsidRPr="00482CA7">
        <w:rPr>
          <w:rtl/>
        </w:rPr>
        <w:t xml:space="preserve"> </w:t>
      </w:r>
      <w:r w:rsidRPr="00482CA7">
        <w:rPr>
          <w:rFonts w:hint="eastAsia"/>
          <w:rtl/>
        </w:rPr>
        <w:t>שביקשו</w:t>
      </w:r>
      <w:r w:rsidRPr="00482CA7">
        <w:rPr>
          <w:rtl/>
        </w:rPr>
        <w:t xml:space="preserve"> </w:t>
      </w:r>
      <w:r w:rsidRPr="00482CA7">
        <w:rPr>
          <w:rFonts w:hint="eastAsia"/>
          <w:rtl/>
        </w:rPr>
        <w:t>כי</w:t>
      </w:r>
      <w:r w:rsidRPr="00482CA7">
        <w:rPr>
          <w:rtl/>
        </w:rPr>
        <w:t xml:space="preserve"> </w:t>
      </w:r>
      <w:r w:rsidRPr="00482CA7">
        <w:rPr>
          <w:rFonts w:hint="eastAsia"/>
          <w:rtl/>
        </w:rPr>
        <w:t>נתערב</w:t>
      </w:r>
      <w:r w:rsidRPr="00482CA7">
        <w:rPr>
          <w:rtl/>
        </w:rPr>
        <w:t xml:space="preserve"> </w:t>
      </w:r>
      <w:r w:rsidRPr="00482CA7">
        <w:rPr>
          <w:rFonts w:hint="eastAsia"/>
          <w:rtl/>
        </w:rPr>
        <w:t>לגופה</w:t>
      </w:r>
      <w:r w:rsidRPr="00482CA7">
        <w:rPr>
          <w:rtl/>
        </w:rPr>
        <w:t xml:space="preserve"> </w:t>
      </w:r>
      <w:r w:rsidRPr="00482CA7">
        <w:rPr>
          <w:rFonts w:hint="eastAsia"/>
          <w:rtl/>
        </w:rPr>
        <w:t>במדיניות</w:t>
      </w:r>
      <w:r w:rsidRPr="00482CA7">
        <w:rPr>
          <w:rtl/>
        </w:rPr>
        <w:t xml:space="preserve"> </w:t>
      </w:r>
      <w:r w:rsidRPr="00482CA7">
        <w:rPr>
          <w:rFonts w:hint="eastAsia"/>
          <w:rtl/>
        </w:rPr>
        <w:t>הנקוטה</w:t>
      </w:r>
      <w:r w:rsidRPr="00482CA7">
        <w:rPr>
          <w:rFonts w:hint="cs"/>
          <w:rtl/>
        </w:rPr>
        <w:t xml:space="preserve">. כשם שבית משפט זה לא מצא בעבר כל פגם משפטי במדיניות הממשלות הקודמות, </w:t>
      </w:r>
      <w:r w:rsidRPr="00482CA7">
        <w:rPr>
          <w:rFonts w:hint="eastAsia"/>
          <w:rtl/>
        </w:rPr>
        <w:t>שהכירו</w:t>
      </w:r>
      <w:r w:rsidRPr="00482CA7">
        <w:rPr>
          <w:rtl/>
        </w:rPr>
        <w:t xml:space="preserve"> </w:t>
      </w:r>
      <w:r w:rsidRPr="00482CA7">
        <w:rPr>
          <w:rFonts w:hint="eastAsia"/>
          <w:rtl/>
        </w:rPr>
        <w:t>לרוב</w:t>
      </w:r>
      <w:r w:rsidRPr="00482CA7">
        <w:rPr>
          <w:rtl/>
        </w:rPr>
        <w:t xml:space="preserve"> </w:t>
      </w:r>
      <w:r w:rsidRPr="00482CA7">
        <w:rPr>
          <w:rFonts w:hint="eastAsia"/>
          <w:rtl/>
        </w:rPr>
        <w:t>בלימוד</w:t>
      </w:r>
      <w:r w:rsidRPr="00482CA7">
        <w:rPr>
          <w:rtl/>
        </w:rPr>
        <w:t xml:space="preserve"> </w:t>
      </w:r>
      <w:r w:rsidRPr="00482CA7">
        <w:rPr>
          <w:rFonts w:hint="eastAsia"/>
          <w:rtl/>
        </w:rPr>
        <w:t>תורה</w:t>
      </w:r>
      <w:r w:rsidRPr="00482CA7">
        <w:rPr>
          <w:rtl/>
        </w:rPr>
        <w:t xml:space="preserve"> </w:t>
      </w:r>
      <w:r w:rsidRPr="00482CA7">
        <w:rPr>
          <w:rFonts w:hint="eastAsia"/>
          <w:rtl/>
        </w:rPr>
        <w:t>כעיסוק</w:t>
      </w:r>
      <w:r w:rsidRPr="00482CA7">
        <w:rPr>
          <w:rtl/>
        </w:rPr>
        <w:t xml:space="preserve"> </w:t>
      </w:r>
      <w:r w:rsidRPr="00482CA7">
        <w:rPr>
          <w:rFonts w:hint="eastAsia"/>
          <w:rtl/>
        </w:rPr>
        <w:t>המצדיק</w:t>
      </w:r>
      <w:r w:rsidRPr="00482CA7">
        <w:rPr>
          <w:rtl/>
        </w:rPr>
        <w:t xml:space="preserve"> </w:t>
      </w:r>
      <w:r w:rsidRPr="00482CA7">
        <w:rPr>
          <w:rFonts w:hint="eastAsia"/>
          <w:rtl/>
        </w:rPr>
        <w:t>מתן</w:t>
      </w:r>
      <w:r w:rsidRPr="00482CA7">
        <w:rPr>
          <w:rtl/>
        </w:rPr>
        <w:t xml:space="preserve"> </w:t>
      </w:r>
      <w:r w:rsidRPr="00482CA7">
        <w:rPr>
          <w:rFonts w:hint="eastAsia"/>
          <w:rtl/>
        </w:rPr>
        <w:t>סובסידיה</w:t>
      </w:r>
      <w:r w:rsidRPr="00482CA7">
        <w:rPr>
          <w:rtl/>
        </w:rPr>
        <w:t xml:space="preserve"> </w:t>
      </w:r>
      <w:r w:rsidRPr="00482CA7">
        <w:rPr>
          <w:rFonts w:hint="cs"/>
          <w:rtl/>
        </w:rPr>
        <w:t xml:space="preserve">בעלות מעונות היום עבור </w:t>
      </w:r>
      <w:r w:rsidRPr="00482CA7">
        <w:rPr>
          <w:rFonts w:hint="eastAsia"/>
          <w:rtl/>
        </w:rPr>
        <w:t>ילדי</w:t>
      </w:r>
      <w:r w:rsidRPr="00482CA7">
        <w:rPr>
          <w:rtl/>
        </w:rPr>
        <w:t xml:space="preserve"> </w:t>
      </w:r>
      <w:r w:rsidRPr="00482CA7">
        <w:rPr>
          <w:rFonts w:hint="eastAsia"/>
          <w:rtl/>
        </w:rPr>
        <w:t>אברכים</w:t>
      </w:r>
      <w:r w:rsidRPr="00482CA7">
        <w:rPr>
          <w:rFonts w:hint="cs"/>
          <w:rtl/>
        </w:rPr>
        <w:t xml:space="preserve"> (ראו: </w:t>
      </w:r>
      <w:r w:rsidRPr="00FE44B0">
        <w:rPr>
          <w:rFonts w:ascii="Arimo" w:hAnsi="Arimo"/>
          <w:rtl/>
        </w:rPr>
        <w:t>בג"ץ 3871</w:t>
      </w:r>
      <w:r w:rsidRPr="00FE44B0">
        <w:rPr>
          <w:rFonts w:ascii="Arimo" w:hAnsi="Arimo" w:hint="cs"/>
          <w:rtl/>
        </w:rPr>
        <w:t>/</w:t>
      </w:r>
      <w:r w:rsidRPr="00FE44B0">
        <w:rPr>
          <w:rFonts w:ascii="Arimo" w:hAnsi="Arimo"/>
          <w:rtl/>
        </w:rPr>
        <w:t xml:space="preserve">15 </w:t>
      </w:r>
      <w:r w:rsidRPr="00FE44B0">
        <w:rPr>
          <w:rFonts w:ascii="Century" w:hAnsi="Century" w:cs="Miriam"/>
          <w:b/>
          <w:spacing w:val="0"/>
          <w:sz w:val="22"/>
          <w:szCs w:val="24"/>
          <w:rtl/>
        </w:rPr>
        <w:t>המרכז הרפורמי לדת ומדינה של התנועה ליהדות מתקדמת (רפורמית) בישראל נ' ממשלת ישראל</w:t>
      </w:r>
      <w:r w:rsidRPr="00FE44B0">
        <w:rPr>
          <w:rFonts w:ascii="Century" w:hAnsi="Century" w:hint="cs"/>
          <w:sz w:val="22"/>
          <w:rtl/>
        </w:rPr>
        <w:t xml:space="preserve"> (</w:t>
      </w:r>
      <w:r w:rsidRPr="00FE44B0">
        <w:rPr>
          <w:rFonts w:ascii="Arimo" w:hAnsi="Arimo" w:hint="cs"/>
          <w:rtl/>
        </w:rPr>
        <w:t>27.12.2016))</w:t>
      </w:r>
      <w:r w:rsidRPr="00482CA7">
        <w:rPr>
          <w:rtl/>
        </w:rPr>
        <w:t xml:space="preserve">, </w:t>
      </w:r>
      <w:r w:rsidRPr="00482CA7">
        <w:rPr>
          <w:rFonts w:hint="cs"/>
          <w:rtl/>
        </w:rPr>
        <w:t xml:space="preserve">כך גם אין אינו רואים כל הצדקה להתערב </w:t>
      </w:r>
      <w:r w:rsidRPr="00482CA7">
        <w:rPr>
          <w:rFonts w:hint="eastAsia"/>
          <w:rtl/>
        </w:rPr>
        <w:t>במדיניות</w:t>
      </w:r>
      <w:r w:rsidRPr="00482CA7">
        <w:rPr>
          <w:rtl/>
        </w:rPr>
        <w:t xml:space="preserve"> </w:t>
      </w:r>
      <w:r w:rsidRPr="00482CA7">
        <w:rPr>
          <w:rFonts w:hint="eastAsia"/>
          <w:rtl/>
        </w:rPr>
        <w:t>הממשלה</w:t>
      </w:r>
      <w:r w:rsidRPr="00482CA7">
        <w:rPr>
          <w:rtl/>
        </w:rPr>
        <w:t xml:space="preserve"> </w:t>
      </w:r>
      <w:r w:rsidRPr="00482CA7">
        <w:rPr>
          <w:rFonts w:hint="eastAsia"/>
          <w:rtl/>
        </w:rPr>
        <w:t>הנוכחית</w:t>
      </w:r>
      <w:r w:rsidRPr="00482CA7">
        <w:rPr>
          <w:rtl/>
        </w:rPr>
        <w:t xml:space="preserve">, </w:t>
      </w:r>
      <w:r w:rsidRPr="00482CA7">
        <w:rPr>
          <w:rFonts w:hint="eastAsia"/>
          <w:rtl/>
        </w:rPr>
        <w:t>אשר</w:t>
      </w:r>
      <w:r w:rsidRPr="00482CA7">
        <w:rPr>
          <w:rtl/>
        </w:rPr>
        <w:t xml:space="preserve"> </w:t>
      </w:r>
      <w:r w:rsidRPr="00482CA7">
        <w:rPr>
          <w:rFonts w:hint="eastAsia"/>
          <w:rtl/>
        </w:rPr>
        <w:t>מבקשת</w:t>
      </w:r>
      <w:r w:rsidRPr="00482CA7">
        <w:rPr>
          <w:rtl/>
        </w:rPr>
        <w:t xml:space="preserve"> </w:t>
      </w:r>
      <w:r w:rsidRPr="00482CA7">
        <w:rPr>
          <w:rFonts w:hint="eastAsia"/>
          <w:rtl/>
        </w:rPr>
        <w:t>לעודד</w:t>
      </w:r>
      <w:r w:rsidRPr="00482CA7">
        <w:rPr>
          <w:rtl/>
        </w:rPr>
        <w:t xml:space="preserve"> </w:t>
      </w:r>
      <w:r w:rsidRPr="00482CA7">
        <w:rPr>
          <w:rFonts w:hint="eastAsia"/>
          <w:rtl/>
        </w:rPr>
        <w:t>שילוב</w:t>
      </w:r>
      <w:r w:rsidRPr="00482CA7">
        <w:rPr>
          <w:rtl/>
        </w:rPr>
        <w:t xml:space="preserve"> </w:t>
      </w:r>
      <w:r w:rsidRPr="00482CA7">
        <w:rPr>
          <w:rFonts w:hint="eastAsia"/>
          <w:rtl/>
        </w:rPr>
        <w:t>אברכים</w:t>
      </w:r>
      <w:r w:rsidRPr="00482CA7">
        <w:rPr>
          <w:rtl/>
        </w:rPr>
        <w:t xml:space="preserve"> </w:t>
      </w:r>
      <w:r w:rsidRPr="00482CA7">
        <w:rPr>
          <w:rFonts w:hint="eastAsia"/>
          <w:rtl/>
        </w:rPr>
        <w:t>בשוק</w:t>
      </w:r>
      <w:r w:rsidRPr="00482CA7">
        <w:rPr>
          <w:rtl/>
        </w:rPr>
        <w:t xml:space="preserve"> </w:t>
      </w:r>
      <w:r w:rsidRPr="00482CA7">
        <w:rPr>
          <w:rFonts w:hint="eastAsia"/>
          <w:rtl/>
        </w:rPr>
        <w:t>העבודה</w:t>
      </w:r>
      <w:r w:rsidRPr="00482CA7">
        <w:rPr>
          <w:rtl/>
        </w:rPr>
        <w:t xml:space="preserve"> </w:t>
      </w:r>
      <w:r w:rsidRPr="00482CA7">
        <w:rPr>
          <w:rFonts w:hint="eastAsia"/>
          <w:rtl/>
        </w:rPr>
        <w:t>באמצעות</w:t>
      </w:r>
      <w:r w:rsidRPr="00482CA7">
        <w:rPr>
          <w:rtl/>
        </w:rPr>
        <w:t xml:space="preserve"> </w:t>
      </w:r>
      <w:r w:rsidRPr="00482CA7">
        <w:rPr>
          <w:rFonts w:hint="eastAsia"/>
          <w:rtl/>
        </w:rPr>
        <w:t>התניית</w:t>
      </w:r>
      <w:r w:rsidRPr="00482CA7">
        <w:rPr>
          <w:rtl/>
        </w:rPr>
        <w:t xml:space="preserve"> </w:t>
      </w:r>
      <w:r w:rsidRPr="00482CA7">
        <w:rPr>
          <w:rFonts w:hint="eastAsia"/>
          <w:rtl/>
        </w:rPr>
        <w:t>הסובסידיה</w:t>
      </w:r>
      <w:r w:rsidRPr="00482CA7">
        <w:rPr>
          <w:rtl/>
        </w:rPr>
        <w:t xml:space="preserve"> </w:t>
      </w:r>
      <w:r w:rsidRPr="00482CA7">
        <w:rPr>
          <w:rFonts w:hint="eastAsia"/>
          <w:rtl/>
        </w:rPr>
        <w:t>האמורה</w:t>
      </w:r>
      <w:r w:rsidRPr="00482CA7">
        <w:rPr>
          <w:rtl/>
        </w:rPr>
        <w:t xml:space="preserve"> </w:t>
      </w:r>
      <w:r w:rsidRPr="00482CA7">
        <w:rPr>
          <w:rFonts w:hint="eastAsia"/>
          <w:rtl/>
        </w:rPr>
        <w:t>ביציאתם</w:t>
      </w:r>
      <w:r w:rsidRPr="00482CA7">
        <w:rPr>
          <w:rtl/>
        </w:rPr>
        <w:t xml:space="preserve"> </w:t>
      </w:r>
      <w:r w:rsidRPr="00482CA7">
        <w:rPr>
          <w:rFonts w:hint="eastAsia"/>
          <w:rtl/>
        </w:rPr>
        <w:t>לשוק</w:t>
      </w:r>
      <w:r w:rsidRPr="00482CA7">
        <w:rPr>
          <w:rtl/>
        </w:rPr>
        <w:t xml:space="preserve"> </w:t>
      </w:r>
      <w:r w:rsidRPr="00482CA7">
        <w:rPr>
          <w:rFonts w:hint="eastAsia"/>
          <w:rtl/>
        </w:rPr>
        <w:t>העבודה</w:t>
      </w:r>
      <w:r w:rsidRPr="00482CA7">
        <w:rPr>
          <w:rtl/>
        </w:rPr>
        <w:t xml:space="preserve"> </w:t>
      </w:r>
      <w:r w:rsidRPr="00482CA7">
        <w:rPr>
          <w:rFonts w:hint="eastAsia"/>
          <w:rtl/>
        </w:rPr>
        <w:t>או</w:t>
      </w:r>
      <w:r w:rsidRPr="00482CA7">
        <w:rPr>
          <w:rtl/>
        </w:rPr>
        <w:t xml:space="preserve"> </w:t>
      </w:r>
      <w:r w:rsidRPr="00482CA7">
        <w:rPr>
          <w:rFonts w:hint="eastAsia"/>
          <w:rtl/>
        </w:rPr>
        <w:t>ברכישת</w:t>
      </w:r>
      <w:r w:rsidRPr="00482CA7">
        <w:rPr>
          <w:rtl/>
        </w:rPr>
        <w:t xml:space="preserve"> </w:t>
      </w:r>
      <w:r w:rsidRPr="00482CA7">
        <w:rPr>
          <w:rFonts w:hint="eastAsia"/>
          <w:rtl/>
        </w:rPr>
        <w:t>הכשרה</w:t>
      </w:r>
      <w:r w:rsidRPr="00482CA7">
        <w:rPr>
          <w:rtl/>
        </w:rPr>
        <w:t xml:space="preserve"> </w:t>
      </w:r>
      <w:r w:rsidRPr="00482CA7">
        <w:rPr>
          <w:rFonts w:hint="eastAsia"/>
          <w:rtl/>
        </w:rPr>
        <w:t>שתאפשר</w:t>
      </w:r>
      <w:r w:rsidRPr="00482CA7">
        <w:rPr>
          <w:rtl/>
        </w:rPr>
        <w:t xml:space="preserve"> </w:t>
      </w:r>
      <w:r w:rsidRPr="00482CA7">
        <w:rPr>
          <w:rFonts w:hint="eastAsia"/>
          <w:rtl/>
        </w:rPr>
        <w:t>זאת</w:t>
      </w:r>
      <w:r w:rsidRPr="00482CA7">
        <w:rPr>
          <w:rtl/>
        </w:rPr>
        <w:t xml:space="preserve">. </w:t>
      </w:r>
      <w:r w:rsidRPr="00482CA7">
        <w:rPr>
          <w:rFonts w:hint="cs"/>
          <w:rtl/>
        </w:rPr>
        <w:t>זו כזו מדיניות כלכלית לגיטימית, והרשות לבחור ביניהן מסורה לממשלה הנבחרת.</w:t>
      </w:r>
    </w:p>
    <w:p w:rsidR="00FE44B0" w:rsidRPr="00482CA7" w:rsidRDefault="00FE44B0" w:rsidP="00FE44B0">
      <w:pPr>
        <w:pStyle w:val="Ruller4"/>
        <w:overflowPunct w:val="0"/>
        <w:autoSpaceDE w:val="0"/>
        <w:autoSpaceDN w:val="0"/>
        <w:adjustRightInd w:val="0"/>
        <w:textAlignment w:val="baseline"/>
        <w:rPr>
          <w:rtl/>
        </w:rPr>
      </w:pPr>
      <w:r w:rsidRPr="00482CA7">
        <w:rPr>
          <w:rFonts w:hint="eastAsia"/>
          <w:rtl/>
        </w:rPr>
        <w:lastRenderedPageBreak/>
        <w:t>בה</w:t>
      </w:r>
      <w:r w:rsidRPr="00482CA7">
        <w:rPr>
          <w:rtl/>
        </w:rPr>
        <w:t xml:space="preserve"> </w:t>
      </w:r>
      <w:r w:rsidRPr="00482CA7">
        <w:rPr>
          <w:rFonts w:hint="eastAsia"/>
          <w:rtl/>
        </w:rPr>
        <w:t>במידה</w:t>
      </w:r>
      <w:r w:rsidRPr="00482CA7">
        <w:rPr>
          <w:rtl/>
        </w:rPr>
        <w:t xml:space="preserve">, </w:t>
      </w:r>
      <w:r w:rsidRPr="00482CA7">
        <w:rPr>
          <w:rFonts w:hint="eastAsia"/>
          <w:rtl/>
        </w:rPr>
        <w:t>אינני</w:t>
      </w:r>
      <w:r w:rsidRPr="00482CA7">
        <w:rPr>
          <w:rtl/>
        </w:rPr>
        <w:t xml:space="preserve"> </w:t>
      </w:r>
      <w:r w:rsidRPr="00482CA7">
        <w:rPr>
          <w:rFonts w:hint="eastAsia"/>
          <w:rtl/>
        </w:rPr>
        <w:t>סבור</w:t>
      </w:r>
      <w:r w:rsidRPr="00482CA7">
        <w:rPr>
          <w:rtl/>
        </w:rPr>
        <w:t xml:space="preserve"> </w:t>
      </w:r>
      <w:r w:rsidRPr="00482CA7">
        <w:rPr>
          <w:rFonts w:hint="eastAsia"/>
          <w:rtl/>
        </w:rPr>
        <w:t>כי</w:t>
      </w:r>
      <w:r w:rsidRPr="00482CA7">
        <w:rPr>
          <w:rtl/>
        </w:rPr>
        <w:t xml:space="preserve"> </w:t>
      </w:r>
      <w:r w:rsidRPr="00482CA7">
        <w:rPr>
          <w:rFonts w:hint="eastAsia"/>
          <w:rtl/>
        </w:rPr>
        <w:t>קיימת</w:t>
      </w:r>
      <w:r w:rsidRPr="00482CA7">
        <w:rPr>
          <w:rtl/>
        </w:rPr>
        <w:t xml:space="preserve"> </w:t>
      </w:r>
      <w:r w:rsidRPr="00482CA7">
        <w:rPr>
          <w:rFonts w:hint="eastAsia"/>
          <w:rtl/>
        </w:rPr>
        <w:t>מחלוקת</w:t>
      </w:r>
      <w:r w:rsidRPr="00482CA7">
        <w:rPr>
          <w:rtl/>
        </w:rPr>
        <w:t xml:space="preserve"> </w:t>
      </w:r>
      <w:r w:rsidRPr="00482CA7">
        <w:rPr>
          <w:rFonts w:hint="eastAsia"/>
          <w:rtl/>
        </w:rPr>
        <w:t>של</w:t>
      </w:r>
      <w:r w:rsidRPr="00482CA7">
        <w:rPr>
          <w:rtl/>
        </w:rPr>
        <w:t xml:space="preserve"> </w:t>
      </w:r>
      <w:r w:rsidRPr="00482CA7">
        <w:rPr>
          <w:rFonts w:hint="eastAsia"/>
          <w:rtl/>
        </w:rPr>
        <w:t>ממש</w:t>
      </w:r>
      <w:r w:rsidRPr="00482CA7">
        <w:rPr>
          <w:rtl/>
        </w:rPr>
        <w:t xml:space="preserve"> </w:t>
      </w:r>
      <w:r w:rsidRPr="00482CA7">
        <w:rPr>
          <w:rFonts w:hint="eastAsia"/>
          <w:rtl/>
        </w:rPr>
        <w:t>כי</w:t>
      </w:r>
      <w:r w:rsidRPr="00482CA7">
        <w:rPr>
          <w:rtl/>
        </w:rPr>
        <w:t xml:space="preserve"> </w:t>
      </w:r>
      <w:r w:rsidRPr="00482CA7">
        <w:rPr>
          <w:rFonts w:hint="eastAsia"/>
          <w:rtl/>
        </w:rPr>
        <w:t>שינוי</w:t>
      </w:r>
      <w:r w:rsidRPr="00482CA7">
        <w:rPr>
          <w:rtl/>
        </w:rPr>
        <w:t xml:space="preserve"> </w:t>
      </w:r>
      <w:r w:rsidRPr="00482CA7">
        <w:rPr>
          <w:rFonts w:hint="eastAsia"/>
          <w:rtl/>
        </w:rPr>
        <w:t>מדיניות</w:t>
      </w:r>
      <w:r w:rsidRPr="00482CA7">
        <w:rPr>
          <w:rtl/>
        </w:rPr>
        <w:t xml:space="preserve"> </w:t>
      </w:r>
      <w:r w:rsidRPr="00482CA7">
        <w:rPr>
          <w:rFonts w:hint="eastAsia"/>
          <w:rtl/>
        </w:rPr>
        <w:t>מסוג</w:t>
      </w:r>
      <w:r w:rsidRPr="00482CA7">
        <w:rPr>
          <w:rtl/>
        </w:rPr>
        <w:t xml:space="preserve"> </w:t>
      </w:r>
      <w:r w:rsidRPr="00482CA7">
        <w:rPr>
          <w:rFonts w:hint="eastAsia"/>
          <w:rtl/>
        </w:rPr>
        <w:t>זה</w:t>
      </w:r>
      <w:r w:rsidRPr="00482CA7">
        <w:rPr>
          <w:rtl/>
        </w:rPr>
        <w:t xml:space="preserve">, </w:t>
      </w:r>
      <w:r w:rsidRPr="00482CA7">
        <w:rPr>
          <w:rFonts w:hint="eastAsia"/>
          <w:rtl/>
        </w:rPr>
        <w:t>המשליך</w:t>
      </w:r>
      <w:r w:rsidRPr="00482CA7">
        <w:rPr>
          <w:rtl/>
        </w:rPr>
        <w:t xml:space="preserve"> </w:t>
      </w:r>
      <w:r w:rsidRPr="00482CA7">
        <w:rPr>
          <w:rFonts w:hint="eastAsia"/>
          <w:rtl/>
        </w:rPr>
        <w:t>באופן</w:t>
      </w:r>
      <w:r w:rsidRPr="00482CA7">
        <w:rPr>
          <w:rtl/>
        </w:rPr>
        <w:t xml:space="preserve"> </w:t>
      </w:r>
      <w:r w:rsidRPr="00482CA7">
        <w:rPr>
          <w:rFonts w:hint="eastAsia"/>
          <w:rtl/>
        </w:rPr>
        <w:t>עמוק</w:t>
      </w:r>
      <w:r w:rsidRPr="00482CA7">
        <w:rPr>
          <w:rtl/>
        </w:rPr>
        <w:t xml:space="preserve"> </w:t>
      </w:r>
      <w:r w:rsidRPr="00482CA7">
        <w:rPr>
          <w:rFonts w:hint="eastAsia"/>
          <w:rtl/>
        </w:rPr>
        <w:t>ומשמעותי</w:t>
      </w:r>
      <w:r w:rsidRPr="00482CA7">
        <w:rPr>
          <w:rtl/>
        </w:rPr>
        <w:t xml:space="preserve"> </w:t>
      </w:r>
      <w:r w:rsidRPr="00482CA7">
        <w:rPr>
          <w:rFonts w:hint="eastAsia"/>
          <w:rtl/>
        </w:rPr>
        <w:t>על</w:t>
      </w:r>
      <w:r w:rsidRPr="00482CA7">
        <w:rPr>
          <w:rtl/>
        </w:rPr>
        <w:t xml:space="preserve"> </w:t>
      </w:r>
      <w:r w:rsidRPr="00482CA7">
        <w:rPr>
          <w:rFonts w:hint="eastAsia"/>
          <w:rtl/>
        </w:rPr>
        <w:t>התנהלותן</w:t>
      </w:r>
      <w:r w:rsidRPr="00482CA7">
        <w:rPr>
          <w:rtl/>
        </w:rPr>
        <w:t xml:space="preserve"> </w:t>
      </w:r>
      <w:r w:rsidRPr="00482CA7">
        <w:rPr>
          <w:rFonts w:hint="eastAsia"/>
          <w:rtl/>
        </w:rPr>
        <w:t>של</w:t>
      </w:r>
      <w:r w:rsidRPr="00482CA7">
        <w:rPr>
          <w:rtl/>
        </w:rPr>
        <w:t xml:space="preserve"> </w:t>
      </w:r>
      <w:r w:rsidRPr="00482CA7">
        <w:rPr>
          <w:rFonts w:hint="eastAsia"/>
          <w:rtl/>
        </w:rPr>
        <w:t>משפחות</w:t>
      </w:r>
      <w:r w:rsidRPr="00482CA7">
        <w:rPr>
          <w:rtl/>
        </w:rPr>
        <w:t xml:space="preserve"> </w:t>
      </w:r>
      <w:r w:rsidRPr="00482CA7">
        <w:rPr>
          <w:rFonts w:hint="eastAsia"/>
          <w:rtl/>
        </w:rPr>
        <w:t>אברכים</w:t>
      </w:r>
      <w:r w:rsidRPr="00482CA7">
        <w:rPr>
          <w:rFonts w:hint="cs"/>
          <w:rtl/>
        </w:rPr>
        <w:t xml:space="preserve"> רבות</w:t>
      </w:r>
      <w:r w:rsidRPr="00482CA7">
        <w:rPr>
          <w:rtl/>
        </w:rPr>
        <w:t xml:space="preserve">, </w:t>
      </w:r>
      <w:r w:rsidRPr="00482CA7">
        <w:rPr>
          <w:rFonts w:hint="eastAsia"/>
          <w:rtl/>
        </w:rPr>
        <w:t>איננו</w:t>
      </w:r>
      <w:r w:rsidRPr="00482CA7">
        <w:rPr>
          <w:rtl/>
        </w:rPr>
        <w:t xml:space="preserve"> </w:t>
      </w:r>
      <w:r w:rsidRPr="00482CA7">
        <w:rPr>
          <w:rFonts w:hint="eastAsia"/>
          <w:rtl/>
        </w:rPr>
        <w:t>יכול</w:t>
      </w:r>
      <w:r w:rsidRPr="00482CA7">
        <w:rPr>
          <w:rtl/>
        </w:rPr>
        <w:t xml:space="preserve"> </w:t>
      </w:r>
      <w:r w:rsidRPr="00482CA7">
        <w:rPr>
          <w:rFonts w:hint="eastAsia"/>
          <w:rtl/>
        </w:rPr>
        <w:t>להיעשות</w:t>
      </w:r>
      <w:r w:rsidRPr="00482CA7">
        <w:rPr>
          <w:rtl/>
        </w:rPr>
        <w:t xml:space="preserve"> </w:t>
      </w:r>
      <w:r w:rsidRPr="00482CA7">
        <w:rPr>
          <w:rFonts w:hint="eastAsia"/>
          <w:rtl/>
        </w:rPr>
        <w:t>מהיום</w:t>
      </w:r>
      <w:r w:rsidRPr="00482CA7">
        <w:rPr>
          <w:rtl/>
        </w:rPr>
        <w:t xml:space="preserve"> </w:t>
      </w:r>
      <w:r w:rsidRPr="00482CA7">
        <w:rPr>
          <w:rFonts w:hint="eastAsia"/>
          <w:rtl/>
        </w:rPr>
        <w:t>למחר</w:t>
      </w:r>
      <w:r w:rsidRPr="00482CA7">
        <w:rPr>
          <w:rtl/>
        </w:rPr>
        <w:t xml:space="preserve">, </w:t>
      </w:r>
      <w:r w:rsidRPr="00482CA7">
        <w:rPr>
          <w:rFonts w:hint="eastAsia"/>
          <w:rtl/>
        </w:rPr>
        <w:t>אלא</w:t>
      </w:r>
      <w:r w:rsidRPr="00482CA7">
        <w:rPr>
          <w:rtl/>
        </w:rPr>
        <w:t xml:space="preserve"> </w:t>
      </w:r>
      <w:r w:rsidRPr="00482CA7">
        <w:rPr>
          <w:rFonts w:hint="eastAsia"/>
          <w:rtl/>
        </w:rPr>
        <w:t>מחייב</w:t>
      </w:r>
      <w:r w:rsidRPr="00482CA7">
        <w:rPr>
          <w:rtl/>
        </w:rPr>
        <w:t xml:space="preserve"> </w:t>
      </w:r>
      <w:r w:rsidRPr="00482CA7">
        <w:rPr>
          <w:rFonts w:hint="eastAsia"/>
          <w:rtl/>
        </w:rPr>
        <w:t>מתן</w:t>
      </w:r>
      <w:r w:rsidRPr="00482CA7">
        <w:rPr>
          <w:rtl/>
        </w:rPr>
        <w:t xml:space="preserve"> </w:t>
      </w:r>
      <w:r w:rsidRPr="00482CA7">
        <w:rPr>
          <w:rFonts w:hint="eastAsia"/>
          <w:rtl/>
        </w:rPr>
        <w:t>תקופת</w:t>
      </w:r>
      <w:r w:rsidRPr="00482CA7">
        <w:rPr>
          <w:rtl/>
        </w:rPr>
        <w:t xml:space="preserve"> </w:t>
      </w:r>
      <w:r w:rsidRPr="00482CA7">
        <w:rPr>
          <w:rFonts w:hint="eastAsia"/>
          <w:rtl/>
        </w:rPr>
        <w:t>ה</w:t>
      </w:r>
      <w:r w:rsidRPr="00482CA7">
        <w:rPr>
          <w:rFonts w:hint="cs"/>
          <w:rtl/>
        </w:rPr>
        <w:t>י</w:t>
      </w:r>
      <w:r w:rsidRPr="00482CA7">
        <w:rPr>
          <w:rFonts w:hint="eastAsia"/>
          <w:rtl/>
        </w:rPr>
        <w:t>ערכות</w:t>
      </w:r>
      <w:r w:rsidRPr="00482CA7">
        <w:rPr>
          <w:rtl/>
        </w:rPr>
        <w:t xml:space="preserve"> </w:t>
      </w:r>
      <w:r w:rsidRPr="00482CA7">
        <w:rPr>
          <w:rFonts w:hint="eastAsia"/>
          <w:rtl/>
        </w:rPr>
        <w:t>מתאימה</w:t>
      </w:r>
      <w:r w:rsidRPr="00482CA7">
        <w:rPr>
          <w:rtl/>
        </w:rPr>
        <w:t xml:space="preserve">. </w:t>
      </w:r>
      <w:r w:rsidRPr="00482CA7">
        <w:rPr>
          <w:rFonts w:hint="eastAsia"/>
          <w:rtl/>
        </w:rPr>
        <w:t>ולראיה</w:t>
      </w:r>
      <w:r w:rsidRPr="00482CA7">
        <w:rPr>
          <w:rtl/>
        </w:rPr>
        <w:t xml:space="preserve">, </w:t>
      </w:r>
      <w:r w:rsidRPr="00482CA7">
        <w:rPr>
          <w:rFonts w:hint="eastAsia"/>
          <w:rtl/>
        </w:rPr>
        <w:t>גם</w:t>
      </w:r>
      <w:r w:rsidRPr="00482CA7">
        <w:rPr>
          <w:rtl/>
        </w:rPr>
        <w:t xml:space="preserve"> </w:t>
      </w:r>
      <w:r w:rsidRPr="00482CA7">
        <w:rPr>
          <w:rFonts w:hint="eastAsia"/>
          <w:rtl/>
        </w:rPr>
        <w:t>שר</w:t>
      </w:r>
      <w:r w:rsidRPr="00482CA7">
        <w:rPr>
          <w:rtl/>
        </w:rPr>
        <w:t xml:space="preserve"> </w:t>
      </w:r>
      <w:r w:rsidRPr="00482CA7">
        <w:rPr>
          <w:rFonts w:hint="eastAsia"/>
          <w:rtl/>
        </w:rPr>
        <w:t>האוצר</w:t>
      </w:r>
      <w:r w:rsidRPr="00482CA7">
        <w:rPr>
          <w:rtl/>
        </w:rPr>
        <w:t xml:space="preserve"> </w:t>
      </w:r>
      <w:r w:rsidRPr="00482CA7">
        <w:rPr>
          <w:rFonts w:hint="eastAsia"/>
          <w:rtl/>
        </w:rPr>
        <w:t>ושרת</w:t>
      </w:r>
      <w:r w:rsidRPr="00482CA7">
        <w:rPr>
          <w:rtl/>
        </w:rPr>
        <w:t xml:space="preserve"> </w:t>
      </w:r>
      <w:r w:rsidRPr="00482CA7">
        <w:rPr>
          <w:rFonts w:hint="eastAsia"/>
          <w:rtl/>
        </w:rPr>
        <w:t>הכלכלה</w:t>
      </w:r>
      <w:r w:rsidRPr="00482CA7">
        <w:rPr>
          <w:rtl/>
        </w:rPr>
        <w:t xml:space="preserve"> </w:t>
      </w:r>
      <w:r w:rsidRPr="00482CA7">
        <w:rPr>
          <w:rFonts w:hint="eastAsia"/>
          <w:rtl/>
        </w:rPr>
        <w:t>והתעשיה</w:t>
      </w:r>
      <w:r w:rsidRPr="00482CA7">
        <w:rPr>
          <w:rtl/>
        </w:rPr>
        <w:t xml:space="preserve"> (</w:t>
      </w:r>
      <w:r w:rsidRPr="00482CA7">
        <w:rPr>
          <w:rFonts w:hint="eastAsia"/>
          <w:rtl/>
        </w:rPr>
        <w:t>להלן</w:t>
      </w:r>
      <w:r w:rsidRPr="00482CA7">
        <w:rPr>
          <w:rtl/>
        </w:rPr>
        <w:t xml:space="preserve">: </w:t>
      </w:r>
      <w:r w:rsidRPr="00482CA7">
        <w:rPr>
          <w:rFonts w:ascii="Century" w:hAnsi="Century" w:cs="Miriam" w:hint="eastAsia"/>
          <w:b/>
          <w:spacing w:val="0"/>
          <w:sz w:val="22"/>
          <w:szCs w:val="24"/>
          <w:rtl/>
        </w:rPr>
        <w:t>השרים</w:t>
      </w:r>
      <w:r w:rsidRPr="00482CA7">
        <w:rPr>
          <w:rtl/>
        </w:rPr>
        <w:t xml:space="preserve">), </w:t>
      </w:r>
      <w:r w:rsidRPr="00482CA7">
        <w:rPr>
          <w:rFonts w:hint="eastAsia"/>
          <w:rtl/>
        </w:rPr>
        <w:t>הכירו</w:t>
      </w:r>
      <w:r w:rsidRPr="00482CA7">
        <w:rPr>
          <w:rtl/>
        </w:rPr>
        <w:t xml:space="preserve"> </w:t>
      </w:r>
      <w:r w:rsidRPr="00482CA7">
        <w:rPr>
          <w:rFonts w:hint="eastAsia"/>
          <w:rtl/>
        </w:rPr>
        <w:t>בכך</w:t>
      </w:r>
      <w:r w:rsidRPr="00482CA7">
        <w:rPr>
          <w:rtl/>
        </w:rPr>
        <w:t xml:space="preserve"> </w:t>
      </w:r>
      <w:r w:rsidRPr="00482CA7">
        <w:rPr>
          <w:rFonts w:hint="eastAsia"/>
          <w:rtl/>
        </w:rPr>
        <w:t>שלא</w:t>
      </w:r>
      <w:r w:rsidRPr="00482CA7">
        <w:rPr>
          <w:rtl/>
        </w:rPr>
        <w:t xml:space="preserve"> </w:t>
      </w:r>
      <w:r w:rsidRPr="00482CA7">
        <w:rPr>
          <w:rFonts w:hint="eastAsia"/>
          <w:rtl/>
        </w:rPr>
        <w:t>ניתן</w:t>
      </w:r>
      <w:r w:rsidRPr="00482CA7">
        <w:rPr>
          <w:rtl/>
        </w:rPr>
        <w:t xml:space="preserve"> </w:t>
      </w:r>
      <w:r w:rsidRPr="00482CA7">
        <w:rPr>
          <w:rFonts w:hint="eastAsia"/>
          <w:rtl/>
        </w:rPr>
        <w:t>להביא</w:t>
      </w:r>
      <w:r w:rsidRPr="00482CA7">
        <w:rPr>
          <w:rtl/>
        </w:rPr>
        <w:t xml:space="preserve"> </w:t>
      </w:r>
      <w:r w:rsidRPr="00482CA7">
        <w:rPr>
          <w:rFonts w:hint="eastAsia"/>
          <w:rtl/>
        </w:rPr>
        <w:t>לביטול</w:t>
      </w:r>
      <w:r w:rsidRPr="00482CA7">
        <w:rPr>
          <w:rtl/>
        </w:rPr>
        <w:t xml:space="preserve"> </w:t>
      </w:r>
      <w:r w:rsidRPr="00482CA7">
        <w:rPr>
          <w:rFonts w:hint="eastAsia"/>
          <w:rtl/>
        </w:rPr>
        <w:t>הזכאות</w:t>
      </w:r>
      <w:r w:rsidRPr="00482CA7">
        <w:rPr>
          <w:rtl/>
        </w:rPr>
        <w:t xml:space="preserve"> </w:t>
      </w:r>
      <w:r w:rsidRPr="00482CA7">
        <w:rPr>
          <w:rFonts w:hint="eastAsia"/>
          <w:rtl/>
        </w:rPr>
        <w:t>לסובסידיה</w:t>
      </w:r>
      <w:r w:rsidRPr="00482CA7">
        <w:rPr>
          <w:rtl/>
        </w:rPr>
        <w:t xml:space="preserve"> </w:t>
      </w:r>
      <w:r w:rsidRPr="00482CA7">
        <w:rPr>
          <w:rFonts w:hint="eastAsia"/>
          <w:rtl/>
        </w:rPr>
        <w:t>האמורה</w:t>
      </w:r>
      <w:r w:rsidRPr="00482CA7">
        <w:rPr>
          <w:rtl/>
        </w:rPr>
        <w:t xml:space="preserve"> </w:t>
      </w:r>
      <w:r w:rsidRPr="00482CA7">
        <w:rPr>
          <w:rFonts w:hint="eastAsia"/>
          <w:rtl/>
        </w:rPr>
        <w:t>ללא</w:t>
      </w:r>
      <w:r w:rsidRPr="00482CA7">
        <w:rPr>
          <w:rtl/>
        </w:rPr>
        <w:t xml:space="preserve"> </w:t>
      </w:r>
      <w:r w:rsidRPr="00482CA7">
        <w:rPr>
          <w:rFonts w:hint="eastAsia"/>
          <w:rtl/>
        </w:rPr>
        <w:t>מתן</w:t>
      </w:r>
      <w:r w:rsidRPr="00482CA7">
        <w:rPr>
          <w:rtl/>
        </w:rPr>
        <w:t xml:space="preserve"> </w:t>
      </w:r>
      <w:r w:rsidRPr="00482CA7">
        <w:rPr>
          <w:rFonts w:hint="eastAsia"/>
          <w:rtl/>
        </w:rPr>
        <w:t>ארכה</w:t>
      </w:r>
      <w:r w:rsidRPr="00482CA7">
        <w:rPr>
          <w:rtl/>
        </w:rPr>
        <w:t xml:space="preserve"> </w:t>
      </w:r>
      <w:r w:rsidRPr="00482CA7">
        <w:rPr>
          <w:rFonts w:hint="eastAsia"/>
          <w:rtl/>
        </w:rPr>
        <w:t>נאותה</w:t>
      </w:r>
      <w:r w:rsidRPr="00482CA7">
        <w:rPr>
          <w:rtl/>
        </w:rPr>
        <w:t xml:space="preserve">, </w:t>
      </w:r>
      <w:r w:rsidRPr="00482CA7">
        <w:rPr>
          <w:rFonts w:hint="eastAsia"/>
          <w:rtl/>
        </w:rPr>
        <w:t>ואף</w:t>
      </w:r>
      <w:r w:rsidRPr="00482CA7">
        <w:rPr>
          <w:rtl/>
        </w:rPr>
        <w:t xml:space="preserve"> </w:t>
      </w:r>
      <w:r w:rsidRPr="00482CA7">
        <w:rPr>
          <w:rFonts w:hint="eastAsia"/>
          <w:rtl/>
        </w:rPr>
        <w:t>נאותו</w:t>
      </w:r>
      <w:r w:rsidRPr="00482CA7">
        <w:rPr>
          <w:rtl/>
        </w:rPr>
        <w:t xml:space="preserve"> </w:t>
      </w:r>
      <w:r w:rsidRPr="00482CA7">
        <w:rPr>
          <w:rFonts w:hint="eastAsia"/>
          <w:rtl/>
        </w:rPr>
        <w:t>לבסוף</w:t>
      </w:r>
      <w:r w:rsidRPr="00482CA7">
        <w:rPr>
          <w:rtl/>
        </w:rPr>
        <w:t xml:space="preserve"> </w:t>
      </w:r>
      <w:r w:rsidRPr="00482CA7">
        <w:rPr>
          <w:rFonts w:hint="eastAsia"/>
          <w:rtl/>
        </w:rPr>
        <w:t>להעמיד</w:t>
      </w:r>
      <w:r w:rsidRPr="00482CA7">
        <w:rPr>
          <w:rtl/>
        </w:rPr>
        <w:t xml:space="preserve"> </w:t>
      </w:r>
      <w:r w:rsidRPr="00482CA7">
        <w:rPr>
          <w:rFonts w:hint="eastAsia"/>
          <w:rtl/>
        </w:rPr>
        <w:t>ארכה</w:t>
      </w:r>
      <w:r w:rsidRPr="00482CA7">
        <w:rPr>
          <w:rtl/>
        </w:rPr>
        <w:t xml:space="preserve"> </w:t>
      </w:r>
      <w:r w:rsidRPr="00482CA7">
        <w:rPr>
          <w:rFonts w:hint="eastAsia"/>
          <w:rtl/>
        </w:rPr>
        <w:t>זו</w:t>
      </w:r>
      <w:r w:rsidRPr="00482CA7">
        <w:rPr>
          <w:rtl/>
        </w:rPr>
        <w:t xml:space="preserve"> </w:t>
      </w:r>
      <w:r w:rsidRPr="00482CA7">
        <w:rPr>
          <w:rFonts w:hint="eastAsia"/>
          <w:rtl/>
        </w:rPr>
        <w:t>על</w:t>
      </w:r>
      <w:r w:rsidRPr="00482CA7">
        <w:rPr>
          <w:rtl/>
        </w:rPr>
        <w:t xml:space="preserve"> </w:t>
      </w:r>
      <w:r w:rsidRPr="00482CA7">
        <w:rPr>
          <w:rFonts w:hint="eastAsia"/>
          <w:rtl/>
        </w:rPr>
        <w:t>תקופה</w:t>
      </w:r>
      <w:r w:rsidRPr="00482CA7">
        <w:rPr>
          <w:rFonts w:hint="cs"/>
          <w:rtl/>
        </w:rPr>
        <w:t xml:space="preserve"> משמעותית של חמישה חודשים, הארוכה בכמעט כפליים מזו שתוכננה מלכתחילה</w:t>
      </w:r>
      <w:r w:rsidRPr="00482CA7">
        <w:rPr>
          <w:rtl/>
        </w:rPr>
        <w:t>.</w:t>
      </w:r>
    </w:p>
    <w:p w:rsidR="00FE44B0" w:rsidRPr="00482CA7" w:rsidRDefault="00FE44B0" w:rsidP="00FE44B0">
      <w:pPr>
        <w:pStyle w:val="Ruller4"/>
        <w:overflowPunct w:val="0"/>
        <w:autoSpaceDE w:val="0"/>
        <w:autoSpaceDN w:val="0"/>
        <w:adjustRightInd w:val="0"/>
        <w:textAlignment w:val="baseline"/>
        <w:rPr>
          <w:rtl/>
        </w:rPr>
      </w:pPr>
      <w:r w:rsidRPr="00482CA7">
        <w:rPr>
          <w:rFonts w:hint="eastAsia"/>
          <w:rtl/>
        </w:rPr>
        <w:t>השאלה</w:t>
      </w:r>
      <w:r w:rsidRPr="00482CA7">
        <w:rPr>
          <w:rtl/>
        </w:rPr>
        <w:t xml:space="preserve"> </w:t>
      </w:r>
      <w:r w:rsidRPr="00482CA7">
        <w:rPr>
          <w:rFonts w:hint="eastAsia"/>
          <w:rtl/>
        </w:rPr>
        <w:t>היחידה</w:t>
      </w:r>
      <w:r w:rsidRPr="00482CA7">
        <w:rPr>
          <w:rtl/>
        </w:rPr>
        <w:t xml:space="preserve"> </w:t>
      </w:r>
      <w:r w:rsidRPr="00482CA7">
        <w:rPr>
          <w:rFonts w:hint="eastAsia"/>
          <w:rtl/>
        </w:rPr>
        <w:t>בה</w:t>
      </w:r>
      <w:r w:rsidRPr="00482CA7">
        <w:rPr>
          <w:rtl/>
        </w:rPr>
        <w:t xml:space="preserve"> </w:t>
      </w:r>
      <w:r w:rsidRPr="00482CA7">
        <w:rPr>
          <w:rFonts w:hint="eastAsia"/>
          <w:rtl/>
        </w:rPr>
        <w:t>התלבטנו</w:t>
      </w:r>
      <w:r w:rsidRPr="00482CA7">
        <w:rPr>
          <w:rtl/>
        </w:rPr>
        <w:t xml:space="preserve">, </w:t>
      </w:r>
      <w:r w:rsidRPr="00482CA7">
        <w:rPr>
          <w:rFonts w:hint="eastAsia"/>
          <w:rtl/>
        </w:rPr>
        <w:t>ומודה</w:t>
      </w:r>
      <w:r w:rsidRPr="00482CA7">
        <w:rPr>
          <w:rtl/>
        </w:rPr>
        <w:t xml:space="preserve"> </w:t>
      </w:r>
      <w:r w:rsidRPr="00482CA7">
        <w:rPr>
          <w:rFonts w:hint="eastAsia"/>
          <w:rtl/>
        </w:rPr>
        <w:t>אני</w:t>
      </w:r>
      <w:r w:rsidRPr="00482CA7">
        <w:rPr>
          <w:rtl/>
        </w:rPr>
        <w:t xml:space="preserve"> </w:t>
      </w:r>
      <w:r w:rsidRPr="00482CA7">
        <w:rPr>
          <w:rFonts w:hint="eastAsia"/>
          <w:rtl/>
        </w:rPr>
        <w:t>כי</w:t>
      </w:r>
      <w:r w:rsidRPr="00482CA7">
        <w:rPr>
          <w:rtl/>
        </w:rPr>
        <w:t xml:space="preserve"> </w:t>
      </w:r>
      <w:r w:rsidRPr="00482CA7">
        <w:rPr>
          <w:rFonts w:hint="eastAsia"/>
          <w:rtl/>
        </w:rPr>
        <w:t>לדידי</w:t>
      </w:r>
      <w:r w:rsidRPr="00482CA7">
        <w:rPr>
          <w:rtl/>
        </w:rPr>
        <w:t xml:space="preserve"> </w:t>
      </w:r>
      <w:r w:rsidRPr="00482CA7">
        <w:rPr>
          <w:rFonts w:hint="eastAsia"/>
          <w:rtl/>
        </w:rPr>
        <w:t>מדובר</w:t>
      </w:r>
      <w:r w:rsidRPr="00482CA7">
        <w:rPr>
          <w:rtl/>
        </w:rPr>
        <w:t xml:space="preserve"> </w:t>
      </w:r>
      <w:r w:rsidRPr="00482CA7">
        <w:rPr>
          <w:rFonts w:hint="eastAsia"/>
          <w:rtl/>
        </w:rPr>
        <w:t>בהתלבטות</w:t>
      </w:r>
      <w:r w:rsidRPr="00482CA7">
        <w:rPr>
          <w:rtl/>
        </w:rPr>
        <w:t xml:space="preserve"> </w:t>
      </w:r>
      <w:r w:rsidRPr="00482CA7">
        <w:rPr>
          <w:rFonts w:hint="eastAsia"/>
          <w:rtl/>
        </w:rPr>
        <w:t>לא</w:t>
      </w:r>
      <w:r w:rsidRPr="00482CA7">
        <w:rPr>
          <w:rtl/>
        </w:rPr>
        <w:t xml:space="preserve"> </w:t>
      </w:r>
      <w:r w:rsidRPr="00482CA7">
        <w:rPr>
          <w:rFonts w:hint="eastAsia"/>
          <w:rtl/>
        </w:rPr>
        <w:t>פשוטה</w:t>
      </w:r>
      <w:r w:rsidRPr="00482CA7">
        <w:rPr>
          <w:rtl/>
        </w:rPr>
        <w:t xml:space="preserve">, </w:t>
      </w:r>
      <w:r w:rsidRPr="00482CA7">
        <w:rPr>
          <w:rFonts w:hint="eastAsia"/>
          <w:rtl/>
        </w:rPr>
        <w:t>היא</w:t>
      </w:r>
      <w:r w:rsidRPr="00482CA7">
        <w:rPr>
          <w:rtl/>
        </w:rPr>
        <w:t xml:space="preserve"> </w:t>
      </w:r>
      <w:r w:rsidRPr="00482CA7">
        <w:rPr>
          <w:rFonts w:hint="eastAsia"/>
          <w:rtl/>
        </w:rPr>
        <w:t>האם</w:t>
      </w:r>
      <w:r w:rsidRPr="00482CA7">
        <w:rPr>
          <w:rtl/>
        </w:rPr>
        <w:t xml:space="preserve"> </w:t>
      </w:r>
      <w:r w:rsidRPr="00482CA7">
        <w:rPr>
          <w:rFonts w:hint="eastAsia"/>
          <w:rtl/>
        </w:rPr>
        <w:t>תקופת</w:t>
      </w:r>
      <w:r w:rsidRPr="00482CA7">
        <w:rPr>
          <w:rtl/>
        </w:rPr>
        <w:t xml:space="preserve"> </w:t>
      </w:r>
      <w:r w:rsidRPr="00482CA7">
        <w:rPr>
          <w:rFonts w:hint="eastAsia"/>
          <w:rtl/>
        </w:rPr>
        <w:t>מעבר</w:t>
      </w:r>
      <w:r w:rsidRPr="00482CA7">
        <w:rPr>
          <w:rtl/>
        </w:rPr>
        <w:t xml:space="preserve"> </w:t>
      </w:r>
      <w:r w:rsidRPr="00482CA7">
        <w:rPr>
          <w:rFonts w:hint="eastAsia"/>
          <w:rtl/>
        </w:rPr>
        <w:t>זו</w:t>
      </w:r>
      <w:r w:rsidRPr="00482CA7">
        <w:rPr>
          <w:rtl/>
        </w:rPr>
        <w:t xml:space="preserve"> </w:t>
      </w:r>
      <w:r w:rsidRPr="00482CA7">
        <w:rPr>
          <w:rFonts w:hint="eastAsia"/>
          <w:rtl/>
        </w:rPr>
        <w:t>ראויה</w:t>
      </w:r>
      <w:r w:rsidRPr="00482CA7">
        <w:rPr>
          <w:rtl/>
        </w:rPr>
        <w:t xml:space="preserve">, </w:t>
      </w:r>
      <w:r w:rsidRPr="00482CA7">
        <w:rPr>
          <w:rFonts w:hint="eastAsia"/>
          <w:rtl/>
        </w:rPr>
        <w:t>בהינתן</w:t>
      </w:r>
      <w:r w:rsidRPr="00482CA7">
        <w:rPr>
          <w:rtl/>
        </w:rPr>
        <w:t xml:space="preserve"> </w:t>
      </w:r>
      <w:r w:rsidRPr="00482CA7">
        <w:rPr>
          <w:rFonts w:ascii="Century" w:hAnsi="Century" w:cs="Miriam" w:hint="eastAsia"/>
          <w:b/>
          <w:spacing w:val="0"/>
          <w:sz w:val="22"/>
          <w:szCs w:val="24"/>
          <w:rtl/>
        </w:rPr>
        <w:t>משך</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יחידת</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הזמן</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הרלוונטית</w:t>
      </w:r>
      <w:r w:rsidRPr="00482CA7">
        <w:rPr>
          <w:rtl/>
        </w:rPr>
        <w:t xml:space="preserve"> </w:t>
      </w:r>
      <w:r w:rsidRPr="00482CA7">
        <w:rPr>
          <w:rFonts w:hint="eastAsia"/>
          <w:rtl/>
        </w:rPr>
        <w:t>לנושא</w:t>
      </w:r>
      <w:r w:rsidRPr="00482CA7">
        <w:rPr>
          <w:rtl/>
        </w:rPr>
        <w:t xml:space="preserve"> </w:t>
      </w:r>
      <w:r w:rsidRPr="00482CA7">
        <w:rPr>
          <w:rFonts w:hint="eastAsia"/>
          <w:rtl/>
        </w:rPr>
        <w:t>בו</w:t>
      </w:r>
      <w:r w:rsidRPr="00482CA7">
        <w:rPr>
          <w:rtl/>
        </w:rPr>
        <w:t xml:space="preserve"> </w:t>
      </w:r>
      <w:r w:rsidRPr="00482CA7">
        <w:rPr>
          <w:rFonts w:hint="eastAsia"/>
          <w:rtl/>
        </w:rPr>
        <w:t>עסקינן</w:t>
      </w:r>
      <w:r w:rsidRPr="00482CA7">
        <w:rPr>
          <w:rtl/>
        </w:rPr>
        <w:t xml:space="preserve">, </w:t>
      </w:r>
      <w:r w:rsidRPr="00482CA7">
        <w:rPr>
          <w:rFonts w:hint="eastAsia"/>
          <w:rtl/>
        </w:rPr>
        <w:t>מחד</w:t>
      </w:r>
      <w:r w:rsidRPr="00482CA7">
        <w:rPr>
          <w:rtl/>
        </w:rPr>
        <w:t xml:space="preserve"> </w:t>
      </w:r>
      <w:r w:rsidRPr="00482CA7">
        <w:rPr>
          <w:rFonts w:hint="eastAsia"/>
          <w:rtl/>
        </w:rPr>
        <w:t>גיסא</w:t>
      </w:r>
      <w:r w:rsidRPr="00482CA7">
        <w:rPr>
          <w:rtl/>
        </w:rPr>
        <w:t xml:space="preserve">, </w:t>
      </w:r>
      <w:r w:rsidRPr="00482CA7">
        <w:rPr>
          <w:rFonts w:hint="eastAsia"/>
          <w:rtl/>
        </w:rPr>
        <w:t>ו</w:t>
      </w:r>
      <w:r w:rsidRPr="00482CA7">
        <w:rPr>
          <w:rFonts w:ascii="Century" w:hAnsi="Century" w:cs="Miriam" w:hint="eastAsia"/>
          <w:b/>
          <w:spacing w:val="0"/>
          <w:sz w:val="22"/>
          <w:szCs w:val="24"/>
          <w:rtl/>
        </w:rPr>
        <w:t>העדר</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צורך</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מבורר</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המצדיק</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את</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קטיעת</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יחידת</w:t>
      </w:r>
      <w:r w:rsidRPr="00482CA7">
        <w:rPr>
          <w:rFonts w:ascii="Century" w:hAnsi="Century" w:cs="Miriam"/>
          <w:b/>
          <w:spacing w:val="0"/>
          <w:sz w:val="22"/>
          <w:szCs w:val="24"/>
          <w:rtl/>
        </w:rPr>
        <w:t xml:space="preserve"> </w:t>
      </w:r>
      <w:r w:rsidRPr="00482CA7">
        <w:rPr>
          <w:rFonts w:ascii="Century" w:hAnsi="Century" w:cs="Miriam" w:hint="eastAsia"/>
          <w:b/>
          <w:spacing w:val="0"/>
          <w:sz w:val="22"/>
          <w:szCs w:val="24"/>
          <w:rtl/>
        </w:rPr>
        <w:t>הזמן</w:t>
      </w:r>
      <w:r w:rsidRPr="00482CA7">
        <w:rPr>
          <w:rtl/>
        </w:rPr>
        <w:t xml:space="preserve"> </w:t>
      </w:r>
      <w:r w:rsidRPr="00482CA7">
        <w:rPr>
          <w:rFonts w:hint="eastAsia"/>
          <w:rtl/>
        </w:rPr>
        <w:t>האמורה</w:t>
      </w:r>
      <w:r w:rsidRPr="00482CA7">
        <w:rPr>
          <w:rtl/>
        </w:rPr>
        <w:t xml:space="preserve">, </w:t>
      </w:r>
      <w:r w:rsidRPr="00482CA7">
        <w:rPr>
          <w:rFonts w:hint="eastAsia"/>
          <w:rtl/>
        </w:rPr>
        <w:t>מאידך</w:t>
      </w:r>
      <w:r w:rsidRPr="00482CA7">
        <w:rPr>
          <w:rtl/>
        </w:rPr>
        <w:t xml:space="preserve"> </w:t>
      </w:r>
      <w:r w:rsidRPr="00482CA7">
        <w:rPr>
          <w:rFonts w:hint="eastAsia"/>
          <w:rtl/>
        </w:rPr>
        <w:t>גיסא</w:t>
      </w:r>
      <w:r w:rsidRPr="00482CA7">
        <w:rPr>
          <w:rtl/>
        </w:rPr>
        <w:t xml:space="preserve">. </w:t>
      </w:r>
      <w:r w:rsidRPr="00482CA7">
        <w:rPr>
          <w:rFonts w:hint="eastAsia"/>
          <w:rtl/>
        </w:rPr>
        <w:t>אבהיר</w:t>
      </w:r>
      <w:r w:rsidRPr="00482CA7">
        <w:rPr>
          <w:rtl/>
        </w:rPr>
        <w:t xml:space="preserve">. </w:t>
      </w:r>
    </w:p>
    <w:p w:rsidR="00FE44B0" w:rsidRPr="00482CA7" w:rsidRDefault="00FE44B0" w:rsidP="00FE44B0">
      <w:pPr>
        <w:pStyle w:val="Ruller4"/>
        <w:overflowPunct w:val="0"/>
        <w:autoSpaceDE w:val="0"/>
        <w:autoSpaceDN w:val="0"/>
        <w:adjustRightInd w:val="0"/>
        <w:textAlignment w:val="baseline"/>
        <w:rPr>
          <w:rtl/>
        </w:rPr>
      </w:pPr>
      <w:r w:rsidRPr="00482CA7">
        <w:rPr>
          <w:rFonts w:hint="eastAsia"/>
          <w:rtl/>
        </w:rPr>
        <w:t>רישום</w:t>
      </w:r>
      <w:r w:rsidRPr="00482CA7">
        <w:rPr>
          <w:rtl/>
        </w:rPr>
        <w:t xml:space="preserve"> </w:t>
      </w:r>
      <w:r w:rsidRPr="00482CA7">
        <w:rPr>
          <w:rFonts w:hint="eastAsia"/>
          <w:rtl/>
        </w:rPr>
        <w:t>למעונות</w:t>
      </w:r>
      <w:r w:rsidRPr="00482CA7">
        <w:rPr>
          <w:rtl/>
        </w:rPr>
        <w:t xml:space="preserve"> </w:t>
      </w:r>
      <w:r w:rsidRPr="00482CA7">
        <w:rPr>
          <w:rFonts w:hint="eastAsia"/>
          <w:rtl/>
        </w:rPr>
        <w:t>יום</w:t>
      </w:r>
      <w:r w:rsidRPr="00482CA7">
        <w:rPr>
          <w:rtl/>
        </w:rPr>
        <w:t xml:space="preserve">, </w:t>
      </w:r>
      <w:r w:rsidRPr="00482CA7">
        <w:rPr>
          <w:rFonts w:hint="eastAsia"/>
          <w:rtl/>
        </w:rPr>
        <w:t>כמו</w:t>
      </w:r>
      <w:r w:rsidRPr="00482CA7">
        <w:rPr>
          <w:rtl/>
        </w:rPr>
        <w:t xml:space="preserve"> </w:t>
      </w:r>
      <w:r w:rsidRPr="00482CA7">
        <w:rPr>
          <w:rFonts w:hint="eastAsia"/>
          <w:rtl/>
        </w:rPr>
        <w:t>רישום</w:t>
      </w:r>
      <w:r w:rsidRPr="00482CA7">
        <w:rPr>
          <w:rtl/>
        </w:rPr>
        <w:t xml:space="preserve"> </w:t>
      </w:r>
      <w:r w:rsidRPr="00482CA7">
        <w:rPr>
          <w:rFonts w:hint="eastAsia"/>
          <w:rtl/>
        </w:rPr>
        <w:t>לגני</w:t>
      </w:r>
      <w:r w:rsidRPr="00482CA7">
        <w:rPr>
          <w:rtl/>
        </w:rPr>
        <w:t xml:space="preserve"> </w:t>
      </w:r>
      <w:r w:rsidRPr="00482CA7">
        <w:rPr>
          <w:rFonts w:hint="eastAsia"/>
          <w:rtl/>
        </w:rPr>
        <w:t>ילדים</w:t>
      </w:r>
      <w:r w:rsidRPr="00482CA7">
        <w:rPr>
          <w:rtl/>
        </w:rPr>
        <w:t xml:space="preserve"> </w:t>
      </w:r>
      <w:r w:rsidRPr="00482CA7">
        <w:rPr>
          <w:rFonts w:hint="eastAsia"/>
          <w:rtl/>
        </w:rPr>
        <w:t>ולבתי</w:t>
      </w:r>
      <w:r w:rsidRPr="00482CA7">
        <w:rPr>
          <w:rtl/>
        </w:rPr>
        <w:t xml:space="preserve"> </w:t>
      </w:r>
      <w:r w:rsidRPr="00482CA7">
        <w:rPr>
          <w:rFonts w:hint="eastAsia"/>
          <w:rtl/>
        </w:rPr>
        <w:t>ספר</w:t>
      </w:r>
      <w:r w:rsidRPr="00482CA7">
        <w:rPr>
          <w:rFonts w:hint="cs"/>
          <w:rtl/>
        </w:rPr>
        <w:t>,</w:t>
      </w:r>
      <w:r w:rsidRPr="00482CA7">
        <w:rPr>
          <w:rtl/>
        </w:rPr>
        <w:t xml:space="preserve"> </w:t>
      </w:r>
      <w:r w:rsidRPr="00482CA7">
        <w:rPr>
          <w:rFonts w:hint="eastAsia"/>
          <w:rtl/>
        </w:rPr>
        <w:t>נעשה</w:t>
      </w:r>
      <w:r w:rsidRPr="00482CA7">
        <w:rPr>
          <w:rtl/>
        </w:rPr>
        <w:t xml:space="preserve"> </w:t>
      </w:r>
      <w:r w:rsidRPr="00482CA7">
        <w:rPr>
          <w:rFonts w:hint="eastAsia"/>
          <w:rtl/>
        </w:rPr>
        <w:t>על</w:t>
      </w:r>
      <w:r w:rsidRPr="00482CA7">
        <w:rPr>
          <w:rtl/>
        </w:rPr>
        <w:t xml:space="preserve"> </w:t>
      </w:r>
      <w:r w:rsidRPr="00482CA7">
        <w:rPr>
          <w:rFonts w:hint="eastAsia"/>
          <w:rtl/>
        </w:rPr>
        <w:t>בסיס</w:t>
      </w:r>
      <w:r w:rsidRPr="00482CA7">
        <w:rPr>
          <w:rtl/>
        </w:rPr>
        <w:t xml:space="preserve"> </w:t>
      </w:r>
      <w:r w:rsidRPr="00482CA7">
        <w:rPr>
          <w:rFonts w:hint="eastAsia"/>
          <w:rtl/>
        </w:rPr>
        <w:t>שנתי</w:t>
      </w:r>
      <w:r w:rsidRPr="00482CA7">
        <w:rPr>
          <w:rtl/>
        </w:rPr>
        <w:t xml:space="preserve">. </w:t>
      </w:r>
      <w:r w:rsidRPr="00482CA7">
        <w:rPr>
          <w:rFonts w:hint="eastAsia"/>
          <w:rtl/>
        </w:rPr>
        <w:t>בהתאם</w:t>
      </w:r>
      <w:r w:rsidRPr="00482CA7">
        <w:rPr>
          <w:rFonts w:hint="cs"/>
          <w:rtl/>
        </w:rPr>
        <w:t>,</w:t>
      </w:r>
      <w:r w:rsidRPr="00482CA7">
        <w:rPr>
          <w:rtl/>
        </w:rPr>
        <w:t xml:space="preserve"> </w:t>
      </w:r>
      <w:r w:rsidRPr="00482CA7">
        <w:rPr>
          <w:rFonts w:hint="eastAsia"/>
          <w:rtl/>
        </w:rPr>
        <w:t>גם</w:t>
      </w:r>
      <w:r w:rsidRPr="00482CA7">
        <w:rPr>
          <w:rtl/>
        </w:rPr>
        <w:t xml:space="preserve"> </w:t>
      </w:r>
      <w:r w:rsidRPr="00482CA7">
        <w:rPr>
          <w:rFonts w:hint="eastAsia"/>
          <w:rtl/>
        </w:rPr>
        <w:t>הסובסידיות</w:t>
      </w:r>
      <w:r w:rsidRPr="00482CA7">
        <w:rPr>
          <w:rtl/>
        </w:rPr>
        <w:t xml:space="preserve"> </w:t>
      </w:r>
      <w:r w:rsidRPr="00482CA7">
        <w:rPr>
          <w:rFonts w:hint="eastAsia"/>
          <w:rtl/>
        </w:rPr>
        <w:t>למעונות</w:t>
      </w:r>
      <w:r w:rsidRPr="00482CA7">
        <w:rPr>
          <w:rtl/>
        </w:rPr>
        <w:t xml:space="preserve"> </w:t>
      </w:r>
      <w:r w:rsidRPr="00482CA7">
        <w:rPr>
          <w:rFonts w:hint="eastAsia"/>
          <w:rtl/>
        </w:rPr>
        <w:t>יום</w:t>
      </w:r>
      <w:r w:rsidRPr="00482CA7">
        <w:rPr>
          <w:rtl/>
        </w:rPr>
        <w:t xml:space="preserve"> </w:t>
      </w:r>
      <w:r w:rsidRPr="00482CA7">
        <w:rPr>
          <w:rFonts w:hint="eastAsia"/>
          <w:rtl/>
        </w:rPr>
        <w:t>ניתנות</w:t>
      </w:r>
      <w:r w:rsidRPr="00482CA7">
        <w:rPr>
          <w:rtl/>
        </w:rPr>
        <w:t xml:space="preserve"> </w:t>
      </w:r>
      <w:r w:rsidRPr="00482CA7">
        <w:rPr>
          <w:rFonts w:hint="eastAsia"/>
          <w:rtl/>
        </w:rPr>
        <w:t>על</w:t>
      </w:r>
      <w:r w:rsidRPr="00482CA7">
        <w:rPr>
          <w:rtl/>
        </w:rPr>
        <w:t xml:space="preserve"> </w:t>
      </w:r>
      <w:r w:rsidRPr="00482CA7">
        <w:rPr>
          <w:rFonts w:hint="eastAsia"/>
          <w:rtl/>
        </w:rPr>
        <w:t>בסיס</w:t>
      </w:r>
      <w:r w:rsidRPr="00482CA7">
        <w:rPr>
          <w:rtl/>
        </w:rPr>
        <w:t xml:space="preserve"> </w:t>
      </w:r>
      <w:r w:rsidRPr="00482CA7">
        <w:rPr>
          <w:rFonts w:hint="eastAsia"/>
          <w:rtl/>
        </w:rPr>
        <w:t>שנתי</w:t>
      </w:r>
      <w:r w:rsidRPr="00482CA7">
        <w:rPr>
          <w:rtl/>
        </w:rPr>
        <w:t xml:space="preserve">, </w:t>
      </w:r>
      <w:r w:rsidRPr="00482CA7">
        <w:rPr>
          <w:rFonts w:hint="eastAsia"/>
          <w:rtl/>
        </w:rPr>
        <w:t>וכנגזר</w:t>
      </w:r>
      <w:r w:rsidRPr="00482CA7">
        <w:rPr>
          <w:rtl/>
        </w:rPr>
        <w:t xml:space="preserve"> </w:t>
      </w:r>
      <w:r w:rsidRPr="00482CA7">
        <w:rPr>
          <w:rFonts w:hint="eastAsia"/>
          <w:rtl/>
        </w:rPr>
        <w:t>מכך</w:t>
      </w:r>
      <w:r w:rsidRPr="00482CA7">
        <w:rPr>
          <w:rtl/>
        </w:rPr>
        <w:t xml:space="preserve"> </w:t>
      </w:r>
      <w:r w:rsidRPr="00482CA7">
        <w:rPr>
          <w:rFonts w:hint="eastAsia"/>
          <w:rtl/>
        </w:rPr>
        <w:t>גם</w:t>
      </w:r>
      <w:r w:rsidRPr="00482CA7">
        <w:rPr>
          <w:rtl/>
        </w:rPr>
        <w:t xml:space="preserve"> </w:t>
      </w:r>
      <w:r w:rsidRPr="00482CA7">
        <w:rPr>
          <w:rFonts w:hint="eastAsia"/>
          <w:rtl/>
        </w:rPr>
        <w:t>הקריטריונים</w:t>
      </w:r>
      <w:r w:rsidRPr="00482CA7">
        <w:rPr>
          <w:rtl/>
        </w:rPr>
        <w:t xml:space="preserve"> </w:t>
      </w:r>
      <w:r w:rsidRPr="00482CA7">
        <w:rPr>
          <w:rFonts w:hint="eastAsia"/>
          <w:rtl/>
        </w:rPr>
        <w:t>למתן</w:t>
      </w:r>
      <w:r w:rsidRPr="00482CA7">
        <w:rPr>
          <w:rtl/>
        </w:rPr>
        <w:t xml:space="preserve"> </w:t>
      </w:r>
      <w:r w:rsidRPr="00482CA7">
        <w:rPr>
          <w:rFonts w:hint="eastAsia"/>
          <w:rtl/>
        </w:rPr>
        <w:t>התמיכות</w:t>
      </w:r>
      <w:r w:rsidRPr="00482CA7">
        <w:rPr>
          <w:rtl/>
        </w:rPr>
        <w:t xml:space="preserve"> </w:t>
      </w:r>
      <w:r w:rsidRPr="00482CA7">
        <w:rPr>
          <w:rFonts w:hint="eastAsia"/>
          <w:rtl/>
        </w:rPr>
        <w:t>הללו</w:t>
      </w:r>
      <w:r w:rsidRPr="00482CA7">
        <w:rPr>
          <w:rFonts w:hint="cs"/>
          <w:rtl/>
        </w:rPr>
        <w:t xml:space="preserve"> </w:t>
      </w:r>
      <w:r w:rsidRPr="00482CA7">
        <w:rPr>
          <w:rFonts w:hint="eastAsia"/>
          <w:rtl/>
        </w:rPr>
        <w:t>נקבעים</w:t>
      </w:r>
      <w:r w:rsidRPr="00482CA7">
        <w:rPr>
          <w:rtl/>
        </w:rPr>
        <w:t xml:space="preserve"> </w:t>
      </w:r>
      <w:r w:rsidRPr="00482CA7">
        <w:rPr>
          <w:rFonts w:hint="eastAsia"/>
          <w:rtl/>
        </w:rPr>
        <w:t>על</w:t>
      </w:r>
      <w:r w:rsidRPr="00482CA7">
        <w:rPr>
          <w:rtl/>
        </w:rPr>
        <w:t xml:space="preserve"> </w:t>
      </w:r>
      <w:r w:rsidRPr="00482CA7">
        <w:rPr>
          <w:rFonts w:hint="eastAsia"/>
          <w:rtl/>
        </w:rPr>
        <w:t>בסיס</w:t>
      </w:r>
      <w:r w:rsidRPr="00482CA7">
        <w:rPr>
          <w:rtl/>
        </w:rPr>
        <w:t xml:space="preserve"> </w:t>
      </w:r>
      <w:r w:rsidRPr="00482CA7">
        <w:rPr>
          <w:rFonts w:hint="eastAsia"/>
          <w:rtl/>
        </w:rPr>
        <w:t>שנתי</w:t>
      </w:r>
      <w:r w:rsidRPr="00482CA7">
        <w:rPr>
          <w:rtl/>
        </w:rPr>
        <w:t xml:space="preserve">. </w:t>
      </w:r>
      <w:r w:rsidRPr="00482CA7">
        <w:rPr>
          <w:rFonts w:hint="eastAsia"/>
          <w:rtl/>
        </w:rPr>
        <w:t>תקופת</w:t>
      </w:r>
      <w:r w:rsidRPr="00482CA7">
        <w:rPr>
          <w:rtl/>
        </w:rPr>
        <w:t xml:space="preserve"> </w:t>
      </w:r>
      <w:r w:rsidRPr="00482CA7">
        <w:rPr>
          <w:rFonts w:hint="eastAsia"/>
          <w:rtl/>
        </w:rPr>
        <w:t>המעבר</w:t>
      </w:r>
      <w:r w:rsidRPr="00482CA7">
        <w:rPr>
          <w:rtl/>
        </w:rPr>
        <w:t xml:space="preserve"> </w:t>
      </w:r>
      <w:r w:rsidRPr="00482CA7">
        <w:rPr>
          <w:rFonts w:hint="eastAsia"/>
          <w:rtl/>
        </w:rPr>
        <w:t>שקבעו</w:t>
      </w:r>
      <w:r w:rsidRPr="00482CA7">
        <w:rPr>
          <w:rtl/>
        </w:rPr>
        <w:t xml:space="preserve"> </w:t>
      </w:r>
      <w:r w:rsidRPr="00482CA7">
        <w:rPr>
          <w:rFonts w:hint="eastAsia"/>
          <w:rtl/>
        </w:rPr>
        <w:t>השרים</w:t>
      </w:r>
      <w:r w:rsidRPr="00482CA7">
        <w:rPr>
          <w:rtl/>
        </w:rPr>
        <w:t xml:space="preserve"> </w:t>
      </w:r>
      <w:r w:rsidRPr="00482CA7">
        <w:rPr>
          <w:rFonts w:hint="eastAsia"/>
          <w:rtl/>
        </w:rPr>
        <w:t>מתעלמת</w:t>
      </w:r>
      <w:r w:rsidRPr="00482CA7">
        <w:rPr>
          <w:rtl/>
        </w:rPr>
        <w:t xml:space="preserve"> </w:t>
      </w:r>
      <w:r w:rsidRPr="00482CA7">
        <w:rPr>
          <w:rFonts w:hint="eastAsia"/>
          <w:rtl/>
        </w:rPr>
        <w:t>מיחידת</w:t>
      </w:r>
      <w:r w:rsidRPr="00482CA7">
        <w:rPr>
          <w:rtl/>
        </w:rPr>
        <w:t xml:space="preserve"> </w:t>
      </w:r>
      <w:r w:rsidRPr="00482CA7">
        <w:rPr>
          <w:rFonts w:hint="eastAsia"/>
          <w:rtl/>
        </w:rPr>
        <w:t>זמן</w:t>
      </w:r>
      <w:r w:rsidRPr="00482CA7">
        <w:rPr>
          <w:rtl/>
        </w:rPr>
        <w:t xml:space="preserve"> </w:t>
      </w:r>
      <w:r w:rsidRPr="00482CA7">
        <w:rPr>
          <w:rFonts w:hint="eastAsia"/>
          <w:rtl/>
        </w:rPr>
        <w:t>זו</w:t>
      </w:r>
      <w:r w:rsidRPr="00482CA7">
        <w:rPr>
          <w:rtl/>
        </w:rPr>
        <w:t xml:space="preserve">, </w:t>
      </w:r>
      <w:r w:rsidRPr="00482CA7">
        <w:rPr>
          <w:rFonts w:hint="eastAsia"/>
          <w:rtl/>
        </w:rPr>
        <w:t>ויוצרת</w:t>
      </w:r>
      <w:r w:rsidRPr="00482CA7">
        <w:rPr>
          <w:rtl/>
        </w:rPr>
        <w:t xml:space="preserve"> </w:t>
      </w:r>
      <w:r w:rsidRPr="00482CA7">
        <w:rPr>
          <w:rFonts w:hint="eastAsia"/>
          <w:rtl/>
        </w:rPr>
        <w:t>מציאות</w:t>
      </w:r>
      <w:r w:rsidRPr="00482CA7">
        <w:rPr>
          <w:rtl/>
        </w:rPr>
        <w:t xml:space="preserve"> </w:t>
      </w:r>
      <w:r w:rsidRPr="00482CA7">
        <w:rPr>
          <w:rFonts w:hint="eastAsia"/>
          <w:rtl/>
        </w:rPr>
        <w:t>חריגה</w:t>
      </w:r>
      <w:r w:rsidRPr="00482CA7">
        <w:rPr>
          <w:rtl/>
        </w:rPr>
        <w:t xml:space="preserve"> </w:t>
      </w:r>
      <w:r w:rsidRPr="00482CA7">
        <w:rPr>
          <w:rFonts w:hint="eastAsia"/>
          <w:rtl/>
        </w:rPr>
        <w:t>במסגרתה</w:t>
      </w:r>
      <w:r w:rsidRPr="00482CA7">
        <w:rPr>
          <w:rtl/>
        </w:rPr>
        <w:t xml:space="preserve"> </w:t>
      </w:r>
      <w:r w:rsidRPr="00482CA7">
        <w:rPr>
          <w:rFonts w:hint="eastAsia"/>
          <w:rtl/>
        </w:rPr>
        <w:t>סבסוד</w:t>
      </w:r>
      <w:r w:rsidRPr="00482CA7">
        <w:rPr>
          <w:rtl/>
        </w:rPr>
        <w:t xml:space="preserve"> </w:t>
      </w:r>
      <w:r w:rsidRPr="00482CA7">
        <w:rPr>
          <w:rFonts w:hint="eastAsia"/>
          <w:rtl/>
        </w:rPr>
        <w:t>שהיית</w:t>
      </w:r>
      <w:r w:rsidRPr="00482CA7">
        <w:rPr>
          <w:rtl/>
        </w:rPr>
        <w:t xml:space="preserve"> </w:t>
      </w:r>
      <w:r w:rsidRPr="00482CA7">
        <w:rPr>
          <w:rFonts w:hint="eastAsia"/>
          <w:rtl/>
        </w:rPr>
        <w:t>פעוט</w:t>
      </w:r>
      <w:r w:rsidRPr="00482CA7">
        <w:rPr>
          <w:rtl/>
        </w:rPr>
        <w:t xml:space="preserve"> </w:t>
      </w:r>
      <w:r w:rsidRPr="00482CA7">
        <w:rPr>
          <w:rFonts w:hint="eastAsia"/>
          <w:rtl/>
        </w:rPr>
        <w:t>במעון</w:t>
      </w:r>
      <w:r w:rsidRPr="00482CA7">
        <w:rPr>
          <w:rtl/>
        </w:rPr>
        <w:t xml:space="preserve"> </w:t>
      </w:r>
      <w:r w:rsidRPr="00482CA7">
        <w:rPr>
          <w:rFonts w:hint="eastAsia"/>
          <w:rtl/>
        </w:rPr>
        <w:t>יום</w:t>
      </w:r>
      <w:r w:rsidRPr="00482CA7">
        <w:rPr>
          <w:rtl/>
        </w:rPr>
        <w:t xml:space="preserve"> </w:t>
      </w:r>
      <w:r w:rsidRPr="00482CA7">
        <w:rPr>
          <w:rFonts w:hint="eastAsia"/>
          <w:rtl/>
        </w:rPr>
        <w:t>עלול</w:t>
      </w:r>
      <w:r w:rsidRPr="00482CA7">
        <w:rPr>
          <w:rtl/>
        </w:rPr>
        <w:t xml:space="preserve"> </w:t>
      </w:r>
      <w:r w:rsidRPr="00482CA7">
        <w:rPr>
          <w:rFonts w:hint="eastAsia"/>
          <w:rtl/>
        </w:rPr>
        <w:t>להיפסק</w:t>
      </w:r>
      <w:r w:rsidRPr="00482CA7">
        <w:rPr>
          <w:rtl/>
        </w:rPr>
        <w:t xml:space="preserve"> </w:t>
      </w:r>
      <w:r w:rsidRPr="00482CA7">
        <w:rPr>
          <w:rFonts w:hint="eastAsia"/>
          <w:rtl/>
        </w:rPr>
        <w:t>באמצע</w:t>
      </w:r>
      <w:r w:rsidRPr="00482CA7">
        <w:rPr>
          <w:rtl/>
        </w:rPr>
        <w:t xml:space="preserve"> </w:t>
      </w:r>
      <w:r w:rsidRPr="00482CA7">
        <w:rPr>
          <w:rFonts w:hint="eastAsia"/>
          <w:rtl/>
        </w:rPr>
        <w:t>שנת</w:t>
      </w:r>
      <w:r w:rsidRPr="00482CA7">
        <w:rPr>
          <w:rtl/>
        </w:rPr>
        <w:t xml:space="preserve"> </w:t>
      </w:r>
      <w:r w:rsidRPr="00482CA7">
        <w:rPr>
          <w:rFonts w:hint="eastAsia"/>
          <w:rtl/>
        </w:rPr>
        <w:t>פעילות</w:t>
      </w:r>
      <w:r w:rsidRPr="00482CA7">
        <w:rPr>
          <w:rtl/>
        </w:rPr>
        <w:t xml:space="preserve">. </w:t>
      </w:r>
      <w:r w:rsidRPr="00482CA7">
        <w:rPr>
          <w:rFonts w:hint="eastAsia"/>
          <w:rtl/>
        </w:rPr>
        <w:t>מצב</w:t>
      </w:r>
      <w:r w:rsidRPr="00482CA7">
        <w:rPr>
          <w:rtl/>
        </w:rPr>
        <w:t xml:space="preserve"> </w:t>
      </w:r>
      <w:r w:rsidRPr="00482CA7">
        <w:rPr>
          <w:rFonts w:hint="eastAsia"/>
          <w:rtl/>
        </w:rPr>
        <w:t>דברים</w:t>
      </w:r>
      <w:r w:rsidRPr="00482CA7">
        <w:rPr>
          <w:rtl/>
        </w:rPr>
        <w:t xml:space="preserve"> </w:t>
      </w:r>
      <w:r w:rsidRPr="00482CA7">
        <w:rPr>
          <w:rFonts w:hint="eastAsia"/>
          <w:rtl/>
        </w:rPr>
        <w:t>זה</w:t>
      </w:r>
      <w:r w:rsidRPr="00482CA7">
        <w:rPr>
          <w:rtl/>
        </w:rPr>
        <w:t xml:space="preserve"> </w:t>
      </w:r>
      <w:r w:rsidRPr="00482CA7">
        <w:rPr>
          <w:rFonts w:hint="eastAsia"/>
          <w:rtl/>
        </w:rPr>
        <w:t>הוא</w:t>
      </w:r>
      <w:r w:rsidRPr="00482CA7">
        <w:rPr>
          <w:rtl/>
        </w:rPr>
        <w:t xml:space="preserve"> </w:t>
      </w:r>
      <w:r w:rsidRPr="00482CA7">
        <w:rPr>
          <w:rFonts w:hint="eastAsia"/>
          <w:rtl/>
        </w:rPr>
        <w:t>בוודאי</w:t>
      </w:r>
      <w:r w:rsidRPr="00482CA7">
        <w:rPr>
          <w:rtl/>
        </w:rPr>
        <w:t xml:space="preserve"> </w:t>
      </w:r>
      <w:r w:rsidRPr="00482CA7">
        <w:rPr>
          <w:rFonts w:hint="eastAsia"/>
          <w:rtl/>
        </w:rPr>
        <w:t>חריג</w:t>
      </w:r>
      <w:r w:rsidRPr="00482CA7">
        <w:rPr>
          <w:rtl/>
        </w:rPr>
        <w:t xml:space="preserve">, </w:t>
      </w:r>
      <w:r w:rsidRPr="00482CA7">
        <w:rPr>
          <w:rFonts w:hint="eastAsia"/>
          <w:rtl/>
        </w:rPr>
        <w:t>ו</w:t>
      </w:r>
      <w:r w:rsidRPr="00482CA7">
        <w:rPr>
          <w:rFonts w:hint="cs"/>
          <w:rtl/>
        </w:rPr>
        <w:t>במכלול הנסיבות, ו</w:t>
      </w:r>
      <w:r w:rsidRPr="00482CA7">
        <w:rPr>
          <w:rFonts w:hint="eastAsia"/>
          <w:rtl/>
        </w:rPr>
        <w:t>בהעדר</w:t>
      </w:r>
      <w:r w:rsidRPr="00482CA7">
        <w:rPr>
          <w:rtl/>
        </w:rPr>
        <w:t xml:space="preserve"> </w:t>
      </w:r>
      <w:r w:rsidRPr="00482CA7">
        <w:rPr>
          <w:rFonts w:hint="eastAsia"/>
          <w:rtl/>
        </w:rPr>
        <w:t>צורך</w:t>
      </w:r>
      <w:r w:rsidRPr="00482CA7">
        <w:rPr>
          <w:rtl/>
        </w:rPr>
        <w:t xml:space="preserve"> </w:t>
      </w:r>
      <w:r w:rsidRPr="00482CA7">
        <w:rPr>
          <w:rFonts w:hint="eastAsia"/>
          <w:rtl/>
        </w:rPr>
        <w:t>מבורר</w:t>
      </w:r>
      <w:r w:rsidRPr="00482CA7">
        <w:rPr>
          <w:rtl/>
        </w:rPr>
        <w:t xml:space="preserve"> </w:t>
      </w:r>
      <w:r w:rsidRPr="00482CA7">
        <w:rPr>
          <w:rFonts w:hint="eastAsia"/>
          <w:rtl/>
        </w:rPr>
        <w:t>המצדיק</w:t>
      </w:r>
      <w:r w:rsidRPr="00482CA7">
        <w:rPr>
          <w:rtl/>
        </w:rPr>
        <w:t xml:space="preserve"> </w:t>
      </w:r>
      <w:r w:rsidRPr="00482CA7">
        <w:rPr>
          <w:rFonts w:hint="eastAsia"/>
          <w:rtl/>
        </w:rPr>
        <w:t>זאת</w:t>
      </w:r>
      <w:r w:rsidRPr="00482CA7">
        <w:rPr>
          <w:rFonts w:hint="cs"/>
          <w:rtl/>
        </w:rPr>
        <w:t xml:space="preserve"> </w:t>
      </w:r>
      <w:r w:rsidRPr="00482CA7">
        <w:rPr>
          <w:rtl/>
        </w:rPr>
        <w:t xml:space="preserve">– </w:t>
      </w:r>
      <w:r w:rsidRPr="00482CA7">
        <w:rPr>
          <w:rFonts w:hint="eastAsia"/>
          <w:rtl/>
        </w:rPr>
        <w:t>בלתי</w:t>
      </w:r>
      <w:r w:rsidRPr="00482CA7">
        <w:rPr>
          <w:rtl/>
        </w:rPr>
        <w:t xml:space="preserve"> </w:t>
      </w:r>
      <w:r w:rsidRPr="00482CA7">
        <w:rPr>
          <w:rFonts w:hint="eastAsia"/>
          <w:rtl/>
        </w:rPr>
        <w:t>סביר</w:t>
      </w:r>
      <w:r w:rsidRPr="00482CA7">
        <w:rPr>
          <w:rtl/>
        </w:rPr>
        <w:t xml:space="preserve">. </w:t>
      </w:r>
      <w:r w:rsidRPr="00482CA7">
        <w:rPr>
          <w:rFonts w:hint="eastAsia"/>
          <w:rtl/>
        </w:rPr>
        <w:t>הטעם</w:t>
      </w:r>
      <w:r w:rsidRPr="00482CA7">
        <w:rPr>
          <w:rtl/>
        </w:rPr>
        <w:t xml:space="preserve"> </w:t>
      </w:r>
      <w:r w:rsidRPr="00482CA7">
        <w:rPr>
          <w:rFonts w:hint="eastAsia"/>
          <w:rtl/>
        </w:rPr>
        <w:t>המרכזי</w:t>
      </w:r>
      <w:r w:rsidRPr="00482CA7">
        <w:rPr>
          <w:rtl/>
        </w:rPr>
        <w:t xml:space="preserve"> </w:t>
      </w:r>
      <w:r w:rsidRPr="00482CA7">
        <w:rPr>
          <w:rFonts w:hint="eastAsia"/>
          <w:rtl/>
        </w:rPr>
        <w:t>לכך</w:t>
      </w:r>
      <w:r w:rsidRPr="00482CA7">
        <w:rPr>
          <w:rtl/>
        </w:rPr>
        <w:t xml:space="preserve"> </w:t>
      </w:r>
      <w:r w:rsidRPr="00482CA7">
        <w:rPr>
          <w:rFonts w:hint="eastAsia"/>
          <w:rtl/>
        </w:rPr>
        <w:t>הוא</w:t>
      </w:r>
      <w:r w:rsidRPr="00482CA7">
        <w:rPr>
          <w:rtl/>
        </w:rPr>
        <w:t xml:space="preserve"> </w:t>
      </w:r>
      <w:r w:rsidRPr="00482CA7">
        <w:rPr>
          <w:rFonts w:hint="eastAsia"/>
          <w:rtl/>
        </w:rPr>
        <w:t>שהחלופה</w:t>
      </w:r>
      <w:r w:rsidRPr="00482CA7">
        <w:rPr>
          <w:rtl/>
        </w:rPr>
        <w:t xml:space="preserve"> </w:t>
      </w:r>
      <w:r w:rsidRPr="00482CA7">
        <w:rPr>
          <w:rFonts w:hint="eastAsia"/>
          <w:rtl/>
        </w:rPr>
        <w:t>הנותרת</w:t>
      </w:r>
      <w:r w:rsidRPr="00482CA7">
        <w:rPr>
          <w:rtl/>
        </w:rPr>
        <w:t xml:space="preserve"> </w:t>
      </w:r>
      <w:r w:rsidRPr="00482CA7">
        <w:rPr>
          <w:rFonts w:hint="eastAsia"/>
          <w:rtl/>
        </w:rPr>
        <w:t>למשפחת</w:t>
      </w:r>
      <w:r w:rsidRPr="00482CA7">
        <w:rPr>
          <w:rtl/>
        </w:rPr>
        <w:t xml:space="preserve"> </w:t>
      </w:r>
      <w:r w:rsidRPr="00482CA7">
        <w:rPr>
          <w:rFonts w:hint="eastAsia"/>
          <w:rtl/>
        </w:rPr>
        <w:t>אבר</w:t>
      </w:r>
      <w:r w:rsidRPr="00482CA7">
        <w:rPr>
          <w:rFonts w:hint="cs"/>
          <w:rtl/>
        </w:rPr>
        <w:t>ך</w:t>
      </w:r>
      <w:r w:rsidRPr="00482CA7">
        <w:rPr>
          <w:rtl/>
        </w:rPr>
        <w:t xml:space="preserve">, </w:t>
      </w:r>
      <w:r w:rsidRPr="00482CA7">
        <w:rPr>
          <w:rFonts w:hint="eastAsia"/>
          <w:rtl/>
        </w:rPr>
        <w:t>המעוניינת</w:t>
      </w:r>
      <w:r w:rsidRPr="00482CA7">
        <w:rPr>
          <w:rtl/>
        </w:rPr>
        <w:t xml:space="preserve"> </w:t>
      </w:r>
      <w:r w:rsidRPr="00482CA7">
        <w:rPr>
          <w:rFonts w:hint="eastAsia"/>
          <w:rtl/>
        </w:rPr>
        <w:t>בהמשך</w:t>
      </w:r>
      <w:r w:rsidRPr="00482CA7">
        <w:rPr>
          <w:rtl/>
        </w:rPr>
        <w:t xml:space="preserve"> </w:t>
      </w:r>
      <w:r w:rsidRPr="00482CA7">
        <w:rPr>
          <w:rFonts w:hint="eastAsia"/>
          <w:rtl/>
        </w:rPr>
        <w:t>לימודיו</w:t>
      </w:r>
      <w:r w:rsidRPr="00482CA7">
        <w:rPr>
          <w:rtl/>
        </w:rPr>
        <w:t xml:space="preserve"> </w:t>
      </w:r>
      <w:r w:rsidRPr="00482CA7">
        <w:rPr>
          <w:rFonts w:hint="eastAsia"/>
          <w:rtl/>
        </w:rPr>
        <w:t>המלאים</w:t>
      </w:r>
      <w:r w:rsidRPr="00482CA7">
        <w:rPr>
          <w:rtl/>
        </w:rPr>
        <w:t xml:space="preserve"> </w:t>
      </w:r>
      <w:r w:rsidRPr="00482CA7">
        <w:rPr>
          <w:rFonts w:hint="eastAsia"/>
          <w:rtl/>
        </w:rPr>
        <w:t>של</w:t>
      </w:r>
      <w:r w:rsidRPr="00482CA7">
        <w:rPr>
          <w:rtl/>
        </w:rPr>
        <w:t xml:space="preserve"> </w:t>
      </w:r>
      <w:r w:rsidRPr="00482CA7">
        <w:rPr>
          <w:rFonts w:hint="eastAsia"/>
          <w:rtl/>
        </w:rPr>
        <w:t>האברך</w:t>
      </w:r>
      <w:r w:rsidRPr="00482CA7">
        <w:rPr>
          <w:rtl/>
        </w:rPr>
        <w:t xml:space="preserve"> (</w:t>
      </w:r>
      <w:r w:rsidRPr="00482CA7">
        <w:rPr>
          <w:rFonts w:hint="cs"/>
          <w:rtl/>
        </w:rPr>
        <w:t>החלטה</w:t>
      </w:r>
      <w:r w:rsidRPr="00482CA7">
        <w:rPr>
          <w:rtl/>
        </w:rPr>
        <w:t xml:space="preserve"> </w:t>
      </w:r>
      <w:r w:rsidRPr="00482CA7">
        <w:rPr>
          <w:rFonts w:hint="eastAsia"/>
          <w:rtl/>
        </w:rPr>
        <w:t>שגם</w:t>
      </w:r>
      <w:r w:rsidRPr="00482CA7">
        <w:rPr>
          <w:rtl/>
        </w:rPr>
        <w:t xml:space="preserve"> </w:t>
      </w:r>
      <w:r w:rsidRPr="00482CA7">
        <w:rPr>
          <w:rFonts w:hint="eastAsia"/>
          <w:rtl/>
        </w:rPr>
        <w:t>אם</w:t>
      </w:r>
      <w:r w:rsidRPr="00482CA7">
        <w:rPr>
          <w:rtl/>
        </w:rPr>
        <w:t xml:space="preserve"> </w:t>
      </w:r>
      <w:r w:rsidRPr="00482CA7">
        <w:rPr>
          <w:rFonts w:hint="eastAsia"/>
          <w:rtl/>
        </w:rPr>
        <w:t>המדינה</w:t>
      </w:r>
      <w:r w:rsidRPr="00482CA7">
        <w:rPr>
          <w:rtl/>
        </w:rPr>
        <w:t xml:space="preserve"> </w:t>
      </w:r>
      <w:r w:rsidRPr="00482CA7">
        <w:rPr>
          <w:rFonts w:hint="eastAsia"/>
          <w:rtl/>
        </w:rPr>
        <w:t>מעוני</w:t>
      </w:r>
      <w:r w:rsidRPr="00482CA7">
        <w:rPr>
          <w:rFonts w:hint="cs"/>
          <w:rtl/>
        </w:rPr>
        <w:t>י</w:t>
      </w:r>
      <w:r w:rsidRPr="00482CA7">
        <w:rPr>
          <w:rFonts w:hint="eastAsia"/>
          <w:rtl/>
        </w:rPr>
        <w:t>נת</w:t>
      </w:r>
      <w:r w:rsidRPr="00482CA7">
        <w:rPr>
          <w:rtl/>
        </w:rPr>
        <w:t xml:space="preserve"> </w:t>
      </w:r>
      <w:r w:rsidRPr="00482CA7">
        <w:rPr>
          <w:rFonts w:hint="eastAsia"/>
          <w:rtl/>
        </w:rPr>
        <w:t>להשפיע</w:t>
      </w:r>
      <w:r w:rsidRPr="00482CA7">
        <w:rPr>
          <w:rtl/>
        </w:rPr>
        <w:t xml:space="preserve"> </w:t>
      </w:r>
      <w:r w:rsidRPr="00482CA7">
        <w:rPr>
          <w:rFonts w:hint="cs"/>
          <w:rtl/>
        </w:rPr>
        <w:t>עליה</w:t>
      </w:r>
      <w:r w:rsidRPr="00482CA7">
        <w:rPr>
          <w:rtl/>
        </w:rPr>
        <w:t xml:space="preserve">, </w:t>
      </w:r>
      <w:r w:rsidRPr="00482CA7">
        <w:rPr>
          <w:rFonts w:hint="eastAsia"/>
          <w:rtl/>
        </w:rPr>
        <w:t>מצויה</w:t>
      </w:r>
      <w:r w:rsidRPr="00482CA7">
        <w:rPr>
          <w:rtl/>
        </w:rPr>
        <w:t xml:space="preserve"> </w:t>
      </w:r>
      <w:r w:rsidRPr="00482CA7">
        <w:rPr>
          <w:rFonts w:hint="eastAsia"/>
          <w:rtl/>
        </w:rPr>
        <w:t>בוודאי</w:t>
      </w:r>
      <w:r w:rsidRPr="00482CA7">
        <w:rPr>
          <w:rtl/>
        </w:rPr>
        <w:t xml:space="preserve"> </w:t>
      </w:r>
      <w:r w:rsidRPr="00482CA7">
        <w:rPr>
          <w:rFonts w:hint="eastAsia"/>
          <w:rtl/>
        </w:rPr>
        <w:t>במסגרת</w:t>
      </w:r>
      <w:r w:rsidRPr="00482CA7">
        <w:rPr>
          <w:rtl/>
        </w:rPr>
        <w:t xml:space="preserve"> </w:t>
      </w:r>
      <w:r w:rsidRPr="00482CA7">
        <w:rPr>
          <w:rFonts w:hint="eastAsia"/>
          <w:rtl/>
        </w:rPr>
        <w:t>חופש</w:t>
      </w:r>
      <w:r w:rsidRPr="00482CA7">
        <w:rPr>
          <w:rtl/>
        </w:rPr>
        <w:t xml:space="preserve"> </w:t>
      </w:r>
      <w:r w:rsidRPr="00482CA7">
        <w:rPr>
          <w:rFonts w:hint="eastAsia"/>
          <w:rtl/>
        </w:rPr>
        <w:t>הבחירה</w:t>
      </w:r>
      <w:r w:rsidRPr="00482CA7">
        <w:rPr>
          <w:rtl/>
        </w:rPr>
        <w:t xml:space="preserve"> </w:t>
      </w:r>
      <w:r w:rsidRPr="00482CA7">
        <w:rPr>
          <w:rFonts w:hint="eastAsia"/>
          <w:rtl/>
        </w:rPr>
        <w:t>של</w:t>
      </w:r>
      <w:r w:rsidRPr="00482CA7">
        <w:rPr>
          <w:rtl/>
        </w:rPr>
        <w:t xml:space="preserve"> </w:t>
      </w:r>
      <w:r w:rsidRPr="00482CA7">
        <w:rPr>
          <w:rFonts w:hint="eastAsia"/>
          <w:rtl/>
        </w:rPr>
        <w:t>היחיד</w:t>
      </w:r>
      <w:r w:rsidRPr="00482CA7">
        <w:rPr>
          <w:rtl/>
        </w:rPr>
        <w:t xml:space="preserve"> </w:t>
      </w:r>
      <w:r w:rsidRPr="00482CA7">
        <w:rPr>
          <w:rFonts w:hint="eastAsia"/>
          <w:rtl/>
        </w:rPr>
        <w:t>ומשפחתו</w:t>
      </w:r>
      <w:r w:rsidRPr="00482CA7">
        <w:rPr>
          <w:rtl/>
        </w:rPr>
        <w:t xml:space="preserve">), </w:t>
      </w:r>
      <w:r w:rsidRPr="00482CA7">
        <w:rPr>
          <w:rFonts w:hint="eastAsia"/>
          <w:rtl/>
        </w:rPr>
        <w:t>היא</w:t>
      </w:r>
      <w:r w:rsidRPr="00482CA7">
        <w:rPr>
          <w:rtl/>
        </w:rPr>
        <w:t xml:space="preserve"> </w:t>
      </w:r>
      <w:r w:rsidRPr="00482CA7">
        <w:rPr>
          <w:rFonts w:hint="eastAsia"/>
          <w:rtl/>
        </w:rPr>
        <w:t>הוצאת</w:t>
      </w:r>
      <w:r w:rsidRPr="00482CA7">
        <w:rPr>
          <w:rtl/>
        </w:rPr>
        <w:t xml:space="preserve"> </w:t>
      </w:r>
      <w:r w:rsidRPr="00482CA7">
        <w:rPr>
          <w:rFonts w:hint="cs"/>
          <w:rtl/>
        </w:rPr>
        <w:t>הפעוטות</w:t>
      </w:r>
      <w:r w:rsidRPr="00482CA7">
        <w:rPr>
          <w:rtl/>
        </w:rPr>
        <w:t xml:space="preserve"> </w:t>
      </w:r>
      <w:r w:rsidRPr="00482CA7">
        <w:rPr>
          <w:rFonts w:hint="eastAsia"/>
          <w:rtl/>
        </w:rPr>
        <w:t>מהמסגרת</w:t>
      </w:r>
      <w:r w:rsidRPr="00482CA7">
        <w:rPr>
          <w:rtl/>
        </w:rPr>
        <w:t xml:space="preserve"> </w:t>
      </w:r>
      <w:r w:rsidRPr="00482CA7">
        <w:rPr>
          <w:rFonts w:hint="eastAsia"/>
          <w:rtl/>
        </w:rPr>
        <w:t>החינוכית</w:t>
      </w:r>
      <w:r w:rsidRPr="00482CA7">
        <w:rPr>
          <w:rtl/>
        </w:rPr>
        <w:t xml:space="preserve"> </w:t>
      </w:r>
      <w:r w:rsidRPr="00482CA7">
        <w:rPr>
          <w:rFonts w:hint="eastAsia"/>
          <w:rtl/>
        </w:rPr>
        <w:t>באמצע</w:t>
      </w:r>
      <w:r w:rsidRPr="00482CA7">
        <w:rPr>
          <w:rtl/>
        </w:rPr>
        <w:t xml:space="preserve"> </w:t>
      </w:r>
      <w:r w:rsidRPr="00482CA7">
        <w:rPr>
          <w:rFonts w:hint="eastAsia"/>
          <w:rtl/>
        </w:rPr>
        <w:t>השנה</w:t>
      </w:r>
      <w:r w:rsidRPr="00482CA7">
        <w:rPr>
          <w:rtl/>
        </w:rPr>
        <w:t xml:space="preserve">, </w:t>
      </w:r>
      <w:r w:rsidRPr="00482CA7">
        <w:rPr>
          <w:rFonts w:hint="eastAsia"/>
          <w:rtl/>
        </w:rPr>
        <w:t>תוך</w:t>
      </w:r>
      <w:r w:rsidRPr="00482CA7">
        <w:rPr>
          <w:rtl/>
        </w:rPr>
        <w:t xml:space="preserve"> </w:t>
      </w:r>
      <w:r w:rsidRPr="00482CA7">
        <w:rPr>
          <w:rFonts w:hint="eastAsia"/>
          <w:rtl/>
        </w:rPr>
        <w:t>מציאת</w:t>
      </w:r>
      <w:r w:rsidRPr="00482CA7">
        <w:rPr>
          <w:rtl/>
        </w:rPr>
        <w:t xml:space="preserve"> </w:t>
      </w:r>
      <w:r w:rsidRPr="00482CA7">
        <w:rPr>
          <w:rFonts w:hint="eastAsia"/>
          <w:rtl/>
        </w:rPr>
        <w:t>פתרון</w:t>
      </w:r>
      <w:r w:rsidRPr="00482CA7">
        <w:rPr>
          <w:rtl/>
        </w:rPr>
        <w:t xml:space="preserve"> </w:t>
      </w:r>
      <w:r w:rsidRPr="00482CA7">
        <w:rPr>
          <w:rFonts w:hint="eastAsia"/>
          <w:rtl/>
        </w:rPr>
        <w:t>חלופי</w:t>
      </w:r>
      <w:r w:rsidRPr="00482CA7">
        <w:rPr>
          <w:rtl/>
        </w:rPr>
        <w:t xml:space="preserve"> </w:t>
      </w:r>
      <w:r w:rsidRPr="00482CA7">
        <w:rPr>
          <w:rFonts w:hint="eastAsia"/>
          <w:rtl/>
        </w:rPr>
        <w:t>עבורם</w:t>
      </w:r>
      <w:r w:rsidRPr="00482CA7">
        <w:rPr>
          <w:rtl/>
        </w:rPr>
        <w:t xml:space="preserve"> (</w:t>
      </w:r>
      <w:r w:rsidRPr="00482CA7">
        <w:rPr>
          <w:rFonts w:hint="eastAsia"/>
          <w:rtl/>
        </w:rPr>
        <w:t>העברתם</w:t>
      </w:r>
      <w:r w:rsidRPr="00482CA7">
        <w:rPr>
          <w:rtl/>
        </w:rPr>
        <w:t xml:space="preserve"> </w:t>
      </w:r>
      <w:r w:rsidRPr="00482CA7">
        <w:rPr>
          <w:rFonts w:hint="eastAsia"/>
          <w:rtl/>
        </w:rPr>
        <w:t>למסגרת</w:t>
      </w:r>
      <w:r w:rsidRPr="00482CA7">
        <w:rPr>
          <w:rtl/>
        </w:rPr>
        <w:t xml:space="preserve"> </w:t>
      </w:r>
      <w:r w:rsidRPr="00482CA7">
        <w:rPr>
          <w:rFonts w:hint="eastAsia"/>
          <w:rtl/>
        </w:rPr>
        <w:t>חינוכית</w:t>
      </w:r>
      <w:r w:rsidRPr="00482CA7">
        <w:rPr>
          <w:rtl/>
        </w:rPr>
        <w:t xml:space="preserve"> </w:t>
      </w:r>
      <w:r w:rsidRPr="00482CA7">
        <w:rPr>
          <w:rFonts w:hint="eastAsia"/>
          <w:rtl/>
        </w:rPr>
        <w:t>אחרת</w:t>
      </w:r>
      <w:r w:rsidRPr="00482CA7">
        <w:rPr>
          <w:rtl/>
        </w:rPr>
        <w:t xml:space="preserve">; </w:t>
      </w:r>
      <w:r w:rsidRPr="00482CA7">
        <w:rPr>
          <w:rFonts w:hint="cs"/>
          <w:rtl/>
        </w:rPr>
        <w:t xml:space="preserve">הפסקת או שינוי עבודת האם; </w:t>
      </w:r>
      <w:r w:rsidRPr="00482CA7">
        <w:rPr>
          <w:rFonts w:hint="eastAsia"/>
          <w:rtl/>
        </w:rPr>
        <w:t>השארתם</w:t>
      </w:r>
      <w:r w:rsidRPr="00482CA7">
        <w:rPr>
          <w:rtl/>
        </w:rPr>
        <w:t xml:space="preserve"> </w:t>
      </w:r>
      <w:r w:rsidRPr="00482CA7">
        <w:rPr>
          <w:rFonts w:hint="eastAsia"/>
          <w:rtl/>
        </w:rPr>
        <w:t>בפיקוח</w:t>
      </w:r>
      <w:r w:rsidRPr="00482CA7">
        <w:rPr>
          <w:rtl/>
        </w:rPr>
        <w:t xml:space="preserve"> </w:t>
      </w:r>
      <w:r w:rsidRPr="00482CA7">
        <w:rPr>
          <w:rFonts w:hint="eastAsia"/>
          <w:rtl/>
        </w:rPr>
        <w:t>בן</w:t>
      </w:r>
      <w:r w:rsidRPr="00482CA7">
        <w:rPr>
          <w:rtl/>
        </w:rPr>
        <w:t xml:space="preserve"> </w:t>
      </w:r>
      <w:r w:rsidRPr="00482CA7">
        <w:rPr>
          <w:rFonts w:hint="eastAsia"/>
          <w:rtl/>
        </w:rPr>
        <w:t>משפחה</w:t>
      </w:r>
      <w:r w:rsidRPr="00482CA7">
        <w:rPr>
          <w:rFonts w:hint="cs"/>
          <w:rtl/>
        </w:rPr>
        <w:t xml:space="preserve"> אחר, </w:t>
      </w:r>
      <w:r w:rsidRPr="00482CA7">
        <w:rPr>
          <w:rFonts w:hint="eastAsia"/>
          <w:rtl/>
        </w:rPr>
        <w:t>וכיו״ב</w:t>
      </w:r>
      <w:r w:rsidRPr="00482CA7">
        <w:rPr>
          <w:rtl/>
        </w:rPr>
        <w:t xml:space="preserve">). </w:t>
      </w:r>
      <w:r w:rsidRPr="00482CA7">
        <w:rPr>
          <w:rFonts w:hint="cs"/>
          <w:rtl/>
        </w:rPr>
        <w:t xml:space="preserve">ודוק, </w:t>
      </w:r>
      <w:r w:rsidRPr="00482CA7">
        <w:rPr>
          <w:rFonts w:hint="eastAsia"/>
          <w:rtl/>
        </w:rPr>
        <w:t>שינוי</w:t>
      </w:r>
      <w:r w:rsidRPr="00482CA7">
        <w:rPr>
          <w:rtl/>
        </w:rPr>
        <w:t xml:space="preserve"> </w:t>
      </w:r>
      <w:r w:rsidRPr="00482CA7">
        <w:rPr>
          <w:rFonts w:hint="eastAsia"/>
          <w:rtl/>
        </w:rPr>
        <w:t>שכזה</w:t>
      </w:r>
      <w:r w:rsidRPr="00482CA7">
        <w:rPr>
          <w:rtl/>
        </w:rPr>
        <w:t xml:space="preserve"> </w:t>
      </w:r>
      <w:r w:rsidRPr="00482CA7">
        <w:rPr>
          <w:rFonts w:hint="eastAsia"/>
          <w:rtl/>
        </w:rPr>
        <w:t>באמצע</w:t>
      </w:r>
      <w:r w:rsidRPr="00482CA7">
        <w:rPr>
          <w:rtl/>
        </w:rPr>
        <w:t xml:space="preserve"> </w:t>
      </w:r>
      <w:r w:rsidRPr="00482CA7">
        <w:rPr>
          <w:rFonts w:hint="eastAsia"/>
          <w:rtl/>
        </w:rPr>
        <w:t>שנת</w:t>
      </w:r>
      <w:r w:rsidRPr="00482CA7">
        <w:rPr>
          <w:rtl/>
        </w:rPr>
        <w:t xml:space="preserve"> </w:t>
      </w:r>
      <w:r w:rsidRPr="00482CA7">
        <w:rPr>
          <w:rFonts w:hint="eastAsia"/>
          <w:rtl/>
        </w:rPr>
        <w:t>פעילות</w:t>
      </w:r>
      <w:r w:rsidRPr="00482CA7">
        <w:rPr>
          <w:rtl/>
        </w:rPr>
        <w:t xml:space="preserve"> </w:t>
      </w:r>
      <w:r w:rsidRPr="00482CA7">
        <w:rPr>
          <w:rFonts w:hint="eastAsia"/>
          <w:rtl/>
        </w:rPr>
        <w:t>אומנם</w:t>
      </w:r>
      <w:r w:rsidRPr="00482CA7">
        <w:rPr>
          <w:rtl/>
        </w:rPr>
        <w:t xml:space="preserve"> </w:t>
      </w:r>
      <w:r w:rsidRPr="00482CA7">
        <w:rPr>
          <w:rFonts w:hint="eastAsia"/>
          <w:rtl/>
        </w:rPr>
        <w:t>אפשרי</w:t>
      </w:r>
      <w:r w:rsidRPr="00482CA7">
        <w:rPr>
          <w:rtl/>
        </w:rPr>
        <w:t xml:space="preserve">, </w:t>
      </w:r>
      <w:r w:rsidRPr="00482CA7">
        <w:rPr>
          <w:rFonts w:hint="eastAsia"/>
          <w:rtl/>
        </w:rPr>
        <w:t>וניסיון</w:t>
      </w:r>
      <w:r w:rsidRPr="00482CA7">
        <w:rPr>
          <w:rtl/>
        </w:rPr>
        <w:t xml:space="preserve"> </w:t>
      </w:r>
      <w:r w:rsidRPr="00482CA7">
        <w:rPr>
          <w:rFonts w:hint="eastAsia"/>
          <w:rtl/>
        </w:rPr>
        <w:t>החיים</w:t>
      </w:r>
      <w:r w:rsidRPr="00482CA7">
        <w:rPr>
          <w:rtl/>
        </w:rPr>
        <w:t xml:space="preserve"> </w:t>
      </w:r>
      <w:r w:rsidRPr="00482CA7">
        <w:rPr>
          <w:rFonts w:hint="eastAsia"/>
          <w:rtl/>
        </w:rPr>
        <w:t>מלמד</w:t>
      </w:r>
      <w:r w:rsidRPr="00482CA7">
        <w:rPr>
          <w:rtl/>
        </w:rPr>
        <w:t xml:space="preserve"> </w:t>
      </w:r>
      <w:r w:rsidRPr="00482CA7">
        <w:rPr>
          <w:rFonts w:hint="eastAsia"/>
          <w:rtl/>
        </w:rPr>
        <w:t>כי</w:t>
      </w:r>
      <w:r w:rsidRPr="00482CA7">
        <w:rPr>
          <w:rtl/>
        </w:rPr>
        <w:t xml:space="preserve"> </w:t>
      </w:r>
      <w:r w:rsidRPr="00482CA7">
        <w:rPr>
          <w:rFonts w:hint="eastAsia"/>
          <w:rtl/>
        </w:rPr>
        <w:t>במקרים</w:t>
      </w:r>
      <w:r w:rsidRPr="00482CA7">
        <w:rPr>
          <w:rtl/>
        </w:rPr>
        <w:t xml:space="preserve"> </w:t>
      </w:r>
      <w:r w:rsidRPr="00482CA7">
        <w:rPr>
          <w:rFonts w:hint="eastAsia"/>
          <w:rtl/>
        </w:rPr>
        <w:t>פרטניים</w:t>
      </w:r>
      <w:r w:rsidRPr="00482CA7">
        <w:rPr>
          <w:rtl/>
        </w:rPr>
        <w:t xml:space="preserve"> </w:t>
      </w:r>
      <w:r w:rsidRPr="00482CA7">
        <w:rPr>
          <w:rFonts w:hint="eastAsia"/>
          <w:rtl/>
        </w:rPr>
        <w:t>לעיתים</w:t>
      </w:r>
      <w:r w:rsidRPr="00482CA7">
        <w:rPr>
          <w:rtl/>
        </w:rPr>
        <w:t xml:space="preserve"> </w:t>
      </w:r>
      <w:r w:rsidRPr="00482CA7">
        <w:rPr>
          <w:rFonts w:hint="eastAsia"/>
          <w:rtl/>
        </w:rPr>
        <w:t>אין</w:t>
      </w:r>
      <w:r w:rsidRPr="00482CA7">
        <w:rPr>
          <w:rtl/>
        </w:rPr>
        <w:t xml:space="preserve"> </w:t>
      </w:r>
      <w:r w:rsidRPr="00482CA7">
        <w:rPr>
          <w:rFonts w:hint="eastAsia"/>
          <w:rtl/>
        </w:rPr>
        <w:t>ממנו</w:t>
      </w:r>
      <w:r w:rsidRPr="00482CA7">
        <w:rPr>
          <w:rtl/>
        </w:rPr>
        <w:t xml:space="preserve"> </w:t>
      </w:r>
      <w:r w:rsidRPr="00482CA7">
        <w:rPr>
          <w:rFonts w:hint="eastAsia"/>
          <w:rtl/>
        </w:rPr>
        <w:t>מנוס</w:t>
      </w:r>
      <w:r w:rsidRPr="00482CA7">
        <w:rPr>
          <w:rtl/>
        </w:rPr>
        <w:t xml:space="preserve">. </w:t>
      </w:r>
      <w:r w:rsidRPr="00482CA7">
        <w:rPr>
          <w:rFonts w:hint="eastAsia"/>
          <w:rtl/>
        </w:rPr>
        <w:t>ואולם</w:t>
      </w:r>
      <w:r w:rsidRPr="00482CA7">
        <w:rPr>
          <w:rFonts w:hint="cs"/>
          <w:rtl/>
        </w:rPr>
        <w:t>,</w:t>
      </w:r>
      <w:r w:rsidRPr="00482CA7">
        <w:rPr>
          <w:rtl/>
        </w:rPr>
        <w:t xml:space="preserve"> </w:t>
      </w:r>
      <w:r w:rsidRPr="00482CA7">
        <w:rPr>
          <w:rFonts w:hint="eastAsia"/>
          <w:rtl/>
        </w:rPr>
        <w:t>כפייתו</w:t>
      </w:r>
      <w:r w:rsidRPr="00482CA7">
        <w:rPr>
          <w:rtl/>
        </w:rPr>
        <w:t xml:space="preserve"> </w:t>
      </w:r>
      <w:r w:rsidRPr="00482CA7">
        <w:rPr>
          <w:rFonts w:hint="eastAsia"/>
          <w:rtl/>
        </w:rPr>
        <w:t>על</w:t>
      </w:r>
      <w:r w:rsidRPr="00482CA7">
        <w:rPr>
          <w:rtl/>
        </w:rPr>
        <w:t xml:space="preserve"> </w:t>
      </w:r>
      <w:r w:rsidRPr="00482CA7">
        <w:rPr>
          <w:rFonts w:hint="eastAsia"/>
          <w:rtl/>
        </w:rPr>
        <w:t>ידי</w:t>
      </w:r>
      <w:r w:rsidRPr="00482CA7">
        <w:rPr>
          <w:rtl/>
        </w:rPr>
        <w:t xml:space="preserve"> </w:t>
      </w:r>
      <w:r w:rsidRPr="00482CA7">
        <w:rPr>
          <w:rFonts w:hint="eastAsia"/>
          <w:rtl/>
        </w:rPr>
        <w:t>הממשלה</w:t>
      </w:r>
      <w:r w:rsidRPr="00482CA7">
        <w:rPr>
          <w:rtl/>
        </w:rPr>
        <w:t xml:space="preserve"> </w:t>
      </w:r>
      <w:r w:rsidRPr="00482CA7">
        <w:rPr>
          <w:rFonts w:hint="eastAsia"/>
          <w:rtl/>
        </w:rPr>
        <w:t>על</w:t>
      </w:r>
      <w:r w:rsidRPr="00482CA7">
        <w:rPr>
          <w:rtl/>
        </w:rPr>
        <w:t xml:space="preserve"> </w:t>
      </w:r>
      <w:r w:rsidRPr="00482CA7">
        <w:rPr>
          <w:rFonts w:hint="cs"/>
          <w:rtl/>
        </w:rPr>
        <w:t>אוכלוסיי</w:t>
      </w:r>
      <w:r w:rsidRPr="00482CA7">
        <w:rPr>
          <w:rFonts w:hint="eastAsia"/>
          <w:rtl/>
        </w:rPr>
        <w:t>ה</w:t>
      </w:r>
      <w:r w:rsidRPr="00482CA7">
        <w:rPr>
          <w:rtl/>
        </w:rPr>
        <w:t xml:space="preserve"> </w:t>
      </w:r>
      <w:r w:rsidRPr="00482CA7">
        <w:rPr>
          <w:rFonts w:hint="eastAsia"/>
          <w:rtl/>
        </w:rPr>
        <w:t>גדולה</w:t>
      </w:r>
      <w:r w:rsidRPr="00482CA7">
        <w:rPr>
          <w:rtl/>
        </w:rPr>
        <w:t xml:space="preserve"> </w:t>
      </w:r>
      <w:r w:rsidRPr="00482CA7">
        <w:rPr>
          <w:rFonts w:hint="eastAsia"/>
          <w:rtl/>
        </w:rPr>
        <w:t>ונזקקת</w:t>
      </w:r>
      <w:r w:rsidRPr="00482CA7">
        <w:rPr>
          <w:rtl/>
        </w:rPr>
        <w:t xml:space="preserve">, </w:t>
      </w:r>
      <w:r w:rsidRPr="00482CA7">
        <w:rPr>
          <w:rFonts w:hint="eastAsia"/>
          <w:rtl/>
        </w:rPr>
        <w:t>מעורר</w:t>
      </w:r>
      <w:r w:rsidRPr="00482CA7">
        <w:rPr>
          <w:rtl/>
        </w:rPr>
        <w:t xml:space="preserve"> </w:t>
      </w:r>
      <w:r w:rsidRPr="00482CA7">
        <w:rPr>
          <w:rFonts w:hint="eastAsia"/>
          <w:rtl/>
        </w:rPr>
        <w:t>קושי</w:t>
      </w:r>
      <w:r w:rsidRPr="00482CA7">
        <w:rPr>
          <w:rtl/>
        </w:rPr>
        <w:t xml:space="preserve"> </w:t>
      </w:r>
      <w:r w:rsidRPr="00482CA7">
        <w:rPr>
          <w:rFonts w:hint="eastAsia"/>
          <w:rtl/>
        </w:rPr>
        <w:t>ניכר</w:t>
      </w:r>
      <w:r w:rsidRPr="00482CA7">
        <w:rPr>
          <w:rtl/>
        </w:rPr>
        <w:t xml:space="preserve">. </w:t>
      </w:r>
      <w:r w:rsidRPr="00482CA7">
        <w:rPr>
          <w:rFonts w:hint="eastAsia"/>
          <w:rtl/>
        </w:rPr>
        <w:t>כך</w:t>
      </w:r>
      <w:r w:rsidRPr="00482CA7">
        <w:rPr>
          <w:rtl/>
        </w:rPr>
        <w:t xml:space="preserve"> </w:t>
      </w:r>
      <w:r w:rsidRPr="00482CA7">
        <w:rPr>
          <w:rFonts w:hint="eastAsia"/>
          <w:rtl/>
        </w:rPr>
        <w:t>במיוחד</w:t>
      </w:r>
      <w:r w:rsidRPr="00482CA7">
        <w:rPr>
          <w:rtl/>
        </w:rPr>
        <w:t xml:space="preserve">, </w:t>
      </w:r>
      <w:r w:rsidRPr="00482CA7">
        <w:rPr>
          <w:rFonts w:hint="eastAsia"/>
          <w:rtl/>
        </w:rPr>
        <w:t>כפי</w:t>
      </w:r>
      <w:r w:rsidRPr="00482CA7">
        <w:rPr>
          <w:rtl/>
        </w:rPr>
        <w:t xml:space="preserve"> </w:t>
      </w:r>
      <w:r w:rsidRPr="00482CA7">
        <w:rPr>
          <w:rFonts w:hint="eastAsia"/>
          <w:rtl/>
        </w:rPr>
        <w:t>שמדגים</w:t>
      </w:r>
      <w:r w:rsidRPr="00482CA7">
        <w:rPr>
          <w:rtl/>
        </w:rPr>
        <w:t xml:space="preserve"> </w:t>
      </w:r>
      <w:r w:rsidRPr="00482CA7">
        <w:rPr>
          <w:rFonts w:hint="eastAsia"/>
          <w:rtl/>
        </w:rPr>
        <w:t>חברי</w:t>
      </w:r>
      <w:r w:rsidRPr="00482CA7">
        <w:rPr>
          <w:rtl/>
        </w:rPr>
        <w:t xml:space="preserve">, </w:t>
      </w:r>
      <w:r w:rsidRPr="00482CA7">
        <w:rPr>
          <w:rFonts w:hint="eastAsia"/>
          <w:rtl/>
        </w:rPr>
        <w:t>בהינתן</w:t>
      </w:r>
      <w:r w:rsidRPr="00482CA7">
        <w:rPr>
          <w:rtl/>
        </w:rPr>
        <w:t xml:space="preserve"> </w:t>
      </w:r>
      <w:r w:rsidRPr="00482CA7">
        <w:rPr>
          <w:rFonts w:hint="eastAsia"/>
          <w:rtl/>
        </w:rPr>
        <w:t>האופן</w:t>
      </w:r>
      <w:r w:rsidRPr="00482CA7">
        <w:rPr>
          <w:rtl/>
        </w:rPr>
        <w:t xml:space="preserve"> </w:t>
      </w:r>
      <w:r w:rsidRPr="00482CA7">
        <w:rPr>
          <w:rFonts w:hint="eastAsia"/>
          <w:rtl/>
        </w:rPr>
        <w:t>בו</w:t>
      </w:r>
      <w:r w:rsidRPr="00482CA7">
        <w:rPr>
          <w:rtl/>
        </w:rPr>
        <w:t xml:space="preserve"> </w:t>
      </w:r>
      <w:r w:rsidRPr="00482CA7">
        <w:rPr>
          <w:rFonts w:hint="eastAsia"/>
          <w:rtl/>
        </w:rPr>
        <w:t>נהגו</w:t>
      </w:r>
      <w:r w:rsidRPr="00482CA7">
        <w:rPr>
          <w:rtl/>
        </w:rPr>
        <w:t xml:space="preserve"> </w:t>
      </w:r>
      <w:r w:rsidRPr="00482CA7">
        <w:rPr>
          <w:rFonts w:hint="eastAsia"/>
          <w:rtl/>
        </w:rPr>
        <w:t>ממשלות</w:t>
      </w:r>
      <w:r w:rsidRPr="00482CA7">
        <w:rPr>
          <w:rtl/>
        </w:rPr>
        <w:t xml:space="preserve"> </w:t>
      </w:r>
      <w:r w:rsidRPr="00482CA7">
        <w:rPr>
          <w:rFonts w:hint="eastAsia"/>
          <w:rtl/>
        </w:rPr>
        <w:t>ישראל</w:t>
      </w:r>
      <w:r w:rsidRPr="00482CA7">
        <w:rPr>
          <w:rtl/>
        </w:rPr>
        <w:t xml:space="preserve"> </w:t>
      </w:r>
      <w:r w:rsidRPr="00482CA7">
        <w:rPr>
          <w:rFonts w:hint="eastAsia"/>
          <w:rtl/>
        </w:rPr>
        <w:t>בעבר</w:t>
      </w:r>
      <w:r w:rsidRPr="00482CA7">
        <w:rPr>
          <w:rtl/>
        </w:rPr>
        <w:t xml:space="preserve">, </w:t>
      </w:r>
      <w:r w:rsidRPr="00482CA7">
        <w:rPr>
          <w:rFonts w:hint="eastAsia"/>
          <w:rtl/>
        </w:rPr>
        <w:t>בבואן</w:t>
      </w:r>
      <w:r w:rsidRPr="00482CA7">
        <w:rPr>
          <w:rtl/>
        </w:rPr>
        <w:t xml:space="preserve"> </w:t>
      </w:r>
      <w:r w:rsidRPr="00482CA7">
        <w:rPr>
          <w:rFonts w:hint="eastAsia"/>
          <w:rtl/>
        </w:rPr>
        <w:t>לשנות</w:t>
      </w:r>
      <w:r w:rsidRPr="00482CA7">
        <w:rPr>
          <w:rtl/>
        </w:rPr>
        <w:t xml:space="preserve"> </w:t>
      </w:r>
      <w:r w:rsidRPr="00482CA7">
        <w:rPr>
          <w:rFonts w:hint="eastAsia"/>
          <w:rtl/>
        </w:rPr>
        <w:t>באופן</w:t>
      </w:r>
      <w:r w:rsidRPr="00482CA7">
        <w:rPr>
          <w:rtl/>
        </w:rPr>
        <w:t xml:space="preserve"> </w:t>
      </w:r>
      <w:r w:rsidRPr="00482CA7">
        <w:rPr>
          <w:rFonts w:hint="eastAsia"/>
          <w:rtl/>
        </w:rPr>
        <w:t>מהותי</w:t>
      </w:r>
      <w:r w:rsidRPr="00482CA7">
        <w:rPr>
          <w:rtl/>
        </w:rPr>
        <w:t xml:space="preserve"> </w:t>
      </w:r>
      <w:r w:rsidRPr="00482CA7">
        <w:rPr>
          <w:rFonts w:hint="eastAsia"/>
          <w:rtl/>
        </w:rPr>
        <w:t>את</w:t>
      </w:r>
      <w:r w:rsidRPr="00482CA7">
        <w:rPr>
          <w:rtl/>
        </w:rPr>
        <w:t xml:space="preserve"> </w:t>
      </w:r>
      <w:r w:rsidRPr="00482CA7">
        <w:rPr>
          <w:rFonts w:hint="eastAsia"/>
          <w:rtl/>
        </w:rPr>
        <w:lastRenderedPageBreak/>
        <w:t>הקריטריונים</w:t>
      </w:r>
      <w:r w:rsidRPr="00482CA7">
        <w:rPr>
          <w:rtl/>
        </w:rPr>
        <w:t xml:space="preserve"> </w:t>
      </w:r>
      <w:r w:rsidRPr="00482CA7">
        <w:rPr>
          <w:rFonts w:hint="eastAsia"/>
          <w:rtl/>
        </w:rPr>
        <w:t>למתן</w:t>
      </w:r>
      <w:r w:rsidRPr="00482CA7">
        <w:rPr>
          <w:rtl/>
        </w:rPr>
        <w:t xml:space="preserve"> </w:t>
      </w:r>
      <w:r w:rsidRPr="00482CA7">
        <w:rPr>
          <w:rFonts w:hint="eastAsia"/>
          <w:rtl/>
        </w:rPr>
        <w:t>הסובסידיה</w:t>
      </w:r>
      <w:r w:rsidRPr="00482CA7">
        <w:rPr>
          <w:rtl/>
        </w:rPr>
        <w:t xml:space="preserve"> </w:t>
      </w:r>
      <w:r w:rsidRPr="00482CA7">
        <w:rPr>
          <w:rFonts w:hint="eastAsia"/>
          <w:rtl/>
        </w:rPr>
        <w:t>בה</w:t>
      </w:r>
      <w:r w:rsidRPr="00482CA7">
        <w:rPr>
          <w:rtl/>
        </w:rPr>
        <w:t xml:space="preserve"> </w:t>
      </w:r>
      <w:r w:rsidRPr="00482CA7">
        <w:rPr>
          <w:rFonts w:hint="eastAsia"/>
          <w:rtl/>
        </w:rPr>
        <w:t>עסקינן</w:t>
      </w:r>
      <w:r w:rsidRPr="00482CA7">
        <w:rPr>
          <w:rtl/>
        </w:rPr>
        <w:t xml:space="preserve">. </w:t>
      </w:r>
      <w:r w:rsidRPr="00482CA7">
        <w:rPr>
          <w:rFonts w:hint="eastAsia"/>
          <w:rtl/>
        </w:rPr>
        <w:t>זאת</w:t>
      </w:r>
      <w:r w:rsidRPr="00482CA7">
        <w:rPr>
          <w:rtl/>
        </w:rPr>
        <w:t xml:space="preserve"> </w:t>
      </w:r>
      <w:r w:rsidRPr="00482CA7">
        <w:rPr>
          <w:rFonts w:hint="eastAsia"/>
          <w:rtl/>
        </w:rPr>
        <w:t>ועוד</w:t>
      </w:r>
      <w:r w:rsidRPr="00482CA7">
        <w:rPr>
          <w:rtl/>
        </w:rPr>
        <w:t xml:space="preserve">, </w:t>
      </w:r>
      <w:r w:rsidRPr="00482CA7">
        <w:rPr>
          <w:rFonts w:hint="eastAsia"/>
          <w:rtl/>
        </w:rPr>
        <w:t>לא</w:t>
      </w:r>
      <w:r w:rsidRPr="00482CA7">
        <w:rPr>
          <w:rtl/>
        </w:rPr>
        <w:t xml:space="preserve"> </w:t>
      </w:r>
      <w:r w:rsidRPr="00482CA7">
        <w:rPr>
          <w:rFonts w:hint="eastAsia"/>
          <w:rtl/>
        </w:rPr>
        <w:t>הוצג</w:t>
      </w:r>
      <w:r w:rsidRPr="00482CA7">
        <w:rPr>
          <w:rtl/>
        </w:rPr>
        <w:t xml:space="preserve"> </w:t>
      </w:r>
      <w:r w:rsidRPr="00482CA7">
        <w:rPr>
          <w:rFonts w:hint="eastAsia"/>
          <w:rtl/>
        </w:rPr>
        <w:t>לפנינו</w:t>
      </w:r>
      <w:r w:rsidRPr="00482CA7">
        <w:rPr>
          <w:rtl/>
        </w:rPr>
        <w:t xml:space="preserve"> </w:t>
      </w:r>
      <w:r w:rsidRPr="00482CA7">
        <w:rPr>
          <w:rFonts w:hint="eastAsia"/>
          <w:rtl/>
        </w:rPr>
        <w:t>כל</w:t>
      </w:r>
      <w:r w:rsidRPr="00482CA7">
        <w:rPr>
          <w:rtl/>
        </w:rPr>
        <w:t xml:space="preserve"> </w:t>
      </w:r>
      <w:r w:rsidRPr="00482CA7">
        <w:rPr>
          <w:rFonts w:hint="eastAsia"/>
          <w:rtl/>
        </w:rPr>
        <w:t>טעם</w:t>
      </w:r>
      <w:r w:rsidRPr="00482CA7">
        <w:rPr>
          <w:rtl/>
        </w:rPr>
        <w:t xml:space="preserve"> </w:t>
      </w:r>
      <w:r w:rsidRPr="00482CA7">
        <w:rPr>
          <w:rFonts w:hint="eastAsia"/>
          <w:rtl/>
        </w:rPr>
        <w:t>משכנע</w:t>
      </w:r>
      <w:r w:rsidRPr="00482CA7">
        <w:rPr>
          <w:rtl/>
        </w:rPr>
        <w:t xml:space="preserve"> </w:t>
      </w:r>
      <w:r w:rsidRPr="00482CA7">
        <w:rPr>
          <w:rFonts w:hint="eastAsia"/>
          <w:rtl/>
        </w:rPr>
        <w:t>המבהיר</w:t>
      </w:r>
      <w:r w:rsidRPr="00482CA7">
        <w:rPr>
          <w:rtl/>
        </w:rPr>
        <w:t xml:space="preserve"> </w:t>
      </w:r>
      <w:r w:rsidRPr="00482CA7">
        <w:rPr>
          <w:rFonts w:hint="eastAsia"/>
          <w:rtl/>
        </w:rPr>
        <w:t>את</w:t>
      </w:r>
      <w:r w:rsidRPr="00482CA7">
        <w:rPr>
          <w:rtl/>
        </w:rPr>
        <w:t xml:space="preserve"> </w:t>
      </w:r>
      <w:r w:rsidRPr="00482CA7">
        <w:rPr>
          <w:rFonts w:hint="eastAsia"/>
          <w:rtl/>
        </w:rPr>
        <w:t>הדחיפות</w:t>
      </w:r>
      <w:r w:rsidRPr="00482CA7">
        <w:rPr>
          <w:rtl/>
        </w:rPr>
        <w:t xml:space="preserve"> </w:t>
      </w:r>
      <w:r w:rsidRPr="00482CA7">
        <w:rPr>
          <w:rFonts w:hint="eastAsia"/>
          <w:rtl/>
        </w:rPr>
        <w:t>שביישום</w:t>
      </w:r>
      <w:r w:rsidRPr="00482CA7">
        <w:rPr>
          <w:rtl/>
        </w:rPr>
        <w:t xml:space="preserve"> </w:t>
      </w:r>
      <w:r w:rsidRPr="00482CA7">
        <w:rPr>
          <w:rFonts w:hint="eastAsia"/>
          <w:rtl/>
        </w:rPr>
        <w:t>שינוי</w:t>
      </w:r>
      <w:r w:rsidRPr="00482CA7">
        <w:rPr>
          <w:rtl/>
        </w:rPr>
        <w:t xml:space="preserve"> </w:t>
      </w:r>
      <w:r w:rsidRPr="00482CA7">
        <w:rPr>
          <w:rFonts w:hint="eastAsia"/>
          <w:rtl/>
        </w:rPr>
        <w:t>המדיניות</w:t>
      </w:r>
      <w:r w:rsidRPr="00482CA7">
        <w:rPr>
          <w:rtl/>
        </w:rPr>
        <w:t xml:space="preserve"> </w:t>
      </w:r>
      <w:r w:rsidRPr="00482CA7">
        <w:rPr>
          <w:rFonts w:hint="eastAsia"/>
          <w:rtl/>
        </w:rPr>
        <w:t>כבר</w:t>
      </w:r>
      <w:r w:rsidRPr="00482CA7">
        <w:rPr>
          <w:rtl/>
        </w:rPr>
        <w:t xml:space="preserve"> </w:t>
      </w:r>
      <w:r w:rsidRPr="00482CA7">
        <w:rPr>
          <w:rFonts w:hint="eastAsia"/>
          <w:rtl/>
        </w:rPr>
        <w:t>בשנת</w:t>
      </w:r>
      <w:r w:rsidRPr="00482CA7">
        <w:rPr>
          <w:rtl/>
        </w:rPr>
        <w:t xml:space="preserve"> </w:t>
      </w:r>
      <w:r w:rsidRPr="00482CA7">
        <w:rPr>
          <w:rFonts w:hint="eastAsia"/>
          <w:rtl/>
        </w:rPr>
        <w:t>הפעילות</w:t>
      </w:r>
      <w:r w:rsidRPr="00482CA7">
        <w:rPr>
          <w:rtl/>
        </w:rPr>
        <w:t xml:space="preserve"> </w:t>
      </w:r>
      <w:r w:rsidRPr="00482CA7">
        <w:rPr>
          <w:rFonts w:hint="eastAsia"/>
          <w:rtl/>
        </w:rPr>
        <w:t>הנוכחית</w:t>
      </w:r>
      <w:r w:rsidRPr="00482CA7">
        <w:rPr>
          <w:rtl/>
        </w:rPr>
        <w:t xml:space="preserve">, </w:t>
      </w:r>
      <w:r w:rsidRPr="00482CA7">
        <w:rPr>
          <w:rFonts w:hint="eastAsia"/>
          <w:rtl/>
        </w:rPr>
        <w:t>ו</w:t>
      </w:r>
      <w:r w:rsidRPr="00482CA7">
        <w:rPr>
          <w:rFonts w:hint="cs"/>
          <w:rtl/>
        </w:rPr>
        <w:t>המדינה</w:t>
      </w:r>
      <w:r>
        <w:rPr>
          <w:rFonts w:hint="cs"/>
          <w:rtl/>
        </w:rPr>
        <w:t>, על</w:t>
      </w:r>
      <w:r w:rsidRPr="00482CA7">
        <w:rPr>
          <w:rFonts w:hint="cs"/>
          <w:rtl/>
        </w:rPr>
        <w:t xml:space="preserve"> אף </w:t>
      </w:r>
      <w:r>
        <w:rPr>
          <w:rFonts w:hint="cs"/>
          <w:rtl/>
        </w:rPr>
        <w:t xml:space="preserve">שמטיעונה עולה כי היא מודעת להשפעות האפשריות, </w:t>
      </w:r>
      <w:r w:rsidRPr="00482CA7">
        <w:rPr>
          <w:rFonts w:hint="cs"/>
          <w:rtl/>
        </w:rPr>
        <w:t xml:space="preserve">לא הציגה </w:t>
      </w:r>
      <w:r w:rsidRPr="00482CA7">
        <w:rPr>
          <w:rFonts w:hint="eastAsia"/>
          <w:rtl/>
        </w:rPr>
        <w:t>ניתוח</w:t>
      </w:r>
      <w:r w:rsidRPr="00482CA7">
        <w:rPr>
          <w:rtl/>
        </w:rPr>
        <w:t xml:space="preserve"> </w:t>
      </w:r>
      <w:r>
        <w:rPr>
          <w:rFonts w:hint="cs"/>
          <w:rtl/>
        </w:rPr>
        <w:t xml:space="preserve">קונקרטי משמעותי </w:t>
      </w:r>
      <w:r w:rsidRPr="00482CA7">
        <w:rPr>
          <w:rFonts w:hint="cs"/>
          <w:rtl/>
        </w:rPr>
        <w:t>באשר</w:t>
      </w:r>
      <w:r w:rsidRPr="00482CA7">
        <w:rPr>
          <w:rtl/>
        </w:rPr>
        <w:t xml:space="preserve"> </w:t>
      </w:r>
      <w:r w:rsidRPr="00482CA7">
        <w:rPr>
          <w:rFonts w:hint="cs"/>
          <w:rtl/>
        </w:rPr>
        <w:t>ל</w:t>
      </w:r>
      <w:r w:rsidRPr="00482CA7">
        <w:rPr>
          <w:rFonts w:hint="eastAsia"/>
          <w:rtl/>
        </w:rPr>
        <w:t>השלכות</w:t>
      </w:r>
      <w:r w:rsidRPr="00482CA7">
        <w:rPr>
          <w:rtl/>
        </w:rPr>
        <w:t xml:space="preserve"> </w:t>
      </w:r>
      <w:r w:rsidRPr="00482CA7">
        <w:rPr>
          <w:rFonts w:hint="cs"/>
          <w:rtl/>
        </w:rPr>
        <w:t>העתידיות</w:t>
      </w:r>
      <w:r w:rsidRPr="00482CA7">
        <w:rPr>
          <w:rtl/>
        </w:rPr>
        <w:t xml:space="preserve"> </w:t>
      </w:r>
      <w:r w:rsidRPr="00482CA7">
        <w:rPr>
          <w:rFonts w:hint="eastAsia"/>
          <w:rtl/>
        </w:rPr>
        <w:t>שעלולות</w:t>
      </w:r>
      <w:r w:rsidRPr="00482CA7">
        <w:rPr>
          <w:rtl/>
        </w:rPr>
        <w:t xml:space="preserve"> </w:t>
      </w:r>
      <w:r w:rsidRPr="00482CA7">
        <w:rPr>
          <w:rFonts w:hint="eastAsia"/>
          <w:rtl/>
        </w:rPr>
        <w:t>להיות</w:t>
      </w:r>
      <w:r w:rsidRPr="00482CA7">
        <w:rPr>
          <w:rtl/>
        </w:rPr>
        <w:t xml:space="preserve"> </w:t>
      </w:r>
      <w:r w:rsidRPr="00482CA7">
        <w:rPr>
          <w:rFonts w:hint="eastAsia"/>
          <w:rtl/>
        </w:rPr>
        <w:t>לכך</w:t>
      </w:r>
      <w:r w:rsidRPr="00482CA7">
        <w:rPr>
          <w:rtl/>
        </w:rPr>
        <w:t xml:space="preserve"> </w:t>
      </w:r>
      <w:r w:rsidRPr="00482CA7">
        <w:rPr>
          <w:rFonts w:hint="eastAsia"/>
          <w:rtl/>
        </w:rPr>
        <w:t>על</w:t>
      </w:r>
      <w:r w:rsidRPr="00482CA7">
        <w:rPr>
          <w:rtl/>
        </w:rPr>
        <w:t xml:space="preserve"> </w:t>
      </w:r>
      <w:r w:rsidRPr="00482CA7">
        <w:rPr>
          <w:rFonts w:hint="eastAsia"/>
          <w:rtl/>
        </w:rPr>
        <w:t>הגורמים</w:t>
      </w:r>
      <w:r w:rsidRPr="00482CA7">
        <w:rPr>
          <w:rtl/>
        </w:rPr>
        <w:t xml:space="preserve"> </w:t>
      </w:r>
      <w:r w:rsidRPr="00482CA7">
        <w:rPr>
          <w:rFonts w:hint="eastAsia"/>
          <w:rtl/>
        </w:rPr>
        <w:t>השונים</w:t>
      </w:r>
      <w:r w:rsidRPr="00482CA7">
        <w:rPr>
          <w:rtl/>
        </w:rPr>
        <w:t xml:space="preserve"> </w:t>
      </w:r>
      <w:r w:rsidRPr="00482CA7">
        <w:rPr>
          <w:rFonts w:hint="eastAsia"/>
          <w:rtl/>
        </w:rPr>
        <w:t>הצפויים</w:t>
      </w:r>
      <w:r w:rsidRPr="00482CA7">
        <w:rPr>
          <w:rtl/>
        </w:rPr>
        <w:t xml:space="preserve"> </w:t>
      </w:r>
      <w:r w:rsidRPr="00482CA7">
        <w:rPr>
          <w:rFonts w:hint="eastAsia"/>
          <w:rtl/>
        </w:rPr>
        <w:t>להיפגע</w:t>
      </w:r>
      <w:r w:rsidRPr="00482CA7">
        <w:rPr>
          <w:rtl/>
        </w:rPr>
        <w:t xml:space="preserve"> </w:t>
      </w:r>
      <w:r w:rsidRPr="00482CA7">
        <w:rPr>
          <w:rFonts w:hint="eastAsia"/>
          <w:rtl/>
        </w:rPr>
        <w:t>ממנו</w:t>
      </w:r>
      <w:r w:rsidRPr="00482CA7">
        <w:rPr>
          <w:rtl/>
        </w:rPr>
        <w:t xml:space="preserve">: </w:t>
      </w:r>
      <w:r w:rsidRPr="00482CA7">
        <w:rPr>
          <w:rFonts w:hint="eastAsia"/>
          <w:rtl/>
        </w:rPr>
        <w:t>הפעוטות</w:t>
      </w:r>
      <w:r w:rsidRPr="00482CA7">
        <w:rPr>
          <w:rtl/>
        </w:rPr>
        <w:t xml:space="preserve">; </w:t>
      </w:r>
      <w:r w:rsidRPr="00482CA7">
        <w:rPr>
          <w:rFonts w:hint="eastAsia"/>
          <w:rtl/>
        </w:rPr>
        <w:t>האברכים</w:t>
      </w:r>
      <w:r w:rsidRPr="00482CA7">
        <w:rPr>
          <w:rtl/>
        </w:rPr>
        <w:t xml:space="preserve"> </w:t>
      </w:r>
      <w:r w:rsidRPr="00482CA7">
        <w:rPr>
          <w:rFonts w:hint="eastAsia"/>
          <w:rtl/>
        </w:rPr>
        <w:t>ונשותיהם</w:t>
      </w:r>
      <w:r w:rsidRPr="00482CA7">
        <w:rPr>
          <w:rtl/>
        </w:rPr>
        <w:t xml:space="preserve">; </w:t>
      </w:r>
      <w:r w:rsidRPr="00482CA7">
        <w:rPr>
          <w:rFonts w:hint="eastAsia"/>
          <w:rtl/>
        </w:rPr>
        <w:t>מעונות</w:t>
      </w:r>
      <w:r w:rsidRPr="00482CA7">
        <w:rPr>
          <w:rtl/>
        </w:rPr>
        <w:t xml:space="preserve"> </w:t>
      </w:r>
      <w:r w:rsidRPr="00482CA7">
        <w:rPr>
          <w:rFonts w:hint="eastAsia"/>
          <w:rtl/>
        </w:rPr>
        <w:t>היום</w:t>
      </w:r>
      <w:r w:rsidRPr="00482CA7">
        <w:rPr>
          <w:rtl/>
        </w:rPr>
        <w:t xml:space="preserve">, </w:t>
      </w:r>
      <w:r w:rsidRPr="00482CA7">
        <w:rPr>
          <w:rFonts w:hint="eastAsia"/>
          <w:rtl/>
        </w:rPr>
        <w:t>הישיבות</w:t>
      </w:r>
      <w:r w:rsidRPr="00482CA7">
        <w:rPr>
          <w:rtl/>
        </w:rPr>
        <w:t xml:space="preserve"> </w:t>
      </w:r>
      <w:r w:rsidRPr="00482CA7">
        <w:rPr>
          <w:rFonts w:hint="eastAsia"/>
          <w:rtl/>
        </w:rPr>
        <w:t>ומקומות</w:t>
      </w:r>
      <w:r w:rsidRPr="00482CA7">
        <w:rPr>
          <w:rtl/>
        </w:rPr>
        <w:t xml:space="preserve"> </w:t>
      </w:r>
      <w:r w:rsidRPr="00482CA7">
        <w:rPr>
          <w:rFonts w:hint="eastAsia"/>
          <w:rtl/>
        </w:rPr>
        <w:t>העבודה</w:t>
      </w:r>
      <w:r w:rsidRPr="00482CA7">
        <w:rPr>
          <w:rtl/>
        </w:rPr>
        <w:t xml:space="preserve"> </w:t>
      </w:r>
      <w:r w:rsidRPr="00482CA7">
        <w:rPr>
          <w:rFonts w:hint="eastAsia"/>
          <w:rtl/>
        </w:rPr>
        <w:t>של</w:t>
      </w:r>
      <w:r w:rsidRPr="00482CA7">
        <w:rPr>
          <w:rtl/>
        </w:rPr>
        <w:t xml:space="preserve"> </w:t>
      </w:r>
      <w:r w:rsidRPr="00482CA7">
        <w:rPr>
          <w:rFonts w:hint="eastAsia"/>
          <w:rtl/>
        </w:rPr>
        <w:t>הנשים</w:t>
      </w:r>
      <w:r w:rsidRPr="00482CA7">
        <w:rPr>
          <w:rtl/>
        </w:rPr>
        <w:t xml:space="preserve">. </w:t>
      </w:r>
    </w:p>
    <w:p w:rsidR="00FE44B0" w:rsidRPr="00482CA7" w:rsidRDefault="00FE44B0" w:rsidP="00FE44B0">
      <w:pPr>
        <w:pStyle w:val="Ruller4"/>
        <w:overflowPunct w:val="0"/>
        <w:autoSpaceDE w:val="0"/>
        <w:autoSpaceDN w:val="0"/>
        <w:adjustRightInd w:val="0"/>
        <w:textAlignment w:val="baseline"/>
        <w:rPr>
          <w:rtl/>
        </w:rPr>
      </w:pPr>
      <w:r w:rsidRPr="00482CA7">
        <w:rPr>
          <w:rFonts w:hint="eastAsia"/>
          <w:rtl/>
        </w:rPr>
        <w:t>התשובה</w:t>
      </w:r>
      <w:r w:rsidRPr="00482CA7">
        <w:rPr>
          <w:rtl/>
        </w:rPr>
        <w:t xml:space="preserve"> </w:t>
      </w:r>
      <w:r w:rsidRPr="00482CA7">
        <w:rPr>
          <w:rFonts w:hint="eastAsia"/>
          <w:rtl/>
        </w:rPr>
        <w:t>המרכזית</w:t>
      </w:r>
      <w:r w:rsidRPr="00482CA7">
        <w:rPr>
          <w:rtl/>
        </w:rPr>
        <w:t xml:space="preserve"> </w:t>
      </w:r>
      <w:r w:rsidRPr="00482CA7">
        <w:rPr>
          <w:rFonts w:hint="eastAsia"/>
          <w:rtl/>
        </w:rPr>
        <w:t>שנתנה</w:t>
      </w:r>
      <w:r w:rsidRPr="00482CA7">
        <w:rPr>
          <w:rtl/>
        </w:rPr>
        <w:t xml:space="preserve"> </w:t>
      </w:r>
      <w:r w:rsidRPr="00482CA7">
        <w:rPr>
          <w:rFonts w:hint="eastAsia"/>
          <w:rtl/>
        </w:rPr>
        <w:t>המדינה</w:t>
      </w:r>
      <w:r w:rsidRPr="00482CA7">
        <w:rPr>
          <w:rtl/>
        </w:rPr>
        <w:t xml:space="preserve"> </w:t>
      </w:r>
      <w:r w:rsidRPr="00482CA7">
        <w:rPr>
          <w:rFonts w:hint="cs"/>
          <w:rtl/>
        </w:rPr>
        <w:t>לתהיותינ</w:t>
      </w:r>
      <w:r w:rsidRPr="00482CA7">
        <w:rPr>
          <w:rFonts w:hint="eastAsia"/>
          <w:rtl/>
        </w:rPr>
        <w:t>ו</w:t>
      </w:r>
      <w:r w:rsidRPr="00482CA7">
        <w:rPr>
          <w:rtl/>
        </w:rPr>
        <w:t xml:space="preserve"> </w:t>
      </w:r>
      <w:r w:rsidRPr="00482CA7">
        <w:rPr>
          <w:rFonts w:hint="eastAsia"/>
          <w:rtl/>
        </w:rPr>
        <w:t>בדבר</w:t>
      </w:r>
      <w:r w:rsidRPr="00482CA7">
        <w:rPr>
          <w:rtl/>
        </w:rPr>
        <w:t xml:space="preserve"> </w:t>
      </w:r>
      <w:r w:rsidRPr="00482CA7">
        <w:rPr>
          <w:rFonts w:hint="eastAsia"/>
          <w:rtl/>
        </w:rPr>
        <w:t>הצורך</w:t>
      </w:r>
      <w:r w:rsidRPr="00482CA7">
        <w:rPr>
          <w:rtl/>
        </w:rPr>
        <w:t xml:space="preserve"> </w:t>
      </w:r>
      <w:r w:rsidRPr="00482CA7">
        <w:rPr>
          <w:rFonts w:hint="eastAsia"/>
          <w:rtl/>
        </w:rPr>
        <w:t>בהפסקת</w:t>
      </w:r>
      <w:r w:rsidRPr="00482CA7">
        <w:rPr>
          <w:rtl/>
        </w:rPr>
        <w:t xml:space="preserve"> </w:t>
      </w:r>
      <w:r w:rsidRPr="00482CA7">
        <w:rPr>
          <w:rFonts w:hint="eastAsia"/>
          <w:rtl/>
        </w:rPr>
        <w:t>הזכאות</w:t>
      </w:r>
      <w:r w:rsidRPr="00482CA7">
        <w:rPr>
          <w:rtl/>
        </w:rPr>
        <w:t xml:space="preserve"> </w:t>
      </w:r>
      <w:r w:rsidRPr="00482CA7">
        <w:rPr>
          <w:rFonts w:hint="eastAsia"/>
          <w:rtl/>
        </w:rPr>
        <w:t>מכוח</w:t>
      </w:r>
      <w:r w:rsidRPr="00482CA7">
        <w:rPr>
          <w:rtl/>
        </w:rPr>
        <w:t xml:space="preserve"> </w:t>
      </w:r>
      <w:r w:rsidRPr="00482CA7">
        <w:rPr>
          <w:rFonts w:hint="eastAsia"/>
          <w:rtl/>
        </w:rPr>
        <w:t>הקריטריונים</w:t>
      </w:r>
      <w:r w:rsidRPr="00482CA7">
        <w:rPr>
          <w:rtl/>
        </w:rPr>
        <w:t xml:space="preserve"> </w:t>
      </w:r>
      <w:r w:rsidRPr="00482CA7">
        <w:rPr>
          <w:rFonts w:hint="eastAsia"/>
          <w:rtl/>
        </w:rPr>
        <w:t>הישנים</w:t>
      </w:r>
      <w:r w:rsidRPr="00482CA7">
        <w:rPr>
          <w:rtl/>
        </w:rPr>
        <w:t xml:space="preserve"> </w:t>
      </w:r>
      <w:r w:rsidRPr="00482CA7">
        <w:rPr>
          <w:rFonts w:hint="eastAsia"/>
          <w:rtl/>
        </w:rPr>
        <w:t>במהלך</w:t>
      </w:r>
      <w:r w:rsidRPr="00482CA7">
        <w:rPr>
          <w:rtl/>
        </w:rPr>
        <w:t xml:space="preserve"> </w:t>
      </w:r>
      <w:r w:rsidRPr="00482CA7">
        <w:rPr>
          <w:rFonts w:hint="eastAsia"/>
          <w:rtl/>
        </w:rPr>
        <w:t>שנת</w:t>
      </w:r>
      <w:r w:rsidRPr="00482CA7">
        <w:rPr>
          <w:rtl/>
        </w:rPr>
        <w:t xml:space="preserve"> </w:t>
      </w:r>
      <w:r w:rsidRPr="00482CA7">
        <w:rPr>
          <w:rFonts w:hint="cs"/>
          <w:rtl/>
        </w:rPr>
        <w:t>ה</w:t>
      </w:r>
      <w:r w:rsidRPr="00482CA7">
        <w:rPr>
          <w:rFonts w:hint="eastAsia"/>
          <w:rtl/>
        </w:rPr>
        <w:t>פעילות</w:t>
      </w:r>
      <w:r w:rsidRPr="00482CA7">
        <w:rPr>
          <w:rtl/>
        </w:rPr>
        <w:t xml:space="preserve"> </w:t>
      </w:r>
      <w:r w:rsidRPr="00482CA7">
        <w:rPr>
          <w:rFonts w:hint="eastAsia"/>
          <w:rtl/>
        </w:rPr>
        <w:t>הייתה</w:t>
      </w:r>
      <w:r w:rsidRPr="00482CA7">
        <w:rPr>
          <w:rtl/>
        </w:rPr>
        <w:t xml:space="preserve"> </w:t>
      </w:r>
      <w:r w:rsidRPr="00482CA7">
        <w:rPr>
          <w:rFonts w:hint="eastAsia"/>
          <w:rtl/>
        </w:rPr>
        <w:t>שהדבר</w:t>
      </w:r>
      <w:r w:rsidRPr="00482CA7">
        <w:rPr>
          <w:rtl/>
        </w:rPr>
        <w:t xml:space="preserve"> </w:t>
      </w:r>
      <w:r w:rsidRPr="00482CA7">
        <w:rPr>
          <w:rFonts w:hint="eastAsia"/>
          <w:rtl/>
        </w:rPr>
        <w:t>הוא</w:t>
      </w:r>
      <w:r w:rsidRPr="00482CA7">
        <w:rPr>
          <w:rtl/>
        </w:rPr>
        <w:t xml:space="preserve"> </w:t>
      </w:r>
      <w:r w:rsidRPr="00482CA7">
        <w:rPr>
          <w:rFonts w:hint="eastAsia"/>
          <w:rtl/>
        </w:rPr>
        <w:t>בגדר</w:t>
      </w:r>
      <w:r w:rsidRPr="00482CA7">
        <w:rPr>
          <w:rtl/>
        </w:rPr>
        <w:t xml:space="preserve"> </w:t>
      </w:r>
      <w:r w:rsidRPr="00482CA7">
        <w:rPr>
          <w:rFonts w:hint="eastAsia"/>
          <w:rtl/>
        </w:rPr>
        <w:t>סיכון</w:t>
      </w:r>
      <w:r w:rsidRPr="00482CA7">
        <w:rPr>
          <w:rtl/>
        </w:rPr>
        <w:t xml:space="preserve"> </w:t>
      </w:r>
      <w:r w:rsidRPr="00482CA7">
        <w:rPr>
          <w:rFonts w:hint="eastAsia"/>
          <w:rtl/>
        </w:rPr>
        <w:t>שמשפחת</w:t>
      </w:r>
      <w:r w:rsidRPr="00482CA7">
        <w:rPr>
          <w:rtl/>
        </w:rPr>
        <w:t xml:space="preserve"> </w:t>
      </w:r>
      <w:r w:rsidRPr="00482CA7">
        <w:rPr>
          <w:rFonts w:hint="eastAsia"/>
          <w:rtl/>
        </w:rPr>
        <w:t>האברך</w:t>
      </w:r>
      <w:r w:rsidRPr="00482CA7">
        <w:rPr>
          <w:rtl/>
        </w:rPr>
        <w:t xml:space="preserve"> </w:t>
      </w:r>
      <w:r w:rsidRPr="00482CA7">
        <w:rPr>
          <w:rFonts w:hint="eastAsia"/>
          <w:rtl/>
        </w:rPr>
        <w:t>נטלה</w:t>
      </w:r>
      <w:r w:rsidRPr="00482CA7">
        <w:rPr>
          <w:rtl/>
        </w:rPr>
        <w:t xml:space="preserve"> </w:t>
      </w:r>
      <w:r w:rsidRPr="00482CA7">
        <w:rPr>
          <w:rFonts w:hint="eastAsia"/>
          <w:rtl/>
        </w:rPr>
        <w:t>על</w:t>
      </w:r>
      <w:r w:rsidRPr="00482CA7">
        <w:rPr>
          <w:rtl/>
        </w:rPr>
        <w:t xml:space="preserve"> </w:t>
      </w:r>
      <w:r w:rsidRPr="00482CA7">
        <w:rPr>
          <w:rFonts w:hint="eastAsia"/>
          <w:rtl/>
        </w:rPr>
        <w:t>עצמה</w:t>
      </w:r>
      <w:r w:rsidRPr="00482CA7">
        <w:rPr>
          <w:rtl/>
        </w:rPr>
        <w:t xml:space="preserve">, </w:t>
      </w:r>
      <w:r w:rsidRPr="00482CA7">
        <w:rPr>
          <w:rFonts w:hint="eastAsia"/>
          <w:rtl/>
        </w:rPr>
        <w:t>מאחר</w:t>
      </w:r>
      <w:r w:rsidRPr="00482CA7">
        <w:rPr>
          <w:rtl/>
        </w:rPr>
        <w:t xml:space="preserve"> </w:t>
      </w:r>
      <w:r w:rsidRPr="00482CA7">
        <w:rPr>
          <w:rFonts w:hint="eastAsia"/>
          <w:rtl/>
        </w:rPr>
        <w:t>שבתחילת</w:t>
      </w:r>
      <w:r w:rsidRPr="00482CA7">
        <w:rPr>
          <w:rtl/>
        </w:rPr>
        <w:t xml:space="preserve"> </w:t>
      </w:r>
      <w:r w:rsidRPr="00482CA7">
        <w:rPr>
          <w:rFonts w:hint="eastAsia"/>
          <w:rtl/>
        </w:rPr>
        <w:t>שנת</w:t>
      </w:r>
      <w:r w:rsidRPr="00482CA7">
        <w:rPr>
          <w:rtl/>
        </w:rPr>
        <w:t xml:space="preserve"> </w:t>
      </w:r>
      <w:r w:rsidRPr="00482CA7">
        <w:rPr>
          <w:rFonts w:hint="eastAsia"/>
          <w:rtl/>
        </w:rPr>
        <w:t>תשפ״ב</w:t>
      </w:r>
      <w:r w:rsidRPr="00482CA7">
        <w:rPr>
          <w:rtl/>
        </w:rPr>
        <w:t xml:space="preserve"> </w:t>
      </w:r>
      <w:r w:rsidRPr="00482CA7">
        <w:rPr>
          <w:rFonts w:hint="eastAsia"/>
          <w:rtl/>
        </w:rPr>
        <w:t>לא</w:t>
      </w:r>
      <w:r w:rsidRPr="00482CA7">
        <w:rPr>
          <w:rtl/>
        </w:rPr>
        <w:t xml:space="preserve"> </w:t>
      </w:r>
      <w:r w:rsidRPr="00482CA7">
        <w:rPr>
          <w:rFonts w:hint="eastAsia"/>
          <w:rtl/>
        </w:rPr>
        <w:t>הי</w:t>
      </w:r>
      <w:r w:rsidRPr="00482CA7">
        <w:rPr>
          <w:rFonts w:hint="cs"/>
          <w:rtl/>
        </w:rPr>
        <w:t>י</w:t>
      </w:r>
      <w:r w:rsidRPr="00482CA7">
        <w:rPr>
          <w:rFonts w:hint="eastAsia"/>
          <w:rtl/>
        </w:rPr>
        <w:t>תה</w:t>
      </w:r>
      <w:r w:rsidRPr="00482CA7">
        <w:rPr>
          <w:rtl/>
        </w:rPr>
        <w:t xml:space="preserve"> </w:t>
      </w:r>
      <w:r w:rsidRPr="00482CA7">
        <w:rPr>
          <w:rFonts w:hint="eastAsia"/>
          <w:rtl/>
        </w:rPr>
        <w:t>זכאית</w:t>
      </w:r>
      <w:r w:rsidRPr="00482CA7">
        <w:rPr>
          <w:rtl/>
        </w:rPr>
        <w:t xml:space="preserve"> </w:t>
      </w:r>
      <w:r w:rsidRPr="00482CA7">
        <w:rPr>
          <w:rFonts w:hint="eastAsia"/>
          <w:rtl/>
        </w:rPr>
        <w:t>להניח</w:t>
      </w:r>
      <w:r w:rsidRPr="00482CA7">
        <w:rPr>
          <w:rtl/>
        </w:rPr>
        <w:t xml:space="preserve"> </w:t>
      </w:r>
      <w:r w:rsidRPr="00482CA7">
        <w:rPr>
          <w:rFonts w:hint="eastAsia"/>
          <w:rtl/>
        </w:rPr>
        <w:t>כי</w:t>
      </w:r>
      <w:r w:rsidRPr="00482CA7">
        <w:rPr>
          <w:rtl/>
        </w:rPr>
        <w:t xml:space="preserve"> </w:t>
      </w:r>
      <w:r w:rsidRPr="00482CA7">
        <w:rPr>
          <w:rFonts w:hint="eastAsia"/>
          <w:rtl/>
        </w:rPr>
        <w:t>הקריטריונים</w:t>
      </w:r>
      <w:r w:rsidRPr="00482CA7">
        <w:rPr>
          <w:rtl/>
        </w:rPr>
        <w:t xml:space="preserve"> </w:t>
      </w:r>
      <w:r w:rsidRPr="00482CA7">
        <w:rPr>
          <w:rFonts w:hint="eastAsia"/>
          <w:rtl/>
        </w:rPr>
        <w:t>הישנים</w:t>
      </w:r>
      <w:r w:rsidRPr="00482CA7">
        <w:rPr>
          <w:rtl/>
        </w:rPr>
        <w:t xml:space="preserve"> </w:t>
      </w:r>
      <w:r w:rsidRPr="00482CA7">
        <w:rPr>
          <w:rFonts w:hint="eastAsia"/>
          <w:rtl/>
        </w:rPr>
        <w:t>יוותרו</w:t>
      </w:r>
      <w:r w:rsidRPr="00482CA7">
        <w:rPr>
          <w:rtl/>
        </w:rPr>
        <w:t xml:space="preserve"> </w:t>
      </w:r>
      <w:r w:rsidRPr="00482CA7">
        <w:rPr>
          <w:rFonts w:hint="eastAsia"/>
          <w:rtl/>
        </w:rPr>
        <w:t>על</w:t>
      </w:r>
      <w:r w:rsidRPr="00482CA7">
        <w:rPr>
          <w:rtl/>
        </w:rPr>
        <w:t xml:space="preserve"> </w:t>
      </w:r>
      <w:r w:rsidRPr="00482CA7">
        <w:rPr>
          <w:rFonts w:hint="eastAsia"/>
          <w:rtl/>
        </w:rPr>
        <w:t>כנם</w:t>
      </w:r>
      <w:r w:rsidRPr="00482CA7">
        <w:rPr>
          <w:rtl/>
        </w:rPr>
        <w:t xml:space="preserve"> – </w:t>
      </w:r>
      <w:r w:rsidRPr="00482CA7">
        <w:rPr>
          <w:rFonts w:hint="eastAsia"/>
          <w:rtl/>
        </w:rPr>
        <w:t>נהפוך</w:t>
      </w:r>
      <w:r w:rsidRPr="00482CA7">
        <w:rPr>
          <w:rtl/>
        </w:rPr>
        <w:t xml:space="preserve"> </w:t>
      </w:r>
      <w:r w:rsidRPr="00482CA7">
        <w:rPr>
          <w:rFonts w:hint="eastAsia"/>
          <w:rtl/>
        </w:rPr>
        <w:t>הוא</w:t>
      </w:r>
      <w:r w:rsidRPr="00482CA7">
        <w:rPr>
          <w:rtl/>
        </w:rPr>
        <w:t xml:space="preserve">, </w:t>
      </w:r>
      <w:r w:rsidRPr="00482CA7">
        <w:rPr>
          <w:rFonts w:hint="eastAsia"/>
          <w:rtl/>
        </w:rPr>
        <w:t>ניתנו</w:t>
      </w:r>
      <w:r w:rsidRPr="00482CA7">
        <w:rPr>
          <w:rtl/>
        </w:rPr>
        <w:t xml:space="preserve"> </w:t>
      </w:r>
      <w:r w:rsidRPr="00482CA7">
        <w:rPr>
          <w:rFonts w:hint="eastAsia"/>
          <w:rtl/>
        </w:rPr>
        <w:t>לה</w:t>
      </w:r>
      <w:r w:rsidRPr="00482CA7">
        <w:rPr>
          <w:rtl/>
        </w:rPr>
        <w:t xml:space="preserve"> </w:t>
      </w:r>
      <w:r w:rsidRPr="00482CA7">
        <w:rPr>
          <w:rFonts w:hint="eastAsia"/>
          <w:rtl/>
        </w:rPr>
        <w:t>אינדיקציות</w:t>
      </w:r>
      <w:r w:rsidRPr="00482CA7">
        <w:rPr>
          <w:rtl/>
        </w:rPr>
        <w:t xml:space="preserve"> </w:t>
      </w:r>
      <w:r w:rsidRPr="00482CA7">
        <w:rPr>
          <w:rFonts w:hint="eastAsia"/>
          <w:rtl/>
        </w:rPr>
        <w:t>טובות</w:t>
      </w:r>
      <w:r w:rsidRPr="00482CA7">
        <w:rPr>
          <w:rtl/>
        </w:rPr>
        <w:t xml:space="preserve"> </w:t>
      </w:r>
      <w:r w:rsidRPr="00482CA7">
        <w:rPr>
          <w:rFonts w:hint="eastAsia"/>
          <w:rtl/>
        </w:rPr>
        <w:t>להעריך</w:t>
      </w:r>
      <w:r w:rsidRPr="00482CA7">
        <w:rPr>
          <w:rtl/>
        </w:rPr>
        <w:t xml:space="preserve"> </w:t>
      </w:r>
      <w:r w:rsidRPr="00482CA7">
        <w:rPr>
          <w:rFonts w:hint="eastAsia"/>
          <w:rtl/>
        </w:rPr>
        <w:t>שמה</w:t>
      </w:r>
      <w:r w:rsidRPr="00482CA7">
        <w:rPr>
          <w:rtl/>
        </w:rPr>
        <w:t xml:space="preserve"> </w:t>
      </w:r>
      <w:r w:rsidRPr="00482CA7">
        <w:rPr>
          <w:rFonts w:hint="eastAsia"/>
          <w:rtl/>
        </w:rPr>
        <w:t>שהיה</w:t>
      </w:r>
      <w:r w:rsidRPr="00482CA7">
        <w:rPr>
          <w:rtl/>
        </w:rPr>
        <w:t xml:space="preserve"> </w:t>
      </w:r>
      <w:r w:rsidRPr="00482CA7">
        <w:rPr>
          <w:rFonts w:hint="eastAsia"/>
          <w:rtl/>
        </w:rPr>
        <w:t>הוא</w:t>
      </w:r>
      <w:r w:rsidRPr="00482CA7">
        <w:rPr>
          <w:rtl/>
        </w:rPr>
        <w:t xml:space="preserve"> </w:t>
      </w:r>
      <w:r w:rsidRPr="00482CA7">
        <w:rPr>
          <w:rFonts w:hint="eastAsia"/>
          <w:rtl/>
        </w:rPr>
        <w:t>לא</w:t>
      </w:r>
      <w:r w:rsidRPr="00482CA7">
        <w:rPr>
          <w:rtl/>
        </w:rPr>
        <w:t xml:space="preserve"> </w:t>
      </w:r>
      <w:r w:rsidRPr="00482CA7">
        <w:rPr>
          <w:rFonts w:hint="eastAsia"/>
          <w:rtl/>
        </w:rPr>
        <w:t>מה</w:t>
      </w:r>
      <w:r w:rsidRPr="00482CA7">
        <w:rPr>
          <w:rtl/>
        </w:rPr>
        <w:t xml:space="preserve"> </w:t>
      </w:r>
      <w:r w:rsidRPr="00482CA7">
        <w:rPr>
          <w:rFonts w:hint="eastAsia"/>
          <w:rtl/>
        </w:rPr>
        <w:t>שיהיה</w:t>
      </w:r>
      <w:r w:rsidRPr="00482CA7">
        <w:rPr>
          <w:rtl/>
        </w:rPr>
        <w:t xml:space="preserve">. </w:t>
      </w:r>
      <w:r w:rsidRPr="00482CA7">
        <w:rPr>
          <w:rFonts w:hint="eastAsia"/>
          <w:rtl/>
        </w:rPr>
        <w:t>ואולם</w:t>
      </w:r>
      <w:r w:rsidRPr="00482CA7">
        <w:rPr>
          <w:rtl/>
        </w:rPr>
        <w:t xml:space="preserve">, </w:t>
      </w:r>
      <w:r w:rsidRPr="00482CA7">
        <w:rPr>
          <w:rFonts w:hint="eastAsia"/>
          <w:rtl/>
        </w:rPr>
        <w:t>חוסר</w:t>
      </w:r>
      <w:r w:rsidRPr="00482CA7">
        <w:rPr>
          <w:rtl/>
        </w:rPr>
        <w:t xml:space="preserve"> </w:t>
      </w:r>
      <w:r w:rsidRPr="00482CA7">
        <w:rPr>
          <w:rFonts w:hint="eastAsia"/>
          <w:rtl/>
        </w:rPr>
        <w:t>הוודאות</w:t>
      </w:r>
      <w:r w:rsidRPr="00482CA7">
        <w:rPr>
          <w:rtl/>
        </w:rPr>
        <w:t xml:space="preserve"> </w:t>
      </w:r>
      <w:r w:rsidRPr="00482CA7">
        <w:rPr>
          <w:rFonts w:hint="eastAsia"/>
          <w:rtl/>
        </w:rPr>
        <w:t>בו</w:t>
      </w:r>
      <w:r w:rsidRPr="00482CA7">
        <w:rPr>
          <w:rtl/>
        </w:rPr>
        <w:t xml:space="preserve"> </w:t>
      </w:r>
      <w:r w:rsidRPr="00482CA7">
        <w:rPr>
          <w:rFonts w:hint="eastAsia"/>
          <w:rtl/>
        </w:rPr>
        <w:t>היו</w:t>
      </w:r>
      <w:r w:rsidRPr="00482CA7">
        <w:rPr>
          <w:rtl/>
        </w:rPr>
        <w:t xml:space="preserve"> </w:t>
      </w:r>
      <w:r w:rsidRPr="00482CA7">
        <w:rPr>
          <w:rFonts w:hint="eastAsia"/>
          <w:rtl/>
        </w:rPr>
        <w:t>מצויות</w:t>
      </w:r>
      <w:r w:rsidRPr="00482CA7">
        <w:rPr>
          <w:rtl/>
        </w:rPr>
        <w:t xml:space="preserve"> </w:t>
      </w:r>
      <w:r w:rsidRPr="00482CA7">
        <w:rPr>
          <w:rFonts w:hint="eastAsia"/>
          <w:rtl/>
        </w:rPr>
        <w:t>משפחות</w:t>
      </w:r>
      <w:r w:rsidRPr="00482CA7">
        <w:rPr>
          <w:rtl/>
        </w:rPr>
        <w:t xml:space="preserve"> </w:t>
      </w:r>
      <w:r w:rsidRPr="00482CA7">
        <w:rPr>
          <w:rFonts w:hint="eastAsia"/>
          <w:rtl/>
        </w:rPr>
        <w:t>האברכים</w:t>
      </w:r>
      <w:r w:rsidRPr="00482CA7">
        <w:rPr>
          <w:rtl/>
        </w:rPr>
        <w:t xml:space="preserve"> </w:t>
      </w:r>
      <w:r w:rsidRPr="00482CA7">
        <w:rPr>
          <w:rFonts w:hint="eastAsia"/>
          <w:rtl/>
        </w:rPr>
        <w:t>בשעתו</w:t>
      </w:r>
      <w:r w:rsidRPr="00482CA7">
        <w:rPr>
          <w:rtl/>
        </w:rPr>
        <w:t xml:space="preserve"> – </w:t>
      </w:r>
      <w:r w:rsidRPr="00482CA7">
        <w:rPr>
          <w:rFonts w:hint="eastAsia"/>
          <w:rtl/>
        </w:rPr>
        <w:t>והנמשך</w:t>
      </w:r>
      <w:r w:rsidRPr="00482CA7">
        <w:rPr>
          <w:rtl/>
        </w:rPr>
        <w:t xml:space="preserve"> </w:t>
      </w:r>
      <w:r w:rsidRPr="00482CA7">
        <w:rPr>
          <w:rFonts w:hint="eastAsia"/>
          <w:rtl/>
        </w:rPr>
        <w:t>במידה</w:t>
      </w:r>
      <w:r w:rsidRPr="00482CA7">
        <w:rPr>
          <w:rtl/>
        </w:rPr>
        <w:t xml:space="preserve"> </w:t>
      </w:r>
      <w:r w:rsidRPr="00482CA7">
        <w:rPr>
          <w:rFonts w:hint="eastAsia"/>
          <w:rtl/>
        </w:rPr>
        <w:t>רבה</w:t>
      </w:r>
      <w:r w:rsidRPr="00482CA7">
        <w:rPr>
          <w:rtl/>
        </w:rPr>
        <w:t xml:space="preserve"> </w:t>
      </w:r>
      <w:r w:rsidRPr="00482CA7">
        <w:rPr>
          <w:rFonts w:hint="eastAsia"/>
          <w:rtl/>
        </w:rPr>
        <w:t>עד</w:t>
      </w:r>
      <w:r w:rsidRPr="00482CA7">
        <w:rPr>
          <w:rtl/>
        </w:rPr>
        <w:t xml:space="preserve"> </w:t>
      </w:r>
      <w:r w:rsidRPr="00482CA7">
        <w:rPr>
          <w:rFonts w:hint="eastAsia"/>
          <w:rtl/>
        </w:rPr>
        <w:t>מתן</w:t>
      </w:r>
      <w:r w:rsidRPr="00482CA7">
        <w:rPr>
          <w:rtl/>
        </w:rPr>
        <w:t xml:space="preserve"> </w:t>
      </w:r>
      <w:r w:rsidRPr="00482CA7">
        <w:rPr>
          <w:rFonts w:hint="eastAsia"/>
          <w:rtl/>
        </w:rPr>
        <w:t>פסק</w:t>
      </w:r>
      <w:r w:rsidRPr="00482CA7">
        <w:rPr>
          <w:rtl/>
        </w:rPr>
        <w:t xml:space="preserve"> </w:t>
      </w:r>
      <w:r w:rsidRPr="00482CA7">
        <w:rPr>
          <w:rFonts w:hint="eastAsia"/>
          <w:rtl/>
        </w:rPr>
        <w:t>דין</w:t>
      </w:r>
      <w:r w:rsidRPr="00482CA7">
        <w:rPr>
          <w:rtl/>
        </w:rPr>
        <w:t xml:space="preserve"> </w:t>
      </w:r>
      <w:r w:rsidRPr="00482CA7">
        <w:rPr>
          <w:rFonts w:hint="eastAsia"/>
          <w:rtl/>
        </w:rPr>
        <w:t>זה</w:t>
      </w:r>
      <w:r w:rsidRPr="00482CA7">
        <w:rPr>
          <w:rtl/>
        </w:rPr>
        <w:t xml:space="preserve"> – </w:t>
      </w:r>
      <w:r w:rsidRPr="00482CA7">
        <w:rPr>
          <w:rFonts w:hint="eastAsia"/>
          <w:rtl/>
        </w:rPr>
        <w:t>מקשה</w:t>
      </w:r>
      <w:r w:rsidRPr="00482CA7">
        <w:rPr>
          <w:rtl/>
        </w:rPr>
        <w:t xml:space="preserve"> </w:t>
      </w:r>
      <w:r w:rsidRPr="00482CA7">
        <w:rPr>
          <w:rFonts w:hint="eastAsia"/>
          <w:rtl/>
        </w:rPr>
        <w:t>להטיל</w:t>
      </w:r>
      <w:r w:rsidRPr="00482CA7">
        <w:rPr>
          <w:rFonts w:hint="cs"/>
          <w:rtl/>
        </w:rPr>
        <w:t xml:space="preserve"> אחריות</w:t>
      </w:r>
      <w:r w:rsidRPr="00482CA7">
        <w:rPr>
          <w:rtl/>
        </w:rPr>
        <w:t xml:space="preserve"> </w:t>
      </w:r>
      <w:r w:rsidRPr="00482CA7">
        <w:rPr>
          <w:rFonts w:hint="eastAsia"/>
          <w:rtl/>
        </w:rPr>
        <w:t>למצב</w:t>
      </w:r>
      <w:r w:rsidRPr="00482CA7">
        <w:rPr>
          <w:rtl/>
        </w:rPr>
        <w:t xml:space="preserve"> </w:t>
      </w:r>
      <w:r w:rsidRPr="00482CA7">
        <w:rPr>
          <w:rFonts w:hint="eastAsia"/>
          <w:rtl/>
        </w:rPr>
        <w:t>שנוצר</w:t>
      </w:r>
      <w:r w:rsidRPr="00482CA7">
        <w:rPr>
          <w:rtl/>
        </w:rPr>
        <w:t xml:space="preserve">, </w:t>
      </w:r>
      <w:r w:rsidRPr="00482CA7">
        <w:rPr>
          <w:rFonts w:hint="eastAsia"/>
          <w:rtl/>
        </w:rPr>
        <w:t>לא</w:t>
      </w:r>
      <w:r w:rsidRPr="00482CA7">
        <w:rPr>
          <w:rtl/>
        </w:rPr>
        <w:t xml:space="preserve"> </w:t>
      </w:r>
      <w:r w:rsidRPr="00482CA7">
        <w:rPr>
          <w:rFonts w:hint="eastAsia"/>
          <w:rtl/>
        </w:rPr>
        <w:t>כל</w:t>
      </w:r>
      <w:r w:rsidRPr="00482CA7">
        <w:rPr>
          <w:rtl/>
        </w:rPr>
        <w:t xml:space="preserve"> </w:t>
      </w:r>
      <w:r w:rsidRPr="00482CA7">
        <w:rPr>
          <w:rFonts w:hint="eastAsia"/>
          <w:rtl/>
        </w:rPr>
        <w:t>שכן</w:t>
      </w:r>
      <w:r w:rsidRPr="00482CA7">
        <w:rPr>
          <w:rtl/>
        </w:rPr>
        <w:t xml:space="preserve"> </w:t>
      </w:r>
      <w:r w:rsidRPr="00482CA7">
        <w:rPr>
          <w:rFonts w:hint="eastAsia"/>
          <w:rtl/>
        </w:rPr>
        <w:t>את</w:t>
      </w:r>
      <w:r w:rsidRPr="00482CA7">
        <w:rPr>
          <w:rtl/>
        </w:rPr>
        <w:t xml:space="preserve"> </w:t>
      </w:r>
      <w:r w:rsidRPr="00482CA7">
        <w:rPr>
          <w:rFonts w:hint="eastAsia"/>
          <w:rtl/>
        </w:rPr>
        <w:t>עיקרה</w:t>
      </w:r>
      <w:r w:rsidRPr="00482CA7">
        <w:rPr>
          <w:rtl/>
        </w:rPr>
        <w:t xml:space="preserve">, </w:t>
      </w:r>
      <w:r w:rsidRPr="00482CA7">
        <w:rPr>
          <w:rFonts w:hint="eastAsia"/>
          <w:rtl/>
        </w:rPr>
        <w:t>עליהן</w:t>
      </w:r>
      <w:r w:rsidRPr="00482CA7">
        <w:rPr>
          <w:rtl/>
        </w:rPr>
        <w:t xml:space="preserve">. </w:t>
      </w:r>
      <w:r w:rsidRPr="00482CA7">
        <w:rPr>
          <w:rFonts w:hint="eastAsia"/>
          <w:rtl/>
        </w:rPr>
        <w:t>אכן</w:t>
      </w:r>
      <w:r w:rsidRPr="00482CA7">
        <w:rPr>
          <w:rtl/>
        </w:rPr>
        <w:t xml:space="preserve">, </w:t>
      </w:r>
      <w:r w:rsidRPr="00482CA7">
        <w:rPr>
          <w:rFonts w:hint="eastAsia"/>
          <w:rtl/>
        </w:rPr>
        <w:t>לאיש</w:t>
      </w:r>
      <w:r w:rsidRPr="00482CA7">
        <w:rPr>
          <w:rtl/>
        </w:rPr>
        <w:t xml:space="preserve"> </w:t>
      </w:r>
      <w:r w:rsidRPr="00482CA7">
        <w:rPr>
          <w:rFonts w:hint="eastAsia"/>
          <w:rtl/>
        </w:rPr>
        <w:t>אין</w:t>
      </w:r>
      <w:r w:rsidRPr="00482CA7">
        <w:rPr>
          <w:rtl/>
        </w:rPr>
        <w:t xml:space="preserve"> </w:t>
      </w:r>
      <w:r w:rsidRPr="00482CA7">
        <w:rPr>
          <w:rFonts w:hint="eastAsia"/>
          <w:rtl/>
        </w:rPr>
        <w:t>זכות</w:t>
      </w:r>
      <w:r w:rsidRPr="00482CA7">
        <w:rPr>
          <w:rFonts w:hint="cs"/>
          <w:rtl/>
        </w:rPr>
        <w:t xml:space="preserve"> קנויה</w:t>
      </w:r>
      <w:r w:rsidRPr="00482CA7">
        <w:rPr>
          <w:rtl/>
        </w:rPr>
        <w:t xml:space="preserve"> </w:t>
      </w:r>
      <w:r w:rsidRPr="00482CA7">
        <w:rPr>
          <w:rFonts w:hint="eastAsia"/>
          <w:rtl/>
        </w:rPr>
        <w:t>ל</w:t>
      </w:r>
      <w:r w:rsidRPr="00482CA7">
        <w:rPr>
          <w:rFonts w:hint="cs"/>
          <w:rtl/>
        </w:rPr>
        <w:t>המשיך ל</w:t>
      </w:r>
      <w:r w:rsidRPr="00482CA7">
        <w:rPr>
          <w:rFonts w:hint="eastAsia"/>
          <w:rtl/>
        </w:rPr>
        <w:t>קבל</w:t>
      </w:r>
      <w:r w:rsidRPr="00482CA7">
        <w:rPr>
          <w:rtl/>
        </w:rPr>
        <w:t xml:space="preserve"> </w:t>
      </w:r>
      <w:r w:rsidRPr="00482CA7">
        <w:rPr>
          <w:rFonts w:hint="eastAsia"/>
          <w:rtl/>
        </w:rPr>
        <w:t>סובסידיה</w:t>
      </w:r>
      <w:r w:rsidRPr="00482CA7">
        <w:rPr>
          <w:rFonts w:hint="cs"/>
          <w:rtl/>
        </w:rPr>
        <w:t xml:space="preserve"> שניתנה לו בעבר</w:t>
      </w:r>
      <w:r w:rsidRPr="00482CA7">
        <w:rPr>
          <w:rtl/>
        </w:rPr>
        <w:t xml:space="preserve">; </w:t>
      </w:r>
      <w:r w:rsidRPr="00482CA7">
        <w:rPr>
          <w:rFonts w:hint="eastAsia"/>
          <w:rtl/>
        </w:rPr>
        <w:t>ואולם</w:t>
      </w:r>
      <w:r w:rsidRPr="00482CA7">
        <w:rPr>
          <w:rtl/>
        </w:rPr>
        <w:t xml:space="preserve"> </w:t>
      </w:r>
      <w:r w:rsidRPr="00482CA7">
        <w:rPr>
          <w:rFonts w:hint="eastAsia"/>
          <w:rtl/>
        </w:rPr>
        <w:t>מציאות</w:t>
      </w:r>
      <w:r w:rsidRPr="00482CA7">
        <w:rPr>
          <w:rFonts w:hint="cs"/>
          <w:rtl/>
        </w:rPr>
        <w:t xml:space="preserve"> יכולה ליצור </w:t>
      </w:r>
      <w:r w:rsidRPr="00482CA7">
        <w:rPr>
          <w:rFonts w:hint="eastAsia"/>
          <w:rtl/>
        </w:rPr>
        <w:t>ציפיות</w:t>
      </w:r>
      <w:r w:rsidRPr="00482CA7">
        <w:rPr>
          <w:rtl/>
        </w:rPr>
        <w:t xml:space="preserve"> </w:t>
      </w:r>
      <w:r w:rsidRPr="00482CA7">
        <w:rPr>
          <w:rFonts w:hint="eastAsia"/>
          <w:rtl/>
        </w:rPr>
        <w:t>גם</w:t>
      </w:r>
      <w:r w:rsidRPr="00482CA7">
        <w:rPr>
          <w:rtl/>
        </w:rPr>
        <w:t xml:space="preserve"> </w:t>
      </w:r>
      <w:r w:rsidRPr="00482CA7">
        <w:rPr>
          <w:rFonts w:hint="eastAsia"/>
          <w:rtl/>
        </w:rPr>
        <w:t>ללא</w:t>
      </w:r>
      <w:r w:rsidRPr="00482CA7">
        <w:rPr>
          <w:rtl/>
        </w:rPr>
        <w:t xml:space="preserve"> </w:t>
      </w:r>
      <w:r w:rsidRPr="00482CA7">
        <w:rPr>
          <w:rFonts w:hint="eastAsia"/>
          <w:rtl/>
        </w:rPr>
        <w:t>זכויות</w:t>
      </w:r>
      <w:r w:rsidRPr="00482CA7">
        <w:rPr>
          <w:rtl/>
        </w:rPr>
        <w:t xml:space="preserve">. </w:t>
      </w:r>
      <w:r w:rsidRPr="00482CA7">
        <w:rPr>
          <w:rFonts w:hint="eastAsia"/>
          <w:rtl/>
        </w:rPr>
        <w:t>משנפתחה</w:t>
      </w:r>
      <w:r w:rsidRPr="00482CA7">
        <w:rPr>
          <w:rtl/>
        </w:rPr>
        <w:t xml:space="preserve"> </w:t>
      </w:r>
      <w:r w:rsidRPr="00482CA7">
        <w:rPr>
          <w:rFonts w:hint="eastAsia"/>
          <w:rtl/>
        </w:rPr>
        <w:t>שנת</w:t>
      </w:r>
      <w:r w:rsidRPr="00482CA7">
        <w:rPr>
          <w:rtl/>
        </w:rPr>
        <w:t xml:space="preserve"> </w:t>
      </w:r>
      <w:r w:rsidRPr="00482CA7">
        <w:rPr>
          <w:rFonts w:hint="eastAsia"/>
          <w:rtl/>
        </w:rPr>
        <w:t>הפעילות</w:t>
      </w:r>
      <w:r w:rsidRPr="00482CA7">
        <w:rPr>
          <w:rtl/>
        </w:rPr>
        <w:t xml:space="preserve"> </w:t>
      </w:r>
      <w:r w:rsidRPr="00482CA7">
        <w:rPr>
          <w:rFonts w:hint="eastAsia"/>
          <w:rtl/>
        </w:rPr>
        <w:t>של</w:t>
      </w:r>
      <w:r w:rsidRPr="00482CA7">
        <w:rPr>
          <w:rtl/>
        </w:rPr>
        <w:t xml:space="preserve"> </w:t>
      </w:r>
      <w:r w:rsidRPr="00482CA7">
        <w:rPr>
          <w:rFonts w:hint="eastAsia"/>
          <w:rtl/>
        </w:rPr>
        <w:t>מעונות</w:t>
      </w:r>
      <w:r w:rsidRPr="00482CA7">
        <w:rPr>
          <w:rtl/>
        </w:rPr>
        <w:t xml:space="preserve"> </w:t>
      </w:r>
      <w:r w:rsidRPr="00482CA7">
        <w:rPr>
          <w:rFonts w:hint="eastAsia"/>
          <w:rtl/>
        </w:rPr>
        <w:t>היום</w:t>
      </w:r>
      <w:r w:rsidRPr="00482CA7">
        <w:rPr>
          <w:rtl/>
        </w:rPr>
        <w:t xml:space="preserve"> </w:t>
      </w:r>
      <w:r w:rsidRPr="00482CA7">
        <w:rPr>
          <w:rFonts w:hint="eastAsia"/>
          <w:rtl/>
        </w:rPr>
        <w:t>מבלי</w:t>
      </w:r>
      <w:r w:rsidRPr="00482CA7">
        <w:rPr>
          <w:rtl/>
        </w:rPr>
        <w:t xml:space="preserve"> </w:t>
      </w:r>
      <w:r w:rsidRPr="00482CA7">
        <w:rPr>
          <w:rFonts w:hint="eastAsia"/>
          <w:rtl/>
        </w:rPr>
        <w:t>ששונו</w:t>
      </w:r>
      <w:r w:rsidRPr="00482CA7">
        <w:rPr>
          <w:rtl/>
        </w:rPr>
        <w:t xml:space="preserve"> </w:t>
      </w:r>
      <w:r w:rsidRPr="00482CA7">
        <w:rPr>
          <w:rFonts w:hint="eastAsia"/>
          <w:rtl/>
        </w:rPr>
        <w:t>הקריטריונים</w:t>
      </w:r>
      <w:r w:rsidRPr="00482CA7">
        <w:rPr>
          <w:rtl/>
        </w:rPr>
        <w:t xml:space="preserve">, </w:t>
      </w:r>
      <w:r w:rsidRPr="00482CA7">
        <w:rPr>
          <w:rFonts w:hint="eastAsia"/>
          <w:rtl/>
        </w:rPr>
        <w:t>ומשקבעו</w:t>
      </w:r>
      <w:r w:rsidRPr="00482CA7">
        <w:rPr>
          <w:rtl/>
        </w:rPr>
        <w:t xml:space="preserve"> </w:t>
      </w:r>
      <w:r w:rsidRPr="00482CA7">
        <w:rPr>
          <w:rFonts w:hint="eastAsia"/>
          <w:rtl/>
        </w:rPr>
        <w:t>השרים</w:t>
      </w:r>
      <w:r w:rsidRPr="00482CA7">
        <w:rPr>
          <w:rFonts w:hint="cs"/>
          <w:rtl/>
        </w:rPr>
        <w:t xml:space="preserve"> בהמשך</w:t>
      </w:r>
      <w:r w:rsidRPr="00482CA7">
        <w:rPr>
          <w:rtl/>
        </w:rPr>
        <w:t xml:space="preserve"> </w:t>
      </w:r>
      <w:r w:rsidRPr="00482CA7">
        <w:rPr>
          <w:rFonts w:hint="eastAsia"/>
          <w:rtl/>
        </w:rPr>
        <w:t>כי</w:t>
      </w:r>
      <w:r w:rsidRPr="00482CA7">
        <w:rPr>
          <w:rtl/>
        </w:rPr>
        <w:t xml:space="preserve"> </w:t>
      </w:r>
      <w:r w:rsidRPr="00482CA7">
        <w:rPr>
          <w:rFonts w:hint="eastAsia"/>
          <w:rtl/>
        </w:rPr>
        <w:t>הקריטריונים</w:t>
      </w:r>
      <w:r w:rsidRPr="00482CA7">
        <w:rPr>
          <w:rtl/>
        </w:rPr>
        <w:t xml:space="preserve"> </w:t>
      </w:r>
      <w:r w:rsidRPr="00482CA7">
        <w:rPr>
          <w:rFonts w:hint="eastAsia"/>
          <w:rtl/>
        </w:rPr>
        <w:t>הישנים</w:t>
      </w:r>
      <w:r w:rsidRPr="00482CA7">
        <w:rPr>
          <w:rtl/>
        </w:rPr>
        <w:t xml:space="preserve"> </w:t>
      </w:r>
      <w:r w:rsidRPr="00482CA7">
        <w:rPr>
          <w:rFonts w:hint="eastAsia"/>
          <w:rtl/>
        </w:rPr>
        <w:t>יוסיפו</w:t>
      </w:r>
      <w:r w:rsidRPr="00482CA7">
        <w:rPr>
          <w:rtl/>
        </w:rPr>
        <w:t xml:space="preserve"> </w:t>
      </w:r>
      <w:r w:rsidRPr="00482CA7">
        <w:rPr>
          <w:rFonts w:hint="eastAsia"/>
          <w:rtl/>
        </w:rPr>
        <w:t>לחול</w:t>
      </w:r>
      <w:r w:rsidRPr="00482CA7">
        <w:rPr>
          <w:rtl/>
        </w:rPr>
        <w:t xml:space="preserve"> </w:t>
      </w:r>
      <w:r w:rsidRPr="00482CA7">
        <w:rPr>
          <w:rFonts w:hint="eastAsia"/>
          <w:rtl/>
        </w:rPr>
        <w:t>ולזכות</w:t>
      </w:r>
      <w:r w:rsidRPr="00482CA7">
        <w:rPr>
          <w:rtl/>
        </w:rPr>
        <w:t xml:space="preserve"> </w:t>
      </w:r>
      <w:r w:rsidRPr="00482CA7">
        <w:rPr>
          <w:rFonts w:hint="eastAsia"/>
          <w:rtl/>
        </w:rPr>
        <w:t>למשך</w:t>
      </w:r>
      <w:r w:rsidRPr="00482CA7">
        <w:rPr>
          <w:rtl/>
        </w:rPr>
        <w:t xml:space="preserve"> </w:t>
      </w:r>
      <w:r w:rsidRPr="00482CA7">
        <w:rPr>
          <w:rFonts w:hint="cs"/>
          <w:rtl/>
        </w:rPr>
        <w:t>חלק</w:t>
      </w:r>
      <w:r w:rsidRPr="00482CA7">
        <w:rPr>
          <w:rtl/>
        </w:rPr>
        <w:t xml:space="preserve"> </w:t>
      </w:r>
      <w:r w:rsidRPr="00482CA7">
        <w:rPr>
          <w:rFonts w:hint="cs"/>
          <w:rtl/>
        </w:rPr>
        <w:t>מ</w:t>
      </w:r>
      <w:r w:rsidRPr="00482CA7">
        <w:rPr>
          <w:rFonts w:hint="eastAsia"/>
          <w:rtl/>
        </w:rPr>
        <w:t>שנת</w:t>
      </w:r>
      <w:r w:rsidRPr="00482CA7">
        <w:rPr>
          <w:rtl/>
        </w:rPr>
        <w:t xml:space="preserve"> </w:t>
      </w:r>
      <w:r w:rsidRPr="00482CA7">
        <w:rPr>
          <w:rFonts w:hint="eastAsia"/>
          <w:rtl/>
        </w:rPr>
        <w:t>התשפ״ב</w:t>
      </w:r>
      <w:r w:rsidRPr="00482CA7">
        <w:rPr>
          <w:rtl/>
        </w:rPr>
        <w:t xml:space="preserve">, </w:t>
      </w:r>
      <w:r w:rsidRPr="00482CA7">
        <w:rPr>
          <w:rFonts w:hint="eastAsia"/>
          <w:rtl/>
        </w:rPr>
        <w:t>קשה</w:t>
      </w:r>
      <w:r w:rsidRPr="00482CA7">
        <w:rPr>
          <w:rtl/>
        </w:rPr>
        <w:t xml:space="preserve"> </w:t>
      </w:r>
      <w:r w:rsidRPr="00482CA7">
        <w:rPr>
          <w:rFonts w:hint="eastAsia"/>
          <w:rtl/>
        </w:rPr>
        <w:t>לקבל</w:t>
      </w:r>
      <w:r w:rsidRPr="00482CA7">
        <w:rPr>
          <w:rtl/>
        </w:rPr>
        <w:t xml:space="preserve"> </w:t>
      </w:r>
      <w:r w:rsidRPr="00482CA7">
        <w:rPr>
          <w:rFonts w:hint="eastAsia"/>
          <w:rtl/>
        </w:rPr>
        <w:t>את</w:t>
      </w:r>
      <w:r w:rsidRPr="00482CA7">
        <w:rPr>
          <w:rtl/>
        </w:rPr>
        <w:t xml:space="preserve"> </w:t>
      </w:r>
      <w:r w:rsidRPr="00482CA7">
        <w:rPr>
          <w:rFonts w:hint="eastAsia"/>
          <w:rtl/>
        </w:rPr>
        <w:t>הטיעון</w:t>
      </w:r>
      <w:r w:rsidRPr="00482CA7">
        <w:rPr>
          <w:rtl/>
        </w:rPr>
        <w:t xml:space="preserve"> </w:t>
      </w:r>
      <w:r w:rsidRPr="00482CA7">
        <w:rPr>
          <w:rFonts w:hint="eastAsia"/>
          <w:rtl/>
        </w:rPr>
        <w:t>הקר</w:t>
      </w:r>
      <w:r w:rsidRPr="00482CA7">
        <w:rPr>
          <w:rtl/>
        </w:rPr>
        <w:t xml:space="preserve"> </w:t>
      </w:r>
      <w:r w:rsidRPr="00482CA7">
        <w:rPr>
          <w:rFonts w:hint="eastAsia"/>
          <w:rtl/>
        </w:rPr>
        <w:t>והטכני</w:t>
      </w:r>
      <w:r w:rsidRPr="00482CA7">
        <w:rPr>
          <w:rtl/>
        </w:rPr>
        <w:t xml:space="preserve"> </w:t>
      </w:r>
      <w:r w:rsidRPr="00482CA7">
        <w:rPr>
          <w:rFonts w:hint="eastAsia"/>
          <w:rtl/>
        </w:rPr>
        <w:t>כי</w:t>
      </w:r>
      <w:r w:rsidRPr="00482CA7">
        <w:rPr>
          <w:rtl/>
        </w:rPr>
        <w:t xml:space="preserve"> </w:t>
      </w:r>
      <w:r w:rsidRPr="00482CA7">
        <w:rPr>
          <w:rFonts w:hint="eastAsia"/>
          <w:rtl/>
        </w:rPr>
        <w:t>העותרים</w:t>
      </w:r>
      <w:r w:rsidRPr="00482CA7">
        <w:rPr>
          <w:rtl/>
        </w:rPr>
        <w:t xml:space="preserve"> </w:t>
      </w:r>
      <w:r w:rsidRPr="00482CA7">
        <w:rPr>
          <w:rFonts w:hint="eastAsia"/>
          <w:rtl/>
        </w:rPr>
        <w:t>נטלו</w:t>
      </w:r>
      <w:r w:rsidRPr="00482CA7">
        <w:rPr>
          <w:rtl/>
        </w:rPr>
        <w:t xml:space="preserve"> </w:t>
      </w:r>
      <w:r w:rsidRPr="00482CA7">
        <w:rPr>
          <w:rFonts w:hint="eastAsia"/>
          <w:rtl/>
        </w:rPr>
        <w:t>סיכון</w:t>
      </w:r>
      <w:r w:rsidRPr="00482CA7">
        <w:rPr>
          <w:rtl/>
        </w:rPr>
        <w:t xml:space="preserve"> </w:t>
      </w:r>
      <w:r w:rsidRPr="00482CA7">
        <w:rPr>
          <w:rFonts w:hint="eastAsia"/>
          <w:rtl/>
        </w:rPr>
        <w:t>עת</w:t>
      </w:r>
      <w:r w:rsidRPr="00482CA7">
        <w:rPr>
          <w:rtl/>
        </w:rPr>
        <w:t xml:space="preserve"> </w:t>
      </w:r>
      <w:r w:rsidRPr="00482CA7">
        <w:rPr>
          <w:rFonts w:hint="eastAsia"/>
          <w:rtl/>
        </w:rPr>
        <w:t>שלחו</w:t>
      </w:r>
      <w:r w:rsidRPr="00482CA7">
        <w:rPr>
          <w:rtl/>
        </w:rPr>
        <w:t xml:space="preserve"> </w:t>
      </w:r>
      <w:r w:rsidRPr="00482CA7">
        <w:rPr>
          <w:rFonts w:hint="eastAsia"/>
          <w:rtl/>
        </w:rPr>
        <w:t>את</w:t>
      </w:r>
      <w:r w:rsidRPr="00482CA7">
        <w:rPr>
          <w:rtl/>
        </w:rPr>
        <w:t xml:space="preserve"> </w:t>
      </w:r>
      <w:r w:rsidRPr="00482CA7">
        <w:rPr>
          <w:rFonts w:hint="eastAsia"/>
          <w:rtl/>
        </w:rPr>
        <w:t>ילדיהם</w:t>
      </w:r>
      <w:r w:rsidRPr="00482CA7">
        <w:rPr>
          <w:rtl/>
        </w:rPr>
        <w:t xml:space="preserve"> </w:t>
      </w:r>
      <w:r w:rsidRPr="00482CA7">
        <w:rPr>
          <w:rFonts w:hint="eastAsia"/>
          <w:rtl/>
        </w:rPr>
        <w:t>למעונות</w:t>
      </w:r>
      <w:r w:rsidRPr="00482CA7">
        <w:rPr>
          <w:rtl/>
        </w:rPr>
        <w:t xml:space="preserve"> </w:t>
      </w:r>
      <w:r w:rsidRPr="00482CA7">
        <w:rPr>
          <w:rFonts w:hint="eastAsia"/>
          <w:rtl/>
        </w:rPr>
        <w:t>היום</w:t>
      </w:r>
      <w:r w:rsidRPr="00482CA7">
        <w:rPr>
          <w:rtl/>
        </w:rPr>
        <w:t xml:space="preserve"> </w:t>
      </w:r>
      <w:r w:rsidRPr="00482CA7">
        <w:rPr>
          <w:rFonts w:hint="eastAsia"/>
          <w:rtl/>
        </w:rPr>
        <w:t>מלכתחילה</w:t>
      </w:r>
      <w:r w:rsidRPr="00482CA7">
        <w:rPr>
          <w:rtl/>
        </w:rPr>
        <w:t xml:space="preserve">, </w:t>
      </w:r>
      <w:r w:rsidRPr="00482CA7">
        <w:rPr>
          <w:rFonts w:hint="eastAsia"/>
          <w:rtl/>
        </w:rPr>
        <w:t>ועל</w:t>
      </w:r>
      <w:r w:rsidRPr="00482CA7">
        <w:rPr>
          <w:rtl/>
        </w:rPr>
        <w:t xml:space="preserve"> </w:t>
      </w:r>
      <w:r w:rsidRPr="00482CA7">
        <w:rPr>
          <w:rFonts w:hint="eastAsia"/>
          <w:rtl/>
        </w:rPr>
        <w:t>כן</w:t>
      </w:r>
      <w:r w:rsidRPr="00482CA7">
        <w:rPr>
          <w:rtl/>
        </w:rPr>
        <w:t xml:space="preserve"> </w:t>
      </w:r>
      <w:r w:rsidRPr="00482CA7">
        <w:rPr>
          <w:rFonts w:hint="eastAsia"/>
          <w:rtl/>
        </w:rPr>
        <w:t>אין</w:t>
      </w:r>
      <w:r w:rsidRPr="00482CA7">
        <w:rPr>
          <w:rtl/>
        </w:rPr>
        <w:t xml:space="preserve"> </w:t>
      </w:r>
      <w:r w:rsidRPr="00482CA7">
        <w:rPr>
          <w:rFonts w:hint="eastAsia"/>
          <w:rtl/>
        </w:rPr>
        <w:t>צפיותיהם</w:t>
      </w:r>
      <w:r w:rsidRPr="00482CA7">
        <w:rPr>
          <w:rtl/>
        </w:rPr>
        <w:t xml:space="preserve"> </w:t>
      </w:r>
      <w:r w:rsidRPr="00482CA7">
        <w:rPr>
          <w:rFonts w:hint="eastAsia"/>
          <w:rtl/>
        </w:rPr>
        <w:t>ליהנות</w:t>
      </w:r>
      <w:r w:rsidRPr="00482CA7">
        <w:rPr>
          <w:rtl/>
        </w:rPr>
        <w:t xml:space="preserve"> </w:t>
      </w:r>
      <w:r w:rsidRPr="00482CA7">
        <w:rPr>
          <w:rFonts w:hint="eastAsia"/>
          <w:rtl/>
        </w:rPr>
        <w:t>מהתמיכה</w:t>
      </w:r>
      <w:r w:rsidRPr="00482CA7">
        <w:rPr>
          <w:rtl/>
        </w:rPr>
        <w:t xml:space="preserve"> </w:t>
      </w:r>
      <w:r w:rsidRPr="00482CA7">
        <w:rPr>
          <w:rFonts w:hint="eastAsia"/>
          <w:rtl/>
        </w:rPr>
        <w:t>לאורך</w:t>
      </w:r>
      <w:r w:rsidRPr="00482CA7">
        <w:rPr>
          <w:rtl/>
        </w:rPr>
        <w:t xml:space="preserve"> </w:t>
      </w:r>
      <w:r w:rsidRPr="00482CA7">
        <w:rPr>
          <w:rFonts w:hint="eastAsia"/>
          <w:rtl/>
        </w:rPr>
        <w:t>כל</w:t>
      </w:r>
      <w:r w:rsidRPr="00482CA7">
        <w:rPr>
          <w:rtl/>
        </w:rPr>
        <w:t xml:space="preserve"> </w:t>
      </w:r>
      <w:r w:rsidRPr="00482CA7">
        <w:rPr>
          <w:rFonts w:hint="eastAsia"/>
          <w:rtl/>
        </w:rPr>
        <w:t>שנת</w:t>
      </w:r>
      <w:r w:rsidRPr="00482CA7">
        <w:rPr>
          <w:rtl/>
        </w:rPr>
        <w:t xml:space="preserve"> </w:t>
      </w:r>
      <w:r w:rsidRPr="00482CA7">
        <w:rPr>
          <w:rFonts w:hint="eastAsia"/>
          <w:rtl/>
        </w:rPr>
        <w:t>הפעילות</w:t>
      </w:r>
      <w:r w:rsidRPr="00482CA7">
        <w:rPr>
          <w:rtl/>
        </w:rPr>
        <w:t xml:space="preserve"> </w:t>
      </w:r>
      <w:r w:rsidRPr="00482CA7">
        <w:rPr>
          <w:rFonts w:hint="eastAsia"/>
          <w:rtl/>
        </w:rPr>
        <w:t>ראויות</w:t>
      </w:r>
      <w:r w:rsidRPr="00482CA7">
        <w:rPr>
          <w:rtl/>
        </w:rPr>
        <w:t xml:space="preserve"> </w:t>
      </w:r>
      <w:r w:rsidRPr="00482CA7">
        <w:rPr>
          <w:rFonts w:hint="eastAsia"/>
          <w:rtl/>
        </w:rPr>
        <w:t>להתחשבות</w:t>
      </w:r>
      <w:r w:rsidRPr="00482CA7">
        <w:rPr>
          <w:rtl/>
        </w:rPr>
        <w:t>.</w:t>
      </w:r>
    </w:p>
    <w:p w:rsidR="00FE44B0" w:rsidRPr="00482CA7" w:rsidRDefault="00FE44B0" w:rsidP="00FE44B0">
      <w:pPr>
        <w:pStyle w:val="Ruller4"/>
        <w:overflowPunct w:val="0"/>
        <w:autoSpaceDE w:val="0"/>
        <w:autoSpaceDN w:val="0"/>
        <w:adjustRightInd w:val="0"/>
        <w:textAlignment w:val="baseline"/>
        <w:rPr>
          <w:rtl/>
        </w:rPr>
      </w:pPr>
      <w:r w:rsidRPr="00482CA7">
        <w:rPr>
          <w:rFonts w:hint="eastAsia"/>
          <w:rtl/>
        </w:rPr>
        <w:t>בהינתן</w:t>
      </w:r>
      <w:r w:rsidRPr="00482CA7">
        <w:rPr>
          <w:rtl/>
        </w:rPr>
        <w:t xml:space="preserve"> </w:t>
      </w:r>
      <w:r w:rsidRPr="00482CA7">
        <w:rPr>
          <w:rFonts w:hint="eastAsia"/>
          <w:rtl/>
        </w:rPr>
        <w:t>כל</w:t>
      </w:r>
      <w:r w:rsidRPr="00482CA7">
        <w:rPr>
          <w:rtl/>
        </w:rPr>
        <w:t xml:space="preserve"> </w:t>
      </w:r>
      <w:r w:rsidRPr="00482CA7">
        <w:rPr>
          <w:rFonts w:hint="eastAsia"/>
          <w:rtl/>
        </w:rPr>
        <w:t>אלה</w:t>
      </w:r>
      <w:r w:rsidRPr="00482CA7">
        <w:rPr>
          <w:rFonts w:hint="cs"/>
          <w:rtl/>
        </w:rPr>
        <w:t>,</w:t>
      </w:r>
      <w:r w:rsidRPr="00482CA7">
        <w:rPr>
          <w:rtl/>
        </w:rPr>
        <w:t xml:space="preserve"> </w:t>
      </w:r>
      <w:r w:rsidRPr="00482CA7">
        <w:rPr>
          <w:rFonts w:hint="eastAsia"/>
          <w:rtl/>
        </w:rPr>
        <w:t>הגעתי</w:t>
      </w:r>
      <w:r w:rsidRPr="00482CA7">
        <w:rPr>
          <w:rtl/>
        </w:rPr>
        <w:t xml:space="preserve"> </w:t>
      </w:r>
      <w:r w:rsidRPr="00482CA7">
        <w:rPr>
          <w:rFonts w:hint="eastAsia"/>
          <w:rtl/>
        </w:rPr>
        <w:t>למסקנה</w:t>
      </w:r>
      <w:r w:rsidRPr="00482CA7">
        <w:rPr>
          <w:rtl/>
        </w:rPr>
        <w:t xml:space="preserve"> </w:t>
      </w:r>
      <w:r w:rsidRPr="00482CA7">
        <w:rPr>
          <w:rFonts w:hint="eastAsia"/>
          <w:rtl/>
        </w:rPr>
        <w:t>כי</w:t>
      </w:r>
      <w:r w:rsidRPr="00482CA7">
        <w:rPr>
          <w:rtl/>
        </w:rPr>
        <w:t xml:space="preserve"> </w:t>
      </w:r>
      <w:r w:rsidRPr="00482CA7">
        <w:rPr>
          <w:rFonts w:hint="eastAsia"/>
          <w:rtl/>
        </w:rPr>
        <w:t>ההחלטה</w:t>
      </w:r>
      <w:r w:rsidRPr="00482CA7">
        <w:rPr>
          <w:rtl/>
        </w:rPr>
        <w:t xml:space="preserve"> </w:t>
      </w:r>
      <w:r w:rsidRPr="00482CA7">
        <w:rPr>
          <w:rFonts w:hint="eastAsia"/>
          <w:rtl/>
        </w:rPr>
        <w:t>שלא</w:t>
      </w:r>
      <w:r w:rsidRPr="00482CA7">
        <w:rPr>
          <w:rtl/>
        </w:rPr>
        <w:t xml:space="preserve"> </w:t>
      </w:r>
      <w:r w:rsidRPr="00482CA7">
        <w:rPr>
          <w:rFonts w:hint="eastAsia"/>
          <w:rtl/>
        </w:rPr>
        <w:t>לאפשר</w:t>
      </w:r>
      <w:r w:rsidRPr="00482CA7">
        <w:rPr>
          <w:rtl/>
        </w:rPr>
        <w:t xml:space="preserve"> </w:t>
      </w:r>
      <w:r w:rsidRPr="00482CA7">
        <w:rPr>
          <w:rFonts w:hint="eastAsia"/>
          <w:rtl/>
        </w:rPr>
        <w:t>תקופת</w:t>
      </w:r>
      <w:r w:rsidRPr="00482CA7">
        <w:rPr>
          <w:rtl/>
        </w:rPr>
        <w:t xml:space="preserve"> </w:t>
      </w:r>
      <w:r w:rsidRPr="00482CA7">
        <w:rPr>
          <w:rFonts w:hint="eastAsia"/>
          <w:rtl/>
        </w:rPr>
        <w:t>מעבר</w:t>
      </w:r>
      <w:r w:rsidRPr="00482CA7">
        <w:rPr>
          <w:rtl/>
        </w:rPr>
        <w:t xml:space="preserve"> </w:t>
      </w:r>
      <w:r w:rsidRPr="00482CA7">
        <w:rPr>
          <w:rFonts w:hint="eastAsia"/>
          <w:rtl/>
        </w:rPr>
        <w:t>של</w:t>
      </w:r>
      <w:r w:rsidRPr="00482CA7">
        <w:rPr>
          <w:rtl/>
        </w:rPr>
        <w:t xml:space="preserve"> </w:t>
      </w:r>
      <w:r w:rsidRPr="00482CA7">
        <w:rPr>
          <w:rFonts w:hint="eastAsia"/>
          <w:rtl/>
        </w:rPr>
        <w:t>שנת</w:t>
      </w:r>
      <w:r w:rsidRPr="00482CA7">
        <w:rPr>
          <w:rtl/>
        </w:rPr>
        <w:t xml:space="preserve"> </w:t>
      </w:r>
      <w:r w:rsidRPr="00482CA7">
        <w:rPr>
          <w:rFonts w:hint="eastAsia"/>
          <w:rtl/>
        </w:rPr>
        <w:t>פעילות</w:t>
      </w:r>
      <w:r w:rsidRPr="00482CA7">
        <w:rPr>
          <w:rtl/>
        </w:rPr>
        <w:t xml:space="preserve"> </w:t>
      </w:r>
      <w:r w:rsidRPr="00482CA7">
        <w:rPr>
          <w:rFonts w:hint="eastAsia"/>
          <w:rtl/>
        </w:rPr>
        <w:t>שלמה</w:t>
      </w:r>
      <w:r w:rsidRPr="00482CA7">
        <w:rPr>
          <w:rtl/>
        </w:rPr>
        <w:t xml:space="preserve"> </w:t>
      </w:r>
      <w:r w:rsidRPr="00482CA7">
        <w:rPr>
          <w:rFonts w:hint="eastAsia"/>
          <w:rtl/>
        </w:rPr>
        <w:t>אינה</w:t>
      </w:r>
      <w:r w:rsidRPr="00482CA7">
        <w:rPr>
          <w:rtl/>
        </w:rPr>
        <w:t xml:space="preserve"> </w:t>
      </w:r>
      <w:r w:rsidRPr="00482CA7">
        <w:rPr>
          <w:rFonts w:hint="eastAsia"/>
          <w:rtl/>
        </w:rPr>
        <w:t>מאזנת</w:t>
      </w:r>
      <w:r w:rsidRPr="00482CA7">
        <w:rPr>
          <w:rtl/>
        </w:rPr>
        <w:t xml:space="preserve"> </w:t>
      </w:r>
      <w:r w:rsidRPr="00482CA7">
        <w:rPr>
          <w:rFonts w:hint="eastAsia"/>
          <w:rtl/>
        </w:rPr>
        <w:t>בצורה</w:t>
      </w:r>
      <w:r w:rsidRPr="00482CA7">
        <w:rPr>
          <w:rtl/>
        </w:rPr>
        <w:t xml:space="preserve"> </w:t>
      </w:r>
      <w:r w:rsidRPr="00482CA7">
        <w:rPr>
          <w:rFonts w:hint="eastAsia"/>
          <w:rtl/>
        </w:rPr>
        <w:t>מושכלת</w:t>
      </w:r>
      <w:r w:rsidRPr="00482CA7">
        <w:rPr>
          <w:rtl/>
        </w:rPr>
        <w:t xml:space="preserve"> </w:t>
      </w:r>
      <w:r w:rsidRPr="00482CA7">
        <w:rPr>
          <w:rFonts w:hint="eastAsia"/>
          <w:rtl/>
        </w:rPr>
        <w:t>וראויה</w:t>
      </w:r>
      <w:r w:rsidRPr="00482CA7">
        <w:rPr>
          <w:rtl/>
        </w:rPr>
        <w:t xml:space="preserve"> </w:t>
      </w:r>
      <w:r w:rsidRPr="00482CA7">
        <w:rPr>
          <w:rFonts w:hint="eastAsia"/>
          <w:rtl/>
        </w:rPr>
        <w:t>בין</w:t>
      </w:r>
      <w:r w:rsidRPr="00482CA7">
        <w:rPr>
          <w:rtl/>
        </w:rPr>
        <w:t xml:space="preserve"> </w:t>
      </w:r>
      <w:r w:rsidRPr="00482CA7">
        <w:rPr>
          <w:rFonts w:hint="eastAsia"/>
          <w:rtl/>
        </w:rPr>
        <w:t>האינטרסים</w:t>
      </w:r>
      <w:r w:rsidRPr="00482CA7">
        <w:rPr>
          <w:rtl/>
        </w:rPr>
        <w:t xml:space="preserve"> </w:t>
      </w:r>
      <w:r w:rsidRPr="00482CA7">
        <w:rPr>
          <w:rFonts w:hint="eastAsia"/>
          <w:rtl/>
        </w:rPr>
        <w:t>הרלוונטיים</w:t>
      </w:r>
      <w:r w:rsidRPr="00482CA7">
        <w:rPr>
          <w:rFonts w:hint="cs"/>
          <w:rtl/>
        </w:rPr>
        <w:t xml:space="preserve"> בנסיבות העניין</w:t>
      </w:r>
      <w:r w:rsidRPr="00482CA7">
        <w:rPr>
          <w:rtl/>
        </w:rPr>
        <w:t xml:space="preserve">, </w:t>
      </w:r>
      <w:r w:rsidRPr="00482CA7">
        <w:rPr>
          <w:rFonts w:hint="eastAsia"/>
          <w:rtl/>
        </w:rPr>
        <w:t>ולפיכך</w:t>
      </w:r>
      <w:r w:rsidRPr="00482CA7">
        <w:rPr>
          <w:rtl/>
        </w:rPr>
        <w:t xml:space="preserve"> </w:t>
      </w:r>
      <w:r w:rsidRPr="00482CA7">
        <w:rPr>
          <w:rFonts w:hint="eastAsia"/>
          <w:rtl/>
        </w:rPr>
        <w:t>חורגת</w:t>
      </w:r>
      <w:r w:rsidRPr="00482CA7">
        <w:rPr>
          <w:rtl/>
        </w:rPr>
        <w:t xml:space="preserve"> </w:t>
      </w:r>
      <w:r w:rsidRPr="00482CA7">
        <w:rPr>
          <w:rFonts w:hint="eastAsia"/>
          <w:rtl/>
        </w:rPr>
        <w:t>ממתחם</w:t>
      </w:r>
      <w:r w:rsidRPr="00482CA7">
        <w:rPr>
          <w:rtl/>
        </w:rPr>
        <w:t xml:space="preserve"> </w:t>
      </w:r>
      <w:r w:rsidRPr="00482CA7">
        <w:rPr>
          <w:rFonts w:hint="eastAsia"/>
          <w:rtl/>
        </w:rPr>
        <w:t>הסבירות</w:t>
      </w:r>
      <w:r w:rsidRPr="00482CA7">
        <w:rPr>
          <w:rtl/>
        </w:rPr>
        <w:t>.</w:t>
      </w:r>
      <w:r w:rsidRPr="00482CA7">
        <w:rPr>
          <w:rFonts w:hint="cs"/>
          <w:rtl/>
        </w:rPr>
        <w:t xml:space="preserve"> לאור תוצאה זו, לא ראיתי צורך לטעת מסמרות ביחס לכללים הקונקרטיים המוצעים על ידי חברי, השופט </w:t>
      </w:r>
      <w:r w:rsidRPr="00482CA7">
        <w:rPr>
          <w:rFonts w:ascii="Century" w:hAnsi="Century" w:cs="Miriam" w:hint="cs"/>
          <w:b/>
          <w:spacing w:val="0"/>
          <w:sz w:val="22"/>
          <w:szCs w:val="24"/>
          <w:rtl/>
        </w:rPr>
        <w:t>שטיין</w:t>
      </w:r>
      <w:r w:rsidRPr="00482CA7">
        <w:rPr>
          <w:rFonts w:hint="cs"/>
          <w:rtl/>
        </w:rPr>
        <w:t>, בחוות דעתו.</w:t>
      </w:r>
    </w:p>
    <w:p w:rsidR="00FE44B0" w:rsidRDefault="00FE44B0" w:rsidP="00FE44B0">
      <w:pPr>
        <w:pStyle w:val="Ruller4"/>
        <w:overflowPunct w:val="0"/>
        <w:autoSpaceDE w:val="0"/>
        <w:autoSpaceDN w:val="0"/>
        <w:adjustRightInd w:val="0"/>
        <w:textAlignment w:val="baseline"/>
        <w:rPr>
          <w:rtl/>
        </w:rPr>
      </w:pPr>
      <w:r w:rsidRPr="00482CA7">
        <w:rPr>
          <w:rFonts w:hint="eastAsia"/>
          <w:rtl/>
        </w:rPr>
        <w:lastRenderedPageBreak/>
        <w:t>בהתאם</w:t>
      </w:r>
      <w:r w:rsidRPr="00482CA7">
        <w:rPr>
          <w:rtl/>
        </w:rPr>
        <w:t xml:space="preserve"> </w:t>
      </w:r>
      <w:r w:rsidRPr="00482CA7">
        <w:rPr>
          <w:rFonts w:hint="eastAsia"/>
          <w:rtl/>
        </w:rPr>
        <w:t>לכך</w:t>
      </w:r>
      <w:r w:rsidRPr="00482CA7">
        <w:rPr>
          <w:rtl/>
        </w:rPr>
        <w:t xml:space="preserve"> </w:t>
      </w:r>
      <w:r w:rsidRPr="00482CA7">
        <w:rPr>
          <w:rFonts w:hint="eastAsia"/>
          <w:rtl/>
        </w:rPr>
        <w:t>אני</w:t>
      </w:r>
      <w:r w:rsidRPr="00482CA7">
        <w:rPr>
          <w:rtl/>
        </w:rPr>
        <w:t xml:space="preserve"> </w:t>
      </w:r>
      <w:r w:rsidRPr="00482CA7">
        <w:rPr>
          <w:rFonts w:hint="eastAsia"/>
          <w:rtl/>
        </w:rPr>
        <w:t>מצטרף</w:t>
      </w:r>
      <w:r w:rsidRPr="00482CA7">
        <w:rPr>
          <w:rtl/>
        </w:rPr>
        <w:t xml:space="preserve"> </w:t>
      </w:r>
      <w:r w:rsidRPr="00482CA7">
        <w:rPr>
          <w:rFonts w:hint="eastAsia"/>
          <w:rtl/>
        </w:rPr>
        <w:t>לעמדת</w:t>
      </w:r>
      <w:r w:rsidRPr="00482CA7">
        <w:rPr>
          <w:rtl/>
        </w:rPr>
        <w:t xml:space="preserve"> </w:t>
      </w:r>
      <w:r w:rsidRPr="00482CA7">
        <w:rPr>
          <w:rFonts w:hint="eastAsia"/>
          <w:rtl/>
        </w:rPr>
        <w:t>חברי</w:t>
      </w:r>
      <w:r w:rsidRPr="00482CA7">
        <w:rPr>
          <w:rtl/>
        </w:rPr>
        <w:t xml:space="preserve">, </w:t>
      </w:r>
      <w:r w:rsidRPr="00482CA7">
        <w:rPr>
          <w:rFonts w:hint="eastAsia"/>
          <w:rtl/>
        </w:rPr>
        <w:t>השופט</w:t>
      </w:r>
      <w:r w:rsidRPr="00482CA7">
        <w:rPr>
          <w:rtl/>
        </w:rPr>
        <w:t xml:space="preserve"> </w:t>
      </w:r>
      <w:r w:rsidRPr="00482CA7">
        <w:rPr>
          <w:rFonts w:ascii="Century" w:hAnsi="Century" w:cs="Miriam" w:hint="eastAsia"/>
          <w:b/>
          <w:spacing w:val="0"/>
          <w:sz w:val="22"/>
          <w:szCs w:val="24"/>
          <w:rtl/>
        </w:rPr>
        <w:t>שטיין</w:t>
      </w:r>
      <w:r w:rsidRPr="00482CA7">
        <w:rPr>
          <w:rtl/>
        </w:rPr>
        <w:t xml:space="preserve">, </w:t>
      </w:r>
      <w:r w:rsidRPr="00482CA7">
        <w:rPr>
          <w:rFonts w:hint="eastAsia"/>
          <w:rtl/>
        </w:rPr>
        <w:t>לפיה</w:t>
      </w:r>
      <w:r w:rsidRPr="00482CA7">
        <w:rPr>
          <w:rtl/>
        </w:rPr>
        <w:t xml:space="preserve"> </w:t>
      </w:r>
      <w:r w:rsidRPr="00482CA7">
        <w:rPr>
          <w:rFonts w:hint="eastAsia"/>
          <w:rtl/>
        </w:rPr>
        <w:t>יש</w:t>
      </w:r>
      <w:r w:rsidRPr="00482CA7">
        <w:rPr>
          <w:rtl/>
        </w:rPr>
        <w:t xml:space="preserve"> </w:t>
      </w:r>
      <w:r w:rsidRPr="00482CA7">
        <w:rPr>
          <w:rFonts w:hint="eastAsia"/>
          <w:rtl/>
        </w:rPr>
        <w:t>להורות</w:t>
      </w:r>
      <w:r w:rsidRPr="00482CA7">
        <w:rPr>
          <w:rtl/>
        </w:rPr>
        <w:t xml:space="preserve"> </w:t>
      </w:r>
      <w:r w:rsidRPr="00482CA7">
        <w:rPr>
          <w:rFonts w:hint="eastAsia"/>
          <w:rtl/>
        </w:rPr>
        <w:t>כדלהלן</w:t>
      </w:r>
      <w:r w:rsidRPr="00482CA7">
        <w:rPr>
          <w:rtl/>
        </w:rPr>
        <w:t xml:space="preserve">: </w:t>
      </w:r>
      <w:r w:rsidRPr="00482CA7">
        <w:rPr>
          <w:rFonts w:hint="eastAsia"/>
          <w:rtl/>
        </w:rPr>
        <w:t>הקריטריונים</w:t>
      </w:r>
      <w:r w:rsidRPr="00482CA7">
        <w:rPr>
          <w:rtl/>
        </w:rPr>
        <w:t xml:space="preserve"> </w:t>
      </w:r>
      <w:r w:rsidRPr="00482CA7">
        <w:rPr>
          <w:rFonts w:hint="eastAsia"/>
          <w:rtl/>
        </w:rPr>
        <w:t>החדשים</w:t>
      </w:r>
      <w:r w:rsidRPr="00482CA7">
        <w:rPr>
          <w:rtl/>
        </w:rPr>
        <w:t xml:space="preserve"> </w:t>
      </w:r>
      <w:r w:rsidRPr="00482CA7">
        <w:rPr>
          <w:rFonts w:hint="eastAsia"/>
          <w:rtl/>
        </w:rPr>
        <w:t>יעמדו</w:t>
      </w:r>
      <w:r w:rsidRPr="00482CA7">
        <w:rPr>
          <w:rtl/>
        </w:rPr>
        <w:t xml:space="preserve"> </w:t>
      </w:r>
      <w:r w:rsidRPr="00482CA7">
        <w:rPr>
          <w:rFonts w:hint="eastAsia"/>
          <w:rtl/>
        </w:rPr>
        <w:t>בעינם</w:t>
      </w:r>
      <w:r w:rsidRPr="00482CA7">
        <w:rPr>
          <w:rtl/>
        </w:rPr>
        <w:t xml:space="preserve">, </w:t>
      </w:r>
      <w:r w:rsidRPr="00482CA7">
        <w:rPr>
          <w:rFonts w:hint="eastAsia"/>
          <w:rtl/>
        </w:rPr>
        <w:t>ואין</w:t>
      </w:r>
      <w:r w:rsidRPr="00482CA7">
        <w:rPr>
          <w:rtl/>
        </w:rPr>
        <w:t xml:space="preserve"> </w:t>
      </w:r>
      <w:r w:rsidRPr="00482CA7">
        <w:rPr>
          <w:rFonts w:hint="eastAsia"/>
          <w:rtl/>
        </w:rPr>
        <w:t>מקום</w:t>
      </w:r>
      <w:r w:rsidRPr="00482CA7">
        <w:rPr>
          <w:rtl/>
        </w:rPr>
        <w:t xml:space="preserve"> </w:t>
      </w:r>
      <w:r w:rsidRPr="00482CA7">
        <w:rPr>
          <w:rFonts w:hint="eastAsia"/>
          <w:rtl/>
        </w:rPr>
        <w:t>שנתערב</w:t>
      </w:r>
      <w:r w:rsidRPr="00482CA7">
        <w:rPr>
          <w:rtl/>
        </w:rPr>
        <w:t xml:space="preserve"> </w:t>
      </w:r>
      <w:r w:rsidRPr="00482CA7">
        <w:rPr>
          <w:rFonts w:hint="eastAsia"/>
          <w:rtl/>
        </w:rPr>
        <w:t>בהם</w:t>
      </w:r>
      <w:r w:rsidRPr="00482CA7">
        <w:rPr>
          <w:rtl/>
        </w:rPr>
        <w:t xml:space="preserve">. </w:t>
      </w:r>
      <w:r w:rsidRPr="00482CA7">
        <w:rPr>
          <w:rFonts w:hint="eastAsia"/>
          <w:rtl/>
        </w:rPr>
        <w:t>יחד</w:t>
      </w:r>
      <w:r w:rsidRPr="00482CA7">
        <w:rPr>
          <w:rtl/>
        </w:rPr>
        <w:t xml:space="preserve"> </w:t>
      </w:r>
      <w:r w:rsidRPr="00482CA7">
        <w:rPr>
          <w:rFonts w:hint="eastAsia"/>
          <w:rtl/>
        </w:rPr>
        <w:t>עם</w:t>
      </w:r>
      <w:r w:rsidRPr="00482CA7">
        <w:rPr>
          <w:rtl/>
        </w:rPr>
        <w:t xml:space="preserve"> </w:t>
      </w:r>
      <w:r w:rsidRPr="00482CA7">
        <w:rPr>
          <w:rFonts w:hint="eastAsia"/>
          <w:rtl/>
        </w:rPr>
        <w:t>זאת</w:t>
      </w:r>
      <w:r w:rsidRPr="00482CA7">
        <w:rPr>
          <w:rtl/>
        </w:rPr>
        <w:t xml:space="preserve">, </w:t>
      </w:r>
      <w:r w:rsidRPr="00482CA7">
        <w:rPr>
          <w:rFonts w:hint="eastAsia"/>
          <w:rtl/>
        </w:rPr>
        <w:t>בשנת</w:t>
      </w:r>
      <w:r w:rsidRPr="00482CA7">
        <w:rPr>
          <w:rtl/>
        </w:rPr>
        <w:t xml:space="preserve"> </w:t>
      </w:r>
      <w:r w:rsidRPr="00482CA7">
        <w:rPr>
          <w:rFonts w:hint="eastAsia"/>
          <w:rtl/>
        </w:rPr>
        <w:t>הפעילות</w:t>
      </w:r>
      <w:r w:rsidRPr="00482CA7">
        <w:rPr>
          <w:rtl/>
        </w:rPr>
        <w:t xml:space="preserve"> </w:t>
      </w:r>
      <w:r w:rsidRPr="00482CA7">
        <w:rPr>
          <w:rFonts w:hint="eastAsia"/>
          <w:rtl/>
        </w:rPr>
        <w:t>הנוכחית</w:t>
      </w:r>
      <w:r w:rsidRPr="00482CA7">
        <w:rPr>
          <w:rtl/>
        </w:rPr>
        <w:t xml:space="preserve">, </w:t>
      </w:r>
      <w:r w:rsidRPr="00482CA7">
        <w:rPr>
          <w:rFonts w:hint="cs"/>
          <w:rtl/>
        </w:rPr>
        <w:t xml:space="preserve">שנת </w:t>
      </w:r>
      <w:r>
        <w:rPr>
          <w:rFonts w:hint="cs"/>
          <w:rtl/>
        </w:rPr>
        <w:t>ה</w:t>
      </w:r>
      <w:r w:rsidRPr="00482CA7">
        <w:rPr>
          <w:rFonts w:hint="cs"/>
          <w:rtl/>
        </w:rPr>
        <w:t xml:space="preserve">פעילות </w:t>
      </w:r>
      <w:r w:rsidRPr="00482CA7">
        <w:rPr>
          <w:rFonts w:hint="eastAsia"/>
          <w:rtl/>
        </w:rPr>
        <w:t>התשפ״ב</w:t>
      </w:r>
      <w:r w:rsidRPr="00482CA7">
        <w:rPr>
          <w:rtl/>
        </w:rPr>
        <w:t xml:space="preserve">, </w:t>
      </w:r>
      <w:r w:rsidRPr="00482CA7">
        <w:rPr>
          <w:rFonts w:hint="eastAsia"/>
          <w:rtl/>
        </w:rPr>
        <w:t>ובמהלכה</w:t>
      </w:r>
      <w:r w:rsidRPr="00482CA7">
        <w:rPr>
          <w:rtl/>
        </w:rPr>
        <w:t xml:space="preserve"> </w:t>
      </w:r>
      <w:r w:rsidRPr="00482CA7">
        <w:rPr>
          <w:rFonts w:hint="eastAsia"/>
          <w:rtl/>
        </w:rPr>
        <w:t>בלבד</w:t>
      </w:r>
      <w:r w:rsidRPr="00482CA7">
        <w:rPr>
          <w:rtl/>
        </w:rPr>
        <w:t xml:space="preserve">, </w:t>
      </w:r>
      <w:r w:rsidRPr="00482CA7">
        <w:rPr>
          <w:rFonts w:hint="eastAsia"/>
          <w:rtl/>
        </w:rPr>
        <w:t>יוסיפו</w:t>
      </w:r>
      <w:r w:rsidRPr="00482CA7">
        <w:rPr>
          <w:rtl/>
        </w:rPr>
        <w:t xml:space="preserve"> </w:t>
      </w:r>
      <w:r w:rsidRPr="00482CA7">
        <w:rPr>
          <w:rFonts w:hint="eastAsia"/>
          <w:rtl/>
        </w:rPr>
        <w:t>לעמוד</w:t>
      </w:r>
      <w:r w:rsidRPr="00482CA7">
        <w:rPr>
          <w:rtl/>
        </w:rPr>
        <w:t xml:space="preserve"> </w:t>
      </w:r>
      <w:r w:rsidRPr="00482CA7">
        <w:rPr>
          <w:rFonts w:hint="eastAsia"/>
          <w:rtl/>
        </w:rPr>
        <w:t>לצידם</w:t>
      </w:r>
      <w:r w:rsidRPr="00482CA7">
        <w:rPr>
          <w:rtl/>
        </w:rPr>
        <w:t xml:space="preserve"> </w:t>
      </w:r>
      <w:r w:rsidRPr="00482CA7">
        <w:rPr>
          <w:rFonts w:hint="eastAsia"/>
          <w:rtl/>
        </w:rPr>
        <w:t>גם</w:t>
      </w:r>
      <w:r w:rsidRPr="00482CA7">
        <w:rPr>
          <w:rtl/>
        </w:rPr>
        <w:t xml:space="preserve"> </w:t>
      </w:r>
      <w:r w:rsidRPr="00482CA7">
        <w:rPr>
          <w:rFonts w:hint="eastAsia"/>
          <w:rtl/>
        </w:rPr>
        <w:t>הקריטריונים</w:t>
      </w:r>
      <w:r w:rsidRPr="00482CA7">
        <w:rPr>
          <w:rtl/>
        </w:rPr>
        <w:t xml:space="preserve"> </w:t>
      </w:r>
      <w:r w:rsidRPr="00482CA7">
        <w:rPr>
          <w:rFonts w:hint="eastAsia"/>
          <w:rtl/>
        </w:rPr>
        <w:t>הישנים</w:t>
      </w:r>
      <w:r w:rsidRPr="00482CA7">
        <w:rPr>
          <w:rtl/>
        </w:rPr>
        <w:t xml:space="preserve">. </w:t>
      </w:r>
      <w:r w:rsidRPr="00482CA7">
        <w:rPr>
          <w:rFonts w:hint="eastAsia"/>
          <w:rtl/>
        </w:rPr>
        <w:t>משמעותו</w:t>
      </w:r>
      <w:r w:rsidRPr="00482CA7">
        <w:rPr>
          <w:rtl/>
        </w:rPr>
        <w:t xml:space="preserve"> </w:t>
      </w:r>
      <w:r w:rsidRPr="00482CA7">
        <w:rPr>
          <w:rFonts w:hint="eastAsia"/>
          <w:rtl/>
        </w:rPr>
        <w:t>האופרטיבית</w:t>
      </w:r>
      <w:r w:rsidRPr="00482CA7">
        <w:rPr>
          <w:rtl/>
        </w:rPr>
        <w:t xml:space="preserve"> </w:t>
      </w:r>
      <w:r w:rsidRPr="00482CA7">
        <w:rPr>
          <w:rFonts w:hint="eastAsia"/>
          <w:rtl/>
        </w:rPr>
        <w:t>של</w:t>
      </w:r>
      <w:r w:rsidRPr="00482CA7">
        <w:rPr>
          <w:rtl/>
        </w:rPr>
        <w:t xml:space="preserve"> </w:t>
      </w:r>
      <w:r w:rsidRPr="00482CA7">
        <w:rPr>
          <w:rFonts w:hint="eastAsia"/>
          <w:rtl/>
        </w:rPr>
        <w:t>סעד</w:t>
      </w:r>
      <w:r w:rsidRPr="00482CA7">
        <w:rPr>
          <w:rtl/>
        </w:rPr>
        <w:t xml:space="preserve"> </w:t>
      </w:r>
      <w:r w:rsidRPr="00482CA7">
        <w:rPr>
          <w:rFonts w:hint="eastAsia"/>
          <w:rtl/>
        </w:rPr>
        <w:t>זה</w:t>
      </w:r>
      <w:r w:rsidRPr="00482CA7">
        <w:rPr>
          <w:rtl/>
        </w:rPr>
        <w:t xml:space="preserve"> </w:t>
      </w:r>
      <w:r w:rsidRPr="00482CA7">
        <w:rPr>
          <w:rFonts w:hint="eastAsia"/>
          <w:rtl/>
        </w:rPr>
        <w:t>היא</w:t>
      </w:r>
      <w:r w:rsidRPr="00482CA7">
        <w:rPr>
          <w:rtl/>
        </w:rPr>
        <w:t xml:space="preserve"> </w:t>
      </w:r>
      <w:r w:rsidRPr="00482CA7">
        <w:rPr>
          <w:rFonts w:hint="eastAsia"/>
          <w:rtl/>
        </w:rPr>
        <w:t>שתקופת</w:t>
      </w:r>
      <w:r w:rsidRPr="00482CA7">
        <w:rPr>
          <w:rtl/>
        </w:rPr>
        <w:t xml:space="preserve"> </w:t>
      </w:r>
      <w:r w:rsidRPr="00482CA7">
        <w:rPr>
          <w:rFonts w:hint="eastAsia"/>
          <w:rtl/>
        </w:rPr>
        <w:t>המעבר</w:t>
      </w:r>
      <w:r w:rsidRPr="00482CA7">
        <w:rPr>
          <w:rtl/>
        </w:rPr>
        <w:t xml:space="preserve"> </w:t>
      </w:r>
      <w:r w:rsidRPr="00482CA7">
        <w:rPr>
          <w:rFonts w:hint="eastAsia"/>
          <w:rtl/>
        </w:rPr>
        <w:t>שנקבעה</w:t>
      </w:r>
      <w:r w:rsidRPr="00482CA7">
        <w:rPr>
          <w:rtl/>
        </w:rPr>
        <w:t xml:space="preserve"> </w:t>
      </w:r>
      <w:r w:rsidRPr="00482CA7">
        <w:rPr>
          <w:rFonts w:hint="eastAsia"/>
          <w:rtl/>
        </w:rPr>
        <w:t>על</w:t>
      </w:r>
      <w:r w:rsidRPr="00482CA7">
        <w:rPr>
          <w:rtl/>
        </w:rPr>
        <w:t xml:space="preserve"> </w:t>
      </w:r>
      <w:r w:rsidRPr="00482CA7">
        <w:rPr>
          <w:rFonts w:hint="eastAsia"/>
          <w:rtl/>
        </w:rPr>
        <w:t>ידי</w:t>
      </w:r>
      <w:r w:rsidRPr="00482CA7">
        <w:rPr>
          <w:rtl/>
        </w:rPr>
        <w:t xml:space="preserve"> </w:t>
      </w:r>
      <w:r w:rsidRPr="00482CA7">
        <w:rPr>
          <w:rFonts w:hint="eastAsia"/>
          <w:rtl/>
        </w:rPr>
        <w:t>השרים</w:t>
      </w:r>
      <w:r w:rsidRPr="00482CA7">
        <w:rPr>
          <w:rtl/>
        </w:rPr>
        <w:t xml:space="preserve"> </w:t>
      </w:r>
      <w:r w:rsidRPr="00482CA7">
        <w:rPr>
          <w:rFonts w:hint="eastAsia"/>
          <w:rtl/>
        </w:rPr>
        <w:t>לחמ</w:t>
      </w:r>
      <w:r w:rsidRPr="00482CA7">
        <w:rPr>
          <w:rFonts w:hint="cs"/>
          <w:rtl/>
        </w:rPr>
        <w:t>י</w:t>
      </w:r>
      <w:r w:rsidRPr="00482CA7">
        <w:rPr>
          <w:rFonts w:hint="eastAsia"/>
          <w:rtl/>
        </w:rPr>
        <w:t>שה</w:t>
      </w:r>
      <w:r w:rsidRPr="00482CA7">
        <w:rPr>
          <w:rtl/>
        </w:rPr>
        <w:t xml:space="preserve"> </w:t>
      </w:r>
      <w:r w:rsidRPr="00482CA7">
        <w:rPr>
          <w:rFonts w:hint="eastAsia"/>
          <w:rtl/>
        </w:rPr>
        <w:t>חודשים</w:t>
      </w:r>
      <w:r w:rsidRPr="00482CA7">
        <w:rPr>
          <w:rtl/>
        </w:rPr>
        <w:t xml:space="preserve"> </w:t>
      </w:r>
      <w:r w:rsidRPr="00482CA7">
        <w:rPr>
          <w:rFonts w:hint="eastAsia"/>
          <w:rtl/>
        </w:rPr>
        <w:t>תוארך</w:t>
      </w:r>
      <w:r w:rsidRPr="00482CA7">
        <w:rPr>
          <w:rtl/>
        </w:rPr>
        <w:t xml:space="preserve"> </w:t>
      </w:r>
      <w:r w:rsidRPr="00482CA7">
        <w:rPr>
          <w:rFonts w:hint="eastAsia"/>
          <w:rtl/>
        </w:rPr>
        <w:t>עד</w:t>
      </w:r>
      <w:r w:rsidRPr="00482CA7">
        <w:rPr>
          <w:rtl/>
        </w:rPr>
        <w:t xml:space="preserve"> </w:t>
      </w:r>
      <w:r w:rsidRPr="00482CA7">
        <w:rPr>
          <w:rFonts w:hint="eastAsia"/>
          <w:rtl/>
        </w:rPr>
        <w:t>תום</w:t>
      </w:r>
      <w:r w:rsidRPr="00482CA7">
        <w:rPr>
          <w:rtl/>
        </w:rPr>
        <w:t xml:space="preserve"> </w:t>
      </w:r>
      <w:r w:rsidRPr="00482CA7">
        <w:rPr>
          <w:rFonts w:hint="eastAsia"/>
          <w:rtl/>
        </w:rPr>
        <w:t>שנת</w:t>
      </w:r>
      <w:r w:rsidRPr="00482CA7">
        <w:rPr>
          <w:rtl/>
        </w:rPr>
        <w:t xml:space="preserve"> </w:t>
      </w:r>
      <w:r w:rsidRPr="00482CA7">
        <w:rPr>
          <w:rFonts w:hint="eastAsia"/>
          <w:rtl/>
        </w:rPr>
        <w:t>הפעילות</w:t>
      </w:r>
      <w:r>
        <w:rPr>
          <w:rFonts w:hint="cs"/>
          <w:rtl/>
        </w:rPr>
        <w:t xml:space="preserve"> התשפ"ב</w:t>
      </w:r>
      <w:r w:rsidRPr="00482CA7">
        <w:rPr>
          <w:rtl/>
        </w:rPr>
        <w:t>.</w:t>
      </w:r>
    </w:p>
    <w:p w:rsidR="007C7E94" w:rsidRPr="007C7E94" w:rsidRDefault="007C7E94" w:rsidP="007C7E94">
      <w:pPr>
        <w:pStyle w:val="Ruller41"/>
        <w:rPr>
          <w:rtl/>
        </w:rPr>
      </w:pPr>
    </w:p>
    <w:p w:rsidR="00FE44B0" w:rsidRDefault="00FE44B0" w:rsidP="00FE44B0">
      <w:pPr>
        <w:pStyle w:val="Ruller41"/>
        <w:jc w:val="right"/>
        <w:rPr>
          <w:rtl/>
        </w:rPr>
      </w:pPr>
      <w:r>
        <w:rPr>
          <w:rFonts w:hint="cs"/>
          <w:rtl/>
        </w:rPr>
        <w:t>ש ו פ ט</w:t>
      </w:r>
    </w:p>
    <w:p w:rsidR="007C7E94" w:rsidRPr="00E47559" w:rsidRDefault="007C7E94" w:rsidP="00F01FBF">
      <w:pPr>
        <w:pStyle w:val="BODYVERDICT"/>
        <w:rPr>
          <w:rFonts w:ascii="Century" w:hAnsi="Century" w:cs="Miriam"/>
          <w:b/>
          <w:spacing w:val="0"/>
          <w:szCs w:val="24"/>
          <w:rtl/>
        </w:rPr>
      </w:pPr>
    </w:p>
    <w:p w:rsidR="00BB076B" w:rsidRDefault="00BB076B" w:rsidP="00BB076B">
      <w:pPr>
        <w:pStyle w:val="BODYVERDICT"/>
        <w:rPr>
          <w:rFonts w:ascii="Century" w:hAnsi="Century" w:cs="Miriam"/>
          <w:b/>
          <w:spacing w:val="0"/>
          <w:szCs w:val="24"/>
          <w:rtl/>
        </w:rPr>
      </w:pPr>
      <w:r w:rsidRPr="00E47559">
        <w:rPr>
          <w:rFonts w:ascii="Century" w:hAnsi="Century" w:cs="Miriam"/>
          <w:b/>
          <w:spacing w:val="0"/>
          <w:szCs w:val="24"/>
          <w:u w:val="single"/>
          <w:rtl/>
        </w:rPr>
        <w:t>השופט ע' פוגלמן</w:t>
      </w:r>
      <w:r w:rsidRPr="00E47559">
        <w:rPr>
          <w:rFonts w:ascii="Century" w:hAnsi="Century" w:cs="Miriam"/>
          <w:b/>
          <w:spacing w:val="0"/>
          <w:szCs w:val="24"/>
          <w:rtl/>
        </w:rPr>
        <w:t>:</w:t>
      </w:r>
    </w:p>
    <w:p w:rsidR="00BB076B" w:rsidRPr="00D94E23" w:rsidRDefault="00BB076B" w:rsidP="00BB076B">
      <w:pPr>
        <w:pStyle w:val="Ruller41"/>
        <w:rPr>
          <w:rtl/>
        </w:rPr>
      </w:pPr>
    </w:p>
    <w:p w:rsidR="00BB076B" w:rsidRDefault="00BB076B" w:rsidP="00BB076B">
      <w:pPr>
        <w:pStyle w:val="Ruller4"/>
        <w:numPr>
          <w:ilvl w:val="0"/>
          <w:numId w:val="0"/>
        </w:numPr>
        <w:spacing w:before="0" w:after="0" w:afterAutospacing="0"/>
        <w:rPr>
          <w:rFonts w:ascii="Century" w:hAnsi="Century"/>
          <w:sz w:val="22"/>
          <w:rtl/>
        </w:rPr>
      </w:pPr>
      <w:r>
        <w:rPr>
          <w:rtl/>
        </w:rPr>
        <w:tab/>
      </w:r>
      <w:r>
        <w:rPr>
          <w:rFonts w:hint="cs"/>
          <w:rtl/>
        </w:rPr>
        <w:t>קראתי את חוות דעתו המפורטת של חברי השופט</w:t>
      </w:r>
      <w:r>
        <w:rPr>
          <w:rFonts w:ascii="Century" w:hAnsi="Century" w:cs="Miriam" w:hint="cs"/>
          <w:b/>
          <w:spacing w:val="0"/>
          <w:szCs w:val="24"/>
          <w:rtl/>
        </w:rPr>
        <w:t xml:space="preserve"> א' שטיין, </w:t>
      </w:r>
      <w:r w:rsidRPr="0088278E">
        <w:rPr>
          <w:rFonts w:ascii="Century" w:hAnsi="Century" w:hint="cs"/>
          <w:rtl/>
        </w:rPr>
        <w:t>ואף אני בדעה כי</w:t>
      </w:r>
      <w:r>
        <w:rPr>
          <w:rFonts w:ascii="Century" w:hAnsi="Century" w:hint="cs"/>
          <w:rtl/>
        </w:rPr>
        <w:t xml:space="preserve"> הוראת המעבר שנקבעה על ידי המשיבים אינה יכולה לעמוד במתכונתה הנוכחית</w:t>
      </w:r>
      <w:r w:rsidRPr="0088278E">
        <w:rPr>
          <w:rFonts w:ascii="Century" w:hAnsi="Century" w:hint="cs"/>
          <w:rtl/>
        </w:rPr>
        <w:t>.</w:t>
      </w:r>
      <w:r>
        <w:rPr>
          <w:rFonts w:ascii="Century" w:hAnsi="Century" w:hint="cs"/>
          <w:rtl/>
        </w:rPr>
        <w:t xml:space="preserve"> </w:t>
      </w:r>
      <w:r>
        <w:rPr>
          <w:rFonts w:hint="cs"/>
          <w:rtl/>
        </w:rPr>
        <w:t>הקושי שמגולם במבחני התמיכה שנמצאים במוקד העתירות דנן נובע משילובם של שני רכיבים: הראשון, הוא שלילתה הגורפת של התמיכה הממשלתית לסבסוד שכר לימוד של פעוטות. דהיינו, משפחה שבשנת התשפ"א זכתה למימון מירבי לפי מבחני התמיכה גילתה עם פרסום המבחנים כי בשנת הלימודים הקרובה (התשפ"ב) לא תהא זכאית למימון כלל. הרכיב השני, הוא רכיב הזמן</w:t>
      </w:r>
      <w:r w:rsidRPr="00BF2767">
        <w:rPr>
          <w:rFonts w:ascii="Century" w:hAnsi="Century" w:hint="cs"/>
          <w:sz w:val="22"/>
          <w:rtl/>
        </w:rPr>
        <w:t xml:space="preserve">; המבחנים פורסמו מספר ימים לאחר תחילת שנת הלימודים במוסדות החרדיים </w:t>
      </w:r>
      <w:r>
        <w:rPr>
          <w:rFonts w:hint="cs"/>
          <w:rtl/>
        </w:rPr>
        <w:t xml:space="preserve">ונקבעה בהם הוראת מעבר קצרה, עד ליום 1.11.2021 (אשר הוארכה על ידי המשיבים, לאחר שניתן הצו על תנאי, עד ליום 1.1.2022). מצטרף אני למסקנת חברי השופט </w:t>
      </w:r>
      <w:r>
        <w:rPr>
          <w:rFonts w:ascii="Century" w:hAnsi="Century" w:cs="Miriam" w:hint="cs"/>
          <w:b/>
          <w:spacing w:val="0"/>
          <w:sz w:val="22"/>
          <w:szCs w:val="24"/>
          <w:rtl/>
        </w:rPr>
        <w:t xml:space="preserve">שטיין </w:t>
      </w:r>
      <w:r>
        <w:rPr>
          <w:rFonts w:ascii="Century" w:hAnsi="Century" w:hint="cs"/>
          <w:sz w:val="22"/>
          <w:rtl/>
        </w:rPr>
        <w:t xml:space="preserve">כי הוראת המעבר, במתכונתה הנוכחית אינה יכולה להיוותר על כנה. לצד האמור, ראיתי להעיר מספר הערות, ובכלל זאת להתייחס לשאלת הסעד המתאים במקרה דנן. </w:t>
      </w:r>
    </w:p>
    <w:p w:rsidR="00BB076B" w:rsidRPr="00DD6F86" w:rsidRDefault="00BB076B" w:rsidP="00BB076B">
      <w:pPr>
        <w:pStyle w:val="Ruller41"/>
      </w:pPr>
    </w:p>
    <w:p w:rsidR="00BB076B" w:rsidRDefault="00BB076B" w:rsidP="00BB076B">
      <w:pPr>
        <w:pStyle w:val="Ruller4"/>
        <w:numPr>
          <w:ilvl w:val="0"/>
          <w:numId w:val="23"/>
        </w:numPr>
        <w:overflowPunct w:val="0"/>
        <w:autoSpaceDE w:val="0"/>
        <w:autoSpaceDN w:val="0"/>
        <w:adjustRightInd w:val="0"/>
        <w:spacing w:before="0" w:after="0" w:afterAutospacing="0"/>
        <w:textAlignment w:val="baseline"/>
        <w:rPr>
          <w:rtl/>
        </w:rPr>
      </w:pPr>
      <w:r>
        <w:rPr>
          <w:rFonts w:hint="cs"/>
          <w:rtl/>
        </w:rPr>
        <w:lastRenderedPageBreak/>
        <w:t xml:space="preserve">ראשית, אבקש להתייחס לכללי העזר אותם מציע חברי בהתייחס למצבים שבהם תקום לרשות חובה לקבוע הוראת מעבר בטרם שינוי מדיניות סובסידיה קיימת. איני סבור כי יש מקום לקביעה קטגורית וגורפת בהקשר זה. כידוע, רכיב הזמן הוא אחד מרכיבי ההחלטה המינהלית (בג"ץ 2832/96 </w:t>
      </w:r>
      <w:r w:rsidRPr="00F01FBF">
        <w:rPr>
          <w:rFonts w:ascii="Century" w:hAnsi="Century" w:cs="Miriam" w:hint="cs"/>
          <w:b/>
          <w:spacing w:val="0"/>
          <w:sz w:val="22"/>
          <w:szCs w:val="24"/>
          <w:rtl/>
        </w:rPr>
        <w:t>בנאי נ' המועצה הארצית של לשכת עורכי הדין</w:t>
      </w:r>
      <w:r w:rsidRPr="00F01FBF">
        <w:rPr>
          <w:rFonts w:ascii="Century" w:hAnsi="Century" w:hint="cs"/>
          <w:sz w:val="22"/>
          <w:rtl/>
        </w:rPr>
        <w:t>, פ"ד נ(2)</w:t>
      </w:r>
      <w:r w:rsidRPr="00F01FBF">
        <w:rPr>
          <w:rFonts w:ascii="Century" w:hAnsi="Century"/>
          <w:sz w:val="22"/>
          <w:rtl/>
        </w:rPr>
        <w:t xml:space="preserve"> 582, 593 (1996)</w:t>
      </w:r>
      <w:r w:rsidRPr="00F01FBF">
        <w:rPr>
          <w:rFonts w:ascii="Century" w:hAnsi="Century" w:hint="cs"/>
          <w:sz w:val="22"/>
          <w:rtl/>
        </w:rPr>
        <w:t xml:space="preserve"> </w:t>
      </w:r>
      <w:r>
        <w:rPr>
          <w:rFonts w:hint="cs"/>
          <w:rtl/>
        </w:rPr>
        <w:t xml:space="preserve">(להלן: עניין </w:t>
      </w:r>
      <w:r w:rsidRPr="00F01FBF">
        <w:rPr>
          <w:rFonts w:ascii="Century" w:hAnsi="Century" w:cs="Miriam" w:hint="cs"/>
          <w:b/>
          <w:spacing w:val="0"/>
          <w:sz w:val="22"/>
          <w:szCs w:val="24"/>
          <w:rtl/>
        </w:rPr>
        <w:t>בנאי</w:t>
      </w:r>
      <w:r>
        <w:rPr>
          <w:rFonts w:hint="cs"/>
          <w:rtl/>
        </w:rPr>
        <w:t xml:space="preserve">); כן ראו באופן כללי: </w:t>
      </w:r>
      <w:r w:rsidRPr="00F01FBF">
        <w:rPr>
          <w:rFonts w:ascii="Century" w:hAnsi="Century" w:hint="eastAsia"/>
          <w:sz w:val="22"/>
          <w:rtl/>
        </w:rPr>
        <w:t>דפנה</w:t>
      </w:r>
      <w:r w:rsidRPr="00F01FBF">
        <w:rPr>
          <w:rFonts w:ascii="Century" w:hAnsi="Century"/>
          <w:sz w:val="22"/>
          <w:rtl/>
        </w:rPr>
        <w:t xml:space="preserve"> </w:t>
      </w:r>
      <w:r w:rsidRPr="00F01FBF">
        <w:rPr>
          <w:rFonts w:ascii="Century" w:hAnsi="Century" w:hint="eastAsia"/>
          <w:sz w:val="22"/>
          <w:rtl/>
        </w:rPr>
        <w:t>ברק</w:t>
      </w:r>
      <w:r w:rsidRPr="00F01FBF">
        <w:rPr>
          <w:rFonts w:ascii="Century" w:hAnsi="Century"/>
          <w:sz w:val="22"/>
          <w:rtl/>
        </w:rPr>
        <w:t>-</w:t>
      </w:r>
      <w:r w:rsidRPr="00F01FBF">
        <w:rPr>
          <w:rFonts w:ascii="Century" w:hAnsi="Century" w:hint="eastAsia"/>
          <w:sz w:val="22"/>
          <w:rtl/>
        </w:rPr>
        <w:t>ארז</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משפט</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מינהלי</w:t>
      </w:r>
      <w:r w:rsidRPr="00F01FBF">
        <w:rPr>
          <w:rFonts w:ascii="Century" w:hAnsi="Century" w:cs="Miriam"/>
          <w:b/>
          <w:spacing w:val="0"/>
          <w:sz w:val="22"/>
          <w:szCs w:val="24"/>
          <w:rtl/>
        </w:rPr>
        <w:t xml:space="preserve"> </w:t>
      </w:r>
      <w:r w:rsidRPr="00F01FBF">
        <w:rPr>
          <w:rFonts w:ascii="Century" w:hAnsi="Century" w:hint="eastAsia"/>
          <w:sz w:val="22"/>
          <w:rtl/>
        </w:rPr>
        <w:t>כרך</w:t>
      </w:r>
      <w:r w:rsidRPr="00F01FBF">
        <w:rPr>
          <w:rFonts w:ascii="Century" w:hAnsi="Century"/>
          <w:sz w:val="22"/>
          <w:rtl/>
        </w:rPr>
        <w:t xml:space="preserve"> </w:t>
      </w:r>
      <w:r w:rsidRPr="00F01FBF">
        <w:rPr>
          <w:rFonts w:ascii="Century" w:hAnsi="Century" w:hint="cs"/>
          <w:sz w:val="22"/>
          <w:rtl/>
        </w:rPr>
        <w:t>א</w:t>
      </w:r>
      <w:r w:rsidRPr="00F01FBF">
        <w:rPr>
          <w:rFonts w:ascii="Century" w:hAnsi="Century"/>
          <w:sz w:val="22"/>
          <w:rtl/>
        </w:rPr>
        <w:t xml:space="preserve"> </w:t>
      </w:r>
      <w:r w:rsidRPr="00F01FBF">
        <w:rPr>
          <w:rFonts w:ascii="Century" w:hAnsi="Century" w:hint="cs"/>
          <w:sz w:val="22"/>
          <w:rtl/>
        </w:rPr>
        <w:t>מעמ' 365</w:t>
      </w:r>
      <w:r w:rsidRPr="00F01FBF">
        <w:rPr>
          <w:rFonts w:ascii="Century" w:hAnsi="Century"/>
          <w:sz w:val="22"/>
          <w:rtl/>
        </w:rPr>
        <w:t xml:space="preserve"> (2013)</w:t>
      </w:r>
      <w:r>
        <w:rPr>
          <w:rFonts w:hint="cs"/>
          <w:rtl/>
        </w:rPr>
        <w:t xml:space="preserve">; </w:t>
      </w:r>
      <w:r w:rsidRPr="00F01FBF">
        <w:rPr>
          <w:rFonts w:ascii="Century" w:hAnsi="Century" w:hint="eastAsia"/>
          <w:sz w:val="22"/>
          <w:rtl/>
        </w:rPr>
        <w:t>יצחק</w:t>
      </w:r>
      <w:r w:rsidRPr="00F01FBF">
        <w:rPr>
          <w:rFonts w:ascii="Century" w:hAnsi="Century"/>
          <w:sz w:val="22"/>
          <w:rtl/>
        </w:rPr>
        <w:t xml:space="preserve"> </w:t>
      </w:r>
      <w:r w:rsidRPr="00F01FBF">
        <w:rPr>
          <w:rFonts w:ascii="Century" w:hAnsi="Century" w:hint="eastAsia"/>
          <w:sz w:val="22"/>
          <w:rtl/>
        </w:rPr>
        <w:t>זמיר</w:t>
      </w:r>
      <w:r w:rsidRPr="00F01FBF">
        <w:rPr>
          <w:rFonts w:ascii="Century" w:hAnsi="Century"/>
          <w:b/>
          <w:spacing w:val="0"/>
          <w:sz w:val="22"/>
          <w:rtl/>
        </w:rPr>
        <w:t xml:space="preserve"> </w:t>
      </w:r>
      <w:r w:rsidRPr="00F01FBF">
        <w:rPr>
          <w:rFonts w:ascii="Century" w:hAnsi="Century" w:cs="Miriam" w:hint="eastAsia"/>
          <w:b/>
          <w:spacing w:val="0"/>
          <w:sz w:val="22"/>
          <w:szCs w:val="24"/>
          <w:rtl/>
        </w:rPr>
        <w:t>הסמכות</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המינהלית</w:t>
      </w:r>
      <w:r w:rsidRPr="00F01FBF">
        <w:rPr>
          <w:rFonts w:ascii="Century" w:hAnsi="Century" w:hint="cs"/>
          <w:sz w:val="22"/>
          <w:rtl/>
        </w:rPr>
        <w:t xml:space="preserve"> כרך ב, מעמ'</w:t>
      </w:r>
      <w:r w:rsidRPr="00F01FBF">
        <w:rPr>
          <w:rFonts w:ascii="Century" w:hAnsi="Century"/>
          <w:sz w:val="22"/>
          <w:rtl/>
        </w:rPr>
        <w:t xml:space="preserve"> </w:t>
      </w:r>
      <w:r w:rsidRPr="00F01FBF">
        <w:rPr>
          <w:rFonts w:ascii="Century" w:hAnsi="Century" w:hint="cs"/>
          <w:sz w:val="22"/>
          <w:rtl/>
        </w:rPr>
        <w:t>1337 (מהדורה שנייה, 2010) (להלן:</w:t>
      </w:r>
      <w:r>
        <w:rPr>
          <w:rFonts w:hint="cs"/>
          <w:rtl/>
        </w:rPr>
        <w:t xml:space="preserve"> </w:t>
      </w:r>
      <w:r w:rsidRPr="00F01FBF">
        <w:rPr>
          <w:rFonts w:ascii="Century" w:hAnsi="Century" w:cs="Miriam" w:hint="eastAsia"/>
          <w:b/>
          <w:spacing w:val="0"/>
          <w:sz w:val="22"/>
          <w:szCs w:val="24"/>
          <w:rtl/>
        </w:rPr>
        <w:t>זמיר</w:t>
      </w:r>
      <w:r w:rsidRPr="00F01FBF">
        <w:rPr>
          <w:rFonts w:ascii="Century" w:hAnsi="Century"/>
          <w:sz w:val="22"/>
          <w:rtl/>
        </w:rPr>
        <w:t>)</w:t>
      </w:r>
      <w:r>
        <w:rPr>
          <w:rFonts w:hint="cs"/>
          <w:rtl/>
        </w:rPr>
        <w:t>), ולפיכך, כחלק מחובתה של הרשות לשקול את</w:t>
      </w:r>
      <w:r w:rsidRPr="00F01FBF">
        <w:rPr>
          <w:rFonts w:ascii="FrankRuehl" w:hAnsi="FrankRuehl"/>
          <w:color w:val="000000"/>
          <w:sz w:val="28"/>
          <w:rtl/>
        </w:rPr>
        <w:t xml:space="preserve"> מכלול השיקולים הרלוונטיים להחלטה, </w:t>
      </w:r>
      <w:r w:rsidRPr="00F01FBF">
        <w:rPr>
          <w:rFonts w:ascii="FrankRuehl" w:hAnsi="FrankRuehl" w:hint="cs"/>
          <w:color w:val="000000"/>
          <w:sz w:val="28"/>
          <w:rtl/>
        </w:rPr>
        <w:t>ולתת</w:t>
      </w:r>
      <w:r w:rsidRPr="00F01FBF">
        <w:rPr>
          <w:rFonts w:ascii="FrankRuehl" w:hAnsi="FrankRuehl"/>
          <w:color w:val="000000"/>
          <w:sz w:val="28"/>
          <w:rtl/>
        </w:rPr>
        <w:t xml:space="preserve"> משקל הולם לכל אחד מהם</w:t>
      </w:r>
      <w:r w:rsidRPr="00F01FBF">
        <w:rPr>
          <w:rFonts w:ascii="FrankRuehl" w:hAnsi="FrankRuehl" w:hint="cs"/>
          <w:color w:val="000000"/>
          <w:sz w:val="28"/>
          <w:rtl/>
        </w:rPr>
        <w:t xml:space="preserve">, עליה לשקול את ההשלכות הצפויות כתוצאה מקביעת מועד תחולה מידי, ולאזנם עם השיקולים שמצדיקים תחולה מידית (בג"ץ 4806/94 </w:t>
      </w:r>
      <w:r w:rsidRPr="00F01FBF">
        <w:rPr>
          <w:rFonts w:ascii="Century" w:hAnsi="Century" w:cs="Miriam" w:hint="cs"/>
          <w:b/>
          <w:spacing w:val="0"/>
          <w:sz w:val="22"/>
          <w:szCs w:val="24"/>
          <w:rtl/>
        </w:rPr>
        <w:t>ד.ש.א. איכות הסביבה בע"מ נ' שר האוצר</w:t>
      </w:r>
      <w:r w:rsidRPr="00F01FBF">
        <w:rPr>
          <w:rFonts w:ascii="FrankRuehl" w:hAnsi="FrankRuehl" w:hint="cs"/>
          <w:color w:val="000000"/>
          <w:sz w:val="28"/>
          <w:rtl/>
        </w:rPr>
        <w:t xml:space="preserve">, פ"ד נב(2) 193, 210 (1998); </w:t>
      </w:r>
      <w:r>
        <w:rPr>
          <w:rFonts w:hint="cs"/>
          <w:rtl/>
        </w:rPr>
        <w:t xml:space="preserve">עניין </w:t>
      </w:r>
      <w:r w:rsidRPr="00F01FBF">
        <w:rPr>
          <w:rFonts w:ascii="Century" w:hAnsi="Century" w:cs="Miriam" w:hint="cs"/>
          <w:b/>
          <w:spacing w:val="0"/>
          <w:sz w:val="22"/>
          <w:szCs w:val="24"/>
          <w:rtl/>
        </w:rPr>
        <w:t>בנאי</w:t>
      </w:r>
      <w:r>
        <w:rPr>
          <w:rFonts w:hint="cs"/>
          <w:rtl/>
        </w:rPr>
        <w:t xml:space="preserve">, בעמ' 594-593; וראו באופן כללי: </w:t>
      </w:r>
      <w:r w:rsidRPr="00D87D39">
        <w:rPr>
          <w:rFonts w:hint="eastAsia"/>
          <w:rtl/>
        </w:rPr>
        <w:t>בג</w:t>
      </w:r>
      <w:r w:rsidRPr="00D87D39">
        <w:rPr>
          <w:rtl/>
        </w:rPr>
        <w:t>"</w:t>
      </w:r>
      <w:r w:rsidRPr="00D87D39">
        <w:rPr>
          <w:rFonts w:hint="eastAsia"/>
          <w:rtl/>
        </w:rPr>
        <w:t>ץ</w:t>
      </w:r>
      <w:r w:rsidRPr="00D87D39">
        <w:rPr>
          <w:rtl/>
        </w:rPr>
        <w:t xml:space="preserve"> 389/80 </w:t>
      </w:r>
      <w:r w:rsidRPr="00F01FBF">
        <w:rPr>
          <w:rFonts w:ascii="Century" w:hAnsi="Century" w:cs="Miriam" w:hint="eastAsia"/>
          <w:b/>
          <w:spacing w:val="0"/>
          <w:sz w:val="22"/>
          <w:szCs w:val="24"/>
          <w:rtl/>
        </w:rPr>
        <w:t>דפי</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זהב</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בע</w:t>
      </w:r>
      <w:r w:rsidRPr="00F01FBF">
        <w:rPr>
          <w:rFonts w:ascii="Century" w:hAnsi="Century" w:cs="Miriam"/>
          <w:b/>
          <w:spacing w:val="0"/>
          <w:sz w:val="22"/>
          <w:szCs w:val="24"/>
          <w:rtl/>
        </w:rPr>
        <w:t>"</w:t>
      </w:r>
      <w:r w:rsidRPr="00F01FBF">
        <w:rPr>
          <w:rFonts w:ascii="Century" w:hAnsi="Century" w:cs="Miriam" w:hint="eastAsia"/>
          <w:b/>
          <w:spacing w:val="0"/>
          <w:sz w:val="22"/>
          <w:szCs w:val="24"/>
          <w:rtl/>
        </w:rPr>
        <w:t>מ</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נ</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רשות</w:t>
      </w:r>
      <w:r w:rsidRPr="00F01FBF">
        <w:rPr>
          <w:rFonts w:ascii="Century" w:hAnsi="Century" w:cs="Miriam"/>
          <w:b/>
          <w:spacing w:val="0"/>
          <w:sz w:val="22"/>
          <w:szCs w:val="24"/>
          <w:rtl/>
        </w:rPr>
        <w:t xml:space="preserve"> </w:t>
      </w:r>
      <w:r w:rsidRPr="00F01FBF">
        <w:rPr>
          <w:rFonts w:ascii="Century" w:hAnsi="Century" w:cs="Miriam" w:hint="eastAsia"/>
          <w:b/>
          <w:spacing w:val="0"/>
          <w:sz w:val="22"/>
          <w:szCs w:val="24"/>
          <w:rtl/>
        </w:rPr>
        <w:t>השידור</w:t>
      </w:r>
      <w:r w:rsidRPr="00D87D39">
        <w:rPr>
          <w:rtl/>
        </w:rPr>
        <w:t xml:space="preserve">, </w:t>
      </w:r>
      <w:r w:rsidRPr="00D87D39">
        <w:rPr>
          <w:rFonts w:hint="eastAsia"/>
          <w:rtl/>
        </w:rPr>
        <w:t>פ</w:t>
      </w:r>
      <w:r w:rsidRPr="00D87D39">
        <w:rPr>
          <w:rtl/>
        </w:rPr>
        <w:t>"</w:t>
      </w:r>
      <w:r w:rsidRPr="00D87D39">
        <w:rPr>
          <w:rFonts w:hint="eastAsia"/>
          <w:rtl/>
        </w:rPr>
        <w:t>ד</w:t>
      </w:r>
      <w:r w:rsidRPr="00D87D39">
        <w:rPr>
          <w:rtl/>
        </w:rPr>
        <w:t xml:space="preserve"> </w:t>
      </w:r>
      <w:r w:rsidRPr="00D87D39">
        <w:rPr>
          <w:rFonts w:hint="eastAsia"/>
          <w:rtl/>
        </w:rPr>
        <w:t>לה</w:t>
      </w:r>
      <w:r w:rsidRPr="00D87D39">
        <w:rPr>
          <w:rtl/>
        </w:rPr>
        <w:t>(1) 421, 437 (1980)</w:t>
      </w:r>
      <w:r>
        <w:rPr>
          <w:rFonts w:hint="cs"/>
          <w:rtl/>
        </w:rPr>
        <w:t xml:space="preserve"> (להלן: עניין </w:t>
      </w:r>
      <w:r w:rsidRPr="00F01FBF">
        <w:rPr>
          <w:rFonts w:ascii="Century" w:hAnsi="Century" w:cs="Miriam" w:hint="cs"/>
          <w:b/>
          <w:spacing w:val="0"/>
          <w:sz w:val="22"/>
          <w:szCs w:val="24"/>
          <w:rtl/>
        </w:rPr>
        <w:t>דפי זהב</w:t>
      </w:r>
      <w:r>
        <w:rPr>
          <w:rFonts w:hint="cs"/>
          <w:rtl/>
        </w:rPr>
        <w:t xml:space="preserve">)). בפסיקת בית משפט זה, עליה עמד חברי בפסקאות 44-41 לפסק דינו, נקבע לא אחת כי יש לבחון כל מקרה לגופו, על מכלול נסיבותיו הפרטניות. כן יש לנקוט בזהירות באשר למשקל ההולם שיש לתת להוראות מעבר שנקבעו בעבר, שכן גם הוא ישתנה בהתאם לנסיבות המקרה, בהתאם לאינטרס הציבורי שעומד על הפרק בקביעת מועד תחילה מידי, אל מול השלכותיה של קביעה זו. </w:t>
      </w:r>
    </w:p>
    <w:p w:rsidR="00BB076B" w:rsidRPr="00DD6F86" w:rsidRDefault="00BB076B" w:rsidP="00BB076B">
      <w:pPr>
        <w:pStyle w:val="Ruller41"/>
        <w:rPr>
          <w:rtl/>
        </w:rPr>
      </w:pPr>
    </w:p>
    <w:p w:rsidR="00BB076B" w:rsidRDefault="00BB076B" w:rsidP="00BB076B">
      <w:pPr>
        <w:pStyle w:val="Ruller4"/>
        <w:overflowPunct w:val="0"/>
        <w:autoSpaceDE w:val="0"/>
        <w:autoSpaceDN w:val="0"/>
        <w:adjustRightInd w:val="0"/>
        <w:spacing w:before="0" w:after="0" w:afterAutospacing="0"/>
        <w:textAlignment w:val="baseline"/>
        <w:rPr>
          <w:rtl/>
        </w:rPr>
      </w:pPr>
      <w:r>
        <w:rPr>
          <w:rFonts w:hint="cs"/>
          <w:rtl/>
        </w:rPr>
        <w:t xml:space="preserve">ההחלטה שלפנינו עוסקת כאמור בשינויים בתמיכה שנוגעים לפעוטות שנמנים על משפחות שהפרוטה אינה מצויה בכיסן, והם מחייבים התייחסות מיוחדת בקביעת הוראת המעבר. בעיני, לצד הפגיעה עליה עמד חברי בתא המשפחתי, וביכולתם של ההורים להיערך בצורה נאותה למבחנים החדשים (פסקאות 56-55, 59-58 לחוות דעתו), יש לעמוד גם על הפגיעה שתיגרם לפעוטות. מחוות הדעת שהובאו לפנינו ניכר כי מעבר בין מסגרות חינוכיות בעיצומה של שנת לימודים עלול לפגוע באותם הפעוטות, בשל הניתוק הפתאומי מהמסגרת </w:t>
      </w:r>
      <w:r>
        <w:rPr>
          <w:rFonts w:hint="cs"/>
          <w:rtl/>
        </w:rPr>
        <w:lastRenderedPageBreak/>
        <w:t xml:space="preserve">החברתית המוכרת להם וממטפליהם (ראו ד"ר נעה לאור "חוות דעת מקצועית בנוגע למעבר של ילד ממסגרת למסגרת" (8.12.2021); הסתדרות הפסיכולוגים בישראל "עמדתנו המקצועית בעניין השלכות אפשריות להוצאת פעוטות בגילאי לידה עד 3 שנים ממעונות היום עקב ביטול סבסוד מעונות יום למשפחה בה בן הזוג לומד לימודיים תורניים" (22.11.2021); ד"ר משה לייבלר "השלכות הוצאת ילדי אברכים ממעונות יום באמצע שנת הלימודים עקב הסרת תמיכה כלכלית מהוריהם עבור שילוב במעונות יום" (22.11.2021)). סבורני כי בקביעת הוראת המעבר לא ניתן משקל מתאים גם לפגיעה שתגרם לפעוטות עקב הכורח לעזוב את מעון היום בעיצומה של שנת הלימודים. אכן, מציאות החיים מביאה מעת לעת למעבר של פעוטות וילדים ממעונות או ממוסדות חינוך על רקע נסיבות אישיות, משפחתיות או אחרות. והדברים מובנים. אולם בענייננו מדובר בעזיבה פוטנציאלית בהיקף רחב שהיא פועל יוצא של החלטה מינהלית כללית. הנתונים שהציגה המצהירה מטעם המשיבים במהלך הדיון בהתייחס לשינוי התקציבי שהוא פועל יוצא של מבחני התמיכה החדשים, מלמדים כי גם האחרונים ערים להיקפו הפוטנציאלי של השינוי (וראו: פרוטוקול הדיון מיום 27.12.2021, בעמ' 6, ש' 30-37). יוער כי בית משפט זה התייחס לא אחת, בהקשרים אחרים, לחשיבות שביציבות חייו של קטין, ובכלל זאת למסגרת החינוכית שאליה הוא משתייך, ובראי עיקרון טובת הילד (וראו למשל: בע"ם 8219/21 </w:t>
      </w:r>
      <w:r w:rsidRPr="00153827">
        <w:rPr>
          <w:rFonts w:ascii="Century" w:hAnsi="Century" w:cs="Miriam" w:hint="cs"/>
          <w:b/>
          <w:spacing w:val="0"/>
          <w:sz w:val="22"/>
          <w:szCs w:val="24"/>
          <w:rtl/>
        </w:rPr>
        <w:t>פלוני נ' פלונית</w:t>
      </w:r>
      <w:r>
        <w:rPr>
          <w:rFonts w:hint="cs"/>
          <w:rtl/>
        </w:rPr>
        <w:t xml:space="preserve">, פסקה 16 (27.12.2021); בע"ם 1855/08 </w:t>
      </w:r>
      <w:r w:rsidRPr="00153827">
        <w:rPr>
          <w:rFonts w:ascii="Century" w:hAnsi="Century" w:cs="Miriam" w:hint="cs"/>
          <w:b/>
          <w:spacing w:val="0"/>
          <w:sz w:val="22"/>
          <w:szCs w:val="24"/>
          <w:rtl/>
        </w:rPr>
        <w:t>פלונית נ' פלוני</w:t>
      </w:r>
      <w:r>
        <w:rPr>
          <w:rFonts w:hint="cs"/>
          <w:rtl/>
        </w:rPr>
        <w:t xml:space="preserve">, פסקה 16 לפסק דינה של השופטת ע' ארבל (8.4.2008);  בע"ם 27/06 </w:t>
      </w:r>
      <w:r w:rsidRPr="00153827">
        <w:rPr>
          <w:rFonts w:ascii="Century" w:hAnsi="Century" w:cs="Miriam" w:hint="cs"/>
          <w:b/>
          <w:spacing w:val="0"/>
          <w:sz w:val="22"/>
          <w:szCs w:val="24"/>
          <w:rtl/>
        </w:rPr>
        <w:t>פלוני נ' פלונית</w:t>
      </w:r>
      <w:r>
        <w:rPr>
          <w:rFonts w:hint="cs"/>
          <w:rtl/>
        </w:rPr>
        <w:t>, פסקה 12</w:t>
      </w:r>
      <w:r w:rsidRPr="00153827">
        <w:rPr>
          <w:rFonts w:hint="cs"/>
          <w:rtl/>
        </w:rPr>
        <w:t xml:space="preserve"> </w:t>
      </w:r>
      <w:r>
        <w:rPr>
          <w:rFonts w:hint="cs"/>
          <w:rtl/>
        </w:rPr>
        <w:t xml:space="preserve">(1.5.2006)). הוראת המעבר בנוסחה הנוכחי לא נותנת משקל מספיק לשיקולים אלה, ואין מנוס מן המסקנה כי גם מטעם זה היא נופלת מחוץ למתחם הסבירות. </w:t>
      </w:r>
    </w:p>
    <w:p w:rsidR="00BB076B" w:rsidRPr="00DD6F86" w:rsidRDefault="00BB076B" w:rsidP="00BB076B">
      <w:pPr>
        <w:pStyle w:val="Ruller41"/>
        <w:rPr>
          <w:rtl/>
        </w:rPr>
      </w:pPr>
    </w:p>
    <w:p w:rsidR="00BB076B" w:rsidRDefault="00BB076B" w:rsidP="00BB076B">
      <w:pPr>
        <w:pStyle w:val="Ruller4"/>
        <w:overflowPunct w:val="0"/>
        <w:autoSpaceDE w:val="0"/>
        <w:autoSpaceDN w:val="0"/>
        <w:adjustRightInd w:val="0"/>
        <w:spacing w:before="0" w:after="0" w:afterAutospacing="0"/>
        <w:textAlignment w:val="baseline"/>
        <w:rPr>
          <w:rtl/>
        </w:rPr>
      </w:pPr>
      <w:r>
        <w:rPr>
          <w:rFonts w:hint="cs"/>
          <w:rtl/>
        </w:rPr>
        <w:t xml:space="preserve">קביעה זו נשענת על הפסיקה הקיימת שלפיה מימד הזמן של ההחלטה המינהלית נתון אף הוא לביקורת שיפוטית בעילות המקובלות; וכי במסגרת ביקורת זו יש לבחון את סבירות ההחלטה במכלול נסיבות העניין, ובכלל זאת הפגיעה שתיגרם מההחלטה (בג"ץ 1398/07 </w:t>
      </w:r>
      <w:r w:rsidRPr="00B052AC">
        <w:rPr>
          <w:rFonts w:ascii="Century" w:hAnsi="Century" w:cs="Miriam" w:hint="cs"/>
          <w:b/>
          <w:spacing w:val="0"/>
          <w:sz w:val="22"/>
          <w:szCs w:val="24"/>
          <w:rtl/>
        </w:rPr>
        <w:lastRenderedPageBreak/>
        <w:t>גולדשטיין נ' משרד החינוך</w:t>
      </w:r>
      <w:r w:rsidRPr="00B052AC">
        <w:rPr>
          <w:rFonts w:ascii="Century" w:hAnsi="Century" w:hint="cs"/>
          <w:sz w:val="22"/>
          <w:rtl/>
        </w:rPr>
        <w:t>, פסקה 22</w:t>
      </w:r>
      <w:r w:rsidRPr="00B052AC">
        <w:rPr>
          <w:rFonts w:hint="cs"/>
          <w:rtl/>
        </w:rPr>
        <w:t xml:space="preserve"> </w:t>
      </w:r>
      <w:r>
        <w:rPr>
          <w:rFonts w:hint="cs"/>
          <w:rtl/>
        </w:rPr>
        <w:t xml:space="preserve">(10.5.2010); בג"ץ 1999/07 </w:t>
      </w:r>
      <w:r w:rsidRPr="00413310">
        <w:rPr>
          <w:rFonts w:ascii="Century" w:hAnsi="Century" w:cs="Miriam" w:hint="cs"/>
          <w:b/>
          <w:spacing w:val="0"/>
          <w:sz w:val="22"/>
          <w:szCs w:val="24"/>
          <w:rtl/>
        </w:rPr>
        <w:t>גלאון נ' ועדת הבדיקה הממשלתית לבדיקת אירועי המערכה בלבנון</w:t>
      </w:r>
      <w:r w:rsidRPr="00413310">
        <w:rPr>
          <w:rFonts w:hint="cs"/>
          <w:rtl/>
        </w:rPr>
        <w:t xml:space="preserve"> </w:t>
      </w:r>
      <w:r w:rsidRPr="008B0206">
        <w:rPr>
          <w:rFonts w:ascii="Century" w:hAnsi="Century" w:cs="Miriam" w:hint="cs"/>
          <w:b/>
          <w:spacing w:val="0"/>
          <w:sz w:val="22"/>
          <w:szCs w:val="24"/>
          <w:rtl/>
        </w:rPr>
        <w:t>2006</w:t>
      </w:r>
      <w:r>
        <w:rPr>
          <w:rFonts w:hint="cs"/>
          <w:rtl/>
        </w:rPr>
        <w:t xml:space="preserve">, פ"ד סב(2) 123, 162 (2007); עניין </w:t>
      </w:r>
      <w:r w:rsidRPr="00413310">
        <w:rPr>
          <w:rFonts w:ascii="Century" w:hAnsi="Century" w:cs="Miriam" w:hint="cs"/>
          <w:b/>
          <w:spacing w:val="0"/>
          <w:sz w:val="22"/>
          <w:szCs w:val="24"/>
          <w:rtl/>
        </w:rPr>
        <w:t>בנאי</w:t>
      </w:r>
      <w:r>
        <w:rPr>
          <w:rFonts w:hint="cs"/>
          <w:rtl/>
        </w:rPr>
        <w:t xml:space="preserve">, בעמ' 593). די באמור כדי להגיע למסקנה בהתייחס לתקפה של הוראת המעבר, ואיני סבור אפוא כי עלינו לקבוע מסמרות בקיומן של קבוצות מקרים שבהן תהא מחויבת הרשות לנקוט במדיניות מסוימת. </w:t>
      </w:r>
    </w:p>
    <w:p w:rsidR="00BB076B" w:rsidRPr="00DD6F86" w:rsidRDefault="00BB076B" w:rsidP="00BB076B">
      <w:pPr>
        <w:pStyle w:val="Ruller41"/>
        <w:rPr>
          <w:rtl/>
        </w:rPr>
      </w:pPr>
    </w:p>
    <w:p w:rsidR="00BB076B" w:rsidRDefault="00BB076B" w:rsidP="00BB076B">
      <w:pPr>
        <w:pStyle w:val="Ruller4"/>
        <w:overflowPunct w:val="0"/>
        <w:autoSpaceDE w:val="0"/>
        <w:autoSpaceDN w:val="0"/>
        <w:adjustRightInd w:val="0"/>
        <w:spacing w:before="0" w:after="0" w:afterAutospacing="0"/>
        <w:textAlignment w:val="baseline"/>
        <w:rPr>
          <w:rtl/>
        </w:rPr>
      </w:pPr>
      <w:r w:rsidRPr="00E869E4">
        <w:rPr>
          <w:rFonts w:ascii="Century" w:hAnsi="Century" w:hint="cs"/>
          <w:sz w:val="22"/>
          <w:rtl/>
        </w:rPr>
        <w:t xml:space="preserve">אשר למישור הסעד </w:t>
      </w:r>
      <w:r>
        <w:rPr>
          <w:rFonts w:ascii="Century" w:hAnsi="Century"/>
          <w:sz w:val="22"/>
          <w:rtl/>
        </w:rPr>
        <w:t>–</w:t>
      </w:r>
      <w:r>
        <w:rPr>
          <w:rFonts w:ascii="Century" w:hAnsi="Century" w:hint="cs"/>
          <w:sz w:val="22"/>
          <w:rtl/>
        </w:rPr>
        <w:t xml:space="preserve"> </w:t>
      </w:r>
      <w:r>
        <w:rPr>
          <w:rFonts w:hint="cs"/>
          <w:rtl/>
        </w:rPr>
        <w:t>כידוע, לפי עיקרון</w:t>
      </w:r>
      <w:r w:rsidRPr="0085634F">
        <w:rPr>
          <w:rtl/>
        </w:rPr>
        <w:t xml:space="preserve"> </w:t>
      </w:r>
      <w:r w:rsidRPr="0085634F">
        <w:rPr>
          <w:rFonts w:hint="eastAsia"/>
          <w:rtl/>
        </w:rPr>
        <w:t>התוצאה</w:t>
      </w:r>
      <w:r w:rsidRPr="0085634F">
        <w:rPr>
          <w:rtl/>
        </w:rPr>
        <w:t xml:space="preserve"> </w:t>
      </w:r>
      <w:r w:rsidRPr="0085634F">
        <w:rPr>
          <w:rFonts w:hint="eastAsia"/>
          <w:rtl/>
        </w:rPr>
        <w:t>היחסית</w:t>
      </w:r>
      <w:r w:rsidRPr="0085634F">
        <w:rPr>
          <w:rtl/>
        </w:rPr>
        <w:t xml:space="preserve"> (</w:t>
      </w:r>
      <w:r w:rsidRPr="0085634F">
        <w:rPr>
          <w:rFonts w:hint="eastAsia"/>
          <w:rtl/>
        </w:rPr>
        <w:t>או</w:t>
      </w:r>
      <w:r w:rsidRPr="0085634F">
        <w:rPr>
          <w:rtl/>
        </w:rPr>
        <w:t xml:space="preserve"> </w:t>
      </w:r>
      <w:r w:rsidRPr="0085634F">
        <w:rPr>
          <w:rFonts w:hint="eastAsia"/>
          <w:rtl/>
        </w:rPr>
        <w:t>הבטלות</w:t>
      </w:r>
      <w:r w:rsidRPr="0085634F">
        <w:rPr>
          <w:rtl/>
        </w:rPr>
        <w:t xml:space="preserve"> </w:t>
      </w:r>
      <w:r w:rsidRPr="0085634F">
        <w:rPr>
          <w:rFonts w:hint="eastAsia"/>
          <w:rtl/>
        </w:rPr>
        <w:t>היחסית</w:t>
      </w:r>
      <w:r w:rsidRPr="0085634F">
        <w:rPr>
          <w:rtl/>
        </w:rPr>
        <w:t>)</w:t>
      </w:r>
      <w:r>
        <w:rPr>
          <w:rFonts w:hint="cs"/>
          <w:rtl/>
        </w:rPr>
        <w:t>,</w:t>
      </w:r>
      <w:r w:rsidRPr="0085634F">
        <w:rPr>
          <w:rtl/>
        </w:rPr>
        <w:t xml:space="preserve"> </w:t>
      </w:r>
      <w:r>
        <w:rPr>
          <w:rFonts w:hint="eastAsia"/>
          <w:rtl/>
        </w:rPr>
        <w:t>שמבחי</w:t>
      </w:r>
      <w:r>
        <w:rPr>
          <w:rFonts w:hint="cs"/>
          <w:rtl/>
        </w:rPr>
        <w:t>ן</w:t>
      </w:r>
      <w:r w:rsidRPr="0085634F">
        <w:rPr>
          <w:rtl/>
        </w:rPr>
        <w:t xml:space="preserve"> </w:t>
      </w:r>
      <w:r w:rsidRPr="0085634F">
        <w:rPr>
          <w:rFonts w:hint="eastAsia"/>
          <w:rtl/>
        </w:rPr>
        <w:t>בין</w:t>
      </w:r>
      <w:r w:rsidRPr="0085634F">
        <w:rPr>
          <w:rtl/>
        </w:rPr>
        <w:t xml:space="preserve"> </w:t>
      </w:r>
      <w:r w:rsidRPr="0085634F">
        <w:rPr>
          <w:rFonts w:hint="eastAsia"/>
          <w:rtl/>
        </w:rPr>
        <w:t>הפגם</w:t>
      </w:r>
      <w:r w:rsidRPr="0085634F">
        <w:rPr>
          <w:rtl/>
        </w:rPr>
        <w:t xml:space="preserve"> </w:t>
      </w:r>
      <w:r w:rsidRPr="0085634F">
        <w:rPr>
          <w:rFonts w:hint="eastAsia"/>
          <w:rtl/>
        </w:rPr>
        <w:t>בהחלטה</w:t>
      </w:r>
      <w:r w:rsidRPr="0085634F">
        <w:rPr>
          <w:rtl/>
        </w:rPr>
        <w:t xml:space="preserve"> </w:t>
      </w:r>
      <w:r w:rsidRPr="0085634F">
        <w:rPr>
          <w:rFonts w:hint="eastAsia"/>
          <w:rtl/>
        </w:rPr>
        <w:t>המינהלית</w:t>
      </w:r>
      <w:r w:rsidRPr="0085634F">
        <w:rPr>
          <w:rtl/>
        </w:rPr>
        <w:t xml:space="preserve"> </w:t>
      </w:r>
      <w:r w:rsidRPr="0085634F">
        <w:rPr>
          <w:rFonts w:hint="eastAsia"/>
          <w:rtl/>
        </w:rPr>
        <w:t>לבין</w:t>
      </w:r>
      <w:r w:rsidRPr="0085634F">
        <w:rPr>
          <w:rtl/>
        </w:rPr>
        <w:t xml:space="preserve"> </w:t>
      </w:r>
      <w:r w:rsidRPr="0085634F">
        <w:rPr>
          <w:rFonts w:hint="eastAsia"/>
          <w:rtl/>
        </w:rPr>
        <w:t>תוצאתו</w:t>
      </w:r>
      <w:r w:rsidRPr="0085634F">
        <w:rPr>
          <w:rtl/>
        </w:rPr>
        <w:t xml:space="preserve"> (</w:t>
      </w:r>
      <w:r w:rsidRPr="0085634F">
        <w:rPr>
          <w:rFonts w:hint="eastAsia"/>
          <w:rtl/>
        </w:rPr>
        <w:t>בג</w:t>
      </w:r>
      <w:r w:rsidRPr="0085634F">
        <w:rPr>
          <w:rtl/>
        </w:rPr>
        <w:t>"</w:t>
      </w:r>
      <w:r w:rsidRPr="0085634F">
        <w:rPr>
          <w:rFonts w:hint="eastAsia"/>
          <w:rtl/>
        </w:rPr>
        <w:t>ץ</w:t>
      </w:r>
      <w:r w:rsidRPr="0085634F">
        <w:rPr>
          <w:rtl/>
        </w:rPr>
        <w:t xml:space="preserve"> 1633/20 </w:t>
      </w:r>
      <w:r w:rsidRPr="00E13DB6">
        <w:rPr>
          <w:rFonts w:ascii="Century" w:hAnsi="Century" w:cs="Miriam"/>
          <w:b/>
          <w:spacing w:val="0"/>
          <w:sz w:val="22"/>
          <w:szCs w:val="24"/>
          <w:rtl/>
        </w:rPr>
        <w:t>"</w:t>
      </w:r>
      <w:r w:rsidRPr="00E13DB6">
        <w:rPr>
          <w:rFonts w:ascii="Century" w:hAnsi="Century" w:cs="Miriam" w:hint="eastAsia"/>
          <w:b/>
          <w:spacing w:val="0"/>
          <w:sz w:val="22"/>
          <w:szCs w:val="24"/>
          <w:rtl/>
        </w:rPr>
        <w:t>סל</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שירותי</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סיעוד</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נ</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מדינת</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ישראל</w:t>
      </w:r>
      <w:r w:rsidRPr="0085634F">
        <w:rPr>
          <w:rtl/>
        </w:rPr>
        <w:t xml:space="preserve">, </w:t>
      </w:r>
      <w:r w:rsidRPr="0085634F">
        <w:rPr>
          <w:rFonts w:hint="eastAsia"/>
          <w:rtl/>
        </w:rPr>
        <w:t>פסקה</w:t>
      </w:r>
      <w:r w:rsidRPr="0085634F">
        <w:rPr>
          <w:rtl/>
        </w:rPr>
        <w:t xml:space="preserve"> 4 </w:t>
      </w:r>
      <w:r w:rsidRPr="0085634F">
        <w:rPr>
          <w:rFonts w:hint="eastAsia"/>
          <w:rtl/>
        </w:rPr>
        <w:t>לפסק</w:t>
      </w:r>
      <w:r w:rsidRPr="0085634F">
        <w:rPr>
          <w:rtl/>
        </w:rPr>
        <w:t xml:space="preserve"> </w:t>
      </w:r>
      <w:r w:rsidRPr="0085634F">
        <w:rPr>
          <w:rFonts w:hint="eastAsia"/>
          <w:rtl/>
        </w:rPr>
        <w:t>דיני</w:t>
      </w:r>
      <w:r w:rsidRPr="0085634F">
        <w:rPr>
          <w:rtl/>
        </w:rPr>
        <w:t xml:space="preserve"> (27.7.2020); </w:t>
      </w:r>
      <w:r w:rsidRPr="0085634F">
        <w:rPr>
          <w:rFonts w:hint="eastAsia"/>
          <w:rtl/>
        </w:rPr>
        <w:t>רע</w:t>
      </w:r>
      <w:r w:rsidRPr="0085634F">
        <w:rPr>
          <w:rtl/>
        </w:rPr>
        <w:t>"</w:t>
      </w:r>
      <w:r w:rsidRPr="0085634F">
        <w:rPr>
          <w:rFonts w:hint="eastAsia"/>
          <w:rtl/>
        </w:rPr>
        <w:t>פ</w:t>
      </w:r>
      <w:r w:rsidRPr="0085634F">
        <w:rPr>
          <w:rtl/>
        </w:rPr>
        <w:t xml:space="preserve"> 3080/10 </w:t>
      </w:r>
      <w:r w:rsidRPr="00E13DB6">
        <w:rPr>
          <w:rFonts w:ascii="Century" w:hAnsi="Century" w:cs="Miriam" w:hint="eastAsia"/>
          <w:b/>
          <w:spacing w:val="0"/>
          <w:sz w:val="22"/>
          <w:szCs w:val="24"/>
          <w:rtl/>
        </w:rPr>
        <w:t>סמורגונסקי</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נ</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התובע</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הצבאי</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הראשי</w:t>
      </w:r>
      <w:r w:rsidRPr="0085634F">
        <w:rPr>
          <w:rtl/>
        </w:rPr>
        <w:t xml:space="preserve">, </w:t>
      </w:r>
      <w:r w:rsidRPr="0085634F">
        <w:rPr>
          <w:rFonts w:hint="eastAsia"/>
          <w:rtl/>
        </w:rPr>
        <w:t>פסקה</w:t>
      </w:r>
      <w:r w:rsidRPr="0085634F">
        <w:rPr>
          <w:rtl/>
        </w:rPr>
        <w:t xml:space="preserve"> 12 (25.12.2012); </w:t>
      </w:r>
      <w:r w:rsidRPr="0085634F">
        <w:rPr>
          <w:rFonts w:hint="eastAsia"/>
          <w:rtl/>
        </w:rPr>
        <w:t>בג</w:t>
      </w:r>
      <w:r w:rsidRPr="0085634F">
        <w:rPr>
          <w:rtl/>
        </w:rPr>
        <w:t>"</w:t>
      </w:r>
      <w:r w:rsidRPr="0085634F">
        <w:rPr>
          <w:rFonts w:hint="eastAsia"/>
          <w:rtl/>
        </w:rPr>
        <w:t>ץ</w:t>
      </w:r>
      <w:r w:rsidRPr="0085634F">
        <w:rPr>
          <w:rtl/>
        </w:rPr>
        <w:t xml:space="preserve"> 5660/10 </w:t>
      </w:r>
      <w:r w:rsidRPr="00E13DB6">
        <w:rPr>
          <w:rFonts w:ascii="Century" w:hAnsi="Century" w:cs="Miriam" w:hint="eastAsia"/>
          <w:b/>
          <w:spacing w:val="0"/>
          <w:sz w:val="22"/>
          <w:szCs w:val="24"/>
          <w:rtl/>
        </w:rPr>
        <w:t>עמותת</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איתך</w:t>
      </w:r>
      <w:r w:rsidRPr="00E13DB6">
        <w:rPr>
          <w:rFonts w:ascii="Century" w:hAnsi="Century" w:cs="Miriam"/>
          <w:b/>
          <w:spacing w:val="0"/>
          <w:sz w:val="22"/>
          <w:szCs w:val="24"/>
          <w:rtl/>
        </w:rPr>
        <w:t xml:space="preserve"> – </w:t>
      </w:r>
      <w:r w:rsidRPr="00E13DB6">
        <w:rPr>
          <w:rFonts w:ascii="Century" w:hAnsi="Century" w:cs="Miriam" w:hint="eastAsia"/>
          <w:b/>
          <w:spacing w:val="0"/>
          <w:sz w:val="22"/>
          <w:szCs w:val="24"/>
          <w:rtl/>
        </w:rPr>
        <w:t>משפטניות</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למען</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צדק</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נ</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ראש</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ממשלת</w:t>
      </w:r>
      <w:r w:rsidRPr="00E13DB6">
        <w:rPr>
          <w:rFonts w:ascii="Century" w:hAnsi="Century" w:cs="Miriam"/>
          <w:b/>
          <w:spacing w:val="0"/>
          <w:sz w:val="22"/>
          <w:szCs w:val="24"/>
          <w:rtl/>
        </w:rPr>
        <w:t xml:space="preserve"> </w:t>
      </w:r>
      <w:r w:rsidRPr="00E13DB6">
        <w:rPr>
          <w:rFonts w:ascii="Century" w:hAnsi="Century" w:cs="Miriam" w:hint="eastAsia"/>
          <w:b/>
          <w:spacing w:val="0"/>
          <w:sz w:val="22"/>
          <w:szCs w:val="24"/>
          <w:rtl/>
        </w:rPr>
        <w:t>ישראל</w:t>
      </w:r>
      <w:r w:rsidRPr="00E13DB6">
        <w:rPr>
          <w:rFonts w:ascii="Century" w:hAnsi="Century"/>
          <w:sz w:val="22"/>
          <w:rtl/>
        </w:rPr>
        <w:t xml:space="preserve">, </w:t>
      </w:r>
      <w:r w:rsidRPr="00E13DB6">
        <w:rPr>
          <w:rFonts w:ascii="Century" w:hAnsi="Century" w:hint="eastAsia"/>
          <w:sz w:val="22"/>
          <w:rtl/>
        </w:rPr>
        <w:t>פסקאות</w:t>
      </w:r>
      <w:r w:rsidRPr="00E13DB6">
        <w:rPr>
          <w:rFonts w:ascii="Century" w:hAnsi="Century"/>
          <w:sz w:val="22"/>
          <w:rtl/>
        </w:rPr>
        <w:t xml:space="preserve"> 23-22</w:t>
      </w:r>
      <w:r w:rsidRPr="00E13DB6">
        <w:rPr>
          <w:rFonts w:ascii="Century" w:hAnsi="Century" w:cs="Miriam"/>
          <w:b/>
          <w:spacing w:val="0"/>
          <w:sz w:val="22"/>
          <w:szCs w:val="24"/>
          <w:rtl/>
        </w:rPr>
        <w:t xml:space="preserve"> </w:t>
      </w:r>
      <w:r w:rsidRPr="0085634F">
        <w:rPr>
          <w:rtl/>
        </w:rPr>
        <w:t>(22.8.2010)</w:t>
      </w:r>
      <w:r>
        <w:rPr>
          <w:rFonts w:hint="cs"/>
          <w:rtl/>
        </w:rPr>
        <w:t xml:space="preserve">), </w:t>
      </w:r>
      <w:r w:rsidRPr="0085634F">
        <w:rPr>
          <w:rFonts w:hint="eastAsia"/>
          <w:rtl/>
        </w:rPr>
        <w:t>על</w:t>
      </w:r>
      <w:r w:rsidRPr="0085634F">
        <w:rPr>
          <w:rtl/>
        </w:rPr>
        <w:t xml:space="preserve"> </w:t>
      </w:r>
      <w:r w:rsidRPr="0085634F">
        <w:rPr>
          <w:rFonts w:hint="eastAsia"/>
          <w:rtl/>
        </w:rPr>
        <w:t>בית</w:t>
      </w:r>
      <w:r w:rsidRPr="0085634F">
        <w:rPr>
          <w:rtl/>
        </w:rPr>
        <w:t xml:space="preserve"> </w:t>
      </w:r>
      <w:r w:rsidRPr="0085634F">
        <w:rPr>
          <w:rFonts w:hint="eastAsia"/>
          <w:rtl/>
        </w:rPr>
        <w:t>המשפט</w:t>
      </w:r>
      <w:r w:rsidRPr="0085634F">
        <w:rPr>
          <w:rtl/>
        </w:rPr>
        <w:t xml:space="preserve"> </w:t>
      </w:r>
      <w:r w:rsidRPr="0085634F">
        <w:rPr>
          <w:rFonts w:hint="eastAsia"/>
          <w:rtl/>
        </w:rPr>
        <w:t>לבחון</w:t>
      </w:r>
      <w:r w:rsidRPr="0085634F">
        <w:rPr>
          <w:rtl/>
        </w:rPr>
        <w:t xml:space="preserve"> </w:t>
      </w:r>
      <w:r>
        <w:rPr>
          <w:rFonts w:hint="cs"/>
          <w:rtl/>
        </w:rPr>
        <w:t>את הסעד המתאים בהתחשב בנסיבות המקרה</w:t>
      </w:r>
      <w:r w:rsidRPr="0085634F">
        <w:rPr>
          <w:rtl/>
        </w:rPr>
        <w:t xml:space="preserve"> </w:t>
      </w:r>
      <w:r>
        <w:rPr>
          <w:rFonts w:hint="cs"/>
          <w:rtl/>
        </w:rPr>
        <w:t xml:space="preserve">שלפניו. כאשר הפגם בהחלטה המינהלית הוא ברכיב הזמן, בית המשפט יכול לבטל את ההחלטה, או לקבוע כי על אף הפגם בהחלטה, אין בכך כדי לפגוע בתוקפה או בתחולתה או להורות על מתן סעד מתאים אחר </w:t>
      </w:r>
      <w:r w:rsidRPr="00E13DB6">
        <w:rPr>
          <w:rFonts w:ascii="Century" w:hAnsi="Century" w:hint="cs"/>
          <w:sz w:val="22"/>
          <w:rtl/>
        </w:rPr>
        <w:t xml:space="preserve">(בג"ץ 6827/07 </w:t>
      </w:r>
      <w:r w:rsidRPr="00E13DB6">
        <w:rPr>
          <w:rFonts w:cs="Miriam" w:hint="eastAsia"/>
          <w:b/>
          <w:spacing w:val="0"/>
          <w:sz w:val="22"/>
          <w:szCs w:val="24"/>
          <w:rtl/>
        </w:rPr>
        <w:t>ראש</w:t>
      </w:r>
      <w:r w:rsidRPr="00E13DB6">
        <w:rPr>
          <w:rFonts w:cs="Miriam"/>
          <w:b/>
          <w:spacing w:val="0"/>
          <w:sz w:val="22"/>
          <w:szCs w:val="24"/>
          <w:rtl/>
        </w:rPr>
        <w:t xml:space="preserve"> </w:t>
      </w:r>
      <w:r w:rsidRPr="00E13DB6">
        <w:rPr>
          <w:rFonts w:cs="Miriam" w:hint="eastAsia"/>
          <w:b/>
          <w:spacing w:val="0"/>
          <w:sz w:val="22"/>
          <w:szCs w:val="24"/>
          <w:rtl/>
        </w:rPr>
        <w:t>עיריית</w:t>
      </w:r>
      <w:r w:rsidRPr="00E13DB6">
        <w:rPr>
          <w:rFonts w:cs="Miriam"/>
          <w:b/>
          <w:spacing w:val="0"/>
          <w:sz w:val="22"/>
          <w:szCs w:val="24"/>
          <w:rtl/>
        </w:rPr>
        <w:t xml:space="preserve"> </w:t>
      </w:r>
      <w:r w:rsidRPr="00E13DB6">
        <w:rPr>
          <w:rFonts w:cs="Miriam" w:hint="eastAsia"/>
          <w:b/>
          <w:spacing w:val="0"/>
          <w:sz w:val="22"/>
          <w:szCs w:val="24"/>
          <w:rtl/>
        </w:rPr>
        <w:t>ערד</w:t>
      </w:r>
      <w:r w:rsidRPr="00E13DB6">
        <w:rPr>
          <w:rFonts w:cs="Miriam"/>
          <w:b/>
          <w:spacing w:val="0"/>
          <w:sz w:val="22"/>
          <w:szCs w:val="24"/>
          <w:rtl/>
        </w:rPr>
        <w:t xml:space="preserve"> </w:t>
      </w:r>
      <w:r w:rsidRPr="00E13DB6">
        <w:rPr>
          <w:rFonts w:cs="Miriam" w:hint="eastAsia"/>
          <w:b/>
          <w:spacing w:val="0"/>
          <w:sz w:val="22"/>
          <w:szCs w:val="24"/>
          <w:rtl/>
        </w:rPr>
        <w:t>נ</w:t>
      </w:r>
      <w:r w:rsidRPr="00E13DB6">
        <w:rPr>
          <w:rFonts w:cs="Miriam"/>
          <w:b/>
          <w:spacing w:val="0"/>
          <w:sz w:val="22"/>
          <w:szCs w:val="24"/>
          <w:rtl/>
        </w:rPr>
        <w:t xml:space="preserve">' </w:t>
      </w:r>
      <w:r w:rsidRPr="00E13DB6">
        <w:rPr>
          <w:rFonts w:cs="Miriam" w:hint="eastAsia"/>
          <w:b/>
          <w:spacing w:val="0"/>
          <w:sz w:val="22"/>
          <w:szCs w:val="24"/>
          <w:rtl/>
        </w:rPr>
        <w:t>שר</w:t>
      </w:r>
      <w:r w:rsidRPr="00E13DB6">
        <w:rPr>
          <w:rFonts w:cs="Miriam"/>
          <w:b/>
          <w:spacing w:val="0"/>
          <w:sz w:val="22"/>
          <w:szCs w:val="24"/>
          <w:rtl/>
        </w:rPr>
        <w:t xml:space="preserve"> </w:t>
      </w:r>
      <w:r w:rsidRPr="00E13DB6">
        <w:rPr>
          <w:rFonts w:cs="Miriam" w:hint="eastAsia"/>
          <w:b/>
          <w:spacing w:val="0"/>
          <w:sz w:val="22"/>
          <w:szCs w:val="24"/>
          <w:rtl/>
        </w:rPr>
        <w:t>הפנים</w:t>
      </w:r>
      <w:r w:rsidRPr="00E13DB6">
        <w:rPr>
          <w:rFonts w:ascii="Century" w:hAnsi="Century" w:hint="cs"/>
          <w:sz w:val="22"/>
          <w:rtl/>
        </w:rPr>
        <w:t>, פסקה 12 (2.1.2008); בג"ץ</w:t>
      </w:r>
      <w:r w:rsidRPr="00E13DB6">
        <w:rPr>
          <w:rFonts w:ascii="Century" w:hAnsi="Century" w:cs="Miriam" w:hint="cs"/>
          <w:b/>
          <w:spacing w:val="0"/>
          <w:sz w:val="22"/>
          <w:szCs w:val="24"/>
          <w:rtl/>
        </w:rPr>
        <w:t xml:space="preserve"> </w:t>
      </w:r>
      <w:r w:rsidRPr="00E13DB6">
        <w:rPr>
          <w:rFonts w:ascii="Century" w:hAnsi="Century" w:hint="cs"/>
          <w:sz w:val="22"/>
          <w:rtl/>
        </w:rPr>
        <w:t xml:space="preserve">6432/02 </w:t>
      </w:r>
      <w:r w:rsidRPr="00E13DB6">
        <w:rPr>
          <w:rFonts w:ascii="Century" w:hAnsi="Century" w:cs="Miriam" w:hint="cs"/>
          <w:b/>
          <w:spacing w:val="0"/>
          <w:sz w:val="22"/>
          <w:szCs w:val="24"/>
          <w:rtl/>
        </w:rPr>
        <w:t xml:space="preserve">איגוד קופות הגמל הענפיות נ' שר האוצר, </w:t>
      </w:r>
      <w:r w:rsidRPr="00E13DB6">
        <w:rPr>
          <w:rFonts w:ascii="Century" w:hAnsi="Century" w:hint="cs"/>
          <w:sz w:val="22"/>
          <w:rtl/>
        </w:rPr>
        <w:t>פ"ד נז(3) 918, 947-946 (2003);</w:t>
      </w:r>
      <w:r w:rsidRPr="00E13DB6">
        <w:rPr>
          <w:rFonts w:ascii="Century" w:hAnsi="Century" w:cs="Miriam" w:hint="cs"/>
          <w:b/>
          <w:spacing w:val="0"/>
          <w:sz w:val="22"/>
          <w:szCs w:val="24"/>
          <w:rtl/>
        </w:rPr>
        <w:t xml:space="preserve"> </w:t>
      </w:r>
      <w:r>
        <w:rPr>
          <w:rFonts w:hint="cs"/>
          <w:rtl/>
        </w:rPr>
        <w:t xml:space="preserve">בג"ץ 5936/97 </w:t>
      </w:r>
      <w:r w:rsidRPr="00E13DB6">
        <w:rPr>
          <w:rFonts w:ascii="Century" w:hAnsi="Century" w:cs="Miriam" w:hint="cs"/>
          <w:b/>
          <w:spacing w:val="0"/>
          <w:sz w:val="22"/>
          <w:szCs w:val="24"/>
          <w:rtl/>
        </w:rPr>
        <w:t>לם נ' מנכ"ל משרד החינוך והספורט</w:t>
      </w:r>
      <w:r>
        <w:rPr>
          <w:rFonts w:hint="cs"/>
          <w:rtl/>
        </w:rPr>
        <w:t>, פ"ד נג(4) 673, 690 (1999)</w:t>
      </w:r>
      <w:r w:rsidRPr="00E13DB6">
        <w:rPr>
          <w:rFonts w:ascii="Century" w:hAnsi="Century" w:cs="Miriam" w:hint="cs"/>
          <w:b/>
          <w:spacing w:val="0"/>
          <w:sz w:val="22"/>
          <w:szCs w:val="24"/>
          <w:rtl/>
        </w:rPr>
        <w:t xml:space="preserve">; </w:t>
      </w:r>
      <w:r w:rsidRPr="000C1D89">
        <w:rPr>
          <w:rFonts w:ascii="Century" w:hAnsi="Century" w:hint="cs"/>
          <w:sz w:val="22"/>
          <w:rtl/>
        </w:rPr>
        <w:t>זמיר</w:t>
      </w:r>
      <w:r w:rsidRPr="00E13DB6">
        <w:rPr>
          <w:rFonts w:ascii="Century" w:hAnsi="Century" w:cs="Miriam" w:hint="cs"/>
          <w:b/>
          <w:spacing w:val="0"/>
          <w:sz w:val="22"/>
          <w:szCs w:val="24"/>
          <w:rtl/>
        </w:rPr>
        <w:t>,</w:t>
      </w:r>
      <w:r w:rsidRPr="00ED1EFA">
        <w:rPr>
          <w:rFonts w:hint="cs"/>
          <w:rtl/>
        </w:rPr>
        <w:t xml:space="preserve"> </w:t>
      </w:r>
      <w:r>
        <w:rPr>
          <w:rFonts w:hint="cs"/>
          <w:rtl/>
        </w:rPr>
        <w:t xml:space="preserve">כרך ב, בעמ' 1370). ההחלטה בדבר הסעד המתאים תשנה ממקרה למקרה, ותתקבל, בין היתר בהתחשב באופי ההחלטה ובמאטריה בה עסקינן. </w:t>
      </w:r>
    </w:p>
    <w:p w:rsidR="00BB076B" w:rsidRPr="00DD6F86" w:rsidRDefault="00BB076B" w:rsidP="00BB076B">
      <w:pPr>
        <w:pStyle w:val="Ruller41"/>
      </w:pPr>
    </w:p>
    <w:p w:rsidR="00BB076B" w:rsidRDefault="00BB076B" w:rsidP="00BB076B">
      <w:pPr>
        <w:pStyle w:val="Ruller4"/>
        <w:overflowPunct w:val="0"/>
        <w:autoSpaceDE w:val="0"/>
        <w:autoSpaceDN w:val="0"/>
        <w:adjustRightInd w:val="0"/>
        <w:spacing w:before="0" w:after="0" w:afterAutospacing="0"/>
        <w:textAlignment w:val="baseline"/>
        <w:rPr>
          <w:rtl/>
        </w:rPr>
      </w:pPr>
      <w:r>
        <w:rPr>
          <w:rFonts w:hint="cs"/>
          <w:rtl/>
        </w:rPr>
        <w:t>בענייננו עסקינן במבחני תמיכה שהם פרי של מדיניות כלכלית, וכפי שציין חברי בפסקאות 39-38 לחוות דעתו, למדינה נתון שיקול דעת רחב בהקשרים אלה, וזאת</w:t>
      </w:r>
      <w:r w:rsidRPr="00A158FA">
        <w:rPr>
          <w:rFonts w:hint="cs"/>
          <w:rtl/>
        </w:rPr>
        <w:t xml:space="preserve"> בהתאם לראייתה את צרכי המדינה והמשק, סדרי העדיפויות, שיקולי תקציב וכן בהתאם לשינויים מעת </w:t>
      </w:r>
      <w:r w:rsidRPr="00A158FA">
        <w:rPr>
          <w:rFonts w:hint="cs"/>
          <w:rtl/>
        </w:rPr>
        <w:lastRenderedPageBreak/>
        <w:t xml:space="preserve">לעת בצרכי החברה והמדינה (בג"ץ </w:t>
      </w:r>
      <w:r>
        <w:rPr>
          <w:rFonts w:hint="cs"/>
          <w:rtl/>
        </w:rPr>
        <w:t xml:space="preserve">5984/20 </w:t>
      </w:r>
      <w:r w:rsidRPr="00A158FA">
        <w:rPr>
          <w:rFonts w:ascii="Century" w:hAnsi="Century" w:cs="Miriam" w:hint="cs"/>
          <w:b/>
          <w:spacing w:val="0"/>
          <w:sz w:val="22"/>
          <w:szCs w:val="24"/>
          <w:rtl/>
        </w:rPr>
        <w:t>המון-ווליום בע"מ נ' ממשלת ישראל</w:t>
      </w:r>
      <w:r>
        <w:rPr>
          <w:rFonts w:hint="cs"/>
          <w:rtl/>
        </w:rPr>
        <w:t>, פסקה 3</w:t>
      </w:r>
      <w:r w:rsidRPr="004070E3">
        <w:rPr>
          <w:rFonts w:hint="cs"/>
          <w:rtl/>
        </w:rPr>
        <w:t xml:space="preserve"> </w:t>
      </w:r>
      <w:r>
        <w:rPr>
          <w:rFonts w:hint="cs"/>
          <w:rtl/>
        </w:rPr>
        <w:t xml:space="preserve">(3.11.2020); בג"ץ 7691/95 </w:t>
      </w:r>
      <w:r w:rsidRPr="00A158FA">
        <w:rPr>
          <w:rFonts w:ascii="Century" w:hAnsi="Century" w:cs="Miriam" w:hint="cs"/>
          <w:b/>
          <w:spacing w:val="0"/>
          <w:sz w:val="22"/>
          <w:szCs w:val="24"/>
          <w:rtl/>
        </w:rPr>
        <w:t>שגיא נ' ממשלת ישראל</w:t>
      </w:r>
      <w:r w:rsidRPr="00CB23EC">
        <w:rPr>
          <w:rFonts w:ascii="Century" w:hAnsi="Century"/>
          <w:sz w:val="22"/>
          <w:rtl/>
        </w:rPr>
        <w:t xml:space="preserve">, </w:t>
      </w:r>
      <w:r w:rsidRPr="00CB23EC">
        <w:rPr>
          <w:rFonts w:ascii="Century" w:hAnsi="Century" w:hint="eastAsia"/>
          <w:sz w:val="22"/>
          <w:rtl/>
        </w:rPr>
        <w:t>פ</w:t>
      </w:r>
      <w:r w:rsidRPr="00CB23EC">
        <w:rPr>
          <w:rFonts w:ascii="Century" w:hAnsi="Century"/>
          <w:sz w:val="22"/>
          <w:rtl/>
        </w:rPr>
        <w:t>"</w:t>
      </w:r>
      <w:r w:rsidRPr="00CB23EC">
        <w:rPr>
          <w:rFonts w:ascii="Century" w:hAnsi="Century" w:hint="eastAsia"/>
          <w:sz w:val="22"/>
          <w:rtl/>
        </w:rPr>
        <w:t>ד</w:t>
      </w:r>
      <w:r w:rsidRPr="00CB23EC">
        <w:rPr>
          <w:rFonts w:ascii="Century" w:hAnsi="Century"/>
          <w:sz w:val="22"/>
          <w:rtl/>
        </w:rPr>
        <w:t xml:space="preserve"> </w:t>
      </w:r>
      <w:r w:rsidRPr="00CB23EC">
        <w:rPr>
          <w:rFonts w:ascii="Century" w:hAnsi="Century" w:hint="eastAsia"/>
          <w:sz w:val="22"/>
          <w:rtl/>
        </w:rPr>
        <w:t>נב</w:t>
      </w:r>
      <w:r w:rsidRPr="00CB23EC">
        <w:rPr>
          <w:rFonts w:ascii="Century" w:hAnsi="Century"/>
          <w:sz w:val="22"/>
          <w:rtl/>
        </w:rPr>
        <w:t>(5)</w:t>
      </w:r>
      <w:r w:rsidRPr="00031438">
        <w:rPr>
          <w:rFonts w:ascii="Century" w:hAnsi="Century" w:cs="Miriam" w:hint="cs"/>
          <w:b/>
          <w:spacing w:val="0"/>
          <w:sz w:val="22"/>
          <w:szCs w:val="24"/>
          <w:rtl/>
        </w:rPr>
        <w:t xml:space="preserve"> </w:t>
      </w:r>
      <w:r w:rsidRPr="00A158FA">
        <w:rPr>
          <w:rFonts w:ascii="Century" w:hAnsi="Century" w:hint="cs"/>
          <w:sz w:val="22"/>
          <w:rtl/>
        </w:rPr>
        <w:t xml:space="preserve">577, </w:t>
      </w:r>
      <w:r>
        <w:rPr>
          <w:rFonts w:ascii="Century" w:hAnsi="Century" w:hint="cs"/>
          <w:sz w:val="22"/>
          <w:rtl/>
        </w:rPr>
        <w:t>607-606</w:t>
      </w:r>
      <w:r w:rsidRPr="00A158FA">
        <w:rPr>
          <w:rFonts w:ascii="Century" w:hAnsi="Century" w:hint="cs"/>
          <w:sz w:val="22"/>
          <w:rtl/>
        </w:rPr>
        <w:t xml:space="preserve"> (1998)</w:t>
      </w:r>
      <w:r w:rsidRPr="00A158FA">
        <w:rPr>
          <w:rFonts w:ascii="Century" w:hAnsi="Century" w:cs="Miriam" w:hint="cs"/>
          <w:b/>
          <w:spacing w:val="0"/>
          <w:sz w:val="22"/>
          <w:szCs w:val="24"/>
          <w:rtl/>
        </w:rPr>
        <w:t>;</w:t>
      </w:r>
      <w:r w:rsidRPr="000472CB">
        <w:rPr>
          <w:rFonts w:hint="cs"/>
          <w:rtl/>
        </w:rPr>
        <w:t xml:space="preserve"> </w:t>
      </w:r>
      <w:r>
        <w:rPr>
          <w:rFonts w:hint="cs"/>
          <w:rtl/>
        </w:rPr>
        <w:t xml:space="preserve">בג"ץ 3795/95 </w:t>
      </w:r>
      <w:r w:rsidRPr="00A158FA">
        <w:rPr>
          <w:rFonts w:ascii="Century" w:hAnsi="Century" w:cs="Miriam" w:hint="cs"/>
          <w:b/>
          <w:spacing w:val="0"/>
          <w:sz w:val="22"/>
          <w:szCs w:val="24"/>
          <w:rtl/>
        </w:rPr>
        <w:t>קניאל נ' ממשלת ישראל</w:t>
      </w:r>
      <w:r>
        <w:rPr>
          <w:rFonts w:hint="cs"/>
          <w:rtl/>
        </w:rPr>
        <w:t xml:space="preserve">, פ"ד נג(5) 459, 497 (1999); בג"ץ 402/89 </w:t>
      </w:r>
      <w:r w:rsidRPr="00A158FA">
        <w:rPr>
          <w:rFonts w:ascii="Century" w:hAnsi="Century" w:cs="Miriam" w:hint="cs"/>
          <w:b/>
          <w:spacing w:val="0"/>
          <w:sz w:val="22"/>
          <w:szCs w:val="24"/>
          <w:rtl/>
        </w:rPr>
        <w:t>ההתאחדות לכדורגל בישראל נ' שר החינוך והתרבות ושר והאוצר</w:t>
      </w:r>
      <w:r>
        <w:rPr>
          <w:rFonts w:hint="cs"/>
          <w:rtl/>
        </w:rPr>
        <w:t>, פ"ד מג(2) 179, 182 (1989))</w:t>
      </w:r>
      <w:r w:rsidRPr="00A158FA">
        <w:rPr>
          <w:rtl/>
        </w:rPr>
        <w:t>.</w:t>
      </w:r>
      <w:r w:rsidRPr="00A158FA">
        <w:rPr>
          <w:rFonts w:hint="cs"/>
          <w:rtl/>
        </w:rPr>
        <w:t xml:space="preserve"> </w:t>
      </w:r>
      <w:r>
        <w:rPr>
          <w:rFonts w:hint="cs"/>
          <w:rtl/>
        </w:rPr>
        <w:t xml:space="preserve">מכאן הקושי שבסעד שהציע חברי, שעניינו קביעת מדיניות הממשלה לשנה הקרובה. </w:t>
      </w:r>
      <w:r>
        <w:rPr>
          <w:rFonts w:ascii="Century" w:hAnsi="Century" w:hint="cs"/>
          <w:sz w:val="22"/>
          <w:rtl/>
        </w:rPr>
        <w:t xml:space="preserve">משמעותה המעשית של הצעת חברי היא כי נורה לממשלה כיצד עליה לפעול במשך שנת הלימודים כולה. משהורינו על ביטול הוראת המעבר, על הרשות לקבוע הוראה אחרת שמצויה במתחם הסבירות שכן כלל היסוד הוא כי בית משפט זה לא יחליף את שיקול הדעת של הרשות בשיקול דעתו שלו (עניין </w:t>
      </w:r>
      <w:r w:rsidRPr="0075619F">
        <w:rPr>
          <w:rFonts w:ascii="Century" w:hAnsi="Century" w:cs="Miriam" w:hint="cs"/>
          <w:b/>
          <w:spacing w:val="0"/>
          <w:sz w:val="22"/>
          <w:szCs w:val="24"/>
          <w:rtl/>
        </w:rPr>
        <w:t>דפי זהב</w:t>
      </w:r>
      <w:r>
        <w:rPr>
          <w:rFonts w:ascii="Century" w:hAnsi="Century" w:hint="cs"/>
          <w:sz w:val="22"/>
          <w:rtl/>
        </w:rPr>
        <w:t xml:space="preserve">, בעמ' 445; בג"ץ 2534/97 </w:t>
      </w:r>
      <w:r w:rsidRPr="0075619F">
        <w:rPr>
          <w:rFonts w:ascii="Century" w:hAnsi="Century" w:cs="Miriam" w:hint="cs"/>
          <w:b/>
          <w:spacing w:val="0"/>
          <w:sz w:val="22"/>
          <w:szCs w:val="24"/>
          <w:rtl/>
        </w:rPr>
        <w:t>יהב נ' פרקליטת המדינה</w:t>
      </w:r>
      <w:r>
        <w:rPr>
          <w:rFonts w:ascii="Century" w:hAnsi="Century" w:hint="cs"/>
          <w:sz w:val="22"/>
          <w:rtl/>
        </w:rPr>
        <w:t xml:space="preserve">, פ"ד נא(3) 1, 28 (1997); בג"ץ 953/89 </w:t>
      </w:r>
      <w:r w:rsidRPr="0075619F">
        <w:rPr>
          <w:rFonts w:ascii="Century" w:hAnsi="Century" w:cs="Miriam" w:hint="cs"/>
          <w:b/>
          <w:spacing w:val="0"/>
          <w:sz w:val="22"/>
          <w:szCs w:val="24"/>
          <w:rtl/>
        </w:rPr>
        <w:t>אינדור נ' ראש עיריית ירושלים</w:t>
      </w:r>
      <w:r>
        <w:rPr>
          <w:rFonts w:ascii="Century" w:hAnsi="Century" w:hint="cs"/>
          <w:sz w:val="22"/>
          <w:rtl/>
        </w:rPr>
        <w:t xml:space="preserve">, פ"ד מה(4) 683, 694 (1991)). </w:t>
      </w:r>
    </w:p>
    <w:p w:rsidR="00BB076B" w:rsidRPr="00DD6F86" w:rsidRDefault="00BB076B" w:rsidP="00BB076B">
      <w:pPr>
        <w:pStyle w:val="Ruller41"/>
        <w:rPr>
          <w:rtl/>
        </w:rPr>
      </w:pPr>
    </w:p>
    <w:p w:rsidR="00BB076B" w:rsidRDefault="00BB076B" w:rsidP="00BB076B">
      <w:pPr>
        <w:pStyle w:val="Ruller4"/>
        <w:spacing w:before="0" w:after="0" w:afterAutospacing="0"/>
        <w:rPr>
          <w:rtl/>
        </w:rPr>
      </w:pPr>
      <w:r>
        <w:rPr>
          <w:rFonts w:hint="cs"/>
          <w:rtl/>
        </w:rPr>
        <w:t xml:space="preserve">אכן, אף אני בדעה כי בנסיבות המורכבות שנוצרו, כמו גם בנקודת הזמן שבה אנו נמצאים בשנת הלימודים, לא ניתן לקבוע הוראת מעבר סבירה שתביא לשלילה מוחלטת של התמיכה במהלך התקופה שעד לסיום שנת הלימודים הנוכחית, כפי שביקשו המשיבים לעשות. עם זאת, אין לקבוע אפריורית כי אין בידי השרים כלים שיאפשרו להם לבחון הסדר מדורג שיאפשר לפעוטות להמשיך ולשהות במעונות היום במהלך שנת הלימודים הנוכחית ויש לאפשר להם בחינה כאמור. משכך, </w:t>
      </w:r>
      <w:r w:rsidRPr="00926958">
        <w:rPr>
          <w:rFonts w:hint="eastAsia"/>
          <w:rtl/>
        </w:rPr>
        <w:t>לו</w:t>
      </w:r>
      <w:r w:rsidRPr="00926958">
        <w:rPr>
          <w:rtl/>
        </w:rPr>
        <w:t xml:space="preserve"> </w:t>
      </w:r>
      <w:r w:rsidRPr="00926958">
        <w:rPr>
          <w:rFonts w:hint="eastAsia"/>
          <w:rtl/>
        </w:rPr>
        <w:t>נשמעה</w:t>
      </w:r>
      <w:r w:rsidRPr="00926958">
        <w:rPr>
          <w:rtl/>
        </w:rPr>
        <w:t xml:space="preserve"> </w:t>
      </w:r>
      <w:r w:rsidRPr="00926958">
        <w:rPr>
          <w:rFonts w:hint="eastAsia"/>
          <w:rtl/>
        </w:rPr>
        <w:t>דעתי</w:t>
      </w:r>
      <w:r w:rsidRPr="00926958">
        <w:rPr>
          <w:rtl/>
        </w:rPr>
        <w:t xml:space="preserve">, </w:t>
      </w:r>
      <w:r w:rsidRPr="00926958">
        <w:rPr>
          <w:rFonts w:hint="eastAsia"/>
          <w:rtl/>
        </w:rPr>
        <w:t>היינו</w:t>
      </w:r>
      <w:r w:rsidRPr="00926958">
        <w:rPr>
          <w:rtl/>
        </w:rPr>
        <w:t xml:space="preserve"> </w:t>
      </w:r>
      <w:r w:rsidRPr="00926958">
        <w:rPr>
          <w:rFonts w:hint="eastAsia"/>
          <w:rtl/>
        </w:rPr>
        <w:t>מורים</w:t>
      </w:r>
      <w:r w:rsidRPr="00926958">
        <w:rPr>
          <w:rtl/>
        </w:rPr>
        <w:t xml:space="preserve"> </w:t>
      </w:r>
      <w:r w:rsidRPr="00926958">
        <w:rPr>
          <w:rFonts w:hint="eastAsia"/>
          <w:rtl/>
        </w:rPr>
        <w:t>על</w:t>
      </w:r>
      <w:r w:rsidRPr="00926958">
        <w:rPr>
          <w:rtl/>
        </w:rPr>
        <w:t xml:space="preserve"> </w:t>
      </w:r>
      <w:r>
        <w:rPr>
          <w:rFonts w:hint="cs"/>
          <w:rtl/>
        </w:rPr>
        <w:t>ביטול ההוראה בדבר מועד התחילה של מבחני התמיכה החדשים באופן שמבחני התמיכה הישנים יוסיפו לעמוד בעינם עד להחלטה אחרת של השרים, שתתקבל תוך 30 יום. חזקה על המשיבים שבמסגרת החלטתם החדשה יתנו דעתם למלוא המורכבויות שהובאו בפסק דיננו ובכלל זאת לפגיעה במשפחות; לאורך תקופת מעבר שתאפשר למשפחות לכלכל את צעדיהן; ולמועד שבו אנו נמצאים בשנת הלימודים הנוכחית.</w:t>
      </w:r>
    </w:p>
    <w:p w:rsidR="00BB076B" w:rsidRDefault="00BB076B" w:rsidP="00BB076B">
      <w:pPr>
        <w:pStyle w:val="Ruller41"/>
        <w:rPr>
          <w:rtl/>
        </w:rPr>
      </w:pPr>
    </w:p>
    <w:p w:rsidR="00BB076B" w:rsidRPr="00F01FBF" w:rsidRDefault="00BB076B" w:rsidP="00BB076B">
      <w:pPr>
        <w:pStyle w:val="Ruller41"/>
        <w:jc w:val="right"/>
      </w:pPr>
      <w:r>
        <w:rPr>
          <w:rFonts w:hint="cs"/>
          <w:rtl/>
        </w:rPr>
        <w:lastRenderedPageBreak/>
        <w:t>ש ו פ ט</w:t>
      </w:r>
    </w:p>
    <w:p w:rsidR="00BB076B" w:rsidRDefault="00BB076B" w:rsidP="00BB076B">
      <w:pPr>
        <w:pStyle w:val="Ruller41"/>
        <w:rPr>
          <w:rtl/>
        </w:rPr>
      </w:pPr>
    </w:p>
    <w:p w:rsidR="00BB076B" w:rsidRDefault="00BB076B" w:rsidP="00B1639B">
      <w:pPr>
        <w:pStyle w:val="Ruller41"/>
        <w:rPr>
          <w:rFonts w:ascii="Century" w:hAnsi="Century"/>
          <w:rtl/>
        </w:rPr>
      </w:pPr>
      <w:r>
        <w:rPr>
          <w:rtl/>
        </w:rPr>
        <w:tab/>
      </w:r>
      <w:r>
        <w:rPr>
          <w:rFonts w:hint="cs"/>
          <w:rtl/>
        </w:rPr>
        <w:t xml:space="preserve">הוחלט פה אחד כי הוראת המעבר במבחני התמיכה לסבסוד שכר הלימוד במעונות היום לא עולה בקנה אחד עם כללי המשפט המינהלי. לעניין הסעד, הוחלט ברוב דעות כאמור בפסק דינו של השופט </w:t>
      </w:r>
      <w:r w:rsidRPr="00914DB4">
        <w:rPr>
          <w:rFonts w:ascii="Century" w:hAnsi="Century" w:cs="Miriam" w:hint="cs"/>
          <w:b/>
          <w:spacing w:val="0"/>
          <w:szCs w:val="24"/>
          <w:rtl/>
        </w:rPr>
        <w:t>א' שטיין</w:t>
      </w:r>
      <w:r>
        <w:rPr>
          <w:rFonts w:hint="cs"/>
          <w:rtl/>
        </w:rPr>
        <w:t xml:space="preserve">, כנגד דעתו החולקת של השופט </w:t>
      </w:r>
      <w:r>
        <w:rPr>
          <w:rFonts w:ascii="Century" w:hAnsi="Century" w:cs="Miriam" w:hint="cs"/>
          <w:b/>
          <w:spacing w:val="0"/>
          <w:szCs w:val="24"/>
          <w:rtl/>
        </w:rPr>
        <w:t>ע' פוגלמן</w:t>
      </w:r>
      <w:r>
        <w:rPr>
          <w:rFonts w:ascii="Century" w:hAnsi="Century" w:hint="cs"/>
          <w:rtl/>
        </w:rPr>
        <w:t>.</w:t>
      </w:r>
    </w:p>
    <w:p w:rsidR="00BB076B" w:rsidRDefault="00BB076B" w:rsidP="00BB076B">
      <w:pPr>
        <w:pStyle w:val="Ruller41"/>
        <w:rPr>
          <w:rFonts w:ascii="Century" w:hAnsi="Century"/>
          <w:rtl/>
        </w:rPr>
      </w:pPr>
    </w:p>
    <w:p w:rsidR="007C586A" w:rsidRDefault="007C586A" w:rsidP="007C7E94">
      <w:pPr>
        <w:pStyle w:val="Ruller41"/>
        <w:rPr>
          <w:rFonts w:ascii="Century" w:hAnsi="Century"/>
          <w:rtl/>
        </w:rPr>
      </w:pPr>
      <w:r>
        <w:rPr>
          <w:rFonts w:ascii="Century" w:hAnsi="Century"/>
          <w:rtl/>
        </w:rPr>
        <w:tab/>
      </w:r>
      <w:r>
        <w:rPr>
          <w:rFonts w:ascii="Century" w:hAnsi="Century" w:hint="eastAsia"/>
          <w:rtl/>
        </w:rPr>
        <w:t>ניתן</w:t>
      </w:r>
      <w:r>
        <w:rPr>
          <w:rFonts w:ascii="Century" w:hAnsi="Century"/>
          <w:rtl/>
        </w:rPr>
        <w:t xml:space="preserve"> </w:t>
      </w:r>
      <w:r>
        <w:rPr>
          <w:rFonts w:ascii="Century" w:hAnsi="Century" w:hint="eastAsia"/>
          <w:rtl/>
        </w:rPr>
        <w:t>היום</w:t>
      </w:r>
      <w:r>
        <w:rPr>
          <w:rFonts w:ascii="Century" w:hAnsi="Century"/>
          <w:rtl/>
        </w:rPr>
        <w:t xml:space="preserve">, </w:t>
      </w:r>
      <w:r w:rsidR="00D765C9">
        <w:rPr>
          <w:rFonts w:ascii="Century" w:hAnsi="Century" w:hint="eastAsia"/>
          <w:rtl/>
        </w:rPr>
        <w:t>‏</w:t>
      </w:r>
      <w:r w:rsidR="00D765C9">
        <w:rPr>
          <w:rFonts w:ascii="Century" w:hAnsi="Century" w:hint="cs"/>
          <w:rtl/>
        </w:rPr>
        <w:t>י</w:t>
      </w:r>
      <w:r>
        <w:rPr>
          <w:rFonts w:ascii="Century" w:hAnsi="Century"/>
          <w:rtl/>
        </w:rPr>
        <w:t xml:space="preserve">' </w:t>
      </w:r>
      <w:r>
        <w:rPr>
          <w:rFonts w:ascii="Century" w:hAnsi="Century" w:hint="eastAsia"/>
          <w:rtl/>
        </w:rPr>
        <w:t>בשבט</w:t>
      </w:r>
      <w:r>
        <w:rPr>
          <w:rFonts w:ascii="Century" w:hAnsi="Century"/>
          <w:rtl/>
        </w:rPr>
        <w:t xml:space="preserve"> </w:t>
      </w:r>
      <w:r>
        <w:rPr>
          <w:rFonts w:ascii="Century" w:hAnsi="Century" w:hint="eastAsia"/>
          <w:rtl/>
        </w:rPr>
        <w:t>התשפ</w:t>
      </w:r>
      <w:r>
        <w:rPr>
          <w:rFonts w:ascii="Century" w:hAnsi="Century"/>
          <w:rtl/>
        </w:rPr>
        <w:t>"</w:t>
      </w:r>
      <w:r>
        <w:rPr>
          <w:rFonts w:ascii="Century" w:hAnsi="Century" w:hint="eastAsia"/>
          <w:rtl/>
        </w:rPr>
        <w:t>ב</w:t>
      </w:r>
      <w:r>
        <w:rPr>
          <w:rFonts w:ascii="Century" w:hAnsi="Century"/>
          <w:rtl/>
        </w:rPr>
        <w:t xml:space="preserve"> (</w:t>
      </w:r>
      <w:r>
        <w:rPr>
          <w:rFonts w:ascii="Century" w:hAnsi="Century" w:hint="eastAsia"/>
          <w:rtl/>
        </w:rPr>
        <w:t>‏</w:t>
      </w:r>
      <w:r w:rsidR="00D765C9">
        <w:rPr>
          <w:rFonts w:ascii="Century" w:hAnsi="Century" w:hint="cs"/>
          <w:rtl/>
        </w:rPr>
        <w:t>12</w:t>
      </w:r>
      <w:r>
        <w:rPr>
          <w:rFonts w:ascii="Century" w:hAnsi="Century"/>
          <w:rtl/>
        </w:rPr>
        <w:t>.1.2022).</w:t>
      </w:r>
    </w:p>
    <w:p w:rsidR="00914DB4" w:rsidRDefault="00914DB4" w:rsidP="00914DB4">
      <w:pPr>
        <w:pStyle w:val="Ruller41"/>
        <w:rPr>
          <w:rFonts w:ascii="Century" w:hAnsi="Century"/>
          <w:rtl/>
        </w:rPr>
      </w:pPr>
    </w:p>
    <w:p w:rsidR="007C7E94" w:rsidRDefault="007C7E94" w:rsidP="00914DB4">
      <w:pPr>
        <w:pStyle w:val="Ruller41"/>
        <w:rPr>
          <w:rFonts w:ascii="Century" w:hAnsi="Century"/>
          <w:rtl/>
        </w:rPr>
      </w:pPr>
    </w:p>
    <w:tbl>
      <w:tblPr>
        <w:bidiVisual/>
        <w:tblW w:w="8363" w:type="dxa"/>
        <w:tblLook w:val="01E0" w:firstRow="1" w:lastRow="1" w:firstColumn="1" w:lastColumn="1" w:noHBand="0" w:noVBand="0"/>
      </w:tblPr>
      <w:tblGrid>
        <w:gridCol w:w="2787"/>
        <w:gridCol w:w="2788"/>
        <w:gridCol w:w="2788"/>
      </w:tblGrid>
      <w:tr w:rsidR="00914DB4" w:rsidTr="00247689">
        <w:tc>
          <w:tcPr>
            <w:tcW w:w="2842" w:type="dxa"/>
            <w:shd w:val="clear" w:color="auto" w:fill="auto"/>
          </w:tcPr>
          <w:p w:rsidR="00914DB4" w:rsidRDefault="00914DB4" w:rsidP="00247689">
            <w:pPr>
              <w:pStyle w:val="Ruller41"/>
              <w:rPr>
                <w:rtl/>
              </w:rPr>
            </w:pPr>
            <w:r>
              <w:rPr>
                <w:rFonts w:hint="cs"/>
                <w:rtl/>
              </w:rPr>
              <w:t>ש</w:t>
            </w:r>
            <w:r w:rsidR="007C7E94">
              <w:rPr>
                <w:rFonts w:hint="cs"/>
                <w:rtl/>
              </w:rPr>
              <w:t xml:space="preserve"> </w:t>
            </w:r>
            <w:r>
              <w:rPr>
                <w:rFonts w:hint="cs"/>
                <w:rtl/>
              </w:rPr>
              <w:t>ו</w:t>
            </w:r>
            <w:r w:rsidR="007C7E94">
              <w:rPr>
                <w:rFonts w:hint="cs"/>
                <w:rtl/>
              </w:rPr>
              <w:t xml:space="preserve"> </w:t>
            </w:r>
            <w:r>
              <w:rPr>
                <w:rFonts w:hint="cs"/>
                <w:rtl/>
              </w:rPr>
              <w:t>פ</w:t>
            </w:r>
            <w:r w:rsidR="007C7E94">
              <w:rPr>
                <w:rFonts w:hint="cs"/>
                <w:rtl/>
              </w:rPr>
              <w:t xml:space="preserve"> </w:t>
            </w:r>
            <w:r>
              <w:rPr>
                <w:rFonts w:hint="cs"/>
                <w:rtl/>
              </w:rPr>
              <w:t>ט</w:t>
            </w:r>
          </w:p>
        </w:tc>
        <w:tc>
          <w:tcPr>
            <w:tcW w:w="2843" w:type="dxa"/>
            <w:shd w:val="clear" w:color="auto" w:fill="auto"/>
          </w:tcPr>
          <w:p w:rsidR="00914DB4" w:rsidRDefault="00914DB4" w:rsidP="00247689">
            <w:pPr>
              <w:pStyle w:val="Ruller41"/>
              <w:jc w:val="center"/>
              <w:rPr>
                <w:rtl/>
              </w:rPr>
            </w:pPr>
            <w:r>
              <w:rPr>
                <w:rtl/>
              </w:rPr>
              <w:t>ש ו פ ט</w:t>
            </w:r>
          </w:p>
        </w:tc>
        <w:tc>
          <w:tcPr>
            <w:tcW w:w="2843" w:type="dxa"/>
            <w:shd w:val="clear" w:color="auto" w:fill="auto"/>
          </w:tcPr>
          <w:p w:rsidR="00914DB4" w:rsidRDefault="00914DB4" w:rsidP="00247689">
            <w:pPr>
              <w:pStyle w:val="Ruller41"/>
              <w:jc w:val="right"/>
              <w:rPr>
                <w:rtl/>
              </w:rPr>
            </w:pPr>
            <w:r>
              <w:rPr>
                <w:rtl/>
              </w:rPr>
              <w:t>ש ו פ ט</w:t>
            </w:r>
          </w:p>
        </w:tc>
      </w:tr>
    </w:tbl>
    <w:p w:rsidR="00CB2DF1" w:rsidRDefault="00CB2DF1">
      <w:pPr>
        <w:rPr>
          <w:szCs w:val="16"/>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F37229">
        <w:rPr>
          <w:sz w:val="16"/>
        </w:rPr>
        <w:t xml:space="preserve">21057820_F24.docx   </w:t>
      </w:r>
    </w:p>
    <w:p w:rsidR="003F1F97" w:rsidRDefault="00591983" w:rsidP="00CE5B42">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8" w:history="1">
        <w:r w:rsidR="00FC0252" w:rsidRPr="00BB4C68">
          <w:rPr>
            <w:rStyle w:val="Hyperlink"/>
            <w:sz w:val="16"/>
          </w:rPr>
          <w:t>https://supreme.court.gov.il</w:t>
        </w:r>
      </w:hyperlink>
    </w:p>
    <w:sectPr w:rsidR="003F1F97" w:rsidSect="00591983">
      <w:headerReference w:type="even" r:id="rId9"/>
      <w:headerReference w:type="default" r:id="rId10"/>
      <w:footerReference w:type="even" r:id="rId11"/>
      <w:headerReference w:type="first" r:id="rId12"/>
      <w:footerReference w:type="first" r:id="rId13"/>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TUR">
    <w:altName w:val="Arial"/>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m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6" w:name="footer_line"/>
    <w:bookmarkEnd w:id="6"/>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E5408B">
      <w:rPr>
        <w:rStyle w:val="a4"/>
        <w:noProof/>
        <w:rtl/>
      </w:rPr>
      <w:t>2</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5"/>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2B2A"/>
    <w:multiLevelType w:val="multilevel"/>
    <w:tmpl w:val="69F68A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8A6001B"/>
    <w:multiLevelType w:val="hybridMultilevel"/>
    <w:tmpl w:val="C808607A"/>
    <w:lvl w:ilvl="0" w:tplc="BBECDDC0">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color w:val="auto"/>
        <w:spacing w:val="10"/>
        <w:w w:val="100"/>
        <w:kern w:val="0"/>
        <w:position w:val="0"/>
        <w:sz w:val="22"/>
        <w:szCs w:val="28"/>
        <w:u w:val="none"/>
        <w:effect w:val="none"/>
        <w:vertAlign w:val="baseline"/>
        <w:lang w:val="en-US" w:bidi="he-IL"/>
      </w:rPr>
    </w:lvl>
    <w:lvl w:ilvl="1" w:tplc="ECF27EB6">
      <w:start w:val="1"/>
      <w:numFmt w:val="hebrew1"/>
      <w:lvlText w:val="%2."/>
      <w:lvlJc w:val="center"/>
      <w:pPr>
        <w:tabs>
          <w:tab w:val="num" w:pos="786"/>
        </w:tabs>
        <w:ind w:left="786" w:hanging="360"/>
      </w:pPr>
      <w:rPr>
        <w:rFonts w:hint="default"/>
        <w:b w:val="0"/>
        <w:bCs w:val="0"/>
        <w:i w:val="0"/>
        <w:iCs w:val="0"/>
        <w:caps w:val="0"/>
        <w:smallCaps w:val="0"/>
        <w:strike w:val="0"/>
        <w:dstrike w:val="0"/>
        <w:outline w:val="0"/>
        <w:shadow w:val="0"/>
        <w:emboss w:val="0"/>
        <w:imprint w:val="0"/>
        <w:vanish w:val="0"/>
        <w:color w:val="auto"/>
        <w:spacing w:val="10"/>
        <w:w w:val="100"/>
        <w:kern w:val="0"/>
        <w:position w:val="0"/>
        <w:sz w:val="22"/>
        <w:szCs w:val="28"/>
        <w:u w:val="none"/>
        <w:effect w:val="none"/>
        <w:vertAlign w:val="baseline"/>
      </w:rPr>
    </w:lvl>
    <w:lvl w:ilvl="2" w:tplc="8F4AB282">
      <w:start w:val="1"/>
      <w:numFmt w:val="lowerRoman"/>
      <w:lvlText w:val="%3."/>
      <w:lvlJc w:val="right"/>
      <w:pPr>
        <w:tabs>
          <w:tab w:val="num" w:pos="2160"/>
        </w:tabs>
        <w:ind w:left="2160" w:hanging="180"/>
      </w:pPr>
    </w:lvl>
    <w:lvl w:ilvl="3" w:tplc="D5828EE8" w:tentative="1">
      <w:start w:val="1"/>
      <w:numFmt w:val="decimal"/>
      <w:lvlText w:val="%4."/>
      <w:lvlJc w:val="left"/>
      <w:pPr>
        <w:tabs>
          <w:tab w:val="num" w:pos="2880"/>
        </w:tabs>
        <w:ind w:left="2880" w:hanging="360"/>
      </w:pPr>
    </w:lvl>
    <w:lvl w:ilvl="4" w:tplc="EDF0C5C8" w:tentative="1">
      <w:start w:val="1"/>
      <w:numFmt w:val="lowerLetter"/>
      <w:lvlText w:val="%5."/>
      <w:lvlJc w:val="left"/>
      <w:pPr>
        <w:tabs>
          <w:tab w:val="num" w:pos="3600"/>
        </w:tabs>
        <w:ind w:left="3600" w:hanging="360"/>
      </w:pPr>
    </w:lvl>
    <w:lvl w:ilvl="5" w:tplc="08B66A56" w:tentative="1">
      <w:start w:val="1"/>
      <w:numFmt w:val="lowerRoman"/>
      <w:lvlText w:val="%6."/>
      <w:lvlJc w:val="right"/>
      <w:pPr>
        <w:tabs>
          <w:tab w:val="num" w:pos="4320"/>
        </w:tabs>
        <w:ind w:left="4320" w:hanging="180"/>
      </w:pPr>
    </w:lvl>
    <w:lvl w:ilvl="6" w:tplc="CBBEC9C6" w:tentative="1">
      <w:start w:val="1"/>
      <w:numFmt w:val="decimal"/>
      <w:lvlText w:val="%7."/>
      <w:lvlJc w:val="left"/>
      <w:pPr>
        <w:tabs>
          <w:tab w:val="num" w:pos="5040"/>
        </w:tabs>
        <w:ind w:left="5040" w:hanging="360"/>
      </w:pPr>
    </w:lvl>
    <w:lvl w:ilvl="7" w:tplc="47B42D48" w:tentative="1">
      <w:start w:val="1"/>
      <w:numFmt w:val="lowerLetter"/>
      <w:lvlText w:val="%8."/>
      <w:lvlJc w:val="left"/>
      <w:pPr>
        <w:tabs>
          <w:tab w:val="num" w:pos="5760"/>
        </w:tabs>
        <w:ind w:left="5760" w:hanging="360"/>
      </w:pPr>
    </w:lvl>
    <w:lvl w:ilvl="8" w:tplc="A64C25CA" w:tentative="1">
      <w:start w:val="1"/>
      <w:numFmt w:val="lowerRoman"/>
      <w:lvlText w:val="%9."/>
      <w:lvlJc w:val="right"/>
      <w:pPr>
        <w:tabs>
          <w:tab w:val="num" w:pos="6480"/>
        </w:tabs>
        <w:ind w:left="6480" w:hanging="180"/>
      </w:pPr>
    </w:lvl>
  </w:abstractNum>
  <w:abstractNum w:abstractNumId="12" w15:restartNumberingAfterBreak="0">
    <w:nsid w:val="1A2111DA"/>
    <w:multiLevelType w:val="hybridMultilevel"/>
    <w:tmpl w:val="0F941B02"/>
    <w:lvl w:ilvl="0" w:tplc="1F7061C6">
      <w:start w:val="1"/>
      <w:numFmt w:val="hebrew1"/>
      <w:lvlText w:val="%1."/>
      <w:lvlJc w:val="center"/>
      <w:pPr>
        <w:ind w:left="720" w:hanging="360"/>
      </w:pPr>
      <w:rPr>
        <w:lang w:val="en-US"/>
      </w:rPr>
    </w:lvl>
    <w:lvl w:ilvl="1" w:tplc="5A88906E" w:tentative="1">
      <w:start w:val="1"/>
      <w:numFmt w:val="lowerLetter"/>
      <w:lvlText w:val="%2."/>
      <w:lvlJc w:val="left"/>
      <w:pPr>
        <w:ind w:left="1440" w:hanging="360"/>
      </w:pPr>
    </w:lvl>
    <w:lvl w:ilvl="2" w:tplc="42460A32" w:tentative="1">
      <w:start w:val="1"/>
      <w:numFmt w:val="lowerRoman"/>
      <w:lvlText w:val="%3."/>
      <w:lvlJc w:val="right"/>
      <w:pPr>
        <w:ind w:left="2160" w:hanging="180"/>
      </w:pPr>
    </w:lvl>
    <w:lvl w:ilvl="3" w:tplc="6F06DAB6" w:tentative="1">
      <w:start w:val="1"/>
      <w:numFmt w:val="decimal"/>
      <w:lvlText w:val="%4."/>
      <w:lvlJc w:val="left"/>
      <w:pPr>
        <w:ind w:left="2880" w:hanging="360"/>
      </w:pPr>
    </w:lvl>
    <w:lvl w:ilvl="4" w:tplc="FC3AFEE4" w:tentative="1">
      <w:start w:val="1"/>
      <w:numFmt w:val="lowerLetter"/>
      <w:lvlText w:val="%5."/>
      <w:lvlJc w:val="left"/>
      <w:pPr>
        <w:ind w:left="3600" w:hanging="360"/>
      </w:pPr>
    </w:lvl>
    <w:lvl w:ilvl="5" w:tplc="260874A8" w:tentative="1">
      <w:start w:val="1"/>
      <w:numFmt w:val="lowerRoman"/>
      <w:lvlText w:val="%6."/>
      <w:lvlJc w:val="right"/>
      <w:pPr>
        <w:ind w:left="4320" w:hanging="180"/>
      </w:pPr>
    </w:lvl>
    <w:lvl w:ilvl="6" w:tplc="E7AC5014" w:tentative="1">
      <w:start w:val="1"/>
      <w:numFmt w:val="decimal"/>
      <w:lvlText w:val="%7."/>
      <w:lvlJc w:val="left"/>
      <w:pPr>
        <w:ind w:left="5040" w:hanging="360"/>
      </w:pPr>
    </w:lvl>
    <w:lvl w:ilvl="7" w:tplc="6CBAA17A" w:tentative="1">
      <w:start w:val="1"/>
      <w:numFmt w:val="lowerLetter"/>
      <w:lvlText w:val="%8."/>
      <w:lvlJc w:val="left"/>
      <w:pPr>
        <w:ind w:left="5760" w:hanging="360"/>
      </w:pPr>
    </w:lvl>
    <w:lvl w:ilvl="8" w:tplc="5B8EDBF0" w:tentative="1">
      <w:start w:val="1"/>
      <w:numFmt w:val="lowerRoman"/>
      <w:lvlText w:val="%9."/>
      <w:lvlJc w:val="right"/>
      <w:pPr>
        <w:ind w:left="6480" w:hanging="180"/>
      </w:pPr>
    </w:lvl>
  </w:abstractNum>
  <w:abstractNum w:abstractNumId="13" w15:restartNumberingAfterBreak="0">
    <w:nsid w:val="228920E2"/>
    <w:multiLevelType w:val="hybridMultilevel"/>
    <w:tmpl w:val="63BC7EC4"/>
    <w:lvl w:ilvl="0" w:tplc="FE9A0E76">
      <w:start w:val="1"/>
      <w:numFmt w:val="hebrew1"/>
      <w:lvlText w:val="%1."/>
      <w:lvlJc w:val="center"/>
      <w:pPr>
        <w:ind w:left="720" w:hanging="360"/>
      </w:pPr>
    </w:lvl>
    <w:lvl w:ilvl="1" w:tplc="339C5EDA" w:tentative="1">
      <w:start w:val="1"/>
      <w:numFmt w:val="lowerLetter"/>
      <w:lvlText w:val="%2."/>
      <w:lvlJc w:val="left"/>
      <w:pPr>
        <w:ind w:left="1440" w:hanging="360"/>
      </w:pPr>
    </w:lvl>
    <w:lvl w:ilvl="2" w:tplc="3BAEE014" w:tentative="1">
      <w:start w:val="1"/>
      <w:numFmt w:val="lowerRoman"/>
      <w:lvlText w:val="%3."/>
      <w:lvlJc w:val="right"/>
      <w:pPr>
        <w:ind w:left="2160" w:hanging="180"/>
      </w:pPr>
    </w:lvl>
    <w:lvl w:ilvl="3" w:tplc="157475DE" w:tentative="1">
      <w:start w:val="1"/>
      <w:numFmt w:val="decimal"/>
      <w:lvlText w:val="%4."/>
      <w:lvlJc w:val="left"/>
      <w:pPr>
        <w:ind w:left="2880" w:hanging="360"/>
      </w:pPr>
    </w:lvl>
    <w:lvl w:ilvl="4" w:tplc="4CC48322" w:tentative="1">
      <w:start w:val="1"/>
      <w:numFmt w:val="lowerLetter"/>
      <w:lvlText w:val="%5."/>
      <w:lvlJc w:val="left"/>
      <w:pPr>
        <w:ind w:left="3600" w:hanging="360"/>
      </w:pPr>
    </w:lvl>
    <w:lvl w:ilvl="5" w:tplc="24CAD1B2" w:tentative="1">
      <w:start w:val="1"/>
      <w:numFmt w:val="lowerRoman"/>
      <w:lvlText w:val="%6."/>
      <w:lvlJc w:val="right"/>
      <w:pPr>
        <w:ind w:left="4320" w:hanging="180"/>
      </w:pPr>
    </w:lvl>
    <w:lvl w:ilvl="6" w:tplc="114E52F8" w:tentative="1">
      <w:start w:val="1"/>
      <w:numFmt w:val="decimal"/>
      <w:lvlText w:val="%7."/>
      <w:lvlJc w:val="left"/>
      <w:pPr>
        <w:ind w:left="5040" w:hanging="360"/>
      </w:pPr>
    </w:lvl>
    <w:lvl w:ilvl="7" w:tplc="71D8C4A2" w:tentative="1">
      <w:start w:val="1"/>
      <w:numFmt w:val="lowerLetter"/>
      <w:lvlText w:val="%8."/>
      <w:lvlJc w:val="left"/>
      <w:pPr>
        <w:ind w:left="5760" w:hanging="360"/>
      </w:pPr>
    </w:lvl>
    <w:lvl w:ilvl="8" w:tplc="2B64FECE" w:tentative="1">
      <w:start w:val="1"/>
      <w:numFmt w:val="lowerRoman"/>
      <w:lvlText w:val="%9."/>
      <w:lvlJc w:val="right"/>
      <w:pPr>
        <w:ind w:left="6480" w:hanging="180"/>
      </w:pPr>
    </w:lvl>
  </w:abstractNum>
  <w:abstractNum w:abstractNumId="14" w15:restartNumberingAfterBreak="0">
    <w:nsid w:val="2FFA58E1"/>
    <w:multiLevelType w:val="hybridMultilevel"/>
    <w:tmpl w:val="D2D84E6A"/>
    <w:lvl w:ilvl="0" w:tplc="2870D9E8">
      <w:start w:val="1"/>
      <w:numFmt w:val="hebrew1"/>
      <w:lvlText w:val="%1."/>
      <w:lvlJc w:val="center"/>
      <w:pPr>
        <w:ind w:left="720" w:hanging="360"/>
      </w:pPr>
    </w:lvl>
    <w:lvl w:ilvl="1" w:tplc="2788106E" w:tentative="1">
      <w:start w:val="1"/>
      <w:numFmt w:val="lowerLetter"/>
      <w:lvlText w:val="%2."/>
      <w:lvlJc w:val="left"/>
      <w:pPr>
        <w:ind w:left="1440" w:hanging="360"/>
      </w:pPr>
    </w:lvl>
    <w:lvl w:ilvl="2" w:tplc="9B5C98AA" w:tentative="1">
      <w:start w:val="1"/>
      <w:numFmt w:val="lowerRoman"/>
      <w:lvlText w:val="%3."/>
      <w:lvlJc w:val="right"/>
      <w:pPr>
        <w:ind w:left="2160" w:hanging="180"/>
      </w:pPr>
    </w:lvl>
    <w:lvl w:ilvl="3" w:tplc="250456EC" w:tentative="1">
      <w:start w:val="1"/>
      <w:numFmt w:val="decimal"/>
      <w:lvlText w:val="%4."/>
      <w:lvlJc w:val="left"/>
      <w:pPr>
        <w:ind w:left="2880" w:hanging="360"/>
      </w:pPr>
    </w:lvl>
    <w:lvl w:ilvl="4" w:tplc="F000F898" w:tentative="1">
      <w:start w:val="1"/>
      <w:numFmt w:val="lowerLetter"/>
      <w:lvlText w:val="%5."/>
      <w:lvlJc w:val="left"/>
      <w:pPr>
        <w:ind w:left="3600" w:hanging="360"/>
      </w:pPr>
    </w:lvl>
    <w:lvl w:ilvl="5" w:tplc="7EC27660" w:tentative="1">
      <w:start w:val="1"/>
      <w:numFmt w:val="lowerRoman"/>
      <w:lvlText w:val="%6."/>
      <w:lvlJc w:val="right"/>
      <w:pPr>
        <w:ind w:left="4320" w:hanging="180"/>
      </w:pPr>
    </w:lvl>
    <w:lvl w:ilvl="6" w:tplc="C3541C2C" w:tentative="1">
      <w:start w:val="1"/>
      <w:numFmt w:val="decimal"/>
      <w:lvlText w:val="%7."/>
      <w:lvlJc w:val="left"/>
      <w:pPr>
        <w:ind w:left="5040" w:hanging="360"/>
      </w:pPr>
    </w:lvl>
    <w:lvl w:ilvl="7" w:tplc="29EEFB7A" w:tentative="1">
      <w:start w:val="1"/>
      <w:numFmt w:val="lowerLetter"/>
      <w:lvlText w:val="%8."/>
      <w:lvlJc w:val="left"/>
      <w:pPr>
        <w:ind w:left="5760" w:hanging="360"/>
      </w:pPr>
    </w:lvl>
    <w:lvl w:ilvl="8" w:tplc="FC68CA5C" w:tentative="1">
      <w:start w:val="1"/>
      <w:numFmt w:val="lowerRoman"/>
      <w:lvlText w:val="%9."/>
      <w:lvlJc w:val="right"/>
      <w:pPr>
        <w:ind w:left="6480" w:hanging="180"/>
      </w:pPr>
    </w:lvl>
  </w:abstractNum>
  <w:abstractNum w:abstractNumId="15" w15:restartNumberingAfterBreak="0">
    <w:nsid w:val="34346E77"/>
    <w:multiLevelType w:val="hybridMultilevel"/>
    <w:tmpl w:val="2E5E30C6"/>
    <w:lvl w:ilvl="0" w:tplc="60D894E0">
      <w:start w:val="1"/>
      <w:numFmt w:val="hebrew1"/>
      <w:lvlText w:val="%1."/>
      <w:lvlJc w:val="center"/>
      <w:pPr>
        <w:ind w:left="720" w:hanging="360"/>
      </w:pPr>
    </w:lvl>
    <w:lvl w:ilvl="1" w:tplc="C12A1476" w:tentative="1">
      <w:start w:val="1"/>
      <w:numFmt w:val="lowerLetter"/>
      <w:lvlText w:val="%2."/>
      <w:lvlJc w:val="left"/>
      <w:pPr>
        <w:ind w:left="1440" w:hanging="360"/>
      </w:pPr>
    </w:lvl>
    <w:lvl w:ilvl="2" w:tplc="35BA6FF6" w:tentative="1">
      <w:start w:val="1"/>
      <w:numFmt w:val="lowerRoman"/>
      <w:lvlText w:val="%3."/>
      <w:lvlJc w:val="right"/>
      <w:pPr>
        <w:ind w:left="2160" w:hanging="180"/>
      </w:pPr>
    </w:lvl>
    <w:lvl w:ilvl="3" w:tplc="8C540F5C" w:tentative="1">
      <w:start w:val="1"/>
      <w:numFmt w:val="decimal"/>
      <w:lvlText w:val="%4."/>
      <w:lvlJc w:val="left"/>
      <w:pPr>
        <w:ind w:left="2880" w:hanging="360"/>
      </w:pPr>
    </w:lvl>
    <w:lvl w:ilvl="4" w:tplc="B5E6B44A" w:tentative="1">
      <w:start w:val="1"/>
      <w:numFmt w:val="lowerLetter"/>
      <w:lvlText w:val="%5."/>
      <w:lvlJc w:val="left"/>
      <w:pPr>
        <w:ind w:left="3600" w:hanging="360"/>
      </w:pPr>
    </w:lvl>
    <w:lvl w:ilvl="5" w:tplc="28E0623C" w:tentative="1">
      <w:start w:val="1"/>
      <w:numFmt w:val="lowerRoman"/>
      <w:lvlText w:val="%6."/>
      <w:lvlJc w:val="right"/>
      <w:pPr>
        <w:ind w:left="4320" w:hanging="180"/>
      </w:pPr>
    </w:lvl>
    <w:lvl w:ilvl="6" w:tplc="32E878D4" w:tentative="1">
      <w:start w:val="1"/>
      <w:numFmt w:val="decimal"/>
      <w:lvlText w:val="%7."/>
      <w:lvlJc w:val="left"/>
      <w:pPr>
        <w:ind w:left="5040" w:hanging="360"/>
      </w:pPr>
    </w:lvl>
    <w:lvl w:ilvl="7" w:tplc="F85A4B74" w:tentative="1">
      <w:start w:val="1"/>
      <w:numFmt w:val="lowerLetter"/>
      <w:lvlText w:val="%8."/>
      <w:lvlJc w:val="left"/>
      <w:pPr>
        <w:ind w:left="5760" w:hanging="360"/>
      </w:pPr>
    </w:lvl>
    <w:lvl w:ilvl="8" w:tplc="25989750" w:tentative="1">
      <w:start w:val="1"/>
      <w:numFmt w:val="lowerRoman"/>
      <w:lvlText w:val="%9."/>
      <w:lvlJc w:val="right"/>
      <w:pPr>
        <w:ind w:left="6480" w:hanging="180"/>
      </w:pPr>
    </w:lvl>
  </w:abstractNum>
  <w:abstractNum w:abstractNumId="16" w15:restartNumberingAfterBreak="0">
    <w:nsid w:val="3C4570AC"/>
    <w:multiLevelType w:val="hybridMultilevel"/>
    <w:tmpl w:val="A72237A4"/>
    <w:lvl w:ilvl="0" w:tplc="E50E0F5C">
      <w:start w:val="1"/>
      <w:numFmt w:val="hebrew1"/>
      <w:lvlText w:val="%1."/>
      <w:lvlJc w:val="center"/>
      <w:pPr>
        <w:ind w:left="720" w:hanging="360"/>
      </w:pPr>
    </w:lvl>
    <w:lvl w:ilvl="1" w:tplc="879E488A" w:tentative="1">
      <w:start w:val="1"/>
      <w:numFmt w:val="lowerLetter"/>
      <w:lvlText w:val="%2."/>
      <w:lvlJc w:val="left"/>
      <w:pPr>
        <w:ind w:left="1440" w:hanging="360"/>
      </w:pPr>
    </w:lvl>
    <w:lvl w:ilvl="2" w:tplc="5146740C" w:tentative="1">
      <w:start w:val="1"/>
      <w:numFmt w:val="lowerRoman"/>
      <w:lvlText w:val="%3."/>
      <w:lvlJc w:val="right"/>
      <w:pPr>
        <w:ind w:left="2160" w:hanging="180"/>
      </w:pPr>
    </w:lvl>
    <w:lvl w:ilvl="3" w:tplc="8F0EA1B2" w:tentative="1">
      <w:start w:val="1"/>
      <w:numFmt w:val="decimal"/>
      <w:lvlText w:val="%4."/>
      <w:lvlJc w:val="left"/>
      <w:pPr>
        <w:ind w:left="2880" w:hanging="360"/>
      </w:pPr>
    </w:lvl>
    <w:lvl w:ilvl="4" w:tplc="A0209496" w:tentative="1">
      <w:start w:val="1"/>
      <w:numFmt w:val="lowerLetter"/>
      <w:lvlText w:val="%5."/>
      <w:lvlJc w:val="left"/>
      <w:pPr>
        <w:ind w:left="3600" w:hanging="360"/>
      </w:pPr>
    </w:lvl>
    <w:lvl w:ilvl="5" w:tplc="C3926B08" w:tentative="1">
      <w:start w:val="1"/>
      <w:numFmt w:val="lowerRoman"/>
      <w:lvlText w:val="%6."/>
      <w:lvlJc w:val="right"/>
      <w:pPr>
        <w:ind w:left="4320" w:hanging="180"/>
      </w:pPr>
    </w:lvl>
    <w:lvl w:ilvl="6" w:tplc="A5589A5A" w:tentative="1">
      <w:start w:val="1"/>
      <w:numFmt w:val="decimal"/>
      <w:lvlText w:val="%7."/>
      <w:lvlJc w:val="left"/>
      <w:pPr>
        <w:ind w:left="5040" w:hanging="360"/>
      </w:pPr>
    </w:lvl>
    <w:lvl w:ilvl="7" w:tplc="E88CFAC2" w:tentative="1">
      <w:start w:val="1"/>
      <w:numFmt w:val="lowerLetter"/>
      <w:lvlText w:val="%8."/>
      <w:lvlJc w:val="left"/>
      <w:pPr>
        <w:ind w:left="5760" w:hanging="360"/>
      </w:pPr>
    </w:lvl>
    <w:lvl w:ilvl="8" w:tplc="A962B17A" w:tentative="1">
      <w:start w:val="1"/>
      <w:numFmt w:val="lowerRoman"/>
      <w:lvlText w:val="%9."/>
      <w:lvlJc w:val="right"/>
      <w:pPr>
        <w:ind w:left="6480" w:hanging="180"/>
      </w:pPr>
    </w:lvl>
  </w:abstractNum>
  <w:abstractNum w:abstractNumId="17" w15:restartNumberingAfterBreak="0">
    <w:nsid w:val="471F20C6"/>
    <w:multiLevelType w:val="multilevel"/>
    <w:tmpl w:val="052A7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E70B62"/>
    <w:multiLevelType w:val="hybridMultilevel"/>
    <w:tmpl w:val="ADA8711E"/>
    <w:lvl w:ilvl="0" w:tplc="97FE5232">
      <w:start w:val="1"/>
      <w:numFmt w:val="hebrew1"/>
      <w:pStyle w:val="Ruller40"/>
      <w:lvlText w:val="%1."/>
      <w:lvlJc w:val="left"/>
      <w:pPr>
        <w:tabs>
          <w:tab w:val="num" w:pos="907"/>
        </w:tabs>
        <w:ind w:left="0" w:firstLine="0"/>
      </w:pPr>
      <w:rPr>
        <w:rFonts w:hint="default"/>
      </w:rPr>
    </w:lvl>
    <w:lvl w:ilvl="1" w:tplc="B7F480AC" w:tentative="1">
      <w:start w:val="1"/>
      <w:numFmt w:val="lowerLetter"/>
      <w:lvlText w:val="%2."/>
      <w:lvlJc w:val="left"/>
      <w:pPr>
        <w:tabs>
          <w:tab w:val="num" w:pos="1440"/>
        </w:tabs>
        <w:ind w:left="1440" w:hanging="360"/>
      </w:pPr>
    </w:lvl>
    <w:lvl w:ilvl="2" w:tplc="E20ED77E" w:tentative="1">
      <w:start w:val="1"/>
      <w:numFmt w:val="lowerRoman"/>
      <w:lvlText w:val="%3."/>
      <w:lvlJc w:val="right"/>
      <w:pPr>
        <w:tabs>
          <w:tab w:val="num" w:pos="2160"/>
        </w:tabs>
        <w:ind w:left="2160" w:hanging="180"/>
      </w:pPr>
    </w:lvl>
    <w:lvl w:ilvl="3" w:tplc="A830DAA6" w:tentative="1">
      <w:start w:val="1"/>
      <w:numFmt w:val="decimal"/>
      <w:lvlText w:val="%4."/>
      <w:lvlJc w:val="left"/>
      <w:pPr>
        <w:tabs>
          <w:tab w:val="num" w:pos="2880"/>
        </w:tabs>
        <w:ind w:left="2880" w:hanging="360"/>
      </w:pPr>
    </w:lvl>
    <w:lvl w:ilvl="4" w:tplc="8E0E509C" w:tentative="1">
      <w:start w:val="1"/>
      <w:numFmt w:val="lowerLetter"/>
      <w:lvlText w:val="%5."/>
      <w:lvlJc w:val="left"/>
      <w:pPr>
        <w:tabs>
          <w:tab w:val="num" w:pos="3600"/>
        </w:tabs>
        <w:ind w:left="3600" w:hanging="360"/>
      </w:pPr>
    </w:lvl>
    <w:lvl w:ilvl="5" w:tplc="BF8E3696" w:tentative="1">
      <w:start w:val="1"/>
      <w:numFmt w:val="lowerRoman"/>
      <w:lvlText w:val="%6."/>
      <w:lvlJc w:val="right"/>
      <w:pPr>
        <w:tabs>
          <w:tab w:val="num" w:pos="4320"/>
        </w:tabs>
        <w:ind w:left="4320" w:hanging="180"/>
      </w:pPr>
    </w:lvl>
    <w:lvl w:ilvl="6" w:tplc="975886B4" w:tentative="1">
      <w:start w:val="1"/>
      <w:numFmt w:val="decimal"/>
      <w:lvlText w:val="%7."/>
      <w:lvlJc w:val="left"/>
      <w:pPr>
        <w:tabs>
          <w:tab w:val="num" w:pos="5040"/>
        </w:tabs>
        <w:ind w:left="5040" w:hanging="360"/>
      </w:pPr>
    </w:lvl>
    <w:lvl w:ilvl="7" w:tplc="4CF6C72C" w:tentative="1">
      <w:start w:val="1"/>
      <w:numFmt w:val="lowerLetter"/>
      <w:lvlText w:val="%8."/>
      <w:lvlJc w:val="left"/>
      <w:pPr>
        <w:tabs>
          <w:tab w:val="num" w:pos="5760"/>
        </w:tabs>
        <w:ind w:left="5760" w:hanging="360"/>
      </w:pPr>
    </w:lvl>
    <w:lvl w:ilvl="8" w:tplc="75687C28" w:tentative="1">
      <w:start w:val="1"/>
      <w:numFmt w:val="lowerRoman"/>
      <w:lvlText w:val="%9."/>
      <w:lvlJc w:val="right"/>
      <w:pPr>
        <w:tabs>
          <w:tab w:val="num" w:pos="6480"/>
        </w:tabs>
        <w:ind w:left="6480" w:hanging="180"/>
      </w:pPr>
    </w:lvl>
  </w:abstractNum>
  <w:abstractNum w:abstractNumId="19" w15:restartNumberingAfterBreak="0">
    <w:nsid w:val="63267D8C"/>
    <w:multiLevelType w:val="hybridMultilevel"/>
    <w:tmpl w:val="F5045734"/>
    <w:lvl w:ilvl="0" w:tplc="365EFBD0">
      <w:start w:val="1"/>
      <w:numFmt w:val="hebrew1"/>
      <w:lvlText w:val="%1."/>
      <w:lvlJc w:val="left"/>
      <w:pPr>
        <w:ind w:left="1080" w:hanging="360"/>
      </w:pPr>
      <w:rPr>
        <w:rFonts w:ascii="Garamond" w:eastAsia="Times New Roman" w:hAnsi="Garamond" w:cs="FrankRuehl"/>
        <w:sz w:val="28"/>
        <w:lang w:val="en-US"/>
      </w:rPr>
    </w:lvl>
    <w:lvl w:ilvl="1" w:tplc="08C859C0" w:tentative="1">
      <w:start w:val="1"/>
      <w:numFmt w:val="lowerLetter"/>
      <w:lvlText w:val="%2."/>
      <w:lvlJc w:val="left"/>
      <w:pPr>
        <w:ind w:left="1800" w:hanging="360"/>
      </w:pPr>
    </w:lvl>
    <w:lvl w:ilvl="2" w:tplc="7B4ECED0" w:tentative="1">
      <w:start w:val="1"/>
      <w:numFmt w:val="lowerRoman"/>
      <w:lvlText w:val="%3."/>
      <w:lvlJc w:val="right"/>
      <w:pPr>
        <w:ind w:left="2520" w:hanging="180"/>
      </w:pPr>
    </w:lvl>
    <w:lvl w:ilvl="3" w:tplc="A2307B9A" w:tentative="1">
      <w:start w:val="1"/>
      <w:numFmt w:val="decimal"/>
      <w:lvlText w:val="%4."/>
      <w:lvlJc w:val="left"/>
      <w:pPr>
        <w:ind w:left="3240" w:hanging="360"/>
      </w:pPr>
    </w:lvl>
    <w:lvl w:ilvl="4" w:tplc="57D4D9E4" w:tentative="1">
      <w:start w:val="1"/>
      <w:numFmt w:val="lowerLetter"/>
      <w:lvlText w:val="%5."/>
      <w:lvlJc w:val="left"/>
      <w:pPr>
        <w:ind w:left="3960" w:hanging="360"/>
      </w:pPr>
    </w:lvl>
    <w:lvl w:ilvl="5" w:tplc="7DE4024A" w:tentative="1">
      <w:start w:val="1"/>
      <w:numFmt w:val="lowerRoman"/>
      <w:lvlText w:val="%6."/>
      <w:lvlJc w:val="right"/>
      <w:pPr>
        <w:ind w:left="4680" w:hanging="180"/>
      </w:pPr>
    </w:lvl>
    <w:lvl w:ilvl="6" w:tplc="3342DD6C" w:tentative="1">
      <w:start w:val="1"/>
      <w:numFmt w:val="decimal"/>
      <w:lvlText w:val="%7."/>
      <w:lvlJc w:val="left"/>
      <w:pPr>
        <w:ind w:left="5400" w:hanging="360"/>
      </w:pPr>
    </w:lvl>
    <w:lvl w:ilvl="7" w:tplc="07B4D23C" w:tentative="1">
      <w:start w:val="1"/>
      <w:numFmt w:val="lowerLetter"/>
      <w:lvlText w:val="%8."/>
      <w:lvlJc w:val="left"/>
      <w:pPr>
        <w:ind w:left="6120" w:hanging="360"/>
      </w:pPr>
    </w:lvl>
    <w:lvl w:ilvl="8" w:tplc="F91893BC" w:tentative="1">
      <w:start w:val="1"/>
      <w:numFmt w:val="lowerRoman"/>
      <w:lvlText w:val="%9."/>
      <w:lvlJc w:val="right"/>
      <w:pPr>
        <w:ind w:left="6840" w:hanging="180"/>
      </w:pPr>
    </w:lvl>
  </w:abstractNum>
  <w:abstractNum w:abstractNumId="20" w15:restartNumberingAfterBreak="0">
    <w:nsid w:val="6BCB12E1"/>
    <w:multiLevelType w:val="hybridMultilevel"/>
    <w:tmpl w:val="F68AADFA"/>
    <w:lvl w:ilvl="0" w:tplc="E9DEA24C">
      <w:start w:val="1"/>
      <w:numFmt w:val="hebrew1"/>
      <w:lvlText w:val="%1."/>
      <w:lvlJc w:val="center"/>
      <w:pPr>
        <w:ind w:left="2160" w:hanging="360"/>
      </w:pPr>
    </w:lvl>
    <w:lvl w:ilvl="1" w:tplc="EC4A871E" w:tentative="1">
      <w:start w:val="1"/>
      <w:numFmt w:val="lowerLetter"/>
      <w:lvlText w:val="%2."/>
      <w:lvlJc w:val="left"/>
      <w:pPr>
        <w:ind w:left="2880" w:hanging="360"/>
      </w:pPr>
    </w:lvl>
    <w:lvl w:ilvl="2" w:tplc="FA94BA4A" w:tentative="1">
      <w:start w:val="1"/>
      <w:numFmt w:val="lowerRoman"/>
      <w:lvlText w:val="%3."/>
      <w:lvlJc w:val="right"/>
      <w:pPr>
        <w:ind w:left="3600" w:hanging="180"/>
      </w:pPr>
    </w:lvl>
    <w:lvl w:ilvl="3" w:tplc="5B568DA4" w:tentative="1">
      <w:start w:val="1"/>
      <w:numFmt w:val="decimal"/>
      <w:lvlText w:val="%4."/>
      <w:lvlJc w:val="left"/>
      <w:pPr>
        <w:ind w:left="4320" w:hanging="360"/>
      </w:pPr>
    </w:lvl>
    <w:lvl w:ilvl="4" w:tplc="35D22F3A" w:tentative="1">
      <w:start w:val="1"/>
      <w:numFmt w:val="lowerLetter"/>
      <w:lvlText w:val="%5."/>
      <w:lvlJc w:val="left"/>
      <w:pPr>
        <w:ind w:left="5040" w:hanging="360"/>
      </w:pPr>
    </w:lvl>
    <w:lvl w:ilvl="5" w:tplc="253E3786" w:tentative="1">
      <w:start w:val="1"/>
      <w:numFmt w:val="lowerRoman"/>
      <w:lvlText w:val="%6."/>
      <w:lvlJc w:val="right"/>
      <w:pPr>
        <w:ind w:left="5760" w:hanging="180"/>
      </w:pPr>
    </w:lvl>
    <w:lvl w:ilvl="6" w:tplc="9C54DD2C" w:tentative="1">
      <w:start w:val="1"/>
      <w:numFmt w:val="decimal"/>
      <w:lvlText w:val="%7."/>
      <w:lvlJc w:val="left"/>
      <w:pPr>
        <w:ind w:left="6480" w:hanging="360"/>
      </w:pPr>
    </w:lvl>
    <w:lvl w:ilvl="7" w:tplc="65B2B50A" w:tentative="1">
      <w:start w:val="1"/>
      <w:numFmt w:val="lowerLetter"/>
      <w:lvlText w:val="%8."/>
      <w:lvlJc w:val="left"/>
      <w:pPr>
        <w:ind w:left="7200" w:hanging="360"/>
      </w:pPr>
    </w:lvl>
    <w:lvl w:ilvl="8" w:tplc="BBC06178" w:tentative="1">
      <w:start w:val="1"/>
      <w:numFmt w:val="lowerRoman"/>
      <w:lvlText w:val="%9."/>
      <w:lvlJc w:val="right"/>
      <w:pPr>
        <w:ind w:left="7920" w:hanging="180"/>
      </w:pPr>
    </w:lvl>
  </w:abstractNum>
  <w:abstractNum w:abstractNumId="21" w15:restartNumberingAfterBreak="0">
    <w:nsid w:val="71E70339"/>
    <w:multiLevelType w:val="hybridMultilevel"/>
    <w:tmpl w:val="5A8C1DA4"/>
    <w:lvl w:ilvl="0" w:tplc="3ACAA0E6">
      <w:start w:val="1"/>
      <w:numFmt w:val="hebrew1"/>
      <w:lvlText w:val="%1."/>
      <w:lvlJc w:val="left"/>
      <w:pPr>
        <w:ind w:left="1155" w:hanging="360"/>
      </w:pPr>
      <w:rPr>
        <w:rFonts w:hint="default"/>
        <w:sz w:val="28"/>
      </w:rPr>
    </w:lvl>
    <w:lvl w:ilvl="1" w:tplc="FFD42EC8" w:tentative="1">
      <w:start w:val="1"/>
      <w:numFmt w:val="lowerLetter"/>
      <w:lvlText w:val="%2."/>
      <w:lvlJc w:val="left"/>
      <w:pPr>
        <w:ind w:left="1875" w:hanging="360"/>
      </w:pPr>
    </w:lvl>
    <w:lvl w:ilvl="2" w:tplc="3C561644" w:tentative="1">
      <w:start w:val="1"/>
      <w:numFmt w:val="lowerRoman"/>
      <w:lvlText w:val="%3."/>
      <w:lvlJc w:val="right"/>
      <w:pPr>
        <w:ind w:left="2595" w:hanging="180"/>
      </w:pPr>
    </w:lvl>
    <w:lvl w:ilvl="3" w:tplc="A6604D04" w:tentative="1">
      <w:start w:val="1"/>
      <w:numFmt w:val="decimal"/>
      <w:lvlText w:val="%4."/>
      <w:lvlJc w:val="left"/>
      <w:pPr>
        <w:ind w:left="3315" w:hanging="360"/>
      </w:pPr>
    </w:lvl>
    <w:lvl w:ilvl="4" w:tplc="F1E0CDF2" w:tentative="1">
      <w:start w:val="1"/>
      <w:numFmt w:val="lowerLetter"/>
      <w:lvlText w:val="%5."/>
      <w:lvlJc w:val="left"/>
      <w:pPr>
        <w:ind w:left="4035" w:hanging="360"/>
      </w:pPr>
    </w:lvl>
    <w:lvl w:ilvl="5" w:tplc="59E62136" w:tentative="1">
      <w:start w:val="1"/>
      <w:numFmt w:val="lowerRoman"/>
      <w:lvlText w:val="%6."/>
      <w:lvlJc w:val="right"/>
      <w:pPr>
        <w:ind w:left="4755" w:hanging="180"/>
      </w:pPr>
    </w:lvl>
    <w:lvl w:ilvl="6" w:tplc="6134A6A6" w:tentative="1">
      <w:start w:val="1"/>
      <w:numFmt w:val="decimal"/>
      <w:lvlText w:val="%7."/>
      <w:lvlJc w:val="left"/>
      <w:pPr>
        <w:ind w:left="5475" w:hanging="360"/>
      </w:pPr>
    </w:lvl>
    <w:lvl w:ilvl="7" w:tplc="DEAE79B2" w:tentative="1">
      <w:start w:val="1"/>
      <w:numFmt w:val="lowerLetter"/>
      <w:lvlText w:val="%8."/>
      <w:lvlJc w:val="left"/>
      <w:pPr>
        <w:ind w:left="6195" w:hanging="360"/>
      </w:pPr>
    </w:lvl>
    <w:lvl w:ilvl="8" w:tplc="46C8D162" w:tentative="1">
      <w:start w:val="1"/>
      <w:numFmt w:val="lowerRoman"/>
      <w:lvlText w:val="%9."/>
      <w:lvlJc w:val="right"/>
      <w:pPr>
        <w:ind w:left="6915" w:hanging="180"/>
      </w:pPr>
    </w:lvl>
  </w:abstractNum>
  <w:abstractNum w:abstractNumId="22" w15:restartNumberingAfterBreak="0">
    <w:nsid w:val="72574DF1"/>
    <w:multiLevelType w:val="hybridMultilevel"/>
    <w:tmpl w:val="83C229DE"/>
    <w:lvl w:ilvl="0" w:tplc="1E54E510">
      <w:start w:val="1"/>
      <w:numFmt w:val="hebrew1"/>
      <w:lvlText w:val="%1."/>
      <w:lvlJc w:val="left"/>
      <w:pPr>
        <w:ind w:left="1800" w:hanging="360"/>
      </w:pPr>
      <w:rPr>
        <w:rFonts w:hint="default"/>
        <w:sz w:val="28"/>
      </w:rPr>
    </w:lvl>
    <w:lvl w:ilvl="1" w:tplc="48FC7D52" w:tentative="1">
      <w:start w:val="1"/>
      <w:numFmt w:val="lowerLetter"/>
      <w:lvlText w:val="%2."/>
      <w:lvlJc w:val="left"/>
      <w:pPr>
        <w:ind w:left="2520" w:hanging="360"/>
      </w:pPr>
    </w:lvl>
    <w:lvl w:ilvl="2" w:tplc="4A446324" w:tentative="1">
      <w:start w:val="1"/>
      <w:numFmt w:val="lowerRoman"/>
      <w:lvlText w:val="%3."/>
      <w:lvlJc w:val="right"/>
      <w:pPr>
        <w:ind w:left="3240" w:hanging="180"/>
      </w:pPr>
    </w:lvl>
    <w:lvl w:ilvl="3" w:tplc="BF6C0304" w:tentative="1">
      <w:start w:val="1"/>
      <w:numFmt w:val="decimal"/>
      <w:lvlText w:val="%4."/>
      <w:lvlJc w:val="left"/>
      <w:pPr>
        <w:ind w:left="3960" w:hanging="360"/>
      </w:pPr>
    </w:lvl>
    <w:lvl w:ilvl="4" w:tplc="F446D288" w:tentative="1">
      <w:start w:val="1"/>
      <w:numFmt w:val="lowerLetter"/>
      <w:lvlText w:val="%5."/>
      <w:lvlJc w:val="left"/>
      <w:pPr>
        <w:ind w:left="4680" w:hanging="360"/>
      </w:pPr>
    </w:lvl>
    <w:lvl w:ilvl="5" w:tplc="247C3218" w:tentative="1">
      <w:start w:val="1"/>
      <w:numFmt w:val="lowerRoman"/>
      <w:lvlText w:val="%6."/>
      <w:lvlJc w:val="right"/>
      <w:pPr>
        <w:ind w:left="5400" w:hanging="180"/>
      </w:pPr>
    </w:lvl>
    <w:lvl w:ilvl="6" w:tplc="4888FD0E" w:tentative="1">
      <w:start w:val="1"/>
      <w:numFmt w:val="decimal"/>
      <w:lvlText w:val="%7."/>
      <w:lvlJc w:val="left"/>
      <w:pPr>
        <w:ind w:left="6120" w:hanging="360"/>
      </w:pPr>
    </w:lvl>
    <w:lvl w:ilvl="7" w:tplc="C9CAF906" w:tentative="1">
      <w:start w:val="1"/>
      <w:numFmt w:val="lowerLetter"/>
      <w:lvlText w:val="%8."/>
      <w:lvlJc w:val="left"/>
      <w:pPr>
        <w:ind w:left="6840" w:hanging="360"/>
      </w:pPr>
    </w:lvl>
    <w:lvl w:ilvl="8" w:tplc="F33A9030" w:tentative="1">
      <w:start w:val="1"/>
      <w:numFmt w:val="lowerRoman"/>
      <w:lvlText w:val="%9."/>
      <w:lvlJc w:val="right"/>
      <w:pPr>
        <w:ind w:left="7560" w:hanging="180"/>
      </w:pPr>
    </w:lvl>
  </w:abstractNum>
  <w:abstractNum w:abstractNumId="23" w15:restartNumberingAfterBreak="0">
    <w:nsid w:val="72F60954"/>
    <w:multiLevelType w:val="hybridMultilevel"/>
    <w:tmpl w:val="DD0A60BE"/>
    <w:lvl w:ilvl="0" w:tplc="3DB83F4A">
      <w:start w:val="1"/>
      <w:numFmt w:val="hebrew1"/>
      <w:lvlText w:val="%1."/>
      <w:lvlJc w:val="left"/>
      <w:pPr>
        <w:ind w:left="720" w:hanging="360"/>
      </w:pPr>
      <w:rPr>
        <w:rFonts w:hint="default"/>
        <w:sz w:val="28"/>
      </w:rPr>
    </w:lvl>
    <w:lvl w:ilvl="1" w:tplc="822C6AB0" w:tentative="1">
      <w:start w:val="1"/>
      <w:numFmt w:val="lowerLetter"/>
      <w:lvlText w:val="%2."/>
      <w:lvlJc w:val="left"/>
      <w:pPr>
        <w:ind w:left="1440" w:hanging="360"/>
      </w:pPr>
    </w:lvl>
    <w:lvl w:ilvl="2" w:tplc="5EECFB86" w:tentative="1">
      <w:start w:val="1"/>
      <w:numFmt w:val="lowerRoman"/>
      <w:lvlText w:val="%3."/>
      <w:lvlJc w:val="right"/>
      <w:pPr>
        <w:ind w:left="2160" w:hanging="180"/>
      </w:pPr>
    </w:lvl>
    <w:lvl w:ilvl="3" w:tplc="0DD04030" w:tentative="1">
      <w:start w:val="1"/>
      <w:numFmt w:val="decimal"/>
      <w:lvlText w:val="%4."/>
      <w:lvlJc w:val="left"/>
      <w:pPr>
        <w:ind w:left="2880" w:hanging="360"/>
      </w:pPr>
    </w:lvl>
    <w:lvl w:ilvl="4" w:tplc="FCAAC186" w:tentative="1">
      <w:start w:val="1"/>
      <w:numFmt w:val="lowerLetter"/>
      <w:lvlText w:val="%5."/>
      <w:lvlJc w:val="left"/>
      <w:pPr>
        <w:ind w:left="3600" w:hanging="360"/>
      </w:pPr>
    </w:lvl>
    <w:lvl w:ilvl="5" w:tplc="A4141276" w:tentative="1">
      <w:start w:val="1"/>
      <w:numFmt w:val="lowerRoman"/>
      <w:lvlText w:val="%6."/>
      <w:lvlJc w:val="right"/>
      <w:pPr>
        <w:ind w:left="4320" w:hanging="180"/>
      </w:pPr>
    </w:lvl>
    <w:lvl w:ilvl="6" w:tplc="BAA85E76" w:tentative="1">
      <w:start w:val="1"/>
      <w:numFmt w:val="decimal"/>
      <w:lvlText w:val="%7."/>
      <w:lvlJc w:val="left"/>
      <w:pPr>
        <w:ind w:left="5040" w:hanging="360"/>
      </w:pPr>
    </w:lvl>
    <w:lvl w:ilvl="7" w:tplc="4866F2E0" w:tentative="1">
      <w:start w:val="1"/>
      <w:numFmt w:val="lowerLetter"/>
      <w:lvlText w:val="%8."/>
      <w:lvlJc w:val="left"/>
      <w:pPr>
        <w:ind w:left="5760" w:hanging="360"/>
      </w:pPr>
    </w:lvl>
    <w:lvl w:ilvl="8" w:tplc="0A56EC9C"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8"/>
  </w:num>
  <w:num w:numId="13">
    <w:abstractNumId w:val="10"/>
  </w:num>
  <w:num w:numId="14">
    <w:abstractNumId w:val="20"/>
  </w:num>
  <w:num w:numId="15">
    <w:abstractNumId w:val="16"/>
  </w:num>
  <w:num w:numId="16">
    <w:abstractNumId w:val="13"/>
  </w:num>
  <w:num w:numId="17">
    <w:abstractNumId w:val="12"/>
  </w:num>
  <w:num w:numId="18">
    <w:abstractNumId w:val="14"/>
  </w:num>
  <w:num w:numId="19">
    <w:abstractNumId w:val="22"/>
  </w:num>
  <w:num w:numId="20">
    <w:abstractNumId w:val="15"/>
  </w:num>
  <w:num w:numId="21">
    <w:abstractNumId w:val="23"/>
  </w:num>
  <w:num w:numId="22">
    <w:abstractNumId w:val="21"/>
  </w:num>
  <w:num w:numId="23">
    <w:abstractNumId w:val="11"/>
    <w:lvlOverride w:ilvl="0">
      <w:startOverride w:val="1"/>
    </w:lvlOverride>
  </w:num>
  <w:num w:numId="24">
    <w:abstractNumId w:val="19"/>
  </w:num>
  <w:num w:numId="25">
    <w:abstractNumId w:val="1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num>
  <w:num w:numId="2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5127D"/>
    <w:rsid w:val="000725F5"/>
    <w:rsid w:val="00072AD2"/>
    <w:rsid w:val="000B1478"/>
    <w:rsid w:val="000C4690"/>
    <w:rsid w:val="000D25C4"/>
    <w:rsid w:val="00134A67"/>
    <w:rsid w:val="00166461"/>
    <w:rsid w:val="001A0164"/>
    <w:rsid w:val="001D31D6"/>
    <w:rsid w:val="00200D6B"/>
    <w:rsid w:val="00265F6E"/>
    <w:rsid w:val="00277FCD"/>
    <w:rsid w:val="002876BF"/>
    <w:rsid w:val="002A2671"/>
    <w:rsid w:val="002A4A7A"/>
    <w:rsid w:val="002A4BF3"/>
    <w:rsid w:val="002F7BB6"/>
    <w:rsid w:val="0032751C"/>
    <w:rsid w:val="003448B2"/>
    <w:rsid w:val="00361DB2"/>
    <w:rsid w:val="0037622E"/>
    <w:rsid w:val="00377102"/>
    <w:rsid w:val="0039709B"/>
    <w:rsid w:val="003D72DA"/>
    <w:rsid w:val="003F1F97"/>
    <w:rsid w:val="0041048F"/>
    <w:rsid w:val="00437D59"/>
    <w:rsid w:val="004610A4"/>
    <w:rsid w:val="004B29FF"/>
    <w:rsid w:val="004C7868"/>
    <w:rsid w:val="00503A3E"/>
    <w:rsid w:val="00527F02"/>
    <w:rsid w:val="005803E2"/>
    <w:rsid w:val="0058440A"/>
    <w:rsid w:val="00591983"/>
    <w:rsid w:val="00624A42"/>
    <w:rsid w:val="0065522F"/>
    <w:rsid w:val="006A30F7"/>
    <w:rsid w:val="006C42AD"/>
    <w:rsid w:val="00725345"/>
    <w:rsid w:val="00741CC0"/>
    <w:rsid w:val="007B512F"/>
    <w:rsid w:val="007B53EF"/>
    <w:rsid w:val="007C586A"/>
    <w:rsid w:val="007C7E94"/>
    <w:rsid w:val="007F7512"/>
    <w:rsid w:val="00805BF1"/>
    <w:rsid w:val="00810894"/>
    <w:rsid w:val="008143AB"/>
    <w:rsid w:val="0083345F"/>
    <w:rsid w:val="008341C7"/>
    <w:rsid w:val="00836667"/>
    <w:rsid w:val="00866D0F"/>
    <w:rsid w:val="008C2F11"/>
    <w:rsid w:val="008D78B9"/>
    <w:rsid w:val="008E3F85"/>
    <w:rsid w:val="009051E8"/>
    <w:rsid w:val="00914156"/>
    <w:rsid w:val="00914DB4"/>
    <w:rsid w:val="00916FF8"/>
    <w:rsid w:val="00922093"/>
    <w:rsid w:val="00930C85"/>
    <w:rsid w:val="00997561"/>
    <w:rsid w:val="009A10B2"/>
    <w:rsid w:val="009B38DA"/>
    <w:rsid w:val="009F2F53"/>
    <w:rsid w:val="009F4187"/>
    <w:rsid w:val="00A12E0F"/>
    <w:rsid w:val="00A51FAE"/>
    <w:rsid w:val="00A80845"/>
    <w:rsid w:val="00AB69F7"/>
    <w:rsid w:val="00AD097B"/>
    <w:rsid w:val="00AD64B9"/>
    <w:rsid w:val="00AE022B"/>
    <w:rsid w:val="00B009CC"/>
    <w:rsid w:val="00B0782A"/>
    <w:rsid w:val="00B1639B"/>
    <w:rsid w:val="00B62B8C"/>
    <w:rsid w:val="00B63343"/>
    <w:rsid w:val="00B87FF7"/>
    <w:rsid w:val="00BA0B08"/>
    <w:rsid w:val="00BB076B"/>
    <w:rsid w:val="00BC0E82"/>
    <w:rsid w:val="00BD40F9"/>
    <w:rsid w:val="00C22BEC"/>
    <w:rsid w:val="00C41C86"/>
    <w:rsid w:val="00C63A6C"/>
    <w:rsid w:val="00CA13AF"/>
    <w:rsid w:val="00CA1444"/>
    <w:rsid w:val="00CB1590"/>
    <w:rsid w:val="00CB2DF1"/>
    <w:rsid w:val="00CB7600"/>
    <w:rsid w:val="00CC0E9D"/>
    <w:rsid w:val="00CC3639"/>
    <w:rsid w:val="00CE5B42"/>
    <w:rsid w:val="00D00B1D"/>
    <w:rsid w:val="00D00CB7"/>
    <w:rsid w:val="00D25F16"/>
    <w:rsid w:val="00D32CA4"/>
    <w:rsid w:val="00D35BC1"/>
    <w:rsid w:val="00D4485D"/>
    <w:rsid w:val="00D765C9"/>
    <w:rsid w:val="00E21CA9"/>
    <w:rsid w:val="00E31063"/>
    <w:rsid w:val="00E36FE9"/>
    <w:rsid w:val="00E5408B"/>
    <w:rsid w:val="00E73E98"/>
    <w:rsid w:val="00E75223"/>
    <w:rsid w:val="00E90D72"/>
    <w:rsid w:val="00EA0BE1"/>
    <w:rsid w:val="00EC23AC"/>
    <w:rsid w:val="00EC2992"/>
    <w:rsid w:val="00ED46A4"/>
    <w:rsid w:val="00ED6FD9"/>
    <w:rsid w:val="00EE3810"/>
    <w:rsid w:val="00F01FBF"/>
    <w:rsid w:val="00F37229"/>
    <w:rsid w:val="00F63C3B"/>
    <w:rsid w:val="00F959DB"/>
    <w:rsid w:val="00FC0252"/>
    <w:rsid w:val="00FE44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2F52B-545A-41CA-B4BE-21151125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uiPriority w:val="99"/>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paragraph" w:customStyle="1" w:styleId="Ruller4">
    <w:name w:val="Ruller 4 ממוספר"/>
    <w:basedOn w:val="Ruller41"/>
    <w:next w:val="Ruller41"/>
    <w:link w:val="Ruller43"/>
    <w:rsid w:val="00CB2DF1"/>
    <w:pPr>
      <w:numPr>
        <w:numId w:val="11"/>
      </w:numPr>
      <w:overflowPunct/>
      <w:autoSpaceDE/>
      <w:autoSpaceDN/>
      <w:adjustRightInd/>
      <w:spacing w:before="240" w:after="100" w:afterAutospacing="1"/>
      <w:textAlignment w:val="auto"/>
    </w:pPr>
    <w:rPr>
      <w:rFonts w:ascii="Garamond" w:hAnsi="Garamond"/>
      <w:sz w:val="24"/>
    </w:rPr>
  </w:style>
  <w:style w:type="paragraph" w:customStyle="1" w:styleId="Ruller40">
    <w:name w:val="Ruller4 אלפביתי"/>
    <w:basedOn w:val="Ruller41"/>
    <w:next w:val="Ruller41"/>
    <w:rsid w:val="00CB2DF1"/>
    <w:pPr>
      <w:numPr>
        <w:numId w:val="12"/>
      </w:numPr>
      <w:overflowPunct/>
      <w:autoSpaceDE/>
      <w:autoSpaceDN/>
      <w:adjustRightInd/>
      <w:spacing w:before="240" w:after="100" w:afterAutospacing="1"/>
      <w:textAlignment w:val="auto"/>
    </w:pPr>
  </w:style>
  <w:style w:type="character" w:customStyle="1" w:styleId="Ruller42">
    <w:name w:val="Ruller4 תו"/>
    <w:basedOn w:val="a0"/>
    <w:link w:val="Ruller41"/>
    <w:locked/>
    <w:rsid w:val="00CB2DF1"/>
    <w:rPr>
      <w:rFonts w:ascii="Arial TUR" w:hAnsi="Arial TUR" w:cs="FrankRuehl"/>
      <w:spacing w:val="10"/>
      <w:sz w:val="22"/>
      <w:szCs w:val="28"/>
    </w:rPr>
  </w:style>
  <w:style w:type="character" w:styleId="ae">
    <w:name w:val="Placeholder Text"/>
    <w:basedOn w:val="a0"/>
    <w:uiPriority w:val="99"/>
    <w:semiHidden/>
    <w:rsid w:val="00CB2DF1"/>
    <w:rPr>
      <w:color w:val="808080"/>
    </w:rPr>
  </w:style>
  <w:style w:type="paragraph" w:customStyle="1" w:styleId="ruller400">
    <w:name w:val="ruller40"/>
    <w:basedOn w:val="a"/>
    <w:rsid w:val="00CB2DF1"/>
    <w:pPr>
      <w:overflowPunct/>
      <w:autoSpaceDE/>
      <w:autoSpaceDN/>
      <w:bidi w:val="0"/>
      <w:adjustRightInd/>
      <w:spacing w:before="100" w:beforeAutospacing="1" w:after="100" w:afterAutospacing="1"/>
      <w:jc w:val="both"/>
      <w:textAlignment w:val="auto"/>
    </w:pPr>
    <w:rPr>
      <w:rFonts w:cs="Times New Roman"/>
      <w:sz w:val="24"/>
    </w:rPr>
  </w:style>
  <w:style w:type="paragraph" w:styleId="af">
    <w:name w:val="footnote text"/>
    <w:basedOn w:val="a"/>
    <w:link w:val="af0"/>
    <w:unhideWhenUsed/>
    <w:rsid w:val="00CB2DF1"/>
    <w:pPr>
      <w:overflowPunct/>
      <w:autoSpaceDE/>
      <w:autoSpaceDN/>
      <w:adjustRightInd/>
      <w:spacing w:before="240" w:after="100" w:afterAutospacing="1"/>
      <w:jc w:val="both"/>
      <w:textAlignment w:val="auto"/>
    </w:pPr>
    <w:rPr>
      <w:rFonts w:ascii="Century" w:hAnsi="Century" w:cs="FrankRuehl"/>
      <w:spacing w:val="10"/>
      <w:szCs w:val="20"/>
    </w:rPr>
  </w:style>
  <w:style w:type="character" w:customStyle="1" w:styleId="af0">
    <w:name w:val="טקסט הערת שוליים תו"/>
    <w:basedOn w:val="a0"/>
    <w:link w:val="af"/>
    <w:rsid w:val="00CB2DF1"/>
    <w:rPr>
      <w:rFonts w:ascii="Century" w:hAnsi="Century" w:cs="FrankRuehl"/>
      <w:spacing w:val="10"/>
    </w:rPr>
  </w:style>
  <w:style w:type="character" w:styleId="af1">
    <w:name w:val="footnote reference"/>
    <w:basedOn w:val="a0"/>
    <w:unhideWhenUsed/>
    <w:rsid w:val="00CB2DF1"/>
    <w:rPr>
      <w:vertAlign w:val="superscript"/>
    </w:rPr>
  </w:style>
  <w:style w:type="paragraph" w:customStyle="1" w:styleId="ruller50">
    <w:name w:val="ruller5"/>
    <w:basedOn w:val="a"/>
    <w:rsid w:val="00CB2DF1"/>
    <w:pPr>
      <w:overflowPunct/>
      <w:autoSpaceDE/>
      <w:autoSpaceDN/>
      <w:bidi w:val="0"/>
      <w:adjustRightInd/>
      <w:spacing w:before="100" w:beforeAutospacing="1" w:after="100" w:afterAutospacing="1"/>
      <w:jc w:val="both"/>
      <w:textAlignment w:val="auto"/>
    </w:pPr>
    <w:rPr>
      <w:rFonts w:cs="Times New Roman"/>
      <w:sz w:val="24"/>
    </w:rPr>
  </w:style>
  <w:style w:type="paragraph" w:customStyle="1" w:styleId="ruller44">
    <w:name w:val="ruller4"/>
    <w:basedOn w:val="a"/>
    <w:rsid w:val="00CB2DF1"/>
    <w:pPr>
      <w:overflowPunct/>
      <w:autoSpaceDE/>
      <w:autoSpaceDN/>
      <w:bidi w:val="0"/>
      <w:adjustRightInd/>
      <w:spacing w:before="100" w:beforeAutospacing="1" w:after="100" w:afterAutospacing="1"/>
      <w:jc w:val="both"/>
      <w:textAlignment w:val="auto"/>
    </w:pPr>
    <w:rPr>
      <w:rFonts w:cs="Times New Roman"/>
      <w:sz w:val="24"/>
    </w:rPr>
  </w:style>
  <w:style w:type="character" w:customStyle="1" w:styleId="term1">
    <w:name w:val="term_1"/>
    <w:basedOn w:val="a0"/>
    <w:rsid w:val="00CB2DF1"/>
  </w:style>
  <w:style w:type="character" w:customStyle="1" w:styleId="Ruller43">
    <w:name w:val="Ruller 4 ממוספר תו"/>
    <w:link w:val="Ruller4"/>
    <w:locked/>
    <w:rsid w:val="00CB2DF1"/>
    <w:rPr>
      <w:rFonts w:ascii="Garamond" w:hAnsi="Garamond" w:cs="FrankRuehl"/>
      <w:spacing w:val="10"/>
      <w:sz w:val="24"/>
      <w:szCs w:val="28"/>
    </w:rPr>
  </w:style>
  <w:style w:type="paragraph" w:styleId="af2">
    <w:name w:val="Revision"/>
    <w:hidden/>
    <w:uiPriority w:val="99"/>
    <w:semiHidden/>
    <w:rsid w:val="00CB2DF1"/>
    <w:rPr>
      <w:rFonts w:ascii="Century" w:hAnsi="Century" w:cs="FrankRuehl"/>
      <w:spacing w:val="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upreme.court.g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9633</Words>
  <Characters>46685</Characters>
  <Application>Microsoft Office Word</Application>
  <DocSecurity>4</DocSecurity>
  <Lines>389</Lines>
  <Paragraphs>112</Paragraphs>
  <ScaleCrop>false</ScaleCrop>
  <HeadingPairs>
    <vt:vector size="2" baseType="variant">
      <vt:variant>
        <vt:lpstr>שם</vt:lpstr>
      </vt:variant>
      <vt:variant>
        <vt:i4>1</vt:i4>
      </vt:variant>
    </vt:vector>
  </HeadingPairs>
  <TitlesOfParts>
    <vt:vector size="1" baseType="lpstr">
      <vt:lpstr>פסק-דין בתיק בג"ץ  5782/21</vt:lpstr>
    </vt:vector>
  </TitlesOfParts>
  <Company>supreme court of israel</Company>
  <LinksUpToDate>false</LinksUpToDate>
  <CharactersWithSpaces>56206</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בג"ץ  5782/21</dc:title>
  <dc:subject/>
  <dc:creator>Administrator</dc:creator>
  <cp:keywords/>
  <dc:description/>
  <cp:lastModifiedBy>מוטי גולן</cp:lastModifiedBy>
  <cp:revision>2</cp:revision>
  <cp:lastPrinted>2022-01-11T15:26:00Z</cp:lastPrinted>
  <dcterms:created xsi:type="dcterms:W3CDTF">2022-01-12T10:28:00Z</dcterms:created>
  <dcterms:modified xsi:type="dcterms:W3CDTF">2022-01-12T10:28:00Z</dcterms:modified>
</cp:coreProperties>
</file>