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מלאכי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שמגר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ענת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גזר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אגא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ויתיצב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כשנמכרו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רשעתיים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וירדו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מאניותיהם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חובלי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יעמודו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והקריחו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וחגרו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שקים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נבות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ובחרבו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אצמיח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חבקוק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השליו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ויכתב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ויקימה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סוכות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כריתת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האמנה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התיבה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המרגלים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חזרו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ויצעק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ללחם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ויצעק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ויתפלל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ותשקע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האספסוף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פיסל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האציל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מרוחו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הזקנים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מפיבושת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בתחילת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הנסכים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בבוכים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בתקופת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רשעתיים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בתחילת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בפיהו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במלאכי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ומצוות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אהרן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שנמצא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הפילגש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יונה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השטן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יושמד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כשנעמן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דגון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סיחון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סלוא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העגל</w:t>
      </w:r>
      <w:r w:rsidDel="00000000" w:rsidR="00000000" w:rsidRPr="00000000">
        <w:rPr>
          <w:sz w:val="20"/>
          <w:szCs w:val="20"/>
          <w:rtl w:val="1"/>
        </w:rPr>
        <w:t xml:space="preserve"> - 3,000.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בעמון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עגלת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צאן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ומהדר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גאונו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אבים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ויפקד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כששועבדו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רשעתיים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עגלון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הייתה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ואבימלך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שרתה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והרימו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שכמו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העזר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עיניים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ובנימין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הגבעה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עובדיהו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כלכל</w:t>
      </w:r>
      <w:r w:rsidDel="00000000" w:rsidR="00000000" w:rsidRPr="00000000">
        <w:rPr>
          <w:sz w:val="20"/>
          <w:szCs w:val="20"/>
          <w:rtl w:val="1"/>
        </w:rPr>
        <w:t xml:space="preserve"> 100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יחסרו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ונשמו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ונמקו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בעוונם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וכרמל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')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יסיתך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מאלהי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סביבותיכם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הקרובים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הרחוקים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וירושלים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ליחזקאל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הושע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והשכבתים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השליכו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פשעיכם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חדשה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ואשביעך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יונה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כורש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נחמיה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ואתפלל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ועוד</w:t>
      </w:r>
      <w:r w:rsidDel="00000000" w:rsidR="00000000" w:rsidRPr="00000000">
        <w:rPr>
          <w:sz w:val="20"/>
          <w:szCs w:val="20"/>
          <w:rtl w:val="1"/>
        </w:rPr>
        <w:t xml:space="preserve"> 3 </w:t>
      </w:r>
      <w:r w:rsidDel="00000000" w:rsidR="00000000" w:rsidRPr="00000000">
        <w:rPr>
          <w:sz w:val="20"/>
          <w:szCs w:val="20"/>
          <w:rtl w:val="1"/>
        </w:rPr>
        <w:t xml:space="preserve">פעמים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'", "</w:t>
      </w:r>
      <w:r w:rsidDel="00000000" w:rsidR="00000000" w:rsidRPr="00000000">
        <w:rPr>
          <w:sz w:val="20"/>
          <w:szCs w:val="20"/>
          <w:rtl w:val="1"/>
        </w:rPr>
        <w:t xml:space="preserve">ובגלחו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ושקל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המרגלים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בישעיה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לצבי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לגאון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ולתפארת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לפליטת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במלאכי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וגערתי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ישחית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אוסיף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טוב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טוב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לאבנר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נחמיה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אויבינו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ויטהר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ועגל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וכפיר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ומריא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נוהג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אדומיים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מיהודה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הפקיד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גדליהו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ויקומו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כשדים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נבות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ויוציאוהו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ויניחוהו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המלאכים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אחזיה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זבוב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עקרון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יוסף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הנביאים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ביריחו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שמשון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ויצמא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ונפלתי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הערלים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האלמנה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מתגורר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שארבעת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בחברון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ומכותה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ומספרוים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להכעיס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הילילו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הרועים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והתפלשו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אדירי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לטבוח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ותפוצותיכם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ונפלתם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חמדה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ישסה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וקנית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בקבוק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ושבנא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מתכסים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אמוץ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ואנשיו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אלעזר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אחחי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אחריך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הניעה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ובאה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הממשלה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גילי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ורוכב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אתונות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יהויכין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והתבוננו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קרשך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החגור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בידכם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וימרד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מלאכיו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ונמלט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וצמא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בעקבות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הריגת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והכרית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הענקים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תקופת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תקופת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וביהודה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הפלישתים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כשתפסו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שאול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וחיפשתי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מיכה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. 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וישכנו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גלית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ולבהמת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אחימלך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שאול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יהונתן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ויכרתו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בחורשה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תמלוך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יונתן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ישעיהו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בשבט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ומטהו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ומטהו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שחור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שלחתי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ציבא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ושניהם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ויפקדו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ועשהאל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מלחמת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אבימלך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בגעל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וירדפהו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ויפלו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אצל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דן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מלחמת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בעמון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ונהיה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ארבעת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וארבעה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מצורעים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ראשי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ונשוא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הזנב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הועיל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פסל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פסלו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אלמים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יואב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יואש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יואחז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עזרא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החמישי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השביעית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והשכים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וממלכתי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מרכבה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וסוסים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ומגדנות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ליחזקיהו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הלויים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בנחמיה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ימעט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התלאה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מצאתנו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נחמיה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לאוהביו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ולשומרי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מצותיו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חלאמה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ויספדו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ויקברהו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פארן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ורעיו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70,000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מוסדות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בגערת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מנשמת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ואחריו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אלעזר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בחרפם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בפלישתים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הפלשתי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לכל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בפלישתים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ותדבק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ביום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ההוא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ויתיצב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ונפלתי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הערלים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ואבישי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החנית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צפחת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מראשתי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עם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בירמיהו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דברתי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בשלותיך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אשמע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אשמע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זכריה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אשמע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בשלש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המלקקים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למקומו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המרגלים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הראית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אחזיהו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ויכעס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אלקי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0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אחז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ויכעס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אלקי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אבותיו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ראובן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בראשית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יפתח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'),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'),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אברהם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אסתר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באזניהם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ויכוה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("</w:t>
      </w:r>
      <w:r w:rsidDel="00000000" w:rsidR="00000000" w:rsidRPr="00000000">
        <w:rPr>
          <w:sz w:val="20"/>
          <w:szCs w:val="20"/>
          <w:rtl w:val="1"/>
        </w:rPr>
        <w:t xml:space="preserve">יחי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"), </w:t>
      </w:r>
      <w:r w:rsidDel="00000000" w:rsidR="00000000" w:rsidRPr="00000000">
        <w:rPr>
          <w:sz w:val="20"/>
          <w:szCs w:val="20"/>
          <w:rtl w:val="1"/>
        </w:rPr>
        <w:t xml:space="preserve">אדוניה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בעשא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נדב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אחזיה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עמרי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רחל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פנחס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בעלת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האלמנה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מצרפת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ביואל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רזון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אלידע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וישתחו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0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אחזיה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וישתחווה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ארבעת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החביאו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גיחזי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המלכת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ואחזיה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דביר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בנימין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הרצים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והשלישים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הבעל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יואחז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וישכב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שהושלך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בתבץ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המלאכים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סדום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סריסים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התיצבו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לעיניכם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חזהאל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והכיתי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ימותו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שרשם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ופרחם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כאבק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תהלים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בינינו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דורותינו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בעולותינו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ובזבחינו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ובשלמינו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ותכן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משומם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ובמנחת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מתעניתי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הפלשתי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ויביאהו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באהלו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וירכבהו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ממגידו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ויביאהו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שארית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להכין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ולסעדה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זעקה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תרועת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B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הפילגש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אסא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בכרמל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ליהושע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אחימעץ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ולאבותיכם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