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F8" w:rsidRPr="00377102" w:rsidRDefault="00916FF8">
      <w:pPr>
        <w:jc w:val="right"/>
        <w:rPr>
          <w:rFonts w:cs="Miriam"/>
          <w:b/>
          <w:bCs/>
          <w:sz w:val="16"/>
          <w:szCs w:val="16"/>
          <w:u w:val="single"/>
        </w:rPr>
      </w:pPr>
      <w:bookmarkStart w:id="0" w:name="_GoBack"/>
      <w:bookmarkEnd w:id="0"/>
    </w:p>
    <w:tbl>
      <w:tblPr>
        <w:bidiVisual/>
        <w:tblW w:w="8363" w:type="dxa"/>
        <w:tblInd w:w="9" w:type="dxa"/>
        <w:tblLook w:val="0000" w:firstRow="0" w:lastRow="0" w:firstColumn="0" w:lastColumn="0" w:noHBand="0" w:noVBand="0"/>
      </w:tblPr>
      <w:tblGrid>
        <w:gridCol w:w="8363"/>
      </w:tblGrid>
      <w:tr w:rsidR="00036227" w:rsidTr="0039709B">
        <w:tc>
          <w:tcPr>
            <w:tcW w:w="7848" w:type="dxa"/>
          </w:tcPr>
          <w:p w:rsidR="00916FF8" w:rsidRPr="00624A42" w:rsidRDefault="00B54651" w:rsidP="004C7868">
            <w:pPr>
              <w:pStyle w:val="FileNumber0"/>
              <w:rPr>
                <w:sz w:val="28"/>
                <w:u w:val="single"/>
                <w:rtl/>
              </w:rPr>
            </w:pPr>
            <w:r>
              <w:rPr>
                <w:u w:val="single"/>
                <w:rtl/>
              </w:rPr>
              <w:t>בבית המשפט העליון בשבתו כבית משפט לערעורים אזרחיים</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B54651">
            <w:pPr>
              <w:pStyle w:val="FileNumber"/>
              <w:rPr>
                <w:sz w:val="28"/>
                <w:szCs w:val="28"/>
              </w:rPr>
            </w:pPr>
            <w:bookmarkStart w:id="1" w:name="casename_body"/>
            <w:r>
              <w:rPr>
                <w:sz w:val="28"/>
                <w:szCs w:val="28"/>
                <w:rtl/>
              </w:rPr>
              <w:t>ע"א  1726/21</w:t>
            </w:r>
          </w:p>
        </w:tc>
      </w:tr>
      <w:bookmarkEnd w:id="1"/>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B54651">
            <w:pPr>
              <w:pStyle w:val="BodyRuller"/>
            </w:pPr>
            <w:r>
              <w:rPr>
                <w:rtl/>
              </w:rPr>
              <w:t>כבוד השופט י' עמית</w:t>
            </w:r>
          </w:p>
        </w:tc>
      </w:tr>
      <w:tr w:rsidR="00B54651" w:rsidTr="00EC23AC">
        <w:trPr>
          <w:trHeight w:val="287"/>
        </w:trPr>
        <w:tc>
          <w:tcPr>
            <w:tcW w:w="3261" w:type="dxa"/>
          </w:tcPr>
          <w:p w:rsidR="00B54651" w:rsidRDefault="00B54651">
            <w:pPr>
              <w:pStyle w:val="BodyRuller"/>
              <w:rPr>
                <w:rtl/>
              </w:rPr>
            </w:pPr>
          </w:p>
        </w:tc>
        <w:tc>
          <w:tcPr>
            <w:tcW w:w="5239" w:type="dxa"/>
          </w:tcPr>
          <w:p w:rsidR="00B54651" w:rsidRDefault="00B54651">
            <w:pPr>
              <w:pStyle w:val="BodyRuller"/>
              <w:rPr>
                <w:rtl/>
              </w:rPr>
            </w:pPr>
            <w:r>
              <w:rPr>
                <w:rtl/>
              </w:rPr>
              <w:t>כבוד השופט ד' מינץ</w:t>
            </w:r>
          </w:p>
        </w:tc>
      </w:tr>
      <w:tr w:rsidR="00B54651" w:rsidTr="00EC23AC">
        <w:trPr>
          <w:trHeight w:val="287"/>
        </w:trPr>
        <w:tc>
          <w:tcPr>
            <w:tcW w:w="3261" w:type="dxa"/>
          </w:tcPr>
          <w:p w:rsidR="00B54651" w:rsidRDefault="00B54651">
            <w:pPr>
              <w:pStyle w:val="BodyRuller"/>
              <w:rPr>
                <w:rtl/>
              </w:rPr>
            </w:pPr>
          </w:p>
        </w:tc>
        <w:tc>
          <w:tcPr>
            <w:tcW w:w="5239" w:type="dxa"/>
          </w:tcPr>
          <w:p w:rsidR="00B54651" w:rsidRDefault="00B54651">
            <w:pPr>
              <w:pStyle w:val="BodyRuller"/>
              <w:rPr>
                <w:rtl/>
              </w:rPr>
            </w:pPr>
            <w:r>
              <w:rPr>
                <w:rtl/>
              </w:rPr>
              <w:t>כבוד השופט א' שטיין</w:t>
            </w:r>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D00CB7" w:rsidTr="00FD7407">
        <w:trPr>
          <w:trHeight w:val="287"/>
        </w:trPr>
        <w:tc>
          <w:tcPr>
            <w:tcW w:w="3261" w:type="dxa"/>
          </w:tcPr>
          <w:p w:rsidR="00D00CB7" w:rsidRPr="00E75223" w:rsidRDefault="00B54651" w:rsidP="00FD7407">
            <w:pPr>
              <w:pStyle w:val="BodyRuller"/>
              <w:rPr>
                <w:rFonts w:ascii="David" w:hAnsi="David"/>
              </w:rPr>
            </w:pPr>
            <w:r>
              <w:rPr>
                <w:rFonts w:ascii="David" w:hAnsi="David"/>
                <w:rtl/>
              </w:rPr>
              <w:t>המערער:</w:t>
            </w:r>
          </w:p>
        </w:tc>
        <w:tc>
          <w:tcPr>
            <w:tcW w:w="5239" w:type="dxa"/>
          </w:tcPr>
          <w:p w:rsidR="00D00CB7" w:rsidRDefault="00B54651" w:rsidP="00FD7407">
            <w:pPr>
              <w:pStyle w:val="BodyRuller"/>
            </w:pPr>
            <w:r>
              <w:rPr>
                <w:rtl/>
              </w:rPr>
              <w:t>מוחמד בכרי</w:t>
            </w:r>
          </w:p>
        </w:tc>
      </w:tr>
    </w:tbl>
    <w:p w:rsidR="00D00CB7" w:rsidRDefault="00D00CB7">
      <w:pPr>
        <w:pStyle w:val="Ruller3"/>
      </w:pPr>
    </w:p>
    <w:tbl>
      <w:tblPr>
        <w:bidiVisual/>
        <w:tblW w:w="8363" w:type="dxa"/>
        <w:tblLook w:val="0000" w:firstRow="0" w:lastRow="0" w:firstColumn="0" w:lastColumn="0" w:noHBand="0" w:noVBand="0"/>
      </w:tblPr>
      <w:tblGrid>
        <w:gridCol w:w="3222"/>
        <w:gridCol w:w="5141"/>
      </w:tblGrid>
      <w:tr w:rsidR="00036227" w:rsidTr="0039709B">
        <w:tc>
          <w:tcPr>
            <w:tcW w:w="3284" w:type="dxa"/>
          </w:tcPr>
          <w:p w:rsidR="00036227" w:rsidRDefault="00036227">
            <w:pPr>
              <w:pStyle w:val="BodyRuller"/>
            </w:pPr>
          </w:p>
        </w:tc>
        <w:tc>
          <w:tcPr>
            <w:tcW w:w="5238" w:type="dxa"/>
          </w:tcPr>
          <w:p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rsidR="00916FF8" w:rsidRDefault="00916FF8">
      <w:pPr>
        <w:pStyle w:val="Ruller3"/>
        <w:rPr>
          <w:rtl/>
        </w:rPr>
      </w:pPr>
    </w:p>
    <w:tbl>
      <w:tblPr>
        <w:bidiVisual/>
        <w:tblW w:w="8364" w:type="dxa"/>
        <w:tblLayout w:type="fixed"/>
        <w:tblLook w:val="0000" w:firstRow="0" w:lastRow="0" w:firstColumn="0" w:lastColumn="0" w:noHBand="0" w:noVBand="0"/>
      </w:tblPr>
      <w:tblGrid>
        <w:gridCol w:w="3210"/>
        <w:gridCol w:w="5154"/>
      </w:tblGrid>
      <w:tr w:rsidR="0083345F" w:rsidTr="00FD7407">
        <w:trPr>
          <w:trHeight w:val="287"/>
        </w:trPr>
        <w:tc>
          <w:tcPr>
            <w:tcW w:w="3261" w:type="dxa"/>
          </w:tcPr>
          <w:p w:rsidR="0083345F" w:rsidRPr="00E75223" w:rsidRDefault="00B54651" w:rsidP="00FD7407">
            <w:pPr>
              <w:pStyle w:val="BodyRuller"/>
              <w:rPr>
                <w:rFonts w:ascii="David" w:hAnsi="David"/>
              </w:rPr>
            </w:pPr>
            <w:r>
              <w:rPr>
                <w:rFonts w:ascii="David" w:hAnsi="David"/>
                <w:rtl/>
              </w:rPr>
              <w:t>המשיבים:</w:t>
            </w:r>
          </w:p>
        </w:tc>
        <w:tc>
          <w:tcPr>
            <w:tcW w:w="5239" w:type="dxa"/>
          </w:tcPr>
          <w:p w:rsidR="0083345F" w:rsidRDefault="00B54651" w:rsidP="00FD7407">
            <w:pPr>
              <w:pStyle w:val="BodyRuller"/>
            </w:pPr>
            <w:r>
              <w:rPr>
                <w:rtl/>
              </w:rPr>
              <w:t>1. ניסים מגנאג'י</w:t>
            </w:r>
          </w:p>
        </w:tc>
      </w:tr>
      <w:tr w:rsidR="00B54651" w:rsidTr="00FD7407">
        <w:trPr>
          <w:trHeight w:val="287"/>
        </w:trPr>
        <w:tc>
          <w:tcPr>
            <w:tcW w:w="3261" w:type="dxa"/>
          </w:tcPr>
          <w:p w:rsidR="00B54651" w:rsidRDefault="00B54651" w:rsidP="00FD7407">
            <w:pPr>
              <w:pStyle w:val="BodyRuller"/>
              <w:rPr>
                <w:rFonts w:ascii="David" w:hAnsi="David"/>
                <w:rtl/>
              </w:rPr>
            </w:pPr>
          </w:p>
        </w:tc>
        <w:tc>
          <w:tcPr>
            <w:tcW w:w="5239" w:type="dxa"/>
          </w:tcPr>
          <w:p w:rsidR="00B54651" w:rsidRDefault="00B54651" w:rsidP="00FD7407">
            <w:pPr>
              <w:pStyle w:val="BodyRuller"/>
              <w:rPr>
                <w:rtl/>
              </w:rPr>
            </w:pPr>
            <w:r>
              <w:rPr>
                <w:rtl/>
              </w:rPr>
              <w:t>2. היועץ המשפטי לממשלה</w:t>
            </w:r>
          </w:p>
        </w:tc>
      </w:tr>
    </w:tbl>
    <w:p w:rsidR="0083345F" w:rsidRDefault="0083345F">
      <w:pPr>
        <w:pStyle w:val="Ruller3"/>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B54651" w:rsidP="00142653">
            <w:pPr>
              <w:pStyle w:val="BodyRuller"/>
              <w:jc w:val="both"/>
              <w:rPr>
                <w:sz w:val="24"/>
                <w:szCs w:val="24"/>
              </w:rPr>
            </w:pPr>
            <w:r>
              <w:rPr>
                <w:sz w:val="24"/>
                <w:szCs w:val="24"/>
                <w:rtl/>
              </w:rPr>
              <w:t xml:space="preserve">ערעור על פסק דינו של בית המשפט המחוזי מרכז-לוד </w:t>
            </w:r>
            <w:r w:rsidR="00142653">
              <w:rPr>
                <w:rFonts w:hint="cs"/>
                <w:sz w:val="24"/>
                <w:szCs w:val="24"/>
                <w:rtl/>
              </w:rPr>
              <w:t xml:space="preserve">בת"א 12733-11-16 </w:t>
            </w:r>
            <w:r>
              <w:rPr>
                <w:sz w:val="24"/>
                <w:szCs w:val="24"/>
                <w:rtl/>
              </w:rPr>
              <w:t>מיום 11.</w:t>
            </w:r>
            <w:r w:rsidR="00142653">
              <w:rPr>
                <w:rFonts w:hint="cs"/>
                <w:sz w:val="24"/>
                <w:szCs w:val="24"/>
                <w:rtl/>
              </w:rPr>
              <w:t>1</w:t>
            </w:r>
            <w:r>
              <w:rPr>
                <w:sz w:val="24"/>
                <w:szCs w:val="24"/>
                <w:rtl/>
              </w:rPr>
              <w:t xml:space="preserve">.2021 </w:t>
            </w:r>
            <w:r w:rsidR="00142653">
              <w:rPr>
                <w:rFonts w:hint="cs"/>
                <w:sz w:val="24"/>
                <w:szCs w:val="24"/>
                <w:rtl/>
              </w:rPr>
              <w:t>שניתן על ידי כב' השופטת הלית סילש</w:t>
            </w:r>
          </w:p>
        </w:tc>
      </w:tr>
    </w:tbl>
    <w:p w:rsidR="00916FF8" w:rsidRDefault="00916FF8">
      <w:pPr>
        <w:pStyle w:val="Ruller3"/>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4141"/>
        <w:gridCol w:w="992"/>
      </w:tblGrid>
      <w:tr w:rsidR="008C2F11" w:rsidTr="00733BD3">
        <w:tc>
          <w:tcPr>
            <w:tcW w:w="3230"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4141" w:type="dxa"/>
            <w:tcBorders>
              <w:top w:val="nil"/>
              <w:left w:val="nil"/>
              <w:bottom w:val="nil"/>
              <w:right w:val="nil"/>
            </w:tcBorders>
          </w:tcPr>
          <w:p w:rsidR="008C2F11" w:rsidRDefault="00733BD3">
            <w:pPr>
              <w:pStyle w:val="BodyRuller"/>
              <w:rPr>
                <w:rtl/>
              </w:rPr>
            </w:pPr>
            <w:r w:rsidRPr="00733BD3">
              <w:rPr>
                <w:sz w:val="24"/>
                <w:szCs w:val="24"/>
                <w:rtl/>
              </w:rPr>
              <w:t>ט"ו באייר התשפ"ב (</w:t>
            </w:r>
            <w:r w:rsidRPr="00733BD3">
              <w:rPr>
                <w:rFonts w:hint="cs"/>
                <w:sz w:val="24"/>
                <w:szCs w:val="24"/>
                <w:rtl/>
              </w:rPr>
              <w:t>16.5.2022</w:t>
            </w:r>
            <w:r w:rsidRPr="00733BD3">
              <w:rPr>
                <w:sz w:val="24"/>
                <w:szCs w:val="24"/>
                <w:rtl/>
              </w:rPr>
              <w:t>)</w:t>
            </w:r>
          </w:p>
        </w:tc>
        <w:tc>
          <w:tcPr>
            <w:tcW w:w="992" w:type="dxa"/>
            <w:tcBorders>
              <w:top w:val="nil"/>
              <w:left w:val="nil"/>
              <w:bottom w:val="nil"/>
              <w:right w:val="nil"/>
            </w:tcBorders>
          </w:tcPr>
          <w:p w:rsidR="008C2F11" w:rsidRDefault="008C2F11">
            <w:pPr>
              <w:pStyle w:val="BodyRuller"/>
              <w:rPr>
                <w:sz w:val="24"/>
                <w:szCs w:val="24"/>
                <w:rtl/>
              </w:rPr>
            </w:pPr>
          </w:p>
        </w:tc>
      </w:tr>
    </w:tbl>
    <w:p w:rsidR="00916FF8" w:rsidRDefault="00916FF8">
      <w:pPr>
        <w:pStyle w:val="Ruller3"/>
      </w:pPr>
    </w:p>
    <w:tbl>
      <w:tblPr>
        <w:bidiVisual/>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
        <w:gridCol w:w="3186"/>
        <w:gridCol w:w="22"/>
        <w:gridCol w:w="5128"/>
        <w:gridCol w:w="27"/>
      </w:tblGrid>
      <w:tr w:rsidR="00036227" w:rsidTr="00733BD3">
        <w:trPr>
          <w:gridAfter w:val="1"/>
          <w:wAfter w:w="27" w:type="dxa"/>
        </w:trPr>
        <w:tc>
          <w:tcPr>
            <w:tcW w:w="3213" w:type="dxa"/>
            <w:gridSpan w:val="2"/>
            <w:tcBorders>
              <w:top w:val="nil"/>
              <w:left w:val="nil"/>
              <w:bottom w:val="nil"/>
              <w:right w:val="nil"/>
            </w:tcBorders>
          </w:tcPr>
          <w:p w:rsidR="00036227" w:rsidRDefault="00B54651">
            <w:pPr>
              <w:pStyle w:val="BodyRuller"/>
            </w:pPr>
            <w:r>
              <w:rPr>
                <w:rtl/>
              </w:rPr>
              <w:t>בשם המערער:</w:t>
            </w:r>
          </w:p>
        </w:tc>
        <w:tc>
          <w:tcPr>
            <w:tcW w:w="5150" w:type="dxa"/>
            <w:gridSpan w:val="2"/>
            <w:tcBorders>
              <w:top w:val="nil"/>
              <w:left w:val="nil"/>
              <w:bottom w:val="nil"/>
              <w:right w:val="nil"/>
            </w:tcBorders>
          </w:tcPr>
          <w:p w:rsidR="00036227" w:rsidRDefault="00733BD3" w:rsidP="00733BD3">
            <w:pPr>
              <w:pStyle w:val="BodyRuller"/>
              <w:jc w:val="both"/>
            </w:pPr>
            <w:r>
              <w:rPr>
                <w:rFonts w:hint="cs"/>
                <w:sz w:val="26"/>
                <w:szCs w:val="26"/>
                <w:rtl/>
              </w:rPr>
              <w:t>עו"ד אביגדור פלדמן; עו"ד מיכאל ספרד; עו"ד עמרי ברבש</w:t>
            </w:r>
            <w:r w:rsidRPr="00E874EC">
              <w:rPr>
                <w:sz w:val="26"/>
                <w:szCs w:val="26"/>
                <w:rtl/>
              </w:rPr>
              <w:tab/>
            </w:r>
          </w:p>
        </w:tc>
      </w:tr>
      <w:tr w:rsidR="00036227" w:rsidTr="00733BD3">
        <w:trPr>
          <w:gridBefore w:val="1"/>
          <w:wBefore w:w="27" w:type="dxa"/>
        </w:trPr>
        <w:tc>
          <w:tcPr>
            <w:tcW w:w="3208" w:type="dxa"/>
            <w:gridSpan w:val="2"/>
            <w:tcBorders>
              <w:top w:val="nil"/>
              <w:left w:val="nil"/>
              <w:bottom w:val="nil"/>
              <w:right w:val="nil"/>
            </w:tcBorders>
          </w:tcPr>
          <w:p w:rsidR="00036227" w:rsidRDefault="00B54651" w:rsidP="00733BD3">
            <w:pPr>
              <w:pStyle w:val="BodyRuller"/>
            </w:pPr>
            <w:r>
              <w:rPr>
                <w:rtl/>
              </w:rPr>
              <w:t>בשם המשיב</w:t>
            </w:r>
            <w:r w:rsidR="00733BD3">
              <w:rPr>
                <w:rFonts w:hint="cs"/>
                <w:rtl/>
              </w:rPr>
              <w:t xml:space="preserve"> 1</w:t>
            </w:r>
            <w:r>
              <w:rPr>
                <w:rtl/>
              </w:rPr>
              <w:t>:</w:t>
            </w:r>
          </w:p>
        </w:tc>
        <w:tc>
          <w:tcPr>
            <w:tcW w:w="5155" w:type="dxa"/>
            <w:gridSpan w:val="2"/>
            <w:tcBorders>
              <w:top w:val="nil"/>
              <w:left w:val="nil"/>
              <w:bottom w:val="nil"/>
              <w:right w:val="nil"/>
            </w:tcBorders>
          </w:tcPr>
          <w:p w:rsidR="00036227" w:rsidRDefault="00733BD3" w:rsidP="00733BD3">
            <w:pPr>
              <w:pStyle w:val="BodyRuller"/>
            </w:pPr>
            <w:r w:rsidRPr="00733BD3">
              <w:rPr>
                <w:rFonts w:hint="cs"/>
                <w:rtl/>
              </w:rPr>
              <w:t>עו"ד נבות תל-צור</w:t>
            </w:r>
          </w:p>
        </w:tc>
      </w:tr>
      <w:tr w:rsidR="00B54651" w:rsidTr="00733BD3">
        <w:trPr>
          <w:gridBefore w:val="1"/>
          <w:wBefore w:w="27" w:type="dxa"/>
        </w:trPr>
        <w:tc>
          <w:tcPr>
            <w:tcW w:w="3208" w:type="dxa"/>
            <w:gridSpan w:val="2"/>
            <w:tcBorders>
              <w:top w:val="nil"/>
              <w:left w:val="nil"/>
              <w:bottom w:val="nil"/>
              <w:right w:val="nil"/>
            </w:tcBorders>
          </w:tcPr>
          <w:p w:rsidR="00B54651" w:rsidRDefault="00733BD3">
            <w:pPr>
              <w:pStyle w:val="BodyRuller"/>
            </w:pPr>
            <w:r>
              <w:rPr>
                <w:rFonts w:hint="cs"/>
                <w:rtl/>
              </w:rPr>
              <w:t>בשם המשיב 2:</w:t>
            </w:r>
          </w:p>
        </w:tc>
        <w:tc>
          <w:tcPr>
            <w:tcW w:w="5155" w:type="dxa"/>
            <w:gridSpan w:val="2"/>
            <w:tcBorders>
              <w:top w:val="nil"/>
              <w:left w:val="nil"/>
              <w:bottom w:val="nil"/>
              <w:right w:val="nil"/>
            </w:tcBorders>
          </w:tcPr>
          <w:p w:rsidR="00B54651" w:rsidRDefault="00142653" w:rsidP="00733BD3">
            <w:pPr>
              <w:pStyle w:val="BodyRuller"/>
              <w:rPr>
                <w:rtl/>
              </w:rPr>
            </w:pPr>
            <w:r w:rsidRPr="00142653">
              <w:rPr>
                <w:rFonts w:hint="cs"/>
                <w:rtl/>
              </w:rPr>
              <w:t>עו"ד אביעד אמרוסי; עו"ד מרווה בז'ה</w:t>
            </w:r>
            <w:r w:rsidR="00B54651">
              <w:rPr>
                <w:rtl/>
              </w:rPr>
              <w:t xml:space="preserve"> </w:t>
            </w:r>
          </w:p>
        </w:tc>
      </w:tr>
    </w:tbl>
    <w:p w:rsidR="00916FF8" w:rsidRDefault="00916FF8">
      <w:pPr>
        <w:tabs>
          <w:tab w:val="left" w:pos="2552"/>
        </w:tabs>
        <w:rPr>
          <w:rtl/>
        </w:rPr>
      </w:pPr>
    </w:p>
    <w:p w:rsidR="00142653" w:rsidRDefault="00142653">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B54651">
            <w:pPr>
              <w:pStyle w:val="DocumentHead"/>
            </w:pPr>
            <w:bookmarkStart w:id="2" w:name="secretary"/>
            <w:bookmarkStart w:id="3" w:name="BeginProtocol"/>
            <w:bookmarkEnd w:id="2"/>
            <w:bookmarkEnd w:id="3"/>
            <w:r>
              <w:rPr>
                <w:rtl/>
              </w:rPr>
              <w:t>פסק-דין</w:t>
            </w:r>
          </w:p>
        </w:tc>
      </w:tr>
    </w:tbl>
    <w:p w:rsidR="0065522F" w:rsidRDefault="0065522F">
      <w:pPr>
        <w:pStyle w:val="BODYVERDICT"/>
      </w:pPr>
    </w:p>
    <w:p w:rsidR="00916FF8" w:rsidRDefault="00B54651">
      <w:pPr>
        <w:pStyle w:val="BODYVERDICT"/>
        <w:rPr>
          <w:rFonts w:cs="Miriam"/>
          <w:sz w:val="24"/>
          <w:szCs w:val="24"/>
          <w:u w:val="single"/>
          <w:rtl/>
        </w:rPr>
      </w:pPr>
      <w:bookmarkStart w:id="4" w:name="Writer_Name"/>
      <w:bookmarkEnd w:id="4"/>
      <w:r>
        <w:rPr>
          <w:rFonts w:cs="Miriam"/>
          <w:sz w:val="24"/>
          <w:szCs w:val="24"/>
          <w:u w:val="single"/>
          <w:rtl/>
        </w:rPr>
        <w:t>השופט י' עמית:</w:t>
      </w:r>
    </w:p>
    <w:p w:rsidR="00B347E6" w:rsidRDefault="00B347E6" w:rsidP="00B347E6">
      <w:pPr>
        <w:pStyle w:val="Ruller41"/>
        <w:rPr>
          <w:rtl/>
        </w:rPr>
      </w:pPr>
    </w:p>
    <w:p w:rsidR="00B347E6" w:rsidRDefault="00B347E6" w:rsidP="00B347E6">
      <w:pPr>
        <w:pStyle w:val="Ruller41"/>
        <w:rPr>
          <w:rFonts w:ascii="Century" w:hAnsi="Century"/>
          <w:rtl/>
        </w:rPr>
      </w:pPr>
      <w:r>
        <w:rPr>
          <w:rtl/>
        </w:rPr>
        <w:tab/>
      </w:r>
      <w:r>
        <w:rPr>
          <w:rFonts w:hint="cs"/>
          <w:rtl/>
        </w:rPr>
        <w:t xml:space="preserve">ערעור על פסק דינו של בית המשפט המחוזי מרכז-לוד (כב' השופטת </w:t>
      </w:r>
      <w:r w:rsidRPr="00E3406D">
        <w:rPr>
          <w:rFonts w:ascii="Century" w:hAnsi="Century" w:cs="Miriam" w:hint="cs"/>
          <w:b/>
          <w:spacing w:val="0"/>
          <w:szCs w:val="24"/>
          <w:rtl/>
        </w:rPr>
        <w:t>ה' סילש</w:t>
      </w:r>
      <w:r>
        <w:rPr>
          <w:rFonts w:hint="cs"/>
          <w:rtl/>
        </w:rPr>
        <w:t>)</w:t>
      </w:r>
      <w:r>
        <w:rPr>
          <w:rFonts w:ascii="Century" w:hAnsi="Century" w:hint="cs"/>
          <w:rtl/>
        </w:rPr>
        <w:t xml:space="preserve"> בת"א 12733-11-16 מיום 11.1.2021, שבו נתקבלה תביעת המשיב 1 (להלן: </w:t>
      </w:r>
      <w:r w:rsidRPr="00E114D4">
        <w:rPr>
          <w:rFonts w:ascii="Century" w:hAnsi="Century" w:cs="Miriam" w:hint="cs"/>
          <w:b/>
          <w:spacing w:val="0"/>
          <w:szCs w:val="24"/>
          <w:rtl/>
        </w:rPr>
        <w:t>המשיב</w:t>
      </w:r>
      <w:r>
        <w:rPr>
          <w:rFonts w:ascii="Century" w:hAnsi="Century" w:hint="cs"/>
          <w:rtl/>
        </w:rPr>
        <w:t xml:space="preserve">) מכוח חוק איסור לשון הרע, התשכ"ה-1965 (להלן: </w:t>
      </w:r>
      <w:r w:rsidRPr="00E114D4">
        <w:rPr>
          <w:rFonts w:ascii="Century" w:hAnsi="Century" w:cs="Miriam" w:hint="cs"/>
          <w:b/>
          <w:spacing w:val="0"/>
          <w:szCs w:val="24"/>
          <w:rtl/>
        </w:rPr>
        <w:t>חוק איסור לשון הרע</w:t>
      </w:r>
      <w:r>
        <w:rPr>
          <w:rFonts w:ascii="Century" w:hAnsi="Century" w:hint="cs"/>
          <w:rtl/>
        </w:rPr>
        <w:t xml:space="preserve"> או </w:t>
      </w:r>
      <w:r w:rsidRPr="00E114D4">
        <w:rPr>
          <w:rFonts w:ascii="Century" w:hAnsi="Century" w:cs="Miriam" w:hint="cs"/>
          <w:b/>
          <w:spacing w:val="0"/>
          <w:szCs w:val="24"/>
          <w:rtl/>
        </w:rPr>
        <w:t>החוק</w:t>
      </w:r>
      <w:r>
        <w:rPr>
          <w:rFonts w:ascii="Century" w:hAnsi="Century" w:hint="cs"/>
          <w:rtl/>
        </w:rPr>
        <w:t>).</w:t>
      </w:r>
    </w:p>
    <w:p w:rsidR="00B347E6" w:rsidRDefault="00B347E6" w:rsidP="00B347E6">
      <w:pPr>
        <w:pStyle w:val="Ruller41"/>
        <w:rPr>
          <w:rFonts w:ascii="Century" w:hAnsi="Century"/>
          <w:rtl/>
        </w:rPr>
      </w:pPr>
    </w:p>
    <w:p w:rsidR="00493D1F" w:rsidRDefault="00493D1F" w:rsidP="00B347E6">
      <w:pPr>
        <w:pStyle w:val="Ruller41"/>
        <w:rPr>
          <w:rFonts w:ascii="Century" w:hAnsi="Century"/>
          <w:rtl/>
        </w:rPr>
      </w:pPr>
    </w:p>
    <w:p w:rsidR="00B347E6" w:rsidRDefault="00B347E6" w:rsidP="00B347E6">
      <w:pPr>
        <w:pStyle w:val="Ruller41"/>
        <w:rPr>
          <w:rFonts w:ascii="Century" w:hAnsi="Century" w:cs="Miriam"/>
          <w:b/>
          <w:spacing w:val="0"/>
          <w:szCs w:val="24"/>
          <w:rtl/>
        </w:rPr>
      </w:pPr>
      <w:r w:rsidRPr="00E114D4">
        <w:rPr>
          <w:rFonts w:ascii="Century" w:hAnsi="Century" w:cs="Miriam" w:hint="cs"/>
          <w:b/>
          <w:spacing w:val="0"/>
          <w:szCs w:val="24"/>
          <w:rtl/>
        </w:rPr>
        <w:t>רקע עובדתי והליכים קודמים</w:t>
      </w:r>
    </w:p>
    <w:p w:rsidR="00B347E6" w:rsidRDefault="00B347E6" w:rsidP="00B347E6">
      <w:pPr>
        <w:pStyle w:val="Ruller41"/>
        <w:rPr>
          <w:rFonts w:ascii="Century" w:hAnsi="Century" w:cs="Miriam"/>
          <w:b/>
          <w:spacing w:val="0"/>
          <w:szCs w:val="24"/>
          <w:rtl/>
        </w:rPr>
      </w:pPr>
    </w:p>
    <w:p w:rsidR="00B347E6" w:rsidRDefault="00B347E6" w:rsidP="00B347E6">
      <w:pPr>
        <w:pStyle w:val="Ruller41"/>
        <w:rPr>
          <w:rFonts w:ascii="Century" w:hAnsi="Century"/>
          <w:rtl/>
        </w:rPr>
      </w:pPr>
      <w:r>
        <w:rPr>
          <w:rFonts w:ascii="Century" w:hAnsi="Century" w:hint="cs"/>
          <w:rtl/>
        </w:rPr>
        <w:t>1.</w:t>
      </w:r>
      <w:r>
        <w:rPr>
          <w:rFonts w:ascii="Century" w:hAnsi="Century" w:hint="cs"/>
          <w:rtl/>
        </w:rPr>
        <w:tab/>
        <w:t xml:space="preserve">הערעור שלפנינו מהווה חוליה נוספת בשרשרת הליכים שנסבו על הקרנתו של הסרט "ג'נין ג'נין", שנוצר, בוים והופק על ידי המערער. הרקע הכללי גלוי וידוע, ופורט </w:t>
      </w:r>
      <w:r>
        <w:rPr>
          <w:rFonts w:ascii="Century" w:hAnsi="Century" w:hint="cs"/>
          <w:rtl/>
        </w:rPr>
        <w:lastRenderedPageBreak/>
        <w:t xml:space="preserve">במספר פסקי דין בעבר. נזכיר בתמצית כי בחודש אפריל 2002, במהלך האינתיפאדה השניה ובעיצומו של גל טרור רצחני, יצא צה"ל למבצע "חומת מגן". ההחלטה על היציאה למבצע התקבלה על ידי ממשלת ישראל בעקבות פיגוע התאבדות שאירע בליל-הסדר במלון "פארק" בנתניה, שבו נרצחו 30 ישראלים ונפצעו כ-160 נוספים. פיגוע זה התווסף לשורה ארוכה של פיגועי טרור, שהובילו </w:t>
      </w:r>
      <w:r>
        <w:rPr>
          <w:rFonts w:ascii="Century" w:hAnsi="Century"/>
          <w:rtl/>
        </w:rPr>
        <w:t>–</w:t>
      </w:r>
      <w:r>
        <w:rPr>
          <w:rFonts w:ascii="Century" w:hAnsi="Century" w:hint="cs"/>
          <w:rtl/>
        </w:rPr>
        <w:t xml:space="preserve"> באותו חודש לבדו </w:t>
      </w:r>
      <w:r>
        <w:rPr>
          <w:rFonts w:ascii="Century" w:hAnsi="Century"/>
          <w:rtl/>
        </w:rPr>
        <w:t>–</w:t>
      </w:r>
      <w:r>
        <w:rPr>
          <w:rFonts w:ascii="Century" w:hAnsi="Century" w:hint="cs"/>
          <w:rtl/>
        </w:rPr>
        <w:t xml:space="preserve"> למותם של למעלה מ-100 ישראלים; ולמותם של למעלה מ-1,100 ישראלים ופציעתם של אלפים נוספים בימי האינתיפאדה השניה.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כפי שתואר בבג"ץ 316/03 </w:t>
      </w:r>
      <w:r w:rsidRPr="00BE15B2">
        <w:rPr>
          <w:rFonts w:ascii="Century" w:hAnsi="Century" w:cs="Miriam" w:hint="cs"/>
          <w:b/>
          <w:spacing w:val="0"/>
          <w:szCs w:val="24"/>
          <w:rtl/>
        </w:rPr>
        <w:t>בכרי נ' המועצה לביקורת סרטים</w:t>
      </w:r>
      <w:r>
        <w:rPr>
          <w:rFonts w:ascii="Century" w:hAnsi="Century" w:hint="cs"/>
          <w:rtl/>
        </w:rPr>
        <w:t xml:space="preserve">, פ"ד נח(1) 249, 256 (2003) (להלן: </w:t>
      </w:r>
      <w:r w:rsidRPr="000D2031">
        <w:rPr>
          <w:rFonts w:ascii="Century" w:hAnsi="Century" w:hint="cs"/>
          <w:rtl/>
        </w:rPr>
        <w:t xml:space="preserve">עניין </w:t>
      </w:r>
      <w:r>
        <w:rPr>
          <w:rFonts w:ascii="Century" w:hAnsi="Century" w:cs="Miriam" w:hint="cs"/>
          <w:b/>
          <w:spacing w:val="0"/>
          <w:szCs w:val="24"/>
          <w:rtl/>
        </w:rPr>
        <w:t>בכרי</w:t>
      </w:r>
      <w:r>
        <w:rPr>
          <w:rFonts w:ascii="Century" w:hAnsi="Century" w:hint="cs"/>
          <w:rtl/>
        </w:rPr>
        <w:t>), במהלך המבצע נכנסו כוחות צה"ל למחנה הפליטים בעיר ג'נין, ששימש מוקד מרכזי להתארגנויות לפיגועים ושממנו יצאו מחבלים מתאבדים רבים לפיגועים ברחבי הארץ. כוחות צה"ל התריעו בפני האוכלוסיה האזרחית לעזוב את המקום, ולאחר מכן ניהלו לחימה בתנאים קשים בשטח בנוי ומאוכלס בצפיפות, תוך שנעשו מאמצים מצד הכוחות לצמצם פגיעה אפשרית באזרחים. בקרבות נהרגו 23 חיילי צה"ל ונפצעו עשרות רבות של חיילים. בצד הפלסטיני נהרגו 52 איש, כמחציתם מחבלים.</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2.</w:t>
      </w:r>
      <w:r>
        <w:rPr>
          <w:rFonts w:ascii="Century" w:hAnsi="Century" w:hint="cs"/>
          <w:rtl/>
        </w:rPr>
        <w:tab/>
        <w:t xml:space="preserve">סרטו הדוקומנטרי-כביכול של המערער צולם לאחר המבצע, בסוף חודש אפריל 2002, ומובאות בו תגובות של תושבים פלסטינים לאירועים שהתרחשו במהלך המבצע. על כך שהסרט כולל שקרים וכזבים ומהווה פרסום העולה כדי "לשון הרע" לפי חוק איסור לשון הרע, דומה כי אין כיום מחלוקת של ממש. המערער עצמו אישר בבית המשפט המחוזי כי כלל לא טרח לבדוק את העובדות-כביכול שמוצגות בסרט (פרוטוקול, </w:t>
      </w:r>
      <w:r w:rsidRPr="00E207F1">
        <w:rPr>
          <w:rFonts w:ascii="Century" w:hAnsi="Century" w:hint="cs"/>
          <w:rtl/>
        </w:rPr>
        <w:t xml:space="preserve">עמ' 95), ואף הערעור שלפנינו לא מתבסס על הטענה כי הסרט כלל אינו מהווה לשון הרע. אל טיבו של הסרט אשוב ואתייחס בהמשך הדברים.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הקרנת הסרט גררה שורה של הליכים. בתחילה אסרה המועצה לביקורת סרטים על הקרנת הסרט מכוח סמכותה לפי פקודת סרטי הראינוע. עתירה שהגיש המערער לבית משפט זה נגד החלטת המועצה התקבלה, והחלטת המועצה בוטלה בפסק הדין שניתן בעניין </w:t>
      </w:r>
      <w:r w:rsidRPr="000D2031">
        <w:rPr>
          <w:rFonts w:ascii="Century" w:hAnsi="Century" w:cs="Miriam" w:hint="cs"/>
          <w:b/>
          <w:spacing w:val="0"/>
          <w:szCs w:val="24"/>
          <w:rtl/>
        </w:rPr>
        <w:t>בכרי</w:t>
      </w:r>
      <w:r>
        <w:rPr>
          <w:rFonts w:ascii="Century" w:hAnsi="Century" w:hint="cs"/>
          <w:rtl/>
        </w:rPr>
        <w:t xml:space="preserve"> שהוזכר לעיל.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בהמשך הוגשה תביעה אזרחית נגד המערער על ידי חמישה חיילי מילואים של צה"ל שנטלו חלק בלחימה. בית המשפט המחוזי (כב' השופטת </w:t>
      </w:r>
      <w:r w:rsidRPr="002B29CF">
        <w:rPr>
          <w:rFonts w:ascii="Century" w:hAnsi="Century" w:cs="Miriam" w:hint="cs"/>
          <w:b/>
          <w:spacing w:val="0"/>
          <w:szCs w:val="24"/>
          <w:rtl/>
        </w:rPr>
        <w:t>מ' נד"ב</w:t>
      </w:r>
      <w:r>
        <w:rPr>
          <w:rFonts w:ascii="Century" w:hAnsi="Century" w:hint="cs"/>
          <w:rtl/>
        </w:rPr>
        <w:t xml:space="preserve">) קבע כי הדברים המוצגים בסרט אמנם מהווים לשון הרע, וכן דחה את טענות המערער כי עומדות לו הגנות מכוח חוק איסור לשון הרע. למרות זאת, התביעה נדחתה מכוח סעיף 4 לחוק, משום שתוכן הפרסום התייחס </w:t>
      </w:r>
      <w:r w:rsidRPr="00320934">
        <w:rPr>
          <w:rFonts w:ascii="Century" w:hAnsi="Century" w:cs="Miriam" w:hint="cs"/>
          <w:b/>
          <w:spacing w:val="0"/>
          <w:szCs w:val="24"/>
          <w:rtl/>
        </w:rPr>
        <w:t>לקבוצה</w:t>
      </w:r>
      <w:r>
        <w:rPr>
          <w:rFonts w:ascii="Century" w:hAnsi="Century" w:hint="cs"/>
          <w:rtl/>
        </w:rPr>
        <w:t xml:space="preserve"> של חיילי צה"ל שהשתתפו במבצע, ולא ליחידים, ובהעדר חשש שהצופה הסביר יקשור בין האמור בסרט לבין כל חייל וחייל שהשתתף בלחימה. בפסק דינו, בית המשפט המחוזי נתן דעתו, בין היתר, לכך שהקבוצה המדוברת מונה מאות חיילים, </w:t>
      </w:r>
      <w:r w:rsidRPr="00FD7995">
        <w:rPr>
          <w:rFonts w:ascii="Century" w:hAnsi="Century" w:cs="Miriam" w:hint="cs"/>
          <w:b/>
          <w:spacing w:val="0"/>
          <w:szCs w:val="24"/>
          <w:rtl/>
        </w:rPr>
        <w:t>ולכך שתמונותיהם של התובעים עצמם לא הופיעו בסרט</w:t>
      </w:r>
      <w:r w:rsidRPr="00320934">
        <w:rPr>
          <w:rFonts w:ascii="Century" w:hAnsi="Century" w:hint="cs"/>
          <w:rtl/>
        </w:rPr>
        <w:t xml:space="preserve"> </w:t>
      </w:r>
      <w:r>
        <w:rPr>
          <w:rFonts w:ascii="Century" w:hAnsi="Century" w:hint="cs"/>
          <w:rtl/>
        </w:rPr>
        <w:t xml:space="preserve">(ת"א (מר') 6053-08-07 מיום 26.6.2008)). ערעור שהוגש לבית משפט זה על פסק דינו של בית המשפט המחוזי </w:t>
      </w:r>
      <w:r>
        <w:rPr>
          <w:rFonts w:ascii="Century" w:hAnsi="Century"/>
          <w:rtl/>
        </w:rPr>
        <w:t>–</w:t>
      </w:r>
      <w:r>
        <w:rPr>
          <w:rFonts w:ascii="Century" w:hAnsi="Century" w:hint="cs"/>
          <w:rtl/>
        </w:rPr>
        <w:t xml:space="preserve"> נדחה (ע"א 8345/08 </w:t>
      </w:r>
      <w:r w:rsidRPr="00574A55">
        <w:rPr>
          <w:rFonts w:ascii="Century" w:hAnsi="Century" w:cs="Miriam" w:hint="cs"/>
          <w:b/>
          <w:spacing w:val="0"/>
          <w:szCs w:val="24"/>
          <w:rtl/>
        </w:rPr>
        <w:t>בן נתן נ' בכרי</w:t>
      </w:r>
      <w:r>
        <w:rPr>
          <w:rFonts w:ascii="Century" w:hAnsi="Century" w:hint="cs"/>
          <w:rtl/>
        </w:rPr>
        <w:t xml:space="preserve"> (27.7.2011) (להלן: עניין </w:t>
      </w:r>
      <w:r w:rsidRPr="009E1359">
        <w:rPr>
          <w:rFonts w:ascii="Century" w:hAnsi="Century" w:cs="Miriam" w:hint="cs"/>
          <w:b/>
          <w:spacing w:val="0"/>
          <w:szCs w:val="24"/>
          <w:rtl/>
        </w:rPr>
        <w:t>בן נתן</w:t>
      </w:r>
      <w:r>
        <w:rPr>
          <w:rFonts w:ascii="Century" w:hAnsi="Century" w:hint="cs"/>
          <w:rtl/>
        </w:rPr>
        <w:t>)).</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3.</w:t>
      </w:r>
      <w:r>
        <w:rPr>
          <w:rFonts w:ascii="Century" w:hAnsi="Century"/>
          <w:rtl/>
        </w:rPr>
        <w:tab/>
      </w:r>
      <w:r>
        <w:rPr>
          <w:rFonts w:ascii="Century" w:hAnsi="Century" w:hint="cs"/>
          <w:rtl/>
        </w:rPr>
        <w:t xml:space="preserve">בשנת 2016 הגיש המשיב את התביעה מושא הערעור דנן. זו הפעם, התביעה לא הוגשה על ידי לוחמים שאינם מופיעים בסרט, אלא על ידי המשיב שטען כי הסרט כולל צילום שלו, באופן הקושר בינו לבין תוכן הסרט והנרטיב המוצג בו, ומשכך עומדת לו עילת תביעה אישית נגד המערער. לטענת המשיב, רק בשנת 2015 נודע לו שהוא מופיע בסרט, ובשל כך הגיש את תביעתו רק בשנת 2016.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4.</w:t>
      </w:r>
      <w:r>
        <w:rPr>
          <w:rFonts w:ascii="Century" w:hAnsi="Century"/>
          <w:rtl/>
        </w:rPr>
        <w:tab/>
      </w:r>
      <w:r>
        <w:rPr>
          <w:rFonts w:ascii="Century" w:hAnsi="Century" w:hint="cs"/>
          <w:rtl/>
        </w:rPr>
        <w:t xml:space="preserve">לאורך השנים, היועץ המשפטי לממשלה (להלן גם: </w:t>
      </w:r>
      <w:r w:rsidRPr="006D0007">
        <w:rPr>
          <w:rFonts w:ascii="Century" w:hAnsi="Century" w:cs="Miriam" w:hint="cs"/>
          <w:b/>
          <w:spacing w:val="0"/>
          <w:szCs w:val="24"/>
          <w:rtl/>
        </w:rPr>
        <w:t>היועמ"ש</w:t>
      </w:r>
      <w:r>
        <w:rPr>
          <w:rFonts w:ascii="Century" w:hAnsi="Century" w:hint="cs"/>
          <w:rtl/>
        </w:rPr>
        <w:t>) נדרש אף הוא מספר פעמים לסרט, וזאת בעקבות בקשות שהוגשו אליו מטעם לוחמים, משפחות שכולות, משפטנים ואישי ציבור לנהל הליך משפטי ביחס לסרט. בסיכומו של דבר, היועמ"ש החליט שלא לנקוט הליכים פליליים נגד המערער, וזאת בהתאם למדיניות רבת השנים הנקוטה בידו בתחום זה. החלטה זו שבה ואושררה על ידי היועמ"ש (החלטותיהם של היועצים דאז א' רובינשטיין, מ' מזוז וי' וינשטיין). עם זאת, בשים לב לאינטרס הציבורי הגלום בעניין, ביקש היועץ דאז מזוז לבחון אפשרות להתייצב בהליך האזרחי שהגישו הלוחמים. כך אכן נעשה בהמשך, כאשר במסגרת ההליך האזרחי דנן, היועמ"ש התייצב בבית המשפט המחוזי לימינו של המשיב (ולימינם של חיילי ולוחמי צה"ל באופן כללי). גם במסגרת הערעור העומד עתה להכרעתנו הגיש היועמ"ש תשובה מטעמו. על כך ועוד, ביתר הרחבה להלן.</w:t>
      </w:r>
    </w:p>
    <w:p w:rsidR="00B347E6" w:rsidRDefault="00B347E6" w:rsidP="00B347E6">
      <w:pPr>
        <w:pStyle w:val="Ruller41"/>
        <w:rPr>
          <w:rFonts w:ascii="Century" w:hAnsi="Century"/>
          <w:rtl/>
        </w:rPr>
      </w:pPr>
    </w:p>
    <w:p w:rsidR="00B347E6" w:rsidRPr="00906B27" w:rsidRDefault="00B347E6" w:rsidP="00B347E6">
      <w:pPr>
        <w:pStyle w:val="Ruller41"/>
        <w:rPr>
          <w:rFonts w:ascii="Century" w:hAnsi="Century" w:cs="Miriam"/>
          <w:b/>
          <w:spacing w:val="0"/>
          <w:szCs w:val="24"/>
          <w:rtl/>
        </w:rPr>
      </w:pPr>
      <w:r>
        <w:rPr>
          <w:rFonts w:ascii="Century" w:hAnsi="Century" w:cs="Miriam" w:hint="cs"/>
          <w:b/>
          <w:spacing w:val="0"/>
          <w:szCs w:val="24"/>
          <w:rtl/>
        </w:rPr>
        <w:t>עיקרי פסק דינו של בית המשפט המחוזי</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5.</w:t>
      </w:r>
      <w:r>
        <w:rPr>
          <w:rFonts w:ascii="Century" w:hAnsi="Century"/>
          <w:rtl/>
        </w:rPr>
        <w:tab/>
      </w:r>
      <w:r>
        <w:rPr>
          <w:rFonts w:ascii="Century" w:hAnsi="Century" w:hint="cs"/>
          <w:rtl/>
        </w:rPr>
        <w:t>בית המשפט המחוזי קיבל את תביעת המשיב. תחילה נדרש בית המשפט לטענת ההתיישנות שעמדה במוקד הגנתו של המערער. לאחר שנתן דעתו על מכלול הראיות, הטענות והמסמכים, בית המשפט אימץ את גרסת המשיב כי עובר לשנת 2015 לא צפה בסרט ולא היה מודע לעובדה שהוא עצמו מופיע בסרט. בית המשפט מצא את עדותו של המשיב "מהימנה מאד" וכזו שיש ליתן לה "משקל ראייתי משמעותי", והתרשם שהמשיב הוא אדם "אשר פיו ולבו שווים", שהשיב לשאלות בפשטות, בבהירות וכמיטב הבנתו. עוד התרשם בית המשפט שהמשיב נותר מצולק רגשית בעקבות אירועי מבצע חומת מגן. בית המשפט ציין כי עדותו של המשיב עולה בקנה אחד עם עדויותיהם של העדים האחרים, וכי התמונה המתקבלת היא כי אף שהמשיב ידע על קיומו של הסרט ועל דבר קיומם של הליכים משפטיים, הוא לא צפה בסרט עובר לשנת 2015.</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כחלק מהדיון בשאלת המועד שבו צפה המשיב לראשונה בסרט, עלתה התייחסות לבקשות שהוגשו בשעתו בשנת 2003 במסגרת העתירה בעניין </w:t>
      </w:r>
      <w:r w:rsidRPr="000D2031">
        <w:rPr>
          <w:rFonts w:ascii="Century" w:hAnsi="Century" w:cs="Miriam" w:hint="cs"/>
          <w:b/>
          <w:spacing w:val="0"/>
          <w:szCs w:val="24"/>
          <w:rtl/>
        </w:rPr>
        <w:t>בכרי</w:t>
      </w:r>
      <w:r>
        <w:rPr>
          <w:rFonts w:ascii="Century" w:hAnsi="Century" w:hint="cs"/>
          <w:rtl/>
        </w:rPr>
        <w:t xml:space="preserve">. מדובר בבקשות שהגיש עו"ד כספי, בא כוחם של המשיבים-הלוחמים באותו הליך, לצירוף שלושה משיבים להליך, </w:t>
      </w:r>
      <w:r w:rsidRPr="0044488F">
        <w:rPr>
          <w:rFonts w:ascii="Century" w:hAnsi="Century" w:cs="Miriam" w:hint="cs"/>
          <w:b/>
          <w:spacing w:val="0"/>
          <w:szCs w:val="24"/>
          <w:rtl/>
        </w:rPr>
        <w:t>בכללם המשיב</w:t>
      </w:r>
      <w:r>
        <w:rPr>
          <w:rFonts w:ascii="Century" w:hAnsi="Century" w:hint="cs"/>
          <w:rtl/>
        </w:rPr>
        <w:t xml:space="preserve">, מה שמלמד לכאורה שהמשיב צפה בסרט כבר בשנת 2003. אלא שבית המשפט המחוזי הבהיר כי לפי התרשמותו הבלתי אמצעית מעו"ד כספי (שהשתתף אף הוא במבצע חומת מגן כחייל מילואים), זה האחרון רואה עצמו כמי שמוביל את המאבק הציבורי למניעת המשך הקרנתו של הסרט, כמי שהוסמך כביכול מטעם כלל ציבור הלוחמים לפעול במסגרת ההליכים המשפטיים לפי הבנתו, וכמי שהוא בבחינת "החלוץ שלפני המחנה" במאבק משפטי זה. בהתחשב במכלול הראיות, ובכללן העובדה שלא הוצג כל ייפוי כוח שנתן המשיב לעו"ד כספי; העובדה שכותרות הבקשות האמורות שהוגשו בשנת 2003 כוללות את זהות יתר המבקשים אך </w:t>
      </w:r>
      <w:r w:rsidRPr="0044488F">
        <w:rPr>
          <w:rFonts w:ascii="Century" w:hAnsi="Century" w:cs="Miriam" w:hint="cs"/>
          <w:b/>
          <w:spacing w:val="0"/>
          <w:szCs w:val="24"/>
          <w:rtl/>
        </w:rPr>
        <w:t>אינן</w:t>
      </w:r>
      <w:r>
        <w:rPr>
          <w:rFonts w:ascii="Century" w:hAnsi="Century" w:hint="cs"/>
          <w:rtl/>
        </w:rPr>
        <w:t xml:space="preserve"> כוללות את המשיב; עדותו המהימנה של המשיב; ועדותו של כספי, בית המשפט אימץ כאמור את גרסת המשיב כי צפה בסרט לראשונה בשנת 2015 וכי עד לאותו מועד לא היה מודע להופעתו האישית בסרט.</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6.</w:t>
      </w:r>
      <w:r>
        <w:rPr>
          <w:rFonts w:ascii="Century" w:hAnsi="Century" w:hint="cs"/>
          <w:rtl/>
        </w:rPr>
        <w:tab/>
      </w:r>
      <w:r w:rsidRPr="00FD7995">
        <w:rPr>
          <w:rFonts w:ascii="Century" w:hAnsi="Century" w:hint="cs"/>
          <w:rtl/>
        </w:rPr>
        <w:t>מכאן פנה בית המשפט לבחון אם נתמלאו תנאי סעיף 8 לחוק ההתיישנות,</w:t>
      </w:r>
      <w:r>
        <w:rPr>
          <w:rFonts w:ascii="Century" w:hAnsi="Century" w:hint="cs"/>
          <w:rtl/>
        </w:rPr>
        <w:t xml:space="preserve"> התשי"ח-1958 (להלן: </w:t>
      </w:r>
      <w:r w:rsidRPr="00C77047">
        <w:rPr>
          <w:rFonts w:ascii="Century" w:hAnsi="Century" w:cs="Miriam" w:hint="cs"/>
          <w:b/>
          <w:spacing w:val="0"/>
          <w:szCs w:val="24"/>
          <w:rtl/>
        </w:rPr>
        <w:t>חוק ההתיישנות</w:t>
      </w:r>
      <w:r>
        <w:rPr>
          <w:rFonts w:ascii="Century" w:hAnsi="Century" w:hint="cs"/>
          <w:rtl/>
        </w:rPr>
        <w:t xml:space="preserve">). בית המשפט המחוזי עמד על כך שאין מחלוקת עובדתית בין הצדדים בדבר קיומה של אפשרות פיזית שעמדה למשיב לצפות בסרט במועד מוקדם יותר, ועל כך שהמשיב לא נדרש למאמצים יוצאי דופן לשם כך. אלא שבית המשפט קבע כי השאלה הרלוונטית היא אם בחירתו של המשיב שלא לצפות בסרט, </w:t>
      </w:r>
      <w:r w:rsidRPr="00FD7995">
        <w:rPr>
          <w:rFonts w:ascii="Century" w:hAnsi="Century" w:hint="cs"/>
          <w:rtl/>
        </w:rPr>
        <w:t>כל עוד לא היה מודע לכך שהוא עצמו מופיע בו, מובילה למסקנה כי יש לראותו כמי</w:t>
      </w:r>
      <w:r>
        <w:rPr>
          <w:rFonts w:ascii="Century" w:hAnsi="Century" w:hint="cs"/>
          <w:rtl/>
        </w:rPr>
        <w:t xml:space="preserve"> שלא נקט צעדים סבירים או פעל בזהירות המ</w:t>
      </w:r>
      <w:r w:rsidRPr="00FD7995">
        <w:rPr>
          <w:rFonts w:ascii="Century" w:hAnsi="Century" w:hint="cs"/>
          <w:rtl/>
        </w:rPr>
        <w:t>תבקשת לצורך בירור העובדות המהוות את עילת התובענה. על שאלה זו השיב בית המשפט בשלילה, וזאת לנוכח עדויותיהם של המשיב ויתר העדים, ולפיהן "רצונו של [המשיב] שלא לשוב ו'לחפור' בפצעי נפשו מהלוחמה במבצע, אינו בלתי סביר בנסיבותיו של מקרה זה, וכי אין לראותו כמי שלא נקט אמצעים סבירים לצורך צפייה בסרט, ולו על מנת לוודא אם הוא מופיע במסגרתו אם לאו" (פסקה 86 לפסק דינו).</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sidRPr="00FD7995">
        <w:rPr>
          <w:rFonts w:ascii="Century" w:hAnsi="Century" w:hint="cs"/>
          <w:rtl/>
        </w:rPr>
        <w:t>7.</w:t>
      </w:r>
      <w:r w:rsidRPr="00FD7995">
        <w:rPr>
          <w:rFonts w:ascii="Century" w:hAnsi="Century" w:hint="cs"/>
          <w:rtl/>
        </w:rPr>
        <w:tab/>
        <w:t>מכאן פנה בית המ</w:t>
      </w:r>
      <w:r>
        <w:rPr>
          <w:rFonts w:ascii="Century" w:hAnsi="Century" w:hint="cs"/>
          <w:rtl/>
        </w:rPr>
        <w:t>שפט לבחון אם יש להתייחס לפרסומי הסרט השונים כאל מספר עילות תביעה או עילה אחת נמשכת. באשר לפרסומים באקרנים, בית המשפט קבע כי במהלך התקופה שבסמוך לאחר הקרנת הסרט לראשונה (בשנת 2002), היה רצף של הקרנות שהלך ודעך בשנים שלאחר מכן, עד לכדי הקרנות בודדות מעת לעת. באשר לשבע השנים שקדמו להגשת התביעה, הרי שבין השנים 2012-2010 הוקרן הסרט ארבע פעמים, באוניברסיטת תל אביב, סינמטק זיכרון יעקב, מכללת בית-ברל והאוניברסיטה העברית. בית המשפט קבע כי הקרנות ספורדיות אלה אינן מהוות עוולה נמשכת של ההקרנות מתחילת שנות ה-2000, וכי לא הוצגה ול</w:t>
      </w:r>
      <w:r>
        <w:rPr>
          <w:rFonts w:ascii="FrankRuehl" w:hAnsi="FrankRuehl"/>
          <w:rtl/>
        </w:rPr>
        <w:t>וּ</w:t>
      </w:r>
      <w:r>
        <w:rPr>
          <w:rFonts w:ascii="Century" w:hAnsi="Century" w:hint="cs"/>
          <w:rtl/>
        </w:rPr>
        <w:t xml:space="preserve"> ראיה בודדת המלמדת על רציפות ההקרנות במהלך השנים. משכך, נקבע כי לא ניתן לומר שהתביעה התיישנה, וכי לכל היותר יש בכך כדי להשליך על גובה הפיצוי המגיע למשיב אם תוכח תביעתו. למעלה מן הצורך, בית המשפט ציין כי אף אילו מדובר היה בעוולה נמשכת, לא היה בכך כדי להוביל להתיישנות התביעה, לנוכח הוראת סעיף 89(1) לפקודת הנזיקין [נוסח </w:t>
      </w:r>
      <w:r w:rsidRPr="00FD7995">
        <w:rPr>
          <w:rFonts w:ascii="Century" w:hAnsi="Century" w:hint="cs"/>
          <w:rtl/>
        </w:rPr>
        <w:t xml:space="preserve">חדש] (להלן: </w:t>
      </w:r>
      <w:r w:rsidRPr="00FD7995">
        <w:rPr>
          <w:rFonts w:ascii="Century" w:hAnsi="Century" w:cs="Miriam" w:hint="cs"/>
          <w:b/>
          <w:spacing w:val="0"/>
          <w:szCs w:val="24"/>
          <w:rtl/>
        </w:rPr>
        <w:t>פקודת הנזיקין</w:t>
      </w:r>
      <w:r w:rsidRPr="00FD7995">
        <w:rPr>
          <w:rFonts w:ascii="Century" w:hAnsi="Century" w:hint="cs"/>
          <w:rtl/>
        </w:rPr>
        <w:t xml:space="preserve"> או </w:t>
      </w:r>
      <w:r w:rsidRPr="00FD7995">
        <w:rPr>
          <w:rFonts w:ascii="Century" w:hAnsi="Century" w:cs="Miriam" w:hint="cs"/>
          <w:b/>
          <w:spacing w:val="0"/>
          <w:szCs w:val="24"/>
          <w:rtl/>
        </w:rPr>
        <w:t>הפקודה</w:t>
      </w:r>
      <w:r w:rsidRPr="00FD7995">
        <w:rPr>
          <w:rFonts w:ascii="Century" w:hAnsi="Century" w:hint="cs"/>
          <w:rtl/>
        </w:rPr>
        <w:t>).</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בנוסף לאמור, בית המשפט המחוזי נדרש להעלאת הסרט לאתר יוטיוב בשנת 2012. לעניין זה נקבע כי לנוכח המאפיינים של פרסום ביוטיוב, אין לראות בדרך פרסום זו משום המשך ישיר או משום חלק של עוולה נמשכת של הקרנת הסרט בבתי הקולנוע ובסינמטקים. טענות נוספות שהעלה המערער, ובכללן טענת שיהוי וטענה כי מדובר בתביעת השתקה </w:t>
      </w:r>
      <w:r>
        <w:rPr>
          <w:rFonts w:ascii="Century" w:hAnsi="Century"/>
          <w:rtl/>
        </w:rPr>
        <w:t>–</w:t>
      </w:r>
      <w:r>
        <w:rPr>
          <w:rFonts w:ascii="Century" w:hAnsi="Century" w:hint="cs"/>
          <w:rtl/>
        </w:rPr>
        <w:t xml:space="preserve"> נדחו.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8.</w:t>
      </w:r>
      <w:r>
        <w:rPr>
          <w:rFonts w:ascii="Century" w:hAnsi="Century"/>
          <w:rtl/>
        </w:rPr>
        <w:tab/>
      </w:r>
      <w:r>
        <w:rPr>
          <w:rFonts w:ascii="Century" w:hAnsi="Century" w:hint="cs"/>
          <w:rtl/>
        </w:rPr>
        <w:t xml:space="preserve">במישור העובדתי, טענת המערער כי המשיב לא ניתן לזיהוי בסרט </w:t>
      </w:r>
      <w:r>
        <w:rPr>
          <w:rFonts w:ascii="Century" w:hAnsi="Century"/>
          <w:rtl/>
        </w:rPr>
        <w:t>–</w:t>
      </w:r>
      <w:r>
        <w:rPr>
          <w:rFonts w:ascii="Century" w:hAnsi="Century" w:hint="cs"/>
          <w:rtl/>
        </w:rPr>
        <w:t xml:space="preserve"> נדחתה. בית המשפט עמד על כך שבניגוד לטענות המערער בכתב הגנתו ובבקשתו לסילוק התביעה על הסף, המשיב לא צולם מאחור אלא נחזה בבירור מהפרופיל, כפי שהמערער עצמו הודה לבסוף בחקירתו הנגדית. כמו כן, בית המשפט עמד על דברי העדים שזיהו את המשיב בסרט ועל דברי המשיב עצמו, וכן הוסיף את התרשמותו שלו לאחר צפייה בסרט כי המשיב "ניתן גם ניתן לזיהוי" (פסקה 160 לפסק דינו).</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עוד נקבע כי יש בתוכנו של הסרט משום ייחוס ברור של אירוע ספציפי שמתואר בסרט ("אירוע ביזת הזקן" כפי שכונה בפסק הדין) למשיב ולשני חיילים נוספים שנצפים עמו; ובנוסף, יש לראותו כמי שיש לו קשר, הגם שפחות ספציפי, ליתר אירועי מבצע חומת מגן המתוארים בסרט. בית המשפט עמד על כך שהתמונה החזותית בסרט בנוגע ל"אירוע ביזת הזקן" נעשתה על דרך של הצגת צילומו של המשיב, וכי לא ניתן לנתק צילום זה מאותו סיפור ומאותה הסצנה; מה עוד שהמערער, "כמי שערך וצילם את הסרט, מצא לנכון למשוך את הכתוביות והמלל המתואר על ידי המרואיין הזקן, אל התמונה בה מוצגים [המשיב] ושני חיילים נוספים" (פסקה 172 לפסק הדין). לעניין זה, בית המשפט דחה את חוות דעתו של המומחה מטעם המערער, בין היתר לאחר שמצא כי זו עירבה בין השאלה המקצועית באשר לשיוך המשיב וזיהויו עם אירועים המתוארים בסרט, לבין שאלות של אמונה ואידיאולוגיה של המומחה. </w:t>
      </w:r>
      <w:r w:rsidRPr="00D910C7">
        <w:rPr>
          <w:rFonts w:ascii="Century" w:hAnsi="Century" w:hint="cs"/>
          <w:rtl/>
        </w:rPr>
        <w:t>לבסוף</w:t>
      </w:r>
      <w:r>
        <w:rPr>
          <w:rFonts w:ascii="Century" w:hAnsi="Century" w:hint="cs"/>
          <w:rtl/>
        </w:rPr>
        <w:t>, בית המשפט הבהיר כי אמנם אין להניח שהצופה הסביר י</w:t>
      </w:r>
      <w:r>
        <w:rPr>
          <w:rFonts w:ascii="FrankRuehl" w:hAnsi="FrankRuehl"/>
          <w:rtl/>
        </w:rPr>
        <w:t>ְ</w:t>
      </w:r>
      <w:r>
        <w:rPr>
          <w:rFonts w:ascii="Century" w:hAnsi="Century" w:hint="cs"/>
          <w:rtl/>
        </w:rPr>
        <w:t xml:space="preserve">יחס למשיב את ביצועם של כל האירועים החמורים המתוארים בסרט. בד בבד, נקבע כי לא ניתן לצפות מצופה סביר לנתק בין ההתייחסות למשיב ב"אירוע ביזת הזקן" לבין מכלול האירועים האחרים המתוארים בסרט, וכי תמונת המשיב מופיעה כחלק בלתי נפרד מסרט שמייחס לחיילי צה"ל מעשים חמורים וקשים.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9.</w:t>
      </w:r>
      <w:r>
        <w:rPr>
          <w:rFonts w:ascii="Century" w:hAnsi="Century" w:hint="cs"/>
          <w:rtl/>
        </w:rPr>
        <w:tab/>
        <w:t xml:space="preserve">באשר ליסוד ה"פרסום", בית המשפט ציין כי אין מחלוקת בין הצדדים בדבר קיומו של הפרסום והיקפו, אם מכוח הקרנתו ואם מכוח פרסומו באתר יוטיוב. לעניין זה, בית המשפט דחה את טענת המערער כי הפרסום ביוטיוב נעשה שלא באמצעותו ושלא בידיעתו. בית המשפט ציין כי החל מהמועד שבו בחר המערער להפיץ את הסרט לציבור, אזי מדובר בפעולה מוגמרת של פרסום בהיקף שאינו תחום או מוגדר, אלא עד כמה שהמערער היה בוחר להגבילו; וכי לצורך בחינת הליך הפרסום, אין הבדל בין הקרנת הסרט בסינמטק או באוניברסיטה, שנעשית בהסכמת המערער, לבין צפייה בו באמצעות אתר יוטיוב המהווה ספריית סרטים רחבת היקף, וזאת הן לעניין מתן ההיתר מצד המערער, הן לעניין השליטה בעצם הפרסום והיקפו. עוד הוסבר כי המערער ידע, או לכל הפחות היה עליו לדעת, כי מעשה ההפצה המקורי של הסרט יכול להביא את המידע שבו לכלל הציבור, מה עוד שלפי עדותו של המערער, הוא עצמו היה מעוניין בהפצתו של הסרט ללא מגבלה.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10.</w:t>
      </w:r>
      <w:r>
        <w:rPr>
          <w:rFonts w:ascii="Century" w:hAnsi="Century" w:hint="cs"/>
          <w:rtl/>
        </w:rPr>
        <w:tab/>
        <w:t xml:space="preserve">באשר ליסוד "לשון הרע", בית המשפט ציין כי המערער זנח בסיכומיו את הטענות שהועלו בכתב הגנתו, ולפיהן הסרט אינו מהווה לשון הרע או כי עומדות לו הגנות מכוח החוק. לגופם של דברים, בית המשפט עמד על כך שהפרסום מייחס למשיב, באופן מפורש וברור, מעשה של ביזת כל כספו של זקן ערירי שנועד למימון טיפול רפואי, וזאת תחת איומי נשק; כי מדובר בסצנה המהווה מחלק ממארג כולל של סצנות המייחסות לחיילי צה"ל מעשים בלתי נתפסים באכזריותם תוך הפגנת חוסר אנושיות וזלזול בחיי אדם; וכפי שהובהר על ידי יתר הערכאות שדנו בסרט </w:t>
      </w:r>
      <w:r>
        <w:rPr>
          <w:rFonts w:ascii="Century" w:hAnsi="Century"/>
          <w:rtl/>
        </w:rPr>
        <w:t>–</w:t>
      </w:r>
      <w:r>
        <w:rPr>
          <w:rFonts w:ascii="Century" w:hAnsi="Century" w:hint="cs"/>
          <w:rtl/>
        </w:rPr>
        <w:t xml:space="preserve"> אין ספק כי ייחוס איזה מן המעשים הללו לאדם מסוים, ייתפש על ידי הצופה הסביר כמעשים המשפילים ומבזים את אותו אדם, וככאלו שיש בהם כדי לעשותו מטרה לשנאה. משכך, נקבע כי הפרסום מהווה "לשון הרע" כלפי המשיב.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באשר להגנות האפשריות מכוח חוק איסור לשון הרע, בית המשפט עמד על כך שאילו מדובר היה בסרט דוקומנטרי שכלל תיעוד של עובדות, או לכל הפחות כאלו אשר נעשתה לגביהן בדיקה סבירה באשר לאמיתותן, לא היה מקום להטיל אחריות על המערער. ברם, חומר הראיות מלמד שלא הוכח כי הסצנות בסרט </w:t>
      </w:r>
      <w:r>
        <w:rPr>
          <w:rFonts w:ascii="Century" w:hAnsi="Century"/>
          <w:rtl/>
        </w:rPr>
        <w:t>–</w:t>
      </w:r>
      <w:r>
        <w:rPr>
          <w:rFonts w:ascii="Century" w:hAnsi="Century" w:hint="cs"/>
          <w:rtl/>
        </w:rPr>
        <w:t xml:space="preserve"> המוצגות כנתונים עובדתיים </w:t>
      </w:r>
      <w:r>
        <w:rPr>
          <w:rFonts w:ascii="Century" w:hAnsi="Century"/>
          <w:rtl/>
        </w:rPr>
        <w:t>–</w:t>
      </w:r>
      <w:r>
        <w:rPr>
          <w:rFonts w:ascii="Century" w:hAnsi="Century" w:hint="cs"/>
          <w:rtl/>
        </w:rPr>
        <w:t xml:space="preserve"> מבוססות על ממצא עובדתי כלשהו, ול</w:t>
      </w:r>
      <w:r>
        <w:rPr>
          <w:rFonts w:ascii="FrankRuehl" w:hAnsi="FrankRuehl"/>
          <w:rtl/>
        </w:rPr>
        <w:t>וּ</w:t>
      </w:r>
      <w:r>
        <w:rPr>
          <w:rFonts w:ascii="Century" w:hAnsi="Century" w:hint="cs"/>
          <w:rtl/>
        </w:rPr>
        <w:t xml:space="preserve"> מינימאלי. בית המשפט ציין כי המערער לא טרח לזמן לעדות ול</w:t>
      </w:r>
      <w:r>
        <w:rPr>
          <w:rFonts w:ascii="FrankRuehl" w:hAnsi="FrankRuehl"/>
          <w:rtl/>
        </w:rPr>
        <w:t>וּ</w:t>
      </w:r>
      <w:r>
        <w:rPr>
          <w:rFonts w:ascii="Century" w:hAnsi="Century" w:hint="cs"/>
          <w:rtl/>
        </w:rPr>
        <w:t xml:space="preserve"> עד אחד שיתמוך בגרסה העובדתית המוצגת בסרט, הגם שהוא עצמו אישר כי לא היתה כל מניעה להביא עדים אילו היו עורכי דינו מבקשים ממנו לעשות כן. בנוסף, המערער אישר כי כלל לא בדק את נכונות התיאורים המובאים בסרט על ידי המרואיינים, ולמרות זאת לא טרח לכלול הבהרה בסרט כי הבסיס העובדתי לא נבדק על ידו.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באשר ליסוד תום הלב, בית המשפט התייחס להתנהלותו של המערער לאחר מתן פסקי הדין הקודמים שעסקו בסרט, שבהם נפסק במפורש כי הפרסום מהווה לשון הרע. והנה, למרות זאת, המערער מצא לנכון שלא למנוע את המשך הקרנתו של הסרט, או לכל הפחות לשנות חלקים ממנו. כן ציין בית המשפט כי בניגוד לטענת המערער, שכביכול הסרט "הוגנב" על ידי מישהו ליוטיוב בסמוך לאחר ההקרנות הראשונות של הסרט וכי לא נותרה לו שליטה על הסרט, מחומר הראיות עולה כי הסרט עלה לאתר רק בשנת 2012, שנים רבות לאחר פרסומו ולאחר שניתנו פסקי הדין השונים.</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11.</w:t>
      </w:r>
      <w:r>
        <w:rPr>
          <w:rFonts w:ascii="Century" w:hAnsi="Century"/>
          <w:rtl/>
        </w:rPr>
        <w:tab/>
      </w:r>
      <w:r>
        <w:rPr>
          <w:rFonts w:ascii="Century" w:hAnsi="Century" w:hint="cs"/>
          <w:rtl/>
        </w:rPr>
        <w:t xml:space="preserve">לבסוף, במישור הסעד, בית המשפט פסק לזכות המשיב פיצוי בסך 175,000 </w:t>
      </w:r>
      <w:r>
        <w:rPr>
          <w:rFonts w:ascii="Century" w:hAnsi="Century" w:hint="eastAsia"/>
          <w:rtl/>
        </w:rPr>
        <w:t>₪</w:t>
      </w:r>
      <w:r>
        <w:rPr>
          <w:rFonts w:ascii="Century" w:hAnsi="Century" w:hint="cs"/>
          <w:rtl/>
        </w:rPr>
        <w:t xml:space="preserve">, וזאת לאחר שנתן דעתו על שורה של שיקולים הצריכים לעניין. בנוסף, בית המשפט הוציא תחת ידו צו המונע את הפצת הסרט והקרנתו, וכן צו להחרמת עותקי הסרט בישראל, ככל שהמערער מודע למקום הימצאותם. לצד זאת, בית המשפט נמנע מליתן צו המופנה כלפי יוטיוב, משעה שהמשיב לא הקדים פניה למפיץ ולא נקט צעד מתבקש בהתאם להוראות הדין.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בית המשפט דחה את טענתו החלופית של המערער, ולפיה המשיב יכול היה לעתור לכך שיוסר הקטע בן ארבע השניות שבהן הוא מופיע בסרט. בית המשפט ציין כי טענה זו הועלתה רק במסגרת סיכומיו של המערער, ואף יש בטענה זו כדי לעורר חוסר נוחות, משעה שלאורך ההליך המערער טען מספר פעמים כי הסרט יצא מרשותו ואינו עוד בשליטתו. לעניין זה הובהר כי צו ההחרמה מכ</w:t>
      </w:r>
      <w:r>
        <w:rPr>
          <w:rFonts w:ascii="FrankRuehl" w:hAnsi="FrankRuehl"/>
          <w:rtl/>
        </w:rPr>
        <w:t>וּ</w:t>
      </w:r>
      <w:r>
        <w:rPr>
          <w:rFonts w:ascii="Century" w:hAnsi="Century" w:hint="cs"/>
          <w:rtl/>
        </w:rPr>
        <w:t>ון כלפי עותקים קיימים של הסרט שבהם המשיב מופיע.</w:t>
      </w:r>
    </w:p>
    <w:p w:rsidR="00B347E6" w:rsidRDefault="00B347E6" w:rsidP="00B347E6">
      <w:pPr>
        <w:pStyle w:val="Ruller41"/>
        <w:rPr>
          <w:rFonts w:ascii="Century" w:hAnsi="Century"/>
          <w:rtl/>
        </w:rPr>
      </w:pPr>
    </w:p>
    <w:p w:rsidR="00914A20" w:rsidRDefault="00914A20">
      <w:pPr>
        <w:overflowPunct/>
        <w:autoSpaceDE/>
        <w:autoSpaceDN/>
        <w:bidi w:val="0"/>
        <w:adjustRightInd/>
        <w:textAlignment w:val="auto"/>
        <w:rPr>
          <w:rFonts w:ascii="Century" w:hAnsi="Century" w:cs="Miriam"/>
          <w:b/>
          <w:sz w:val="22"/>
          <w:rtl/>
        </w:rPr>
      </w:pPr>
      <w:r>
        <w:rPr>
          <w:rFonts w:ascii="Century" w:hAnsi="Century" w:cs="Miriam"/>
          <w:b/>
          <w:rtl/>
        </w:rPr>
        <w:br w:type="page"/>
      </w:r>
    </w:p>
    <w:p w:rsidR="00B347E6" w:rsidRPr="004A5F67" w:rsidRDefault="00B347E6" w:rsidP="00B347E6">
      <w:pPr>
        <w:pStyle w:val="Ruller41"/>
        <w:rPr>
          <w:rFonts w:ascii="Century" w:hAnsi="Century" w:cs="Miriam"/>
          <w:b/>
          <w:spacing w:val="0"/>
          <w:szCs w:val="24"/>
          <w:rtl/>
        </w:rPr>
      </w:pPr>
      <w:r w:rsidRPr="004A5F67">
        <w:rPr>
          <w:rFonts w:ascii="Century" w:hAnsi="Century" w:cs="Miriam" w:hint="cs"/>
          <w:b/>
          <w:spacing w:val="0"/>
          <w:szCs w:val="24"/>
          <w:rtl/>
        </w:rPr>
        <w:t>עיקר טענות המערער</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12.</w:t>
      </w:r>
      <w:r>
        <w:rPr>
          <w:rFonts w:ascii="Century" w:hAnsi="Century"/>
          <w:rtl/>
        </w:rPr>
        <w:tab/>
      </w:r>
      <w:r>
        <w:rPr>
          <w:rFonts w:ascii="Century" w:hAnsi="Century" w:hint="cs"/>
          <w:rtl/>
        </w:rPr>
        <w:t xml:space="preserve">עיקר ערעורו של המערער מתמקד בקביעת בית משפט קמא כי תביעת המשיב לא התיישנה. לעניין זה מציג המערער מספר נקודות זמן חלופיות שבהן, לשיטתו, התיישנה התביעה: שבע שנים לאחר שהסרט יצא לאוויר העולם; שבע שנים לאחר שניתן פסק הדין בעניין </w:t>
      </w:r>
      <w:r w:rsidRPr="000D2031">
        <w:rPr>
          <w:rFonts w:ascii="Century" w:hAnsi="Century" w:cs="Miriam" w:hint="cs"/>
          <w:b/>
          <w:spacing w:val="0"/>
          <w:szCs w:val="24"/>
          <w:rtl/>
        </w:rPr>
        <w:t>בכרי</w:t>
      </w:r>
      <w:r>
        <w:rPr>
          <w:rFonts w:ascii="Century" w:hAnsi="Century" w:hint="cs"/>
          <w:rtl/>
        </w:rPr>
        <w:t xml:space="preserve"> בשנת 2003, שבו בוטלה החלטת המועצה לביקורת סרטים לאסור על הקרנת הסרט; או לאחר שהוגשה התביעה בעניין </w:t>
      </w:r>
      <w:r w:rsidRPr="00D8058A">
        <w:rPr>
          <w:rFonts w:ascii="Century" w:hAnsi="Century" w:cs="Miriam" w:hint="cs"/>
          <w:b/>
          <w:spacing w:val="0"/>
          <w:szCs w:val="24"/>
          <w:rtl/>
        </w:rPr>
        <w:t>בן נתן</w:t>
      </w:r>
      <w:r>
        <w:rPr>
          <w:rFonts w:ascii="Century" w:hAnsi="Century" w:hint="cs"/>
          <w:rtl/>
        </w:rPr>
        <w:t xml:space="preserve">, שנדחתה כאמור מכוח סעיף 4 לחוק, משנקבע כי מדובר בלשון הרע כלפי כלל החיילים שהשתתפו בלחימה.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לטענת המערער, דבר לא מנע בעד המשיב לצפות בסרט במועד מוקדם יותר, ולא ניתן לומר שהוא לא צפה בסרט מסיבה שאינה תלויה בו. כן טוען המערער כי לנוכח בקשת ההצטרפות שהוגשה במסגרת העתירה בעניין </w:t>
      </w:r>
      <w:r w:rsidRPr="000D2031">
        <w:rPr>
          <w:rFonts w:ascii="Century" w:hAnsi="Century" w:cs="Miriam" w:hint="cs"/>
          <w:b/>
          <w:spacing w:val="0"/>
          <w:szCs w:val="24"/>
          <w:rtl/>
        </w:rPr>
        <w:t>בכרי</w:t>
      </w:r>
      <w:r>
        <w:rPr>
          <w:rFonts w:ascii="Century" w:hAnsi="Century" w:hint="cs"/>
          <w:rtl/>
        </w:rPr>
        <w:t>, שהתייחסה כאמור באופן ספציפי למשיב, יש לראות את המשיב כמי שהסכים להיות מיוצג על ידי עו"ד כספי ולהיות מוחזק כמי שידע על הופעתו בסרט, וכי לא היה מקום לקבל את עדותו של עו"ד כספי בעניין זה. עוד נטען כי אין בהקרנות החוזרות של הסרט כדי לחדש את הדיבה.</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13.</w:t>
      </w:r>
      <w:r>
        <w:rPr>
          <w:rFonts w:ascii="Century" w:hAnsi="Century" w:hint="cs"/>
          <w:rtl/>
        </w:rPr>
        <w:tab/>
        <w:t xml:space="preserve">לגופו של פרסום, המערער טוען כי הופעתו הקצרה של המשיב בסרט אין בה כדי לייחס לו באופן אישי את הפעולות המיוחסות לחיילי צה"ל על ידי המרואיינים בסרט, ואין בה כדי להקנות לו זכות תביעה אישית. עוד נטען, כי אילו היה הצופה הסביר סבור כי הסרט אכן מייחס למשיב מעשים כגון ביזת כספו של </w:t>
      </w:r>
      <w:r w:rsidRPr="00B87D16">
        <w:rPr>
          <w:rFonts w:ascii="Century" w:hAnsi="Century" w:hint="cs"/>
          <w:rtl/>
        </w:rPr>
        <w:t>הזקן המתוארת בסרט,</w:t>
      </w:r>
      <w:r>
        <w:rPr>
          <w:rFonts w:ascii="Century" w:hAnsi="Century" w:hint="cs"/>
          <w:rtl/>
        </w:rPr>
        <w:t xml:space="preserve"> מן הסתם היתה ידיעה זו מגיעה לידיעתו של המשיב בשלב מוקדם יותר. טענה נוספת העולה מכתב הערעור היא כי היה על בית המשפט להסתפק במתן הוראה למחוק מן הסרט את השניות שבהן מופיע המשיב. </w:t>
      </w:r>
      <w:r w:rsidRPr="00B87D16">
        <w:rPr>
          <w:rFonts w:ascii="Century" w:hAnsi="Century" w:hint="cs"/>
          <w:rtl/>
        </w:rPr>
        <w:t xml:space="preserve">יצויין כי במהלך הדיון </w:t>
      </w:r>
      <w:r>
        <w:rPr>
          <w:rFonts w:ascii="Century" w:hAnsi="Century" w:hint="cs"/>
          <w:rtl/>
        </w:rPr>
        <w:t xml:space="preserve">בערעור </w:t>
      </w:r>
      <w:r w:rsidRPr="00B87D16">
        <w:rPr>
          <w:rFonts w:ascii="Century" w:hAnsi="Century" w:hint="cs"/>
          <w:rtl/>
        </w:rPr>
        <w:t>שהתקיים לפנינו, בא כוח המערער הביע הסכמתו למחוק את הקטע האמור מהסרט.</w:t>
      </w:r>
    </w:p>
    <w:p w:rsidR="00B347E6" w:rsidRDefault="00B347E6" w:rsidP="00B347E6">
      <w:pPr>
        <w:pStyle w:val="Ruller41"/>
        <w:rPr>
          <w:rFonts w:ascii="Century" w:hAnsi="Century"/>
          <w:rtl/>
        </w:rPr>
      </w:pPr>
    </w:p>
    <w:p w:rsidR="00B347E6" w:rsidRPr="00516483" w:rsidRDefault="00B347E6" w:rsidP="00B347E6">
      <w:pPr>
        <w:pStyle w:val="Ruller41"/>
        <w:rPr>
          <w:rFonts w:ascii="Century" w:hAnsi="Century" w:cs="Miriam"/>
          <w:b/>
          <w:spacing w:val="0"/>
          <w:szCs w:val="24"/>
          <w:rtl/>
        </w:rPr>
      </w:pPr>
      <w:r w:rsidRPr="00516483">
        <w:rPr>
          <w:rFonts w:ascii="Century" w:hAnsi="Century" w:cs="Miriam" w:hint="cs"/>
          <w:b/>
          <w:spacing w:val="0"/>
          <w:szCs w:val="24"/>
          <w:rtl/>
        </w:rPr>
        <w:t>עיקר טענות המשיב</w:t>
      </w:r>
    </w:p>
    <w:p w:rsidR="00B347E6" w:rsidRDefault="00B347E6" w:rsidP="00B347E6">
      <w:pPr>
        <w:pStyle w:val="Ruller41"/>
        <w:rPr>
          <w:rFonts w:ascii="Century" w:hAnsi="Century"/>
          <w:rtl/>
        </w:rPr>
      </w:pPr>
    </w:p>
    <w:p w:rsidR="00B347E6" w:rsidRDefault="00B347E6" w:rsidP="00B347E6">
      <w:pPr>
        <w:pStyle w:val="Ruller41"/>
        <w:rPr>
          <w:rtl/>
        </w:rPr>
      </w:pPr>
      <w:r>
        <w:rPr>
          <w:rFonts w:hint="cs"/>
          <w:rtl/>
        </w:rPr>
        <w:t>14.</w:t>
      </w:r>
      <w:r>
        <w:rPr>
          <w:rFonts w:hint="cs"/>
          <w:rtl/>
        </w:rPr>
        <w:tab/>
        <w:t xml:space="preserve">מטבע הדברים, המשיב תומך יתדותיו בפסק דינו של בית המשפט המחוזי. לטענת המשיב, רובו ככולו של הערעור נסב על קביעות שבעובדה ומהימנות. באשר לטענת ההתיישנות, המשיב טוען, בין היתר, כי אין מקום לקבוע שהיתה עליו </w:t>
      </w:r>
      <w:r w:rsidRPr="00875601">
        <w:rPr>
          <w:rFonts w:ascii="Century" w:hAnsi="Century" w:cs="Miriam" w:hint="cs"/>
          <w:b/>
          <w:spacing w:val="0"/>
          <w:szCs w:val="24"/>
          <w:rtl/>
        </w:rPr>
        <w:t>חובה</w:t>
      </w:r>
      <w:r>
        <w:rPr>
          <w:rFonts w:hint="cs"/>
          <w:rtl/>
        </w:rPr>
        <w:t xml:space="preserve"> לצפות מיוזמתו בסרט על מנת לגלות על קיום עילת התביעה האישית העומדת לו; ומשעה שלא היתה לו כל ידיעה על מעורבותו בסרט עד לשנת 2015, הרי שלא היה בידיו קצה חוט לחשוד כי הוא מופיע בו. עוד טוען המשיב, כי משעה שהסרט הועלה ליוטיוב רק בשנת 2012, הרי שדי בכך כדי להוביל למסקנה שהתביעה לא התיישנה, שהרי אין דין הקרנת סרט בבתי הקולנוע כדין העלאתו לאתרי אינטרנט.</w:t>
      </w:r>
    </w:p>
    <w:p w:rsidR="00B347E6" w:rsidRDefault="00B347E6" w:rsidP="00B347E6">
      <w:pPr>
        <w:pStyle w:val="Ruller41"/>
        <w:rPr>
          <w:rtl/>
        </w:rPr>
      </w:pPr>
    </w:p>
    <w:p w:rsidR="00B347E6" w:rsidRDefault="00B347E6" w:rsidP="00B347E6">
      <w:pPr>
        <w:pStyle w:val="Ruller41"/>
        <w:rPr>
          <w:rtl/>
        </w:rPr>
      </w:pPr>
      <w:r>
        <w:rPr>
          <w:rtl/>
        </w:rPr>
        <w:tab/>
      </w:r>
      <w:r>
        <w:rPr>
          <w:rFonts w:hint="cs"/>
          <w:rtl/>
        </w:rPr>
        <w:t>לגופו של פרסום, המשיב טוען כי צפייה ב"סצנת ביזת הזקן" מלמדת כי המשיב מזוהה היטב, ועולה ממנה כי המעשה המתואר על ידי הקשיש בוצע כביכול על ידי המשיב וחבריו. לעניין זה, המשיב מפנה לכך שהמערער הודה כי הוא שבחר לשלב את צילום המשיב בסרט על מנת להמחיש ויזואלית את ההתרחשויות, ולא פנה אל המשיב לקבל את רשותו או תגובתו לפני כן. עוד טוען המשיב כי הסרט מציג רצף של סצנות, שכולן יחד מציגות תמונה מצטברת של ביצוע פשעי מלחמה על ידי חיילי צה"ל ועל ידי כל אחד מהחיילים המזוהים בסרט. בנוסף לכך, המשיב מפנה לעובדה שהמערער לא טרח לשנות מסרטו מאומה לאורך השנים, ואף נתן יד להקרנתו פעמים רבות ולהעלאתו לאתרי אינטרנט, וזאת חרף פסקי הדין השונים שניתנו לגבי הסרט והקביעות בדבר לשון הרע המגולמת בו. לטענת המשיב, בהתחשב בחומרת הפרסום והפגיעה הטמונה בו, הסעדים שיש לפסוק צריכים להיות משמעותיים.</w:t>
      </w:r>
    </w:p>
    <w:p w:rsidR="00B347E6" w:rsidRDefault="00B347E6" w:rsidP="00B347E6">
      <w:pPr>
        <w:pStyle w:val="Ruller41"/>
        <w:rPr>
          <w:rtl/>
        </w:rPr>
      </w:pPr>
    </w:p>
    <w:p w:rsidR="00B347E6" w:rsidRPr="00516483" w:rsidRDefault="00B347E6" w:rsidP="00B347E6">
      <w:pPr>
        <w:pStyle w:val="Ruller41"/>
        <w:rPr>
          <w:rFonts w:ascii="Century" w:hAnsi="Century" w:cs="Miriam"/>
          <w:b/>
          <w:spacing w:val="0"/>
          <w:szCs w:val="24"/>
          <w:rtl/>
        </w:rPr>
      </w:pPr>
      <w:r w:rsidRPr="00516483">
        <w:rPr>
          <w:rFonts w:ascii="Century" w:hAnsi="Century" w:cs="Miriam" w:hint="cs"/>
          <w:b/>
          <w:spacing w:val="0"/>
          <w:szCs w:val="24"/>
          <w:rtl/>
        </w:rPr>
        <w:t>עמדת היועץ המשפטי לממשלה</w:t>
      </w:r>
    </w:p>
    <w:p w:rsidR="00B347E6" w:rsidRDefault="00B347E6" w:rsidP="00B347E6">
      <w:pPr>
        <w:pStyle w:val="Ruller41"/>
        <w:rPr>
          <w:rtl/>
        </w:rPr>
      </w:pPr>
    </w:p>
    <w:p w:rsidR="00B347E6" w:rsidRDefault="00B347E6" w:rsidP="00B347E6">
      <w:pPr>
        <w:pStyle w:val="Ruller41"/>
        <w:rPr>
          <w:rtl/>
        </w:rPr>
      </w:pPr>
      <w:r>
        <w:rPr>
          <w:rFonts w:hint="cs"/>
          <w:rtl/>
        </w:rPr>
        <w:t>15.</w:t>
      </w:r>
      <w:r>
        <w:rPr>
          <w:rtl/>
        </w:rPr>
        <w:tab/>
      </w:r>
      <w:r>
        <w:rPr>
          <w:rFonts w:hint="cs"/>
          <w:rtl/>
        </w:rPr>
        <w:t xml:space="preserve">היועץ המשפטי לממשלה התייצב בהליך בבית המשפט המחוזי, וזאת בראש ובראשונה "כדי לבטא את החשיבות הרבה שיש לייחס להגברת ההגנה על שמם הטוב של חיילי צה"ל והמשיב בכללם, שהתייצבו ביום פקודה לשירות צבאי, שמו נפשם בכפם וחירפו נפשם למען הגנתם של אזרחי מדינת ישראל". היועמ"ש הבהיר כי "התייצבותו נועדה להעביר מסר ערכי חד וברור לפיו המדינה תתייצב לימינו של תובע שנפגע מהוצאת לשון הרע נגדו </w:t>
      </w:r>
      <w:r>
        <w:rPr>
          <w:rtl/>
        </w:rPr>
        <w:t>–</w:t>
      </w:r>
      <w:r>
        <w:rPr>
          <w:rFonts w:hint="cs"/>
          <w:rtl/>
        </w:rPr>
        <w:t xml:space="preserve"> עקב שירותו כחייל מילואים, ולא תותירו לבדו בחזית המשפטית על טיהור שמו הטוב". </w:t>
      </w:r>
    </w:p>
    <w:p w:rsidR="00B347E6" w:rsidRDefault="00B347E6" w:rsidP="00B347E6">
      <w:pPr>
        <w:pStyle w:val="Ruller41"/>
        <w:rPr>
          <w:rtl/>
        </w:rPr>
      </w:pPr>
    </w:p>
    <w:p w:rsidR="00B347E6" w:rsidRDefault="00B347E6" w:rsidP="00B347E6">
      <w:pPr>
        <w:pStyle w:val="Ruller41"/>
        <w:rPr>
          <w:rtl/>
        </w:rPr>
      </w:pPr>
      <w:r>
        <w:rPr>
          <w:rtl/>
        </w:rPr>
        <w:tab/>
      </w:r>
      <w:r>
        <w:rPr>
          <w:rFonts w:hint="cs"/>
          <w:rtl/>
        </w:rPr>
        <w:t>כרקע לדברים, היועמ"ש ביקש להבהיר כי במבצע "חומת מגן", חיילי צה"ל הקפידו על הוראות הדין, על שמירת צלם אנוש ועל עקרונות טוהר הנשק ואי פגיעה בחפים מפשע, והכל בסביבה אזרחית רוויית טרור ותנאי פעילות קשים ומסוכנים. לדברי היועמ"ש, במהלך המבצע, ובפרט בקרב שהתחולל במחנה הפליטים בג'נין, חיילי צה"ל שמרו על ערך טוהר הנשק תוך סיכון עצמי וחירוף נפש, וזאת במטרה להימנע מפגיעה בחפים מפשע, ועשו זאת בהצלחה שקשה למצוא לה מקבילות בקרבות דומים בעולם שנערכו בשטח עירוני מאוכלס.</w:t>
      </w:r>
    </w:p>
    <w:p w:rsidR="00B347E6" w:rsidRDefault="00B347E6" w:rsidP="00B347E6">
      <w:pPr>
        <w:pStyle w:val="Ruller41"/>
        <w:rPr>
          <w:rtl/>
        </w:rPr>
      </w:pPr>
    </w:p>
    <w:p w:rsidR="00B347E6" w:rsidRPr="00C77047" w:rsidRDefault="00B347E6" w:rsidP="00B347E6">
      <w:pPr>
        <w:pStyle w:val="Ruller41"/>
        <w:rPr>
          <w:rFonts w:ascii="Century" w:hAnsi="Century"/>
          <w:rtl/>
        </w:rPr>
      </w:pPr>
      <w:r>
        <w:rPr>
          <w:rFonts w:hint="cs"/>
          <w:rtl/>
        </w:rPr>
        <w:t>16.</w:t>
      </w:r>
      <w:r>
        <w:rPr>
          <w:rFonts w:hint="cs"/>
          <w:rtl/>
        </w:rPr>
        <w:tab/>
        <w:t>בהתייחסו לערעור שלפנינו, היועמ"ש סבור, כמו בית המשפט המחוזי, כי הצופה הסביר עלול לקשור בין הדברים שנאמרים בסרט לבין התמונות שבהן נראה המשיב, וכי קשה מאד לנתק את הקשר בין המילים הקשות המוטחות על ידי המספר נגד החיילים לבין דמותו של המשיב. זאת, ביתר שאת בהתחשב בפעולות העריכה מצד המערער, כדוגמת הכתוביות המופיעות בשעה שתמונת המשיב מוצגת. בנוסף, היועמ"ש סבור כי הצגת תמונתו של המשיב בסרט, הכולל טענות שקריות לפשעי מלחמה, מהווה לשון הרע בשל כך שהצופה הסביר עלול להניח כי המשיב הוא אחד מהחיילים שביצע את הפשעים הנטענים.</w:t>
      </w:r>
      <w:r>
        <w:rPr>
          <w:rFonts w:ascii="Century" w:hAnsi="Century" w:hint="cs"/>
          <w:rtl/>
        </w:rPr>
        <w:t xml:space="preserve"> במישור הסעד, היועמ"ש סבור כי הסעד שפסק בית המשפט המחוזי הוא מידתי וראוי ועולה בקנה אחד עם הוראות חוק איסור לשון הרע ותכליותיו. </w:t>
      </w:r>
    </w:p>
    <w:p w:rsidR="00B347E6" w:rsidRDefault="00B347E6" w:rsidP="00B347E6">
      <w:pPr>
        <w:pStyle w:val="Ruller41"/>
        <w:rPr>
          <w:rtl/>
        </w:rPr>
      </w:pPr>
    </w:p>
    <w:p w:rsidR="00B347E6" w:rsidRDefault="00B347E6" w:rsidP="00B347E6">
      <w:pPr>
        <w:pStyle w:val="Ruller41"/>
        <w:rPr>
          <w:rtl/>
        </w:rPr>
      </w:pPr>
      <w:r>
        <w:rPr>
          <w:rFonts w:hint="cs"/>
          <w:rtl/>
        </w:rPr>
        <w:tab/>
        <w:t>לבסוף, באשר לסוגיית ההתיישנות, היועמ"ש סבור כי קביעותיו של בית המשפט המחוזי נטועות בעובדות ובראיות, ובכלל זה קיומן של הקרנות בשנים 2012-2010 והעלאת הסרט לאתר יוטיוב בשנת 2012. משכך</w:t>
      </w:r>
      <w:r w:rsidRPr="006D5AD6">
        <w:rPr>
          <w:rFonts w:hint="cs"/>
          <w:rtl/>
        </w:rPr>
        <w:t>, ומבלי להביע עמדה ביחס לפרשנות שהעניק בית המשפט המחוזי לסעיף 8 לחוק ההתיישנות,</w:t>
      </w:r>
      <w:r>
        <w:rPr>
          <w:rFonts w:hint="cs"/>
          <w:rtl/>
        </w:rPr>
        <w:t xml:space="preserve"> היועמ"ש סבור כי די בקביעה שהפרסומים האמורים מהווים עוולות נפרדות כדי להוביל למסקנה שהתביעה לא התיישנה, למצער ביחס לפרסומים מהשנים 2012-2010. </w:t>
      </w:r>
    </w:p>
    <w:p w:rsidR="00B347E6" w:rsidRDefault="00B347E6" w:rsidP="00B347E6">
      <w:pPr>
        <w:pStyle w:val="Ruller41"/>
        <w:rPr>
          <w:rtl/>
        </w:rPr>
      </w:pPr>
    </w:p>
    <w:p w:rsidR="00B347E6" w:rsidRDefault="00B347E6" w:rsidP="00B347E6">
      <w:pPr>
        <w:pStyle w:val="Ruller41"/>
        <w:rPr>
          <w:rFonts w:ascii="Century" w:hAnsi="Century" w:cs="Miriam"/>
          <w:b/>
          <w:spacing w:val="0"/>
          <w:szCs w:val="24"/>
          <w:rtl/>
        </w:rPr>
      </w:pPr>
      <w:r>
        <w:rPr>
          <w:rFonts w:ascii="Century" w:hAnsi="Century" w:cs="Miriam" w:hint="cs"/>
          <w:b/>
          <w:spacing w:val="0"/>
          <w:szCs w:val="24"/>
          <w:rtl/>
        </w:rPr>
        <w:t>בקשות נוספות</w:t>
      </w:r>
    </w:p>
    <w:p w:rsidR="00B347E6" w:rsidRDefault="00B347E6" w:rsidP="00B347E6">
      <w:pPr>
        <w:pStyle w:val="Ruller41"/>
        <w:rPr>
          <w:rFonts w:ascii="Century" w:hAnsi="Century" w:cs="Miriam"/>
          <w:b/>
          <w:spacing w:val="0"/>
          <w:szCs w:val="24"/>
          <w:rtl/>
        </w:rPr>
      </w:pPr>
    </w:p>
    <w:p w:rsidR="00B347E6" w:rsidRDefault="00B347E6" w:rsidP="00B347E6">
      <w:pPr>
        <w:pStyle w:val="Ruller41"/>
        <w:rPr>
          <w:rFonts w:ascii="Century" w:hAnsi="Century"/>
          <w:rtl/>
        </w:rPr>
      </w:pPr>
      <w:r w:rsidRPr="00C77047">
        <w:rPr>
          <w:rFonts w:ascii="Century" w:hAnsi="Century" w:hint="cs"/>
          <w:rtl/>
        </w:rPr>
        <w:t>17.</w:t>
      </w:r>
      <w:r w:rsidRPr="00C77047">
        <w:rPr>
          <w:rFonts w:ascii="Century" w:hAnsi="Century" w:hint="cs"/>
          <w:rtl/>
        </w:rPr>
        <w:tab/>
      </w:r>
      <w:r>
        <w:rPr>
          <w:rFonts w:ascii="Century" w:hAnsi="Century" w:hint="cs"/>
          <w:rtl/>
        </w:rPr>
        <w:t>להשלמת התמונה הדיונית, נציין כי עם הגשת הערעור ולאחריו הוגשו מספר בקשות על ידי הצדדים.</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 תחילה הגיש המערער, לצד הערעור, בקשה לעיכוב ביצוע פסק דינו של בית המשפט המחוזי. בקשה זו נדחתה בעיקרה, במובן זה שרכיב הפיצוי הכספי והצו האוסר על הקרנת הסרט והפצתו </w:t>
      </w:r>
      <w:r>
        <w:rPr>
          <w:rFonts w:ascii="Century" w:hAnsi="Century"/>
          <w:rtl/>
        </w:rPr>
        <w:t>–</w:t>
      </w:r>
      <w:r>
        <w:rPr>
          <w:rFonts w:ascii="Century" w:hAnsi="Century" w:hint="cs"/>
          <w:rtl/>
        </w:rPr>
        <w:t xml:space="preserve"> לא עוכבו. לעומת זאת, צו החרמת העותקים הקיימים עוכב, וזאת בין היתר בהתחשב בכך שאיסור ההפצה וההקרנה לא עוכב (מה שמונע את הפגיעה במשיב), ובהתחשב בעמדת המשיב בנקודה זו שהסכים, כאפשרות חלופית, כי העותקים שייאספו יוחזקו בנאמנות אצל בא כוחו של המערער עד להכרעה בערעור (החלטת השופט </w:t>
      </w:r>
      <w:r w:rsidRPr="001A5E4F">
        <w:rPr>
          <w:rFonts w:ascii="Century" w:hAnsi="Century" w:cs="Miriam" w:hint="cs"/>
          <w:b/>
          <w:spacing w:val="0"/>
          <w:szCs w:val="24"/>
          <w:rtl/>
        </w:rPr>
        <w:t>הנדל</w:t>
      </w:r>
      <w:r>
        <w:rPr>
          <w:rFonts w:ascii="Century" w:hAnsi="Century" w:hint="cs"/>
          <w:rtl/>
        </w:rPr>
        <w:t xml:space="preserve"> מיום 14.4.2021). כאן המקום להעיר כי לפי טענת המשיב, המערער </w:t>
      </w:r>
      <w:r w:rsidRPr="00C50490">
        <w:rPr>
          <w:rFonts w:ascii="Century" w:hAnsi="Century" w:cs="Miriam" w:hint="cs"/>
          <w:b/>
          <w:spacing w:val="0"/>
          <w:szCs w:val="24"/>
          <w:rtl/>
        </w:rPr>
        <w:t>לא מילא</w:t>
      </w:r>
      <w:r>
        <w:rPr>
          <w:rFonts w:ascii="Century" w:hAnsi="Century" w:hint="cs"/>
          <w:rtl/>
        </w:rPr>
        <w:t xml:space="preserve"> אחר הוראות בית המשפט ונמנע מלשלם ול</w:t>
      </w:r>
      <w:r>
        <w:rPr>
          <w:rFonts w:ascii="FrankRuehl" w:hAnsi="FrankRuehl"/>
          <w:rtl/>
        </w:rPr>
        <w:t>וּ</w:t>
      </w:r>
      <w:r>
        <w:rPr>
          <w:rFonts w:ascii="Century" w:hAnsi="Century" w:hint="cs"/>
          <w:rtl/>
        </w:rPr>
        <w:t xml:space="preserve"> שקל אחד מהפיצוי שנפסק, וזאת חרף העובדה שבקשתו לעכב את רכיב הפיצוי נדחתה. המערער לא הכחיש את הדברים.</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 בהמשך הוגשה על ידי המשיב בקשה לסילוק הערעור על הסף, מן הטעם שהמערער לא צירף את היועץ המשפטי לממשלה כמשיב בערעור, בניגוד להוראות הדין והפסיקה. בתגובה לכך, המערער טען, בין היתר, כי העובדה שהיועמ"ש לא התייצב מעצמו בערעור "אפשר שהיא מעידה כי שוב אין היועמ"ש מעוניין בנושא ואולי דעתו אינה נוחה מן התוצאה" (השערה שכאמור הופרכה לאחר מכן עם הגשת תשובת היועמ"ש). בהחלטתו מיום 30.5.2021 הורה הרשם </w:t>
      </w:r>
      <w:r w:rsidRPr="00AB2291">
        <w:rPr>
          <w:rFonts w:ascii="Century" w:hAnsi="Century" w:cs="Miriam" w:hint="cs"/>
          <w:b/>
          <w:spacing w:val="0"/>
          <w:szCs w:val="24"/>
          <w:rtl/>
        </w:rPr>
        <w:t>גולדשטיין</w:t>
      </w:r>
      <w:r>
        <w:rPr>
          <w:rFonts w:ascii="Century" w:hAnsi="Century" w:hint="cs"/>
          <w:rtl/>
        </w:rPr>
        <w:t xml:space="preserve"> על צירוף היועמ"ש להליך בהתאם להוראות הדין, מבלי לסלק את הערעור על הסף.</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לאחר שנקבע הערעור לדיון בפני הרכב שנועד להתקיים בחודש ספטמבר 2021, הגיש המערער בקשה לפסול את השופט</w:t>
      </w:r>
      <w:r w:rsidRPr="00AB2291">
        <w:rPr>
          <w:rFonts w:ascii="Century" w:hAnsi="Century" w:cs="Miriam" w:hint="cs"/>
          <w:b/>
          <w:spacing w:val="0"/>
          <w:szCs w:val="24"/>
          <w:rtl/>
        </w:rPr>
        <w:t xml:space="preserve"> סולברג</w:t>
      </w:r>
      <w:r>
        <w:rPr>
          <w:rFonts w:ascii="Century" w:hAnsi="Century" w:hint="cs"/>
          <w:rtl/>
        </w:rPr>
        <w:t xml:space="preserve"> מלדון בערעור. זאת, בשל מאמר פרי עטו</w:t>
      </w:r>
      <w:r w:rsidRPr="00B60B15">
        <w:rPr>
          <w:rFonts w:ascii="Century" w:hAnsi="Century" w:hint="cs"/>
          <w:rtl/>
        </w:rPr>
        <w:t xml:space="preserve"> </w:t>
      </w:r>
      <w:r>
        <w:rPr>
          <w:rFonts w:ascii="Century" w:hAnsi="Century" w:hint="cs"/>
          <w:rtl/>
        </w:rPr>
        <w:t xml:space="preserve">מלפני כ-18 שנה על פרשת השבוע, שבו דן בנושא של "לשון הרע על ציבור" ושהופיעה בו התייחסות לסרט "ג'נין ג'נין". בהחלטתו מיום 1.8.2021 הבהיר השופט </w:t>
      </w:r>
      <w:r w:rsidRPr="00C50490">
        <w:rPr>
          <w:rFonts w:ascii="Century" w:hAnsi="Century" w:cs="Miriam" w:hint="cs"/>
          <w:b/>
          <w:spacing w:val="0"/>
          <w:szCs w:val="24"/>
          <w:rtl/>
        </w:rPr>
        <w:t>סולברג</w:t>
      </w:r>
      <w:r>
        <w:rPr>
          <w:rFonts w:ascii="Century" w:hAnsi="Century" w:hint="cs"/>
          <w:rtl/>
        </w:rPr>
        <w:t xml:space="preserve"> כי לא קמה עילת פסלות וכי אין חשש ממשי למשוא פנים, אך מטעמי ניקיון הדעת החליט להימנע מלדון בערעור.</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עד כאן תיאור הרקע העובדתי והדיוני, וכן עיקרי פסק דינו של בית המשפט המחוזי וטענות הצדדים.</w:t>
      </w:r>
    </w:p>
    <w:p w:rsidR="00B347E6" w:rsidRDefault="00B347E6" w:rsidP="00B347E6">
      <w:pPr>
        <w:pStyle w:val="Ruller41"/>
        <w:rPr>
          <w:rFonts w:ascii="Century" w:hAnsi="Century"/>
          <w:rtl/>
        </w:rPr>
      </w:pPr>
    </w:p>
    <w:p w:rsidR="00B347E6" w:rsidRPr="0083147C" w:rsidRDefault="00B347E6" w:rsidP="00B347E6">
      <w:pPr>
        <w:pStyle w:val="Ruller41"/>
        <w:rPr>
          <w:rFonts w:ascii="Century" w:hAnsi="Century" w:cs="Miriam"/>
          <w:b/>
          <w:spacing w:val="0"/>
          <w:szCs w:val="24"/>
          <w:rtl/>
        </w:rPr>
      </w:pPr>
      <w:r>
        <w:rPr>
          <w:rFonts w:ascii="Century" w:hAnsi="Century" w:cs="Miriam" w:hint="cs"/>
          <w:b/>
          <w:spacing w:val="0"/>
          <w:szCs w:val="24"/>
          <w:rtl/>
        </w:rPr>
        <w:t>הערה מקדימה</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sidRPr="006223C1">
        <w:rPr>
          <w:rFonts w:ascii="Century" w:hAnsi="Century" w:hint="cs"/>
          <w:rtl/>
        </w:rPr>
        <w:t>18.</w:t>
      </w:r>
      <w:r w:rsidRPr="006223C1">
        <w:rPr>
          <w:rFonts w:ascii="Century" w:hAnsi="Century" w:hint="cs"/>
          <w:rtl/>
        </w:rPr>
        <w:tab/>
      </w:r>
      <w:r>
        <w:rPr>
          <w:rFonts w:ascii="Century" w:hAnsi="Century" w:hint="cs"/>
          <w:rtl/>
        </w:rPr>
        <w:t xml:space="preserve">לא ניתן לגשת אל הדיון בערעור לגופו מבלי להתייחס תחילה לאופן ניסוחו של כתב הערעור. </w:t>
      </w:r>
      <w:r w:rsidRPr="006223C1">
        <w:rPr>
          <w:rFonts w:ascii="Century" w:hAnsi="Century" w:hint="cs"/>
          <w:rtl/>
        </w:rPr>
        <w:t>כתב הערעור מנוסח בלשון משתלחת, מזלזלת</w:t>
      </w:r>
      <w:r>
        <w:rPr>
          <w:rFonts w:ascii="Century" w:hAnsi="Century" w:hint="cs"/>
          <w:rtl/>
        </w:rPr>
        <w:t xml:space="preserve">, צינית </w:t>
      </w:r>
      <w:r w:rsidRPr="006223C1">
        <w:rPr>
          <w:rFonts w:ascii="Century" w:hAnsi="Century" w:hint="cs"/>
          <w:rtl/>
        </w:rPr>
        <w:t>ופוגענית כלפי בית המשפט המחוזי</w:t>
      </w:r>
      <w:r>
        <w:rPr>
          <w:rFonts w:ascii="Century" w:hAnsi="Century" w:hint="cs"/>
          <w:rtl/>
        </w:rPr>
        <w:t xml:space="preserve"> והשופטת שנתנה את פסק הדין</w:t>
      </w:r>
      <w:r w:rsidRPr="006223C1">
        <w:rPr>
          <w:rFonts w:ascii="Century" w:hAnsi="Century" w:hint="cs"/>
          <w:rtl/>
        </w:rPr>
        <w:t xml:space="preserve">. נכללות בו אמירות בוטות שמבקשות להטיל צל על יושרתו של בית המשפט; משולבות בו רמיזות להשפעות חיצוניות ושיקולים זרים שחלחלו לפסק הדין. כתב הערעור מספק </w:t>
      </w:r>
      <w:r w:rsidRPr="006223C1">
        <w:rPr>
          <w:rFonts w:ascii="Century" w:hAnsi="Century"/>
          <w:rtl/>
        </w:rPr>
        <w:t>–</w:t>
      </w:r>
      <w:r w:rsidRPr="006223C1">
        <w:rPr>
          <w:rFonts w:ascii="Century" w:hAnsi="Century" w:hint="cs"/>
          <w:rtl/>
        </w:rPr>
        <w:t xml:space="preserve"> כך ממש </w:t>
      </w:r>
      <w:r w:rsidRPr="006223C1">
        <w:rPr>
          <w:rFonts w:ascii="Century" w:hAnsi="Century"/>
          <w:rtl/>
        </w:rPr>
        <w:t>–</w:t>
      </w:r>
      <w:r w:rsidRPr="006223C1">
        <w:rPr>
          <w:rFonts w:ascii="Century" w:hAnsi="Century" w:hint="cs"/>
          <w:rtl/>
        </w:rPr>
        <w:t xml:space="preserve"> "הצצה אל נבכי נפשו של בית המשפט", תוך ייחוס לבית המשפט תפישה שרואה בחופש הביטוי "אידאולוגיה מזיקה", "פוגענית" ו"פסולה"; בית המשפט מוצג כמי שהכין למערער "כוס תרעלה", תוך ייחוס רצון לבית המשפט שהמערער ישתה כוס זו "עד הטיפה האחרונה"</w:t>
      </w:r>
      <w:r>
        <w:rPr>
          <w:rFonts w:ascii="Century" w:hAnsi="Century" w:hint="cs"/>
          <w:rtl/>
        </w:rPr>
        <w:t xml:space="preserve">; </w:t>
      </w:r>
      <w:r w:rsidRPr="006223C1">
        <w:rPr>
          <w:rFonts w:ascii="Century" w:hAnsi="Century" w:hint="cs"/>
          <w:rtl/>
        </w:rPr>
        <w:t>כתב הערעור מתייחס אל "נטיית ליבו הלא מוסתרת" של בית המשפט אחר המשיב "ועוינותו הברורה" כלפי המערער, "המבצבצים בלי בושה בכל שלב ושלב של פסק הדין"</w:t>
      </w:r>
      <w:r>
        <w:rPr>
          <w:rFonts w:ascii="Century" w:hAnsi="Century" w:hint="cs"/>
          <w:rtl/>
        </w:rPr>
        <w:t>. כבר נזדמן לי מספר פעמים להעיר על תופעה זו, בבחינת "</w:t>
      </w:r>
      <w:r>
        <w:rPr>
          <w:rFonts w:ascii="Times New Roman" w:hAnsi="Times New Roman" w:hint="cs"/>
          <w:rtl/>
        </w:rPr>
        <w:t>מנהג חדש בא למדינה, שלאחר שניתן פסק הדין, הצד שהפסיד טוען לגופו של שופט במקום לגופו של תיק</w:t>
      </w:r>
      <w:r>
        <w:rPr>
          <w:rFonts w:ascii="Century" w:hAnsi="Century" w:hint="cs"/>
          <w:rtl/>
        </w:rPr>
        <w:t>" (ע"א 4667/08</w:t>
      </w:r>
      <w:r w:rsidRPr="00C0677C">
        <w:rPr>
          <w:rFonts w:ascii="Century" w:hAnsi="Century" w:hint="cs"/>
          <w:rtl/>
        </w:rPr>
        <w:t xml:space="preserve"> </w:t>
      </w:r>
      <w:r w:rsidRPr="007E1E4C">
        <w:rPr>
          <w:rFonts w:ascii="Century" w:hAnsi="Century" w:cs="Miriam" w:hint="eastAsia"/>
          <w:b/>
          <w:spacing w:val="0"/>
          <w:szCs w:val="24"/>
          <w:rtl/>
        </w:rPr>
        <w:t>הר</w:t>
      </w:r>
      <w:r w:rsidRPr="007E1E4C">
        <w:rPr>
          <w:rFonts w:ascii="Century" w:hAnsi="Century" w:cs="Miriam"/>
          <w:b/>
          <w:spacing w:val="0"/>
          <w:szCs w:val="24"/>
          <w:rtl/>
        </w:rPr>
        <w:t xml:space="preserve"> </w:t>
      </w:r>
      <w:r w:rsidRPr="007E1E4C">
        <w:rPr>
          <w:rFonts w:ascii="Century" w:hAnsi="Century" w:cs="Miriam" w:hint="eastAsia"/>
          <w:b/>
          <w:spacing w:val="0"/>
          <w:szCs w:val="24"/>
          <w:rtl/>
        </w:rPr>
        <w:t>עוז</w:t>
      </w:r>
      <w:r w:rsidRPr="007E1E4C">
        <w:rPr>
          <w:rFonts w:ascii="Century" w:hAnsi="Century" w:cs="Miriam"/>
          <w:b/>
          <w:spacing w:val="0"/>
          <w:szCs w:val="24"/>
          <w:rtl/>
        </w:rPr>
        <w:t xml:space="preserve"> </w:t>
      </w:r>
      <w:r w:rsidRPr="007E1E4C">
        <w:rPr>
          <w:rFonts w:ascii="Century" w:hAnsi="Century" w:cs="Miriam" w:hint="eastAsia"/>
          <w:b/>
          <w:spacing w:val="0"/>
          <w:szCs w:val="24"/>
          <w:rtl/>
        </w:rPr>
        <w:t>נ</w:t>
      </w:r>
      <w:r w:rsidRPr="007E1E4C">
        <w:rPr>
          <w:rFonts w:ascii="Century" w:hAnsi="Century" w:cs="Miriam"/>
          <w:b/>
          <w:spacing w:val="0"/>
          <w:szCs w:val="24"/>
          <w:rtl/>
        </w:rPr>
        <w:t xml:space="preserve">' </w:t>
      </w:r>
      <w:r w:rsidRPr="007E1E4C">
        <w:rPr>
          <w:rFonts w:ascii="Century" w:hAnsi="Century" w:cs="Miriam" w:hint="eastAsia"/>
          <w:b/>
          <w:spacing w:val="0"/>
          <w:szCs w:val="24"/>
          <w:rtl/>
        </w:rPr>
        <w:t>סערת</w:t>
      </w:r>
      <w:r w:rsidRPr="007E1E4C">
        <w:rPr>
          <w:rFonts w:ascii="Century" w:hAnsi="Century" w:cs="Miriam"/>
          <w:b/>
          <w:spacing w:val="0"/>
          <w:szCs w:val="24"/>
          <w:rtl/>
        </w:rPr>
        <w:t xml:space="preserve"> </w:t>
      </w:r>
      <w:r w:rsidRPr="007E1E4C">
        <w:rPr>
          <w:rFonts w:ascii="Century" w:hAnsi="Century" w:cs="Miriam" w:hint="eastAsia"/>
          <w:b/>
          <w:spacing w:val="0"/>
          <w:szCs w:val="24"/>
          <w:rtl/>
        </w:rPr>
        <w:t>תוכנה</w:t>
      </w:r>
      <w:r w:rsidRPr="007E1E4C">
        <w:rPr>
          <w:rFonts w:ascii="Century" w:hAnsi="Century" w:cs="Miriam"/>
          <w:b/>
          <w:spacing w:val="0"/>
          <w:szCs w:val="24"/>
          <w:rtl/>
        </w:rPr>
        <w:t xml:space="preserve"> </w:t>
      </w:r>
      <w:r w:rsidRPr="007E1E4C">
        <w:rPr>
          <w:rFonts w:ascii="Century" w:hAnsi="Century" w:cs="Miriam" w:hint="eastAsia"/>
          <w:b/>
          <w:spacing w:val="0"/>
          <w:szCs w:val="24"/>
          <w:rtl/>
        </w:rPr>
        <w:t>בע</w:t>
      </w:r>
      <w:r w:rsidRPr="007E1E4C">
        <w:rPr>
          <w:rFonts w:ascii="Century" w:hAnsi="Century" w:cs="Miriam"/>
          <w:b/>
          <w:spacing w:val="0"/>
          <w:szCs w:val="24"/>
          <w:rtl/>
        </w:rPr>
        <w:t>"</w:t>
      </w:r>
      <w:r w:rsidRPr="007E1E4C">
        <w:rPr>
          <w:rFonts w:ascii="Century" w:hAnsi="Century" w:cs="Miriam" w:hint="eastAsia"/>
          <w:b/>
          <w:spacing w:val="0"/>
          <w:szCs w:val="24"/>
          <w:rtl/>
        </w:rPr>
        <w:t>מ</w:t>
      </w:r>
      <w:r>
        <w:rPr>
          <w:rFonts w:ascii="Century" w:hAnsi="Century" w:hint="cs"/>
          <w:rtl/>
        </w:rPr>
        <w:t xml:space="preserve">, פסקה 29 (15.2.2011); ע"פ  8146/09 </w:t>
      </w:r>
      <w:r w:rsidRPr="007E1E4C">
        <w:rPr>
          <w:rFonts w:ascii="Century" w:hAnsi="Century" w:cs="Miriam" w:hint="eastAsia"/>
          <w:b/>
          <w:spacing w:val="0"/>
          <w:szCs w:val="24"/>
          <w:rtl/>
        </w:rPr>
        <w:t>אבשלום</w:t>
      </w:r>
      <w:r w:rsidRPr="007E1E4C">
        <w:rPr>
          <w:rFonts w:ascii="Century" w:hAnsi="Century" w:cs="Miriam"/>
          <w:b/>
          <w:spacing w:val="0"/>
          <w:szCs w:val="24"/>
          <w:rtl/>
        </w:rPr>
        <w:t xml:space="preserve"> </w:t>
      </w:r>
      <w:r w:rsidRPr="007E1E4C">
        <w:rPr>
          <w:rFonts w:ascii="Century" w:hAnsi="Century" w:cs="Miriam" w:hint="eastAsia"/>
          <w:b/>
          <w:spacing w:val="0"/>
          <w:szCs w:val="24"/>
          <w:rtl/>
        </w:rPr>
        <w:t>נ</w:t>
      </w:r>
      <w:r w:rsidRPr="007E1E4C">
        <w:rPr>
          <w:rFonts w:ascii="Century" w:hAnsi="Century" w:cs="Miriam"/>
          <w:b/>
          <w:spacing w:val="0"/>
          <w:szCs w:val="24"/>
          <w:rtl/>
        </w:rPr>
        <w:t xml:space="preserve">' </w:t>
      </w:r>
      <w:r w:rsidRPr="007E1E4C">
        <w:rPr>
          <w:rFonts w:ascii="Century" w:hAnsi="Century" w:cs="Miriam" w:hint="eastAsia"/>
          <w:b/>
          <w:spacing w:val="0"/>
          <w:szCs w:val="24"/>
          <w:rtl/>
        </w:rPr>
        <w:t>מדינת</w:t>
      </w:r>
      <w:r w:rsidRPr="007E1E4C">
        <w:rPr>
          <w:rFonts w:ascii="Century" w:hAnsi="Century" w:cs="Miriam"/>
          <w:b/>
          <w:spacing w:val="0"/>
          <w:szCs w:val="24"/>
          <w:rtl/>
        </w:rPr>
        <w:t xml:space="preserve"> </w:t>
      </w:r>
      <w:r w:rsidRPr="007E1E4C">
        <w:rPr>
          <w:rFonts w:ascii="Century" w:hAnsi="Century" w:cs="Miriam" w:hint="eastAsia"/>
          <w:b/>
          <w:spacing w:val="0"/>
          <w:szCs w:val="24"/>
          <w:rtl/>
        </w:rPr>
        <w:t>ישראל</w:t>
      </w:r>
      <w:r w:rsidRPr="00C0677C">
        <w:rPr>
          <w:rFonts w:ascii="Century" w:hAnsi="Century" w:hint="cs"/>
          <w:rtl/>
        </w:rPr>
        <w:t xml:space="preserve"> </w:t>
      </w:r>
      <w:r>
        <w:rPr>
          <w:rFonts w:ascii="Century" w:hAnsi="Century" w:hint="cs"/>
          <w:rtl/>
        </w:rPr>
        <w:t xml:space="preserve">, פסקה 12 (8.9.2011); עע"מ 2152/19 </w:t>
      </w:r>
      <w:r w:rsidRPr="007E1E4C">
        <w:rPr>
          <w:rFonts w:ascii="Century" w:hAnsi="Century" w:cs="Miriam" w:hint="eastAsia"/>
          <w:b/>
          <w:spacing w:val="0"/>
          <w:szCs w:val="24"/>
          <w:rtl/>
        </w:rPr>
        <w:t>טפיו</w:t>
      </w:r>
      <w:r w:rsidRPr="007E1E4C">
        <w:rPr>
          <w:rFonts w:ascii="Century" w:hAnsi="Century" w:cs="Miriam"/>
          <w:b/>
          <w:spacing w:val="0"/>
          <w:szCs w:val="24"/>
          <w:rtl/>
        </w:rPr>
        <w:t xml:space="preserve"> </w:t>
      </w:r>
      <w:r w:rsidRPr="007E1E4C">
        <w:rPr>
          <w:rFonts w:ascii="Century" w:hAnsi="Century" w:cs="Miriam" w:hint="eastAsia"/>
          <w:b/>
          <w:spacing w:val="0"/>
          <w:szCs w:val="24"/>
          <w:rtl/>
        </w:rPr>
        <w:t>נ</w:t>
      </w:r>
      <w:r w:rsidRPr="007E1E4C">
        <w:rPr>
          <w:rFonts w:ascii="Century" w:hAnsi="Century" w:cs="Miriam"/>
          <w:b/>
          <w:spacing w:val="0"/>
          <w:szCs w:val="24"/>
          <w:rtl/>
        </w:rPr>
        <w:t xml:space="preserve">' </w:t>
      </w:r>
      <w:r w:rsidRPr="007E1E4C">
        <w:rPr>
          <w:rFonts w:ascii="Century" w:hAnsi="Century" w:cs="Miriam" w:hint="eastAsia"/>
          <w:b/>
          <w:spacing w:val="0"/>
          <w:szCs w:val="24"/>
          <w:rtl/>
        </w:rPr>
        <w:t>רשות</w:t>
      </w:r>
      <w:r w:rsidRPr="007E1E4C">
        <w:rPr>
          <w:rFonts w:ascii="Century" w:hAnsi="Century" w:cs="Miriam"/>
          <w:b/>
          <w:spacing w:val="0"/>
          <w:szCs w:val="24"/>
          <w:rtl/>
        </w:rPr>
        <w:t xml:space="preserve"> </w:t>
      </w:r>
      <w:r w:rsidRPr="007E1E4C">
        <w:rPr>
          <w:rFonts w:ascii="Century" w:hAnsi="Century" w:cs="Miriam" w:hint="eastAsia"/>
          <w:b/>
          <w:spacing w:val="0"/>
          <w:szCs w:val="24"/>
          <w:rtl/>
        </w:rPr>
        <w:t>המיסים</w:t>
      </w:r>
      <w:r>
        <w:rPr>
          <w:rFonts w:ascii="Century" w:hAnsi="Century" w:hint="cs"/>
          <w:rtl/>
        </w:rPr>
        <w:t xml:space="preserve">, פסקה 5 (30.1.2022)). </w:t>
      </w:r>
    </w:p>
    <w:p w:rsidR="00B347E6" w:rsidRDefault="00B347E6" w:rsidP="00B347E6">
      <w:pPr>
        <w:pStyle w:val="Ruller41"/>
        <w:rPr>
          <w:rFonts w:ascii="Century" w:hAnsi="Century"/>
          <w:rtl/>
        </w:rPr>
      </w:pPr>
    </w:p>
    <w:p w:rsidR="00B347E6" w:rsidRPr="006223C1" w:rsidRDefault="00B347E6" w:rsidP="00B347E6">
      <w:pPr>
        <w:pStyle w:val="Ruller41"/>
        <w:rPr>
          <w:rFonts w:ascii="Century" w:hAnsi="Century"/>
          <w:rtl/>
        </w:rPr>
      </w:pPr>
      <w:r>
        <w:rPr>
          <w:rFonts w:ascii="Century" w:hAnsi="Century"/>
          <w:rtl/>
        </w:rPr>
        <w:tab/>
      </w:r>
      <w:r w:rsidRPr="006223C1">
        <w:rPr>
          <w:rFonts w:ascii="Century" w:hAnsi="Century" w:hint="cs"/>
          <w:rtl/>
        </w:rPr>
        <w:t xml:space="preserve">המערער ובאי כוחו לא חסכו שבט לשונם </w:t>
      </w:r>
      <w:r>
        <w:rPr>
          <w:rFonts w:ascii="Century" w:hAnsi="Century" w:hint="cs"/>
          <w:rtl/>
        </w:rPr>
        <w:t xml:space="preserve">הרעה </w:t>
      </w:r>
      <w:r w:rsidRPr="006223C1">
        <w:rPr>
          <w:rFonts w:ascii="Century" w:hAnsi="Century" w:hint="cs"/>
          <w:rtl/>
        </w:rPr>
        <w:t>גם מהמשיב ו</w:t>
      </w:r>
      <w:r>
        <w:rPr>
          <w:rFonts w:ascii="Century" w:hAnsi="Century" w:hint="cs"/>
          <w:rtl/>
        </w:rPr>
        <w:t>מעו"ד כספי</w:t>
      </w:r>
      <w:r w:rsidRPr="006223C1">
        <w:rPr>
          <w:rFonts w:ascii="Century" w:hAnsi="Century" w:hint="cs"/>
          <w:rtl/>
        </w:rPr>
        <w:t>, לרבות אמירות מלגלגות על "רגישותו המיוחדת" של המשיב ועצביו הרופפים-כביכול (ונזכיר כי המשיב, סגן אלוף במילואים, השתתף ולחם בג'נין במבצע "חומת מגן").</w:t>
      </w:r>
    </w:p>
    <w:p w:rsidR="00B347E6" w:rsidRDefault="00B347E6" w:rsidP="00B347E6">
      <w:pPr>
        <w:pStyle w:val="Ruller41"/>
        <w:rPr>
          <w:rtl/>
        </w:rPr>
      </w:pPr>
    </w:p>
    <w:p w:rsidR="00B347E6" w:rsidRPr="00A24A38" w:rsidRDefault="00B347E6" w:rsidP="00B347E6">
      <w:pPr>
        <w:pStyle w:val="Ruller41"/>
        <w:rPr>
          <w:rtl/>
        </w:rPr>
      </w:pPr>
      <w:r>
        <w:rPr>
          <w:rFonts w:hint="cs"/>
          <w:rtl/>
        </w:rPr>
        <w:t>19.</w:t>
      </w:r>
      <w:r w:rsidRPr="00A24A38">
        <w:rPr>
          <w:rtl/>
        </w:rPr>
        <w:tab/>
      </w:r>
      <w:r w:rsidRPr="00A24A38">
        <w:rPr>
          <w:rFonts w:hint="cs"/>
          <w:rtl/>
        </w:rPr>
        <w:t xml:space="preserve">דברים ברוח זו, בתוכנם ובסגנונם, אין מקומם בכתב טענות שמוגש על ידי עורכי דין לבית משפט. </w:t>
      </w:r>
      <w:r w:rsidRPr="00A24A38">
        <w:rPr>
          <w:rFonts w:hint="cs"/>
          <w:shd w:val="clear" w:color="auto" w:fill="FFFFFF"/>
          <w:rtl/>
        </w:rPr>
        <w:t>"נְצֹר לְשׁוֹנְךָ מֵרָע" מורה לנו המשורר בספר תהילים, והדברים יפים ביתר שאת כלפי ציבור עורכי הדין, המצוּוים לשמור על "יחס כבוד לבית המשפט"</w:t>
      </w:r>
      <w:r>
        <w:rPr>
          <w:rFonts w:hint="cs"/>
          <w:shd w:val="clear" w:color="auto" w:fill="FFFFFF"/>
          <w:rtl/>
        </w:rPr>
        <w:t>,</w:t>
      </w:r>
      <w:r w:rsidRPr="00A24A38">
        <w:rPr>
          <w:rFonts w:hint="cs"/>
          <w:shd w:val="clear" w:color="auto" w:fill="FFFFFF"/>
          <w:rtl/>
        </w:rPr>
        <w:t xml:space="preserve"> ל</w:t>
      </w:r>
      <w:r>
        <w:rPr>
          <w:rFonts w:hint="cs"/>
          <w:shd w:val="clear" w:color="auto" w:fill="FFFFFF"/>
          <w:rtl/>
        </w:rPr>
        <w:t xml:space="preserve">נהוג כלפי הצד שכנגד </w:t>
      </w:r>
      <w:r w:rsidRPr="00A24A38">
        <w:rPr>
          <w:rFonts w:hint="cs"/>
          <w:shd w:val="clear" w:color="auto" w:fill="FFFFFF"/>
          <w:rtl/>
        </w:rPr>
        <w:t>"בדרך ארץ"</w:t>
      </w:r>
      <w:r>
        <w:rPr>
          <w:rFonts w:hint="cs"/>
          <w:shd w:val="clear" w:color="auto" w:fill="FFFFFF"/>
          <w:rtl/>
        </w:rPr>
        <w:t xml:space="preserve"> ולטעון טענותיה</w:t>
      </w:r>
      <w:r w:rsidRPr="00857A04">
        <w:rPr>
          <w:rFonts w:ascii="Century" w:hAnsi="Century" w:hint="cs"/>
          <w:shd w:val="clear" w:color="auto" w:fill="FFFFFF"/>
          <w:rtl/>
        </w:rPr>
        <w:t>ם "</w:t>
      </w:r>
      <w:r w:rsidRPr="00857A04">
        <w:rPr>
          <w:rFonts w:ascii="Century" w:hAnsi="Century"/>
          <w:shd w:val="clear" w:color="auto" w:fill="FFFFFF"/>
          <w:rtl/>
        </w:rPr>
        <w:t>בדרך ארץ, תוך שמירה על כבוד הצד שכנגד ועל כבוד כל אדם אחר הקשור בהליך השיפוט</w:t>
      </w:r>
      <w:r>
        <w:rPr>
          <w:rFonts w:ascii="Century" w:hAnsi="Century" w:hint="cs"/>
          <w:shd w:val="clear" w:color="auto" w:fill="FFFFFF"/>
          <w:rtl/>
        </w:rPr>
        <w:t xml:space="preserve">י" </w:t>
      </w:r>
      <w:r w:rsidRPr="00A24A38">
        <w:rPr>
          <w:rFonts w:hint="cs"/>
          <w:shd w:val="clear" w:color="auto" w:fill="FFFFFF"/>
          <w:rtl/>
        </w:rPr>
        <w:t>(כללי</w:t>
      </w:r>
      <w:r>
        <w:rPr>
          <w:rFonts w:hint="cs"/>
          <w:shd w:val="clear" w:color="auto" w:fill="FFFFFF"/>
          <w:rtl/>
        </w:rPr>
        <w:t>ם 2, 23, 33 לכללי</w:t>
      </w:r>
      <w:r w:rsidRPr="00A24A38">
        <w:rPr>
          <w:rFonts w:hint="cs"/>
          <w:shd w:val="clear" w:color="auto" w:fill="FFFFFF"/>
          <w:rtl/>
        </w:rPr>
        <w:t xml:space="preserve"> לשכת עורכי הדין (אתיקה מקצועית), התשמ"ו-1986). לא כך </w:t>
      </w:r>
      <w:r>
        <w:rPr>
          <w:rFonts w:hint="cs"/>
          <w:shd w:val="clear" w:color="auto" w:fill="FFFFFF"/>
          <w:rtl/>
        </w:rPr>
        <w:t>פעלו</w:t>
      </w:r>
      <w:r w:rsidRPr="00A24A38">
        <w:rPr>
          <w:rFonts w:hint="cs"/>
          <w:shd w:val="clear" w:color="auto" w:fill="FFFFFF"/>
          <w:rtl/>
        </w:rPr>
        <w:t xml:space="preserve"> </w:t>
      </w:r>
      <w:r>
        <w:rPr>
          <w:rFonts w:hint="cs"/>
          <w:shd w:val="clear" w:color="auto" w:fill="FFFFFF"/>
          <w:rtl/>
        </w:rPr>
        <w:t>המערער ובאי כוחו</w:t>
      </w:r>
      <w:r w:rsidRPr="00A24A38">
        <w:rPr>
          <w:rFonts w:hint="cs"/>
          <w:shd w:val="clear" w:color="auto" w:fill="FFFFFF"/>
          <w:rtl/>
        </w:rPr>
        <w:t xml:space="preserve"> בכתב הערעור שלפנינו. </w:t>
      </w:r>
      <w:r w:rsidRPr="00A24A38">
        <w:rPr>
          <w:rFonts w:hint="cs"/>
          <w:rtl/>
        </w:rPr>
        <w:t xml:space="preserve">בדרך ארץ </w:t>
      </w:r>
      <w:r w:rsidRPr="00A24A38">
        <w:rPr>
          <w:rtl/>
        </w:rPr>
        <w:t>–</w:t>
      </w:r>
      <w:r w:rsidRPr="00A24A38">
        <w:rPr>
          <w:rFonts w:hint="cs"/>
          <w:rtl/>
        </w:rPr>
        <w:t xml:space="preserve"> לא נהגו</w:t>
      </w:r>
      <w:r>
        <w:rPr>
          <w:rFonts w:hint="cs"/>
          <w:rtl/>
        </w:rPr>
        <w:t>;</w:t>
      </w:r>
      <w:r w:rsidRPr="00A24A38">
        <w:rPr>
          <w:rFonts w:hint="cs"/>
          <w:rtl/>
        </w:rPr>
        <w:t xml:space="preserve"> כבוד </w:t>
      </w:r>
      <w:r w:rsidRPr="00A24A38">
        <w:rPr>
          <w:rtl/>
        </w:rPr>
        <w:t>–</w:t>
      </w:r>
      <w:r w:rsidRPr="00A24A38">
        <w:rPr>
          <w:rFonts w:hint="cs"/>
          <w:rtl/>
        </w:rPr>
        <w:t xml:space="preserve"> לא הוסיפו לאיש, לא לבית המשפט</w:t>
      </w:r>
      <w:r>
        <w:rPr>
          <w:rFonts w:hint="cs"/>
          <w:rtl/>
        </w:rPr>
        <w:t xml:space="preserve">, </w:t>
      </w:r>
      <w:r w:rsidRPr="00A24A38">
        <w:rPr>
          <w:rFonts w:hint="cs"/>
          <w:rtl/>
        </w:rPr>
        <w:t>ובפרט לא לעצמם.</w:t>
      </w:r>
      <w:r>
        <w:rPr>
          <w:rFonts w:hint="cs"/>
          <w:rtl/>
        </w:rPr>
        <w:t xml:space="preserve"> מצער הדבר כי התדרדרות תרבות השיח, תופעה שפשתה במקומותינו בשנים האחרונות ביתר שאת, מוצאת את דרכה אל מחוזות הטיעון המשפטי. לא כך יאה, לא כך נאה.</w:t>
      </w:r>
    </w:p>
    <w:p w:rsidR="00B347E6" w:rsidRDefault="00B347E6" w:rsidP="00B347E6">
      <w:pPr>
        <w:pStyle w:val="Ruller41"/>
        <w:rPr>
          <w:shd w:val="clear" w:color="auto" w:fill="FFFFFF"/>
          <w:rtl/>
        </w:rPr>
      </w:pPr>
    </w:p>
    <w:p w:rsidR="00B347E6" w:rsidRDefault="00B347E6" w:rsidP="00B347E6">
      <w:pPr>
        <w:pStyle w:val="Ruller41"/>
        <w:rPr>
          <w:shd w:val="clear" w:color="auto" w:fill="FFFFFF"/>
          <w:rtl/>
        </w:rPr>
      </w:pPr>
      <w:r>
        <w:rPr>
          <w:shd w:val="clear" w:color="auto" w:fill="FFFFFF"/>
          <w:rtl/>
        </w:rPr>
        <w:tab/>
      </w:r>
      <w:r>
        <w:rPr>
          <w:rFonts w:hint="cs"/>
          <w:shd w:val="clear" w:color="auto" w:fill="FFFFFF"/>
          <w:rtl/>
        </w:rPr>
        <w:t>ולערעור לגופו.</w:t>
      </w:r>
    </w:p>
    <w:p w:rsidR="00B347E6" w:rsidRDefault="00B347E6" w:rsidP="00B347E6">
      <w:pPr>
        <w:pStyle w:val="Ruller41"/>
        <w:rPr>
          <w:shd w:val="clear" w:color="auto" w:fill="FFFFFF"/>
          <w:rtl/>
        </w:rPr>
      </w:pPr>
    </w:p>
    <w:p w:rsidR="00B347E6" w:rsidRPr="005E29CE" w:rsidRDefault="00B347E6" w:rsidP="00B347E6">
      <w:pPr>
        <w:pStyle w:val="Ruller41"/>
        <w:rPr>
          <w:rFonts w:ascii="Century" w:hAnsi="Century" w:cs="Miriam"/>
          <w:b/>
          <w:spacing w:val="0"/>
          <w:szCs w:val="24"/>
          <w:shd w:val="clear" w:color="auto" w:fill="FFFFFF"/>
          <w:rtl/>
        </w:rPr>
      </w:pPr>
      <w:r w:rsidRPr="005E29CE">
        <w:rPr>
          <w:rFonts w:ascii="Century" w:hAnsi="Century" w:cs="Miriam" w:hint="cs"/>
          <w:b/>
          <w:spacing w:val="0"/>
          <w:szCs w:val="24"/>
          <w:shd w:val="clear" w:color="auto" w:fill="FFFFFF"/>
          <w:rtl/>
        </w:rPr>
        <w:t>דיון והכרעה</w:t>
      </w:r>
    </w:p>
    <w:p w:rsidR="00B347E6" w:rsidRDefault="00B347E6" w:rsidP="00B347E6">
      <w:pPr>
        <w:pStyle w:val="Ruller41"/>
        <w:rPr>
          <w:shd w:val="clear" w:color="auto" w:fill="FFFFFF"/>
          <w:rtl/>
        </w:rPr>
      </w:pPr>
    </w:p>
    <w:p w:rsidR="00B347E6" w:rsidRDefault="00B347E6" w:rsidP="00493D1F">
      <w:pPr>
        <w:pStyle w:val="Ruller41"/>
        <w:rPr>
          <w:rtl/>
        </w:rPr>
      </w:pPr>
      <w:r>
        <w:rPr>
          <w:rFonts w:hint="cs"/>
          <w:rtl/>
        </w:rPr>
        <w:t>20</w:t>
      </w:r>
      <w:r w:rsidRPr="0096368A">
        <w:rPr>
          <w:rFonts w:hint="cs"/>
          <w:rtl/>
        </w:rPr>
        <w:t>.</w:t>
      </w:r>
      <w:r w:rsidRPr="0096368A">
        <w:rPr>
          <w:rFonts w:hint="cs"/>
          <w:rtl/>
        </w:rPr>
        <w:tab/>
      </w:r>
      <w:r>
        <w:rPr>
          <w:rFonts w:hint="cs"/>
          <w:rtl/>
        </w:rPr>
        <w:t>הערעור שלפנינו אמנם עוסק בלשון הרע</w:t>
      </w:r>
      <w:r w:rsidR="00493D1F">
        <w:rPr>
          <w:rFonts w:hint="cs"/>
          <w:rtl/>
        </w:rPr>
        <w:t>,</w:t>
      </w:r>
      <w:r>
        <w:rPr>
          <w:rFonts w:hint="cs"/>
          <w:rtl/>
        </w:rPr>
        <w:t xml:space="preserve"> אך הלכה למעשה, איננו צריכים להידרש למרבית הסוגיות המתעוררות תדיר בתביעות לשון הרע. זאת, מאחר ש</w:t>
      </w:r>
      <w:r w:rsidR="00493D1F" w:rsidRPr="0096368A">
        <w:rPr>
          <w:rFonts w:hint="cs"/>
          <w:rtl/>
        </w:rPr>
        <w:t xml:space="preserve">על טיבו של הסרט </w:t>
      </w:r>
      <w:r w:rsidR="00493D1F">
        <w:rPr>
          <w:rFonts w:hint="cs"/>
          <w:rtl/>
        </w:rPr>
        <w:t xml:space="preserve">ועל כך שהוא </w:t>
      </w:r>
      <w:r w:rsidR="00493D1F" w:rsidRPr="0096368A">
        <w:rPr>
          <w:rFonts w:hint="cs"/>
          <w:rtl/>
        </w:rPr>
        <w:t xml:space="preserve">כולל שקרים ובדותות </w:t>
      </w:r>
      <w:r w:rsidR="00493D1F">
        <w:rPr>
          <w:rFonts w:hint="cs"/>
          <w:rtl/>
        </w:rPr>
        <w:t>המהווים</w:t>
      </w:r>
      <w:r w:rsidR="00493D1F" w:rsidRPr="0096368A">
        <w:rPr>
          <w:rFonts w:hint="cs"/>
          <w:rtl/>
        </w:rPr>
        <w:t xml:space="preserve"> לשון הרע</w:t>
      </w:r>
      <w:r w:rsidR="00493D1F">
        <w:rPr>
          <w:rFonts w:hint="cs"/>
          <w:rtl/>
        </w:rPr>
        <w:t xml:space="preserve"> </w:t>
      </w:r>
      <w:r w:rsidR="00493D1F" w:rsidRPr="0096368A">
        <w:rPr>
          <w:rFonts w:hint="cs"/>
          <w:rtl/>
        </w:rPr>
        <w:t xml:space="preserve">על חיילי צה"ל, </w:t>
      </w:r>
      <w:r w:rsidR="00493D1F">
        <w:rPr>
          <w:rFonts w:hint="cs"/>
          <w:rtl/>
        </w:rPr>
        <w:t>כבר אמרה הפסיקה את דבר</w:t>
      </w:r>
      <w:r w:rsidR="00493D1F">
        <w:rPr>
          <w:rFonts w:ascii="FrankRuehl" w:hAnsi="FrankRuehl" w:hint="cs"/>
          <w:rtl/>
        </w:rPr>
        <w:t>ה</w:t>
      </w:r>
      <w:r w:rsidR="00493D1F">
        <w:rPr>
          <w:rFonts w:hint="cs"/>
          <w:rtl/>
        </w:rPr>
        <w:t>, ו</w:t>
      </w:r>
      <w:r>
        <w:rPr>
          <w:rFonts w:hint="cs"/>
          <w:rtl/>
        </w:rPr>
        <w:t xml:space="preserve">בית המשפט העליון כבר </w:t>
      </w:r>
      <w:r w:rsidR="00493D1F">
        <w:rPr>
          <w:rFonts w:hint="cs"/>
          <w:rtl/>
        </w:rPr>
        <w:t xml:space="preserve">אמר </w:t>
      </w:r>
      <w:r>
        <w:rPr>
          <w:rFonts w:hint="cs"/>
          <w:rtl/>
        </w:rPr>
        <w:t xml:space="preserve">בקול צלול וברור, פעם אחר פעם, כי הסרט "ג'נין ג'נין" הוא </w:t>
      </w:r>
      <w:r w:rsidRPr="005E048A">
        <w:rPr>
          <w:rFonts w:ascii="Century" w:hAnsi="Century" w:cs="Miriam" w:hint="cs"/>
          <w:b/>
          <w:spacing w:val="0"/>
          <w:szCs w:val="24"/>
          <w:rtl/>
        </w:rPr>
        <w:t>שקרי</w:t>
      </w:r>
      <w:r>
        <w:rPr>
          <w:rFonts w:hint="cs"/>
          <w:rtl/>
        </w:rPr>
        <w:t xml:space="preserve">. כך, בעניין </w:t>
      </w:r>
      <w:r w:rsidRPr="00B209D5">
        <w:rPr>
          <w:rFonts w:ascii="Century" w:hAnsi="Century" w:cs="Miriam" w:hint="cs"/>
          <w:b/>
          <w:spacing w:val="0"/>
          <w:szCs w:val="24"/>
          <w:rtl/>
        </w:rPr>
        <w:t>בן נתן</w:t>
      </w:r>
      <w:r>
        <w:rPr>
          <w:rFonts w:hint="cs"/>
          <w:rtl/>
        </w:rPr>
        <w:t xml:space="preserve">, הבהירה השופטת </w:t>
      </w:r>
      <w:r w:rsidRPr="00B209D5">
        <w:rPr>
          <w:rFonts w:ascii="Century" w:hAnsi="Century" w:cs="Miriam" w:hint="cs"/>
          <w:b/>
          <w:spacing w:val="0"/>
          <w:szCs w:val="24"/>
          <w:rtl/>
        </w:rPr>
        <w:t>מ' נאור</w:t>
      </w:r>
      <w:r>
        <w:rPr>
          <w:rFonts w:hint="cs"/>
          <w:rtl/>
        </w:rPr>
        <w:t xml:space="preserve"> כי "הסרט אכן מלא וגדוש בדברים שאינם אמת, ואין עומדות [למערער] הגנות שבחוק". </w:t>
      </w:r>
      <w:r>
        <w:rPr>
          <w:rFonts w:ascii="Century" w:hAnsi="Century" w:hint="cs"/>
          <w:rtl/>
        </w:rPr>
        <w:t xml:space="preserve">אף אני עמדתי על כך באותו הליך, כשציינתי כי </w:t>
      </w:r>
      <w:r>
        <w:rPr>
          <w:rFonts w:ascii="Century" w:hAnsi="Century"/>
          <w:rtl/>
        </w:rPr>
        <w:t>–</w:t>
      </w:r>
      <w:r>
        <w:rPr>
          <w:rFonts w:ascii="Century" w:hAnsi="Century" w:hint="cs"/>
          <w:rtl/>
        </w:rPr>
        <w:t xml:space="preserve"> </w:t>
      </w:r>
    </w:p>
    <w:p w:rsidR="00B347E6" w:rsidRDefault="00B347E6" w:rsidP="00B347E6">
      <w:pPr>
        <w:pStyle w:val="Ruller41"/>
        <w:rPr>
          <w:rtl/>
        </w:rPr>
      </w:pPr>
    </w:p>
    <w:p w:rsidR="00B347E6" w:rsidRDefault="00B347E6" w:rsidP="00B347E6">
      <w:pPr>
        <w:pStyle w:val="Ruller5"/>
        <w:rPr>
          <w:rtl/>
        </w:rPr>
      </w:pPr>
      <w:r w:rsidRPr="00C24AE9">
        <w:rPr>
          <w:rFonts w:hint="cs"/>
          <w:rtl/>
        </w:rPr>
        <w:t>"</w:t>
      </w:r>
      <w:r w:rsidRPr="00C24AE9">
        <w:rPr>
          <w:rtl/>
        </w:rPr>
        <w:t xml:space="preserve">כיום, לאחר שהטענות לגבי טבח בג'נין הופרכו גם על ידי גופים בינלאומיים, ונתברר המספר האמיתי של הרוגים בקרב הפלשתינאים וכי חלק הארי מהם נמנה על אלו שלחמו בחיילי צה"ל, דומה כי אין כיום מחלוקת של ממש כי </w:t>
      </w:r>
      <w:r w:rsidRPr="007E1E4C">
        <w:rPr>
          <w:rFonts w:ascii="Century" w:hAnsi="Century" w:cs="Miriam"/>
          <w:b/>
          <w:spacing w:val="0"/>
          <w:szCs w:val="24"/>
          <w:rtl/>
        </w:rPr>
        <w:t>מיטב הסרט כזבו</w:t>
      </w:r>
      <w:r>
        <w:rPr>
          <w:rFonts w:hint="cs"/>
          <w:rtl/>
        </w:rPr>
        <w:t xml:space="preserve">" (פסקה 4 לפסק דיני, הדגשה הוספה </w:t>
      </w:r>
      <w:r>
        <w:rPr>
          <w:rtl/>
        </w:rPr>
        <w:t>–</w:t>
      </w:r>
      <w:r>
        <w:rPr>
          <w:rFonts w:hint="cs"/>
          <w:rtl/>
        </w:rPr>
        <w:t xml:space="preserve"> י"ע). </w:t>
      </w:r>
    </w:p>
    <w:p w:rsidR="00B347E6" w:rsidRDefault="00B347E6" w:rsidP="00B347E6">
      <w:pPr>
        <w:pStyle w:val="Ruller5"/>
        <w:rPr>
          <w:rtl/>
        </w:rPr>
      </w:pPr>
    </w:p>
    <w:p w:rsidR="00B347E6" w:rsidRDefault="00B347E6" w:rsidP="00B347E6">
      <w:pPr>
        <w:pStyle w:val="Ruller5"/>
        <w:rPr>
          <w:rtl/>
        </w:rPr>
      </w:pPr>
    </w:p>
    <w:p w:rsidR="00B347E6" w:rsidRDefault="00B347E6" w:rsidP="00B347E6">
      <w:pPr>
        <w:pStyle w:val="Ruller41"/>
        <w:rPr>
          <w:rtl/>
        </w:rPr>
      </w:pPr>
      <w:r>
        <w:rPr>
          <w:rtl/>
        </w:rPr>
        <w:tab/>
      </w:r>
      <w:r>
        <w:rPr>
          <w:rFonts w:hint="cs"/>
          <w:rtl/>
        </w:rPr>
        <w:t>עוד ציינתי כי "</w:t>
      </w:r>
      <w:r w:rsidRPr="00F77A22">
        <w:rPr>
          <w:rFonts w:ascii="Century" w:hAnsi="Century" w:hint="cs"/>
          <w:rtl/>
        </w:rPr>
        <w:t>הגנת 'אמת דיברתי' של [המערער]</w:t>
      </w:r>
      <w:r w:rsidRPr="00F77A22">
        <w:rPr>
          <w:rFonts w:ascii="Century" w:hAnsi="Century" w:cs="Miriam" w:hint="cs"/>
          <w:b/>
          <w:spacing w:val="0"/>
          <w:szCs w:val="24"/>
          <w:rtl/>
        </w:rPr>
        <w:t xml:space="preserve"> </w:t>
      </w:r>
      <w:r w:rsidRPr="0021477B">
        <w:rPr>
          <w:rFonts w:ascii="Century" w:hAnsi="Century" w:cs="Miriam" w:hint="cs"/>
          <w:b/>
          <w:spacing w:val="0"/>
          <w:szCs w:val="24"/>
          <w:rtl/>
        </w:rPr>
        <w:t>נתבררה כפתטית</w:t>
      </w:r>
      <w:r>
        <w:rPr>
          <w:rFonts w:hint="cs"/>
          <w:rtl/>
        </w:rPr>
        <w:t xml:space="preserve">"; כי "אין מדובר בלשון הרע שמקורה ברשלנות ואי דיוק, אלא </w:t>
      </w:r>
      <w:r w:rsidRPr="0021477B">
        <w:rPr>
          <w:rFonts w:ascii="Century" w:hAnsi="Century" w:cs="Miriam" w:hint="cs"/>
          <w:b/>
          <w:spacing w:val="0"/>
          <w:szCs w:val="24"/>
          <w:rtl/>
        </w:rPr>
        <w:t>בלשון הרע שבבסיסה חוסר תום לב ומגמה מכוונת לעיוות של הדברים</w:t>
      </w:r>
      <w:r>
        <w:rPr>
          <w:rFonts w:hint="cs"/>
          <w:rtl/>
        </w:rPr>
        <w:t xml:space="preserve">..."; וכי "האמירות השקריות בסרט אינן כלליות אלא קונקרטיות, כך שענייננו הוא </w:t>
      </w:r>
      <w:r w:rsidRPr="00F77A22">
        <w:rPr>
          <w:rFonts w:ascii="Century" w:hAnsi="Century" w:cs="Miriam" w:hint="cs"/>
          <w:b/>
          <w:spacing w:val="0"/>
          <w:szCs w:val="24"/>
          <w:rtl/>
        </w:rPr>
        <w:t>בביטויים שקריים קונקרטיים ועוצמתיים</w:t>
      </w:r>
      <w:r>
        <w:rPr>
          <w:rFonts w:hint="cs"/>
          <w:rtl/>
        </w:rPr>
        <w:t>"</w:t>
      </w:r>
      <w:r>
        <w:rPr>
          <w:rFonts w:ascii="FrankRuehl" w:hAnsi="FrankRuehl" w:hint="cs"/>
          <w:color w:val="000000"/>
          <w:sz w:val="28"/>
          <w:rtl/>
        </w:rPr>
        <w:t xml:space="preserve"> (</w:t>
      </w:r>
      <w:r>
        <w:rPr>
          <w:rFonts w:hint="cs"/>
          <w:rtl/>
        </w:rPr>
        <w:t>שם בפסקאות 5, 13, ההדגשות הוספו).</w:t>
      </w:r>
    </w:p>
    <w:p w:rsidR="00B347E6" w:rsidRDefault="00B347E6" w:rsidP="00B347E6">
      <w:pPr>
        <w:pStyle w:val="Ruller41"/>
        <w:rPr>
          <w:rtl/>
        </w:rPr>
      </w:pPr>
    </w:p>
    <w:p w:rsidR="00B347E6" w:rsidRDefault="00B347E6" w:rsidP="00B347E6">
      <w:pPr>
        <w:pStyle w:val="Ruller41"/>
        <w:rPr>
          <w:rtl/>
        </w:rPr>
      </w:pPr>
      <w:r>
        <w:rPr>
          <w:rFonts w:hint="cs"/>
          <w:rtl/>
        </w:rPr>
        <w:t>21.</w:t>
      </w:r>
      <w:r>
        <w:rPr>
          <w:rtl/>
        </w:rPr>
        <w:tab/>
      </w:r>
      <w:r>
        <w:rPr>
          <w:rFonts w:hint="cs"/>
          <w:rtl/>
        </w:rPr>
        <w:t xml:space="preserve">בהסתכלות מבעד לעדשה רחבה יותר, התייחסתי בעניין </w:t>
      </w:r>
      <w:r w:rsidRPr="00552BA6">
        <w:rPr>
          <w:rFonts w:ascii="Century" w:hAnsi="Century" w:cs="Miriam" w:hint="cs"/>
          <w:b/>
          <w:spacing w:val="0"/>
          <w:szCs w:val="24"/>
          <w:rtl/>
        </w:rPr>
        <w:t>בן נתן</w:t>
      </w:r>
      <w:r>
        <w:rPr>
          <w:rFonts w:hint="cs"/>
          <w:rtl/>
        </w:rPr>
        <w:t xml:space="preserve"> למאבק האיתנים וההתגוששות הנצחית בין האמת והבדיה, מאבק שהולך ונעשה קשה ומסובך בימינו אנו:</w:t>
      </w:r>
    </w:p>
    <w:p w:rsidR="00B347E6" w:rsidRDefault="00B347E6" w:rsidP="00B347E6">
      <w:pPr>
        <w:pStyle w:val="Ruller41"/>
        <w:rPr>
          <w:rtl/>
        </w:rPr>
      </w:pPr>
    </w:p>
    <w:p w:rsidR="00B347E6" w:rsidRDefault="00B347E6" w:rsidP="00B347E6">
      <w:pPr>
        <w:pStyle w:val="Ruller5"/>
        <w:rPr>
          <w:rFonts w:cs="Arial TUR"/>
          <w:szCs w:val="22"/>
          <w:rtl/>
        </w:rPr>
      </w:pPr>
      <w:r>
        <w:rPr>
          <w:rFonts w:hint="cs"/>
          <w:rtl/>
        </w:rPr>
        <w:t>"</w:t>
      </w:r>
      <w:r w:rsidRPr="000D2031">
        <w:rPr>
          <w:rtl/>
        </w:rPr>
        <w:t xml:space="preserve">אחד הרציונלים </w:t>
      </w:r>
      <w:r>
        <w:rPr>
          <w:rFonts w:hint="cs"/>
          <w:rtl/>
        </w:rPr>
        <w:t xml:space="preserve">[שבבסיס ההגנה על חופש הביטוי </w:t>
      </w:r>
      <w:r>
        <w:rPr>
          <w:rtl/>
        </w:rPr>
        <w:t>–</w:t>
      </w:r>
      <w:r>
        <w:rPr>
          <w:rFonts w:hint="cs"/>
          <w:rtl/>
        </w:rPr>
        <w:t xml:space="preserve"> י"ע] </w:t>
      </w:r>
      <w:r w:rsidRPr="000D2031">
        <w:rPr>
          <w:rtl/>
        </w:rPr>
        <w:t>הוא שחופש הביטוי דרוש לשם גילוי האמת, מתוך הנחה ש</w:t>
      </w:r>
      <w:r>
        <w:rPr>
          <w:rFonts w:hint="cs"/>
          <w:rtl/>
        </w:rPr>
        <w:t>'</w:t>
      </w:r>
      <w:r w:rsidRPr="000D2031">
        <w:rPr>
          <w:rtl/>
        </w:rPr>
        <w:t>בזרימה</w:t>
      </w:r>
      <w:r>
        <w:rPr>
          <w:rFonts w:hint="cs"/>
          <w:rtl/>
        </w:rPr>
        <w:t xml:space="preserve"> </w:t>
      </w:r>
      <w:r w:rsidRPr="000D2031">
        <w:rPr>
          <w:rtl/>
        </w:rPr>
        <w:t>חופשית ובלתי מבוקרת של מידע, דעות, רעיונות והערכות, סופה של האמת לגבור על השקר</w:t>
      </w:r>
      <w:r>
        <w:rPr>
          <w:rFonts w:hint="cs"/>
          <w:rtl/>
        </w:rPr>
        <w:t>'</w:t>
      </w:r>
      <w:r w:rsidRPr="000D2031">
        <w:rPr>
          <w:rtl/>
        </w:rPr>
        <w:t xml:space="preserve"> </w:t>
      </w:r>
      <w:r>
        <w:rPr>
          <w:rFonts w:hint="cs"/>
          <w:rtl/>
        </w:rPr>
        <w:t>[...]</w:t>
      </w:r>
    </w:p>
    <w:p w:rsidR="00B347E6" w:rsidRPr="000D2031" w:rsidRDefault="00B347E6" w:rsidP="00B347E6">
      <w:pPr>
        <w:pStyle w:val="Ruller5"/>
        <w:rPr>
          <w:rtl/>
        </w:rPr>
      </w:pPr>
    </w:p>
    <w:p w:rsidR="00B347E6" w:rsidRDefault="00B347E6" w:rsidP="00B347E6">
      <w:pPr>
        <w:pStyle w:val="Ruller5"/>
        <w:rPr>
          <w:rtl/>
        </w:rPr>
      </w:pPr>
      <w:r w:rsidRPr="000D2031">
        <w:rPr>
          <w:rtl/>
        </w:rPr>
        <w:t>מאז נאמרו הדברים בפרשת </w:t>
      </w:r>
      <w:r w:rsidRPr="000D2031">
        <w:rPr>
          <w:rFonts w:ascii="Miriam" w:hAnsi="Miriam" w:cs="Miriam"/>
          <w:spacing w:val="0"/>
          <w:sz w:val="24"/>
          <w:szCs w:val="24"/>
          <w:rtl/>
        </w:rPr>
        <w:t>קול העם</w:t>
      </w:r>
      <w:r w:rsidRPr="000D2031">
        <w:rPr>
          <w:rtl/>
        </w:rPr>
        <w:t>, זרמו מים רבים בקישון, ודומני כי ההנחה שהאמת תגבר על השקר היא יותר בגדר משאלת לב מאשר עובדה אמפירית. לצערנו, המציאות מוכיחה כי ככל שחוזרים על שקר פעמים רבות יותר כך הוא נתפס כאמת. הנה כי כן, למרות הכפר הגלובלי ולמרות (ואולי בגלל) הנגישות למידע בעידן של תקשורת המונית ותקשורת המונים באינטרנט ובפייסבוק, אנו עדים לכך שעדיין לא נס ליחם של הפרוטוקולים של זקני ציון ו</w:t>
      </w:r>
      <w:r>
        <w:rPr>
          <w:rFonts w:hint="cs"/>
          <w:rtl/>
        </w:rPr>
        <w:t>'</w:t>
      </w:r>
      <w:r w:rsidRPr="000D2031">
        <w:rPr>
          <w:rtl/>
        </w:rPr>
        <w:t>צאצאיהם</w:t>
      </w:r>
      <w:r>
        <w:rPr>
          <w:rFonts w:hint="cs"/>
          <w:rtl/>
        </w:rPr>
        <w:t>'</w:t>
      </w:r>
      <w:r w:rsidRPr="000D2031">
        <w:rPr>
          <w:rtl/>
        </w:rPr>
        <w:t xml:space="preserve"> הרוחניים. בהאידנא, האמת העובדתית או ההיסטורית גורשה זה מכבר בבושת פנים מכיסאה ואת מקומה תפס </w:t>
      </w:r>
      <w:r>
        <w:rPr>
          <w:rFonts w:hint="cs"/>
          <w:rtl/>
        </w:rPr>
        <w:t>'</w:t>
      </w:r>
      <w:r w:rsidRPr="000D2031">
        <w:rPr>
          <w:rtl/>
        </w:rPr>
        <w:t>הנראטיב</w:t>
      </w:r>
      <w:r>
        <w:rPr>
          <w:rFonts w:hint="cs"/>
          <w:rtl/>
        </w:rPr>
        <w:t>'</w:t>
      </w:r>
      <w:r w:rsidRPr="000D2031">
        <w:rPr>
          <w:rtl/>
        </w:rPr>
        <w:t>. לא אמרתי דברים אלה כדי להכניס ייאוש בליבם של רודפי האמת או כדי להפחית חלילה כהוא זה בחשיבותו של חופש הביטוי, אלא שיש להביט בעיני המציאות כפי שהיא</w:t>
      </w:r>
      <w:r>
        <w:rPr>
          <w:rFonts w:hint="cs"/>
          <w:rtl/>
        </w:rPr>
        <w:t>" (שם, פסקה 1)</w:t>
      </w:r>
      <w:r w:rsidRPr="000D2031">
        <w:rPr>
          <w:rtl/>
        </w:rPr>
        <w:t>.</w:t>
      </w:r>
    </w:p>
    <w:p w:rsidR="00B347E6" w:rsidRDefault="00B347E6" w:rsidP="00B347E6">
      <w:pPr>
        <w:pStyle w:val="Ruller5"/>
        <w:rPr>
          <w:rtl/>
        </w:rPr>
      </w:pPr>
    </w:p>
    <w:p w:rsidR="00B347E6" w:rsidRPr="00C24AE9" w:rsidRDefault="00B347E6" w:rsidP="00B347E6">
      <w:pPr>
        <w:pStyle w:val="Ruller5"/>
        <w:rPr>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הדברים היו נכונים לשעתם בעת שניתן פסק הדין בעניין </w:t>
      </w:r>
      <w:r w:rsidRPr="00305D86">
        <w:rPr>
          <w:rFonts w:ascii="Century" w:hAnsi="Century" w:cs="Miriam" w:hint="cs"/>
          <w:b/>
          <w:spacing w:val="0"/>
          <w:szCs w:val="24"/>
          <w:rtl/>
        </w:rPr>
        <w:t>בן נתן</w:t>
      </w:r>
      <w:r>
        <w:rPr>
          <w:rFonts w:ascii="Century" w:hAnsi="Century" w:hint="cs"/>
          <w:rtl/>
        </w:rPr>
        <w:t xml:space="preserve"> בשנת 2011; ודומה כי כיום, בחלוף עשור שנים מאז פסק הדין וכעשרים שנה מאז מבצע "חומת מגן", הדברים עומדים בתוקפם ביתר שאת </w:t>
      </w:r>
      <w:r>
        <w:rPr>
          <w:rFonts w:ascii="Century" w:hAnsi="Century"/>
          <w:rtl/>
        </w:rPr>
        <w:t>–</w:t>
      </w:r>
      <w:r>
        <w:rPr>
          <w:rFonts w:ascii="Century" w:hAnsi="Century" w:hint="cs"/>
          <w:rtl/>
        </w:rPr>
        <w:t xml:space="preserve"> עת התרגש עלינו עידן ה"</w:t>
      </w:r>
      <w:r w:rsidRPr="00691526">
        <w:rPr>
          <w:rFonts w:asciiTheme="majorBidi" w:hAnsiTheme="majorBidi" w:cstheme="majorBidi"/>
        </w:rPr>
        <w:t>fake</w:t>
      </w:r>
      <w:r>
        <w:rPr>
          <w:rFonts w:ascii="Century" w:hAnsi="Century" w:hint="cs"/>
          <w:rtl/>
        </w:rPr>
        <w:t xml:space="preserve">" במלוא עוזו </w:t>
      </w:r>
      <w:r>
        <w:rPr>
          <w:rFonts w:ascii="Century" w:hAnsi="Century"/>
          <w:rtl/>
        </w:rPr>
        <w:t>–</w:t>
      </w:r>
      <w:r>
        <w:rPr>
          <w:rFonts w:ascii="Century" w:hAnsi="Century" w:hint="cs"/>
          <w:rtl/>
        </w:rPr>
        <w:t xml:space="preserve"> עידן שבו בדיות וכזבים מופרחים לחלל האוויר הווירטואלי כהרף עין ובמחי ציוץ, לעתים על ידי אדם ולעתים על ידי מכונות יציר אדם ובוטים למיניהם ולסוגיהם, המבקשים להשתלט על השיח ול</w:t>
      </w:r>
      <w:r>
        <w:rPr>
          <w:rFonts w:ascii="FrankRuehl" w:hAnsi="FrankRuehl"/>
          <w:rtl/>
        </w:rPr>
        <w:t>ְ</w:t>
      </w:r>
      <w:r>
        <w:rPr>
          <w:rFonts w:ascii="Century" w:hAnsi="Century" w:hint="cs"/>
          <w:rtl/>
        </w:rPr>
        <w:t>ש</w:t>
      </w:r>
      <w:r>
        <w:rPr>
          <w:rFonts w:ascii="FrankRuehl" w:hAnsi="FrankRuehl"/>
          <w:rtl/>
        </w:rPr>
        <w:t>ַקֵּ</w:t>
      </w:r>
      <w:r>
        <w:rPr>
          <w:rFonts w:ascii="Century" w:hAnsi="Century" w:hint="cs"/>
          <w:rtl/>
        </w:rPr>
        <w:t>ע בתודעה הציבורית "אמיתות" שונות ומשונות.</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22.</w:t>
      </w:r>
      <w:r>
        <w:rPr>
          <w:rFonts w:ascii="Century" w:hAnsi="Century" w:hint="cs"/>
          <w:rtl/>
        </w:rPr>
        <w:tab/>
        <w:t xml:space="preserve">הנה כי כן, נקודת המוצא לדיון בערעור שלפנינו היא כי הסרט "ג'נין ג'נין" כולל שקרים ובדיות ומהווה לשון הרע על חיילי צה"ל, </w:t>
      </w:r>
      <w:r w:rsidRPr="00AA1785">
        <w:rPr>
          <w:rFonts w:ascii="Century" w:hAnsi="Century" w:hint="cs"/>
          <w:rtl/>
        </w:rPr>
        <w:t xml:space="preserve">ולא בכדי הערעור שלפנינו כלל לא נסב על טענות להעדר </w:t>
      </w:r>
      <w:r>
        <w:rPr>
          <w:rFonts w:ascii="Century" w:hAnsi="Century" w:hint="cs"/>
          <w:rtl/>
        </w:rPr>
        <w:t xml:space="preserve">מוחלט של </w:t>
      </w:r>
      <w:r w:rsidRPr="00AA1785">
        <w:rPr>
          <w:rFonts w:ascii="Century" w:hAnsi="Century" w:hint="cs"/>
          <w:rtl/>
        </w:rPr>
        <w:t xml:space="preserve">לשון הרע או לכך שהפרסום חוסה תחת איזו מההגנות </w:t>
      </w:r>
      <w:r>
        <w:rPr>
          <w:rFonts w:ascii="Century" w:hAnsi="Century" w:hint="cs"/>
          <w:rtl/>
        </w:rPr>
        <w:t xml:space="preserve">הקבועות </w:t>
      </w:r>
      <w:r w:rsidRPr="00AA1785">
        <w:rPr>
          <w:rFonts w:ascii="Century" w:hAnsi="Century" w:hint="cs"/>
          <w:rtl/>
        </w:rPr>
        <w:t>בחוק איסור לשון הרע.</w:t>
      </w:r>
      <w:r>
        <w:rPr>
          <w:rFonts w:ascii="Century" w:hAnsi="Century" w:hint="cs"/>
          <w:rtl/>
        </w:rPr>
        <w:t xml:space="preserve"> בד בבד, נזכיר כי הדיון המשפטי בעניין </w:t>
      </w:r>
      <w:r w:rsidRPr="00502533">
        <w:rPr>
          <w:rFonts w:ascii="Century" w:hAnsi="Century" w:cs="Miriam" w:hint="cs"/>
          <w:b/>
          <w:spacing w:val="0"/>
          <w:szCs w:val="24"/>
          <w:rtl/>
        </w:rPr>
        <w:t>בן נתן</w:t>
      </w:r>
      <w:r>
        <w:rPr>
          <w:rFonts w:ascii="Century" w:hAnsi="Century" w:hint="cs"/>
          <w:rtl/>
        </w:rPr>
        <w:t xml:space="preserve"> נסב על </w:t>
      </w:r>
      <w:r w:rsidRPr="00A6723B">
        <w:rPr>
          <w:rFonts w:ascii="Century" w:hAnsi="Century" w:cs="Miriam" w:hint="cs"/>
          <w:b/>
          <w:spacing w:val="0"/>
          <w:szCs w:val="24"/>
          <w:rtl/>
        </w:rPr>
        <w:t>סעיף 4 לחוק</w:t>
      </w:r>
      <w:r>
        <w:rPr>
          <w:rFonts w:ascii="Century" w:hAnsi="Century" w:hint="cs"/>
          <w:rtl/>
        </w:rPr>
        <w:t xml:space="preserve"> ועל השאלה אם לשון הרע שיוחסה </w:t>
      </w:r>
      <w:r w:rsidRPr="009703D1">
        <w:rPr>
          <w:rFonts w:ascii="Century" w:hAnsi="Century" w:cs="Miriam" w:hint="cs"/>
          <w:b/>
          <w:spacing w:val="0"/>
          <w:szCs w:val="24"/>
          <w:rtl/>
        </w:rPr>
        <w:t>לקבוצה</w:t>
      </w:r>
      <w:r>
        <w:rPr>
          <w:rFonts w:ascii="Century" w:hAnsi="Century" w:hint="cs"/>
          <w:rtl/>
        </w:rPr>
        <w:t xml:space="preserve"> התייחסה לכלל יחידי הקבוצה. לעומת זאת, במקרה שלפנינו מדובר בתביעה </w:t>
      </w:r>
      <w:r w:rsidRPr="009E3DF8">
        <w:rPr>
          <w:rFonts w:ascii="Century" w:hAnsi="Century" w:cs="Miriam" w:hint="cs"/>
          <w:b/>
          <w:spacing w:val="0"/>
          <w:szCs w:val="24"/>
          <w:rtl/>
        </w:rPr>
        <w:t>אישית</w:t>
      </w:r>
      <w:r w:rsidRPr="009703D1">
        <w:rPr>
          <w:rFonts w:ascii="Century" w:hAnsi="Century" w:hint="cs"/>
          <w:rtl/>
        </w:rPr>
        <w:t xml:space="preserve"> </w:t>
      </w:r>
      <w:r>
        <w:rPr>
          <w:rFonts w:ascii="Century" w:hAnsi="Century" w:hint="cs"/>
          <w:rtl/>
        </w:rPr>
        <w:t xml:space="preserve">של המשיב שצילומו שולב בסרט. מובן אפוא כי אין בפסק הדין שניתן בעניין </w:t>
      </w:r>
      <w:r w:rsidRPr="006C18D7">
        <w:rPr>
          <w:rFonts w:ascii="Century" w:hAnsi="Century" w:cs="Miriam" w:hint="cs"/>
          <w:b/>
          <w:spacing w:val="0"/>
          <w:szCs w:val="24"/>
          <w:rtl/>
        </w:rPr>
        <w:t>בן נתן</w:t>
      </w:r>
      <w:r>
        <w:rPr>
          <w:rFonts w:ascii="Century" w:hAnsi="Century" w:hint="cs"/>
          <w:rtl/>
        </w:rPr>
        <w:t xml:space="preserve"> ובתוצאה של דחיית התובענה שם כדי לחרוץ את גורלו של הערעור דנן, ובדין קבע כך בית משפט קמא (פסקה 183 לפסק דינו).</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hint="cs"/>
          <w:rtl/>
        </w:rPr>
        <w:t>23.</w:t>
      </w:r>
      <w:r>
        <w:rPr>
          <w:rFonts w:ascii="Century" w:hAnsi="Century"/>
          <w:rtl/>
        </w:rPr>
        <w:tab/>
      </w:r>
      <w:r>
        <w:rPr>
          <w:rFonts w:ascii="Century" w:hAnsi="Century" w:hint="cs"/>
          <w:rtl/>
        </w:rPr>
        <w:t xml:space="preserve">הערעור דנן נשען על שני אדנים מרכזיים: </w:t>
      </w:r>
      <w:r w:rsidRPr="00AE43B6">
        <w:rPr>
          <w:rFonts w:ascii="Century" w:hAnsi="Century" w:cs="Miriam" w:hint="cs"/>
          <w:b/>
          <w:spacing w:val="0"/>
          <w:szCs w:val="24"/>
          <w:rtl/>
        </w:rPr>
        <w:t>האחד</w:t>
      </w:r>
      <w:r>
        <w:rPr>
          <w:rFonts w:ascii="Century" w:hAnsi="Century" w:hint="cs"/>
          <w:rtl/>
        </w:rPr>
        <w:t xml:space="preserve"> </w:t>
      </w:r>
      <w:r>
        <w:rPr>
          <w:rFonts w:ascii="Century" w:hAnsi="Century"/>
          <w:rtl/>
        </w:rPr>
        <w:t>–</w:t>
      </w:r>
      <w:r>
        <w:rPr>
          <w:rFonts w:ascii="Century" w:hAnsi="Century" w:hint="cs"/>
          <w:rtl/>
        </w:rPr>
        <w:t xml:space="preserve"> האם הופעת המשיב בסרט מבססת עילה מכוח חוק איסור לשון הרע? דהיינו, האם יש בהכללת צילומו של המשיב בסרט כדי לייחס לו איזו מההאשמות החמורות המוטחות בחיילי צה"ל כמתואר בסרט? </w:t>
      </w:r>
      <w:r w:rsidRPr="00A03305">
        <w:rPr>
          <w:rFonts w:ascii="Century" w:hAnsi="Century" w:cs="Miriam" w:hint="cs"/>
          <w:b/>
          <w:spacing w:val="0"/>
          <w:szCs w:val="24"/>
          <w:rtl/>
        </w:rPr>
        <w:t>השני</w:t>
      </w:r>
      <w:r>
        <w:rPr>
          <w:rFonts w:ascii="Century" w:hAnsi="Century" w:hint="cs"/>
          <w:rtl/>
        </w:rPr>
        <w:t xml:space="preserve"> </w:t>
      </w:r>
      <w:r>
        <w:rPr>
          <w:rFonts w:ascii="Century" w:hAnsi="Century"/>
          <w:rtl/>
        </w:rPr>
        <w:t>–</w:t>
      </w:r>
      <w:r>
        <w:rPr>
          <w:rFonts w:ascii="Century" w:hAnsi="Century" w:hint="cs"/>
          <w:rtl/>
        </w:rPr>
        <w:t xml:space="preserve"> האם התיישנה תביעתו של המשיב?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בית המשפט המחוזי השיב על השאלה הראשונה בחיוב ועל השאלה השניה בשלילה, והמערער, מטבע הדברים, טוען כי יש להשיב על שתי השאלות במהופך. ודוק: כל אחת משתי השאלות בנפרד עשויה להכריע את גורלו של הערעור. אם תתקבל טענת המערער כי אין בפרסום משום לשון הרע כלפי המשיב, אזי דין הערעור להתקבל; והוא הדין אם ייקבע כי תביעת המשיב התיישנה. לעומת זאת, אם ייקבע כי הפרסום מהווה לשון הרע כלפי המשיב, עדיין תידרש הכרעה בטענת ההתיישנות.</w:t>
      </w:r>
    </w:p>
    <w:p w:rsidR="00B347E6" w:rsidRDefault="00B347E6" w:rsidP="00B347E6">
      <w:pPr>
        <w:pStyle w:val="Ruller41"/>
        <w:rPr>
          <w:rFonts w:ascii="Century" w:hAnsi="Century"/>
          <w:rtl/>
        </w:rPr>
      </w:pPr>
    </w:p>
    <w:p w:rsidR="00B347E6" w:rsidRDefault="00B347E6" w:rsidP="00DE70CB">
      <w:pPr>
        <w:pStyle w:val="Ruller41"/>
        <w:rPr>
          <w:rFonts w:ascii="Century" w:hAnsi="Century"/>
          <w:rtl/>
        </w:rPr>
      </w:pPr>
      <w:r>
        <w:rPr>
          <w:rFonts w:ascii="Century" w:hAnsi="Century"/>
          <w:rtl/>
        </w:rPr>
        <w:tab/>
      </w:r>
      <w:r>
        <w:rPr>
          <w:rFonts w:ascii="Century" w:hAnsi="Century" w:hint="cs"/>
          <w:rtl/>
        </w:rPr>
        <w:t>נפנה אפוא לעיצומו של ערעור. תחילה נידרש לטענת המערער להעדר עילה, קרי לשאלה אם הפרסום אמנם מהווה לשון הרע כלפי המשיב, או שמא אין בהצגת המשיב בסרט כדי לקשור בינו לבין הפשעים המתוארים בסרט. לאחר מכן נפנה, ככל שנידרש, לדיון בסוגיית ההתיישנו</w:t>
      </w:r>
      <w:r w:rsidRPr="00E207F1">
        <w:rPr>
          <w:rFonts w:ascii="Century" w:hAnsi="Century" w:hint="cs"/>
          <w:rtl/>
        </w:rPr>
        <w:t xml:space="preserve">ת. אקדים ואומר כי לאחר עיון בפסק דינו של בית המשפט המחוזי, בכתבי הטענות של הצדדים ובחומר הראיות הרלוונטי, ולאחר שמיעת טענות הצדדים בעל פה, אני סבור כי דין הערעור </w:t>
      </w:r>
      <w:r w:rsidRPr="00E207F1">
        <w:rPr>
          <w:rFonts w:ascii="Century" w:hAnsi="Century" w:cs="Miriam" w:hint="cs"/>
          <w:b/>
          <w:spacing w:val="0"/>
          <w:szCs w:val="24"/>
          <w:rtl/>
        </w:rPr>
        <w:t>להידחות</w:t>
      </w:r>
      <w:r w:rsidRPr="00E207F1">
        <w:rPr>
          <w:rFonts w:ascii="Century" w:hAnsi="Century" w:hint="cs"/>
          <w:rtl/>
        </w:rPr>
        <w:t xml:space="preserve"> בכל הנוגע לשאלת קיומה של עילת תביעה בידי המשיב מכוח חוק איסור לשון הרע; כי </w:t>
      </w:r>
      <w:r>
        <w:rPr>
          <w:rFonts w:ascii="Century" w:hAnsi="Century" w:hint="cs"/>
          <w:rtl/>
        </w:rPr>
        <w:t xml:space="preserve">בסוגיית ההתיישנות </w:t>
      </w:r>
      <w:r w:rsidRPr="00E207F1">
        <w:rPr>
          <w:rFonts w:ascii="Century" w:hAnsi="Century" w:hint="cs"/>
          <w:rtl/>
        </w:rPr>
        <w:t>דין הערעו</w:t>
      </w:r>
      <w:r>
        <w:rPr>
          <w:rFonts w:ascii="Century" w:hAnsi="Century" w:hint="cs"/>
          <w:rtl/>
        </w:rPr>
        <w:t xml:space="preserve">ר </w:t>
      </w:r>
      <w:r w:rsidRPr="007E1E4C">
        <w:rPr>
          <w:rFonts w:ascii="Century" w:hAnsi="Century" w:cs="Miriam" w:hint="eastAsia"/>
          <w:b/>
          <w:spacing w:val="0"/>
          <w:szCs w:val="24"/>
          <w:rtl/>
        </w:rPr>
        <w:t>להתקבל</w:t>
      </w:r>
      <w:r>
        <w:rPr>
          <w:rFonts w:ascii="Century" w:hAnsi="Century" w:hint="cs"/>
          <w:rtl/>
        </w:rPr>
        <w:t xml:space="preserve"> בכל הנוגע לאי תחולת סעיף 8 לחוק ההתיישנות אך </w:t>
      </w:r>
      <w:r w:rsidRPr="00E207F1">
        <w:rPr>
          <w:rFonts w:ascii="Century" w:hAnsi="Century" w:cs="Miriam" w:hint="cs"/>
          <w:b/>
          <w:spacing w:val="0"/>
          <w:szCs w:val="24"/>
          <w:rtl/>
        </w:rPr>
        <w:t xml:space="preserve">להידחות </w:t>
      </w:r>
      <w:r w:rsidRPr="007E1E4C">
        <w:rPr>
          <w:rFonts w:ascii="Century" w:hAnsi="Century" w:hint="eastAsia"/>
          <w:rtl/>
        </w:rPr>
        <w:t>לאור</w:t>
      </w:r>
      <w:r w:rsidRPr="007E1E4C">
        <w:rPr>
          <w:rFonts w:ascii="Century" w:hAnsi="Century"/>
          <w:rtl/>
        </w:rPr>
        <w:t xml:space="preserve"> </w:t>
      </w:r>
      <w:r w:rsidRPr="007E1E4C">
        <w:rPr>
          <w:rFonts w:ascii="Century" w:hAnsi="Century" w:hint="eastAsia"/>
          <w:rtl/>
        </w:rPr>
        <w:t>מועד</w:t>
      </w:r>
      <w:r w:rsidRPr="007E1E4C">
        <w:rPr>
          <w:rFonts w:ascii="Century" w:hAnsi="Century"/>
          <w:rtl/>
        </w:rPr>
        <w:t xml:space="preserve"> </w:t>
      </w:r>
      <w:r w:rsidRPr="007E1E4C">
        <w:rPr>
          <w:rFonts w:ascii="Century" w:hAnsi="Century" w:hint="eastAsia"/>
          <w:rtl/>
        </w:rPr>
        <w:t>תחילת</w:t>
      </w:r>
      <w:r w:rsidRPr="007E1E4C">
        <w:rPr>
          <w:rFonts w:ascii="Century" w:hAnsi="Century"/>
          <w:rtl/>
        </w:rPr>
        <w:t xml:space="preserve"> </w:t>
      </w:r>
      <w:r w:rsidRPr="007E1E4C">
        <w:rPr>
          <w:rFonts w:ascii="Century" w:hAnsi="Century" w:hint="eastAsia"/>
          <w:rtl/>
        </w:rPr>
        <w:t>מירוץ</w:t>
      </w:r>
      <w:r w:rsidRPr="007E1E4C">
        <w:rPr>
          <w:rFonts w:ascii="Century" w:hAnsi="Century"/>
          <w:rtl/>
        </w:rPr>
        <w:t xml:space="preserve"> </w:t>
      </w:r>
      <w:r w:rsidRPr="007E1E4C">
        <w:rPr>
          <w:rFonts w:ascii="Century" w:hAnsi="Century" w:hint="eastAsia"/>
          <w:rtl/>
        </w:rPr>
        <w:t>ההתיישנות</w:t>
      </w:r>
      <w:r w:rsidRPr="00E207F1">
        <w:rPr>
          <w:rFonts w:ascii="Century" w:hAnsi="Century" w:hint="cs"/>
          <w:rtl/>
        </w:rPr>
        <w:t xml:space="preserve">; וכי דין הערעור </w:t>
      </w:r>
      <w:r w:rsidRPr="00E207F1">
        <w:rPr>
          <w:rFonts w:ascii="Century" w:hAnsi="Century" w:cs="Miriam" w:hint="cs"/>
          <w:b/>
          <w:spacing w:val="0"/>
          <w:szCs w:val="24"/>
          <w:rtl/>
        </w:rPr>
        <w:t>להתקבל בחלקו</w:t>
      </w:r>
      <w:r w:rsidRPr="00E207F1">
        <w:rPr>
          <w:rFonts w:ascii="Century" w:hAnsi="Century" w:hint="cs"/>
          <w:rtl/>
        </w:rPr>
        <w:t xml:space="preserve"> בשאלת אחריותו של המערער לפרסומי הסרט השונים, וכן במישור הסעדים שנפסקו. להלן פירוט הדברים.</w:t>
      </w:r>
    </w:p>
    <w:p w:rsidR="00B347E6" w:rsidRDefault="00B347E6" w:rsidP="00B347E6">
      <w:pPr>
        <w:pStyle w:val="Ruller41"/>
        <w:rPr>
          <w:rFonts w:ascii="Century" w:hAnsi="Century"/>
          <w:rtl/>
        </w:rPr>
      </w:pPr>
    </w:p>
    <w:p w:rsidR="00B347E6" w:rsidRPr="001D42B1" w:rsidRDefault="00B347E6" w:rsidP="00B347E6">
      <w:pPr>
        <w:pStyle w:val="Ruller41"/>
        <w:rPr>
          <w:rFonts w:ascii="Century" w:hAnsi="Century" w:cs="Miriam"/>
          <w:b/>
          <w:spacing w:val="0"/>
          <w:szCs w:val="24"/>
          <w:rtl/>
        </w:rPr>
      </w:pPr>
      <w:r w:rsidRPr="001D42B1">
        <w:rPr>
          <w:rFonts w:ascii="Century" w:hAnsi="Century" w:cs="Miriam" w:hint="cs"/>
          <w:b/>
          <w:spacing w:val="0"/>
          <w:szCs w:val="24"/>
          <w:rtl/>
        </w:rPr>
        <w:t xml:space="preserve">שילוב צילומו של המשיב בסרט </w:t>
      </w:r>
      <w:r w:rsidRPr="001D42B1">
        <w:rPr>
          <w:rFonts w:ascii="Century" w:hAnsi="Century" w:cs="Miriam"/>
          <w:b/>
          <w:spacing w:val="0"/>
          <w:szCs w:val="24"/>
          <w:rtl/>
        </w:rPr>
        <w:t>–</w:t>
      </w:r>
      <w:r>
        <w:rPr>
          <w:rFonts w:ascii="Century" w:hAnsi="Century" w:cs="Miriam" w:hint="cs"/>
          <w:b/>
          <w:spacing w:val="0"/>
          <w:szCs w:val="24"/>
          <w:rtl/>
        </w:rPr>
        <w:t xml:space="preserve"> לשון הרע</w:t>
      </w:r>
    </w:p>
    <w:p w:rsidR="00B347E6" w:rsidRDefault="00B347E6" w:rsidP="00B347E6">
      <w:pPr>
        <w:pStyle w:val="Ruller41"/>
        <w:rPr>
          <w:rFonts w:ascii="Century" w:hAnsi="Century"/>
          <w:rtl/>
        </w:rPr>
      </w:pPr>
    </w:p>
    <w:p w:rsidR="00B347E6" w:rsidRDefault="00B347E6" w:rsidP="00B347E6">
      <w:pPr>
        <w:pStyle w:val="Ruller41"/>
        <w:rPr>
          <w:rtl/>
        </w:rPr>
      </w:pPr>
      <w:r>
        <w:rPr>
          <w:rFonts w:ascii="Century" w:hAnsi="Century" w:hint="cs"/>
          <w:rtl/>
        </w:rPr>
        <w:t>24.</w:t>
      </w:r>
      <w:r>
        <w:rPr>
          <w:rFonts w:ascii="Century" w:hAnsi="Century" w:hint="cs"/>
          <w:rtl/>
        </w:rPr>
        <w:tab/>
        <w:t>עמדנו על כך ש</w:t>
      </w:r>
      <w:r>
        <w:rPr>
          <w:rFonts w:hint="cs"/>
          <w:rtl/>
        </w:rPr>
        <w:t xml:space="preserve">ההאשמות הנכללות בסרט הן "מן ההאשמות הקשות ביותר שניתן להטיח באדם" וכי מדובר "בלשון הרע שבבסיסה חוסר תום לב ומגמה מכוונת לעיוות של הדברים" (עניין </w:t>
      </w:r>
      <w:r w:rsidRPr="00D4187F">
        <w:rPr>
          <w:rFonts w:ascii="Century" w:hAnsi="Century" w:cs="Miriam" w:hint="cs"/>
          <w:b/>
          <w:spacing w:val="0"/>
          <w:szCs w:val="24"/>
          <w:rtl/>
        </w:rPr>
        <w:t>בן נתן</w:t>
      </w:r>
      <w:r>
        <w:rPr>
          <w:rFonts w:hint="cs"/>
          <w:rtl/>
        </w:rPr>
        <w:t xml:space="preserve">, פסקה 64 לפסק דינו של השופט </w:t>
      </w:r>
      <w:r w:rsidRPr="00F76859">
        <w:rPr>
          <w:rFonts w:ascii="Century" w:hAnsi="Century" w:cs="Miriam" w:hint="cs"/>
          <w:b/>
          <w:spacing w:val="0"/>
          <w:szCs w:val="24"/>
          <w:rtl/>
        </w:rPr>
        <w:t>דנציגר</w:t>
      </w:r>
      <w:r w:rsidRPr="00D4187F">
        <w:rPr>
          <w:rFonts w:hint="cs"/>
          <w:rtl/>
        </w:rPr>
        <w:t xml:space="preserve"> </w:t>
      </w:r>
      <w:r>
        <w:rPr>
          <w:rFonts w:hint="cs"/>
          <w:rtl/>
        </w:rPr>
        <w:t>ו</w:t>
      </w:r>
      <w:r w:rsidRPr="00D4187F">
        <w:rPr>
          <w:rFonts w:hint="cs"/>
          <w:rtl/>
        </w:rPr>
        <w:t>פסקה 5 לפסק דיני</w:t>
      </w:r>
      <w:r>
        <w:rPr>
          <w:rFonts w:hint="cs"/>
          <w:rtl/>
        </w:rPr>
        <w:t xml:space="preserve">). </w:t>
      </w:r>
      <w:r>
        <w:rPr>
          <w:rFonts w:ascii="Century" w:hAnsi="Century" w:hint="cs"/>
          <w:rtl/>
        </w:rPr>
        <w:t xml:space="preserve">מובן אפוא כי אם אדם סביר הצופה בסרט עשוי לקשר בין איזה מהמעשים הקשים המתוארים בסרט לבין </w:t>
      </w:r>
      <w:r w:rsidRPr="00147C95">
        <w:rPr>
          <w:rFonts w:ascii="Century" w:hAnsi="Century" w:hint="cs"/>
          <w:rtl/>
        </w:rPr>
        <w:t>המשיב</w:t>
      </w:r>
      <w:r>
        <w:rPr>
          <w:rFonts w:ascii="Century" w:hAnsi="Century" w:hint="cs"/>
          <w:rtl/>
        </w:rPr>
        <w:t xml:space="preserve"> </w:t>
      </w:r>
      <w:r>
        <w:rPr>
          <w:rFonts w:ascii="Century" w:hAnsi="Century"/>
          <w:rtl/>
        </w:rPr>
        <w:t>–</w:t>
      </w:r>
      <w:r>
        <w:rPr>
          <w:rFonts w:ascii="Century" w:hAnsi="Century" w:hint="cs"/>
          <w:rtl/>
        </w:rPr>
        <w:t xml:space="preserve"> עולה הדבר כדי לשון הרע כלפי המשיב, בהיותה לשון הרע שדבר פרסומה עלול "</w:t>
      </w:r>
      <w:r>
        <w:rPr>
          <w:rtl/>
        </w:rPr>
        <w:t>להשפיל אדם בעיני הבריות או לעשותו מטרה לשנאה, לבוז או ללעג מצדם</w:t>
      </w:r>
      <w:r>
        <w:rPr>
          <w:rFonts w:hint="cs"/>
          <w:rtl/>
        </w:rPr>
        <w:t xml:space="preserve">" (סעיף 1(1) לחוק איסור לשון הרע). הדברים הם בגדר המובן מאליו ואינם טעונים הרחבה, ואין לי אלא להפנות לדברי השופט </w:t>
      </w:r>
      <w:r w:rsidRPr="0004505D">
        <w:rPr>
          <w:rFonts w:ascii="Century" w:hAnsi="Century" w:cs="Miriam" w:hint="cs"/>
          <w:b/>
          <w:spacing w:val="0"/>
          <w:szCs w:val="24"/>
          <w:rtl/>
        </w:rPr>
        <w:t>דנציגר</w:t>
      </w:r>
      <w:r>
        <w:rPr>
          <w:rFonts w:hint="cs"/>
          <w:rtl/>
        </w:rPr>
        <w:t xml:space="preserve"> בעניין </w:t>
      </w:r>
      <w:r w:rsidRPr="0004505D">
        <w:rPr>
          <w:rFonts w:ascii="Century" w:hAnsi="Century" w:cs="Miriam" w:hint="cs"/>
          <w:b/>
          <w:spacing w:val="0"/>
          <w:szCs w:val="24"/>
          <w:rtl/>
        </w:rPr>
        <w:t>בן נתן</w:t>
      </w:r>
      <w:r>
        <w:rPr>
          <w:rFonts w:hint="cs"/>
          <w:rtl/>
        </w:rPr>
        <w:t xml:space="preserve"> כי "</w:t>
      </w:r>
      <w:r w:rsidRPr="00F77A22">
        <w:rPr>
          <w:rFonts w:ascii="Century" w:hAnsi="Century" w:cs="Miriam" w:hint="cs"/>
          <w:b/>
          <w:spacing w:val="0"/>
          <w:szCs w:val="24"/>
          <w:rtl/>
        </w:rPr>
        <w:t>ברור שאם מושא הדברים היה אדם ספציפי, היה המשיב נמצא חייב בדין</w:t>
      </w:r>
      <w:r>
        <w:rPr>
          <w:rFonts w:hint="cs"/>
          <w:rtl/>
        </w:rPr>
        <w:t xml:space="preserve">" (שם בפסקה 62, ההדגשה הוספה </w:t>
      </w:r>
      <w:r>
        <w:rPr>
          <w:rtl/>
        </w:rPr>
        <w:t>–</w:t>
      </w:r>
      <w:r>
        <w:rPr>
          <w:rFonts w:hint="cs"/>
          <w:rtl/>
        </w:rPr>
        <w:t xml:space="preserve"> י"ע).</w:t>
      </w:r>
    </w:p>
    <w:p w:rsidR="00B347E6" w:rsidRDefault="00B347E6" w:rsidP="00B347E6">
      <w:pPr>
        <w:pStyle w:val="Ruller41"/>
        <w:rPr>
          <w:rtl/>
        </w:rPr>
      </w:pPr>
    </w:p>
    <w:p w:rsidR="00B347E6" w:rsidRDefault="00B347E6" w:rsidP="00B347E6">
      <w:pPr>
        <w:pStyle w:val="Ruller41"/>
        <w:rPr>
          <w:rtl/>
        </w:rPr>
      </w:pPr>
      <w:r>
        <w:rPr>
          <w:rFonts w:hint="cs"/>
          <w:rtl/>
        </w:rPr>
        <w:t>25.</w:t>
      </w:r>
      <w:r>
        <w:rPr>
          <w:rtl/>
        </w:rPr>
        <w:tab/>
      </w:r>
      <w:r>
        <w:rPr>
          <w:rFonts w:hint="cs"/>
          <w:rtl/>
        </w:rPr>
        <w:t xml:space="preserve">להבהרת התמונה, נציג בפני הקורא את תיאור "סצנת ביזת הזקן" המדוברת שבמהלכה שולב צילומו של המשיב, כפי שתומצתה על ידי בית המשפט המחוזי: </w:t>
      </w:r>
    </w:p>
    <w:p w:rsidR="00B347E6" w:rsidRDefault="00B347E6" w:rsidP="00B347E6">
      <w:pPr>
        <w:pStyle w:val="Ruller41"/>
        <w:rPr>
          <w:rtl/>
        </w:rPr>
      </w:pPr>
    </w:p>
    <w:p w:rsidR="00B347E6" w:rsidRDefault="00B347E6" w:rsidP="00B347E6">
      <w:pPr>
        <w:pStyle w:val="Ruller5"/>
        <w:rPr>
          <w:rtl/>
        </w:rPr>
      </w:pPr>
      <w:r>
        <w:rPr>
          <w:rFonts w:hint="cs"/>
          <w:rtl/>
        </w:rPr>
        <w:t>"</w:t>
      </w:r>
      <w:r w:rsidRPr="003F61B0">
        <w:rPr>
          <w:rFonts w:hint="cs"/>
          <w:rtl/>
        </w:rPr>
        <w:t>הסצנה בה נטען כי התובע מופיע הינה זו אשר במסגרתה מספר אדם זקן</w:t>
      </w:r>
      <w:r>
        <w:rPr>
          <w:rFonts w:hint="cs"/>
          <w:rtl/>
        </w:rPr>
        <w:t xml:space="preserve"> למצלמה, על אירוע מזעזע אשר לכאורה, ולדבריו, התרחש במהלך מבצע חומת מגן ובמסגרתו </w:t>
      </w:r>
      <w:r w:rsidRPr="003F61B0">
        <w:rPr>
          <w:rFonts w:hint="cs"/>
          <w:rtl/>
        </w:rPr>
        <w:t xml:space="preserve">בזזו </w:t>
      </w:r>
      <w:r>
        <w:rPr>
          <w:rFonts w:hint="cs"/>
          <w:rtl/>
        </w:rPr>
        <w:t xml:space="preserve">את ביתו </w:t>
      </w:r>
      <w:r w:rsidRPr="003F61B0">
        <w:rPr>
          <w:rFonts w:hint="cs"/>
          <w:rtl/>
        </w:rPr>
        <w:t>מספר חיילי צה"ל</w:t>
      </w:r>
      <w:r>
        <w:rPr>
          <w:rFonts w:hint="cs"/>
          <w:rtl/>
        </w:rPr>
        <w:t xml:space="preserve">, תוך שהם נוטלים </w:t>
      </w:r>
      <w:r w:rsidRPr="003F61B0">
        <w:rPr>
          <w:rFonts w:hint="cs"/>
          <w:rtl/>
        </w:rPr>
        <w:t xml:space="preserve">את כל </w:t>
      </w:r>
      <w:r>
        <w:rPr>
          <w:rFonts w:hint="cs"/>
          <w:rtl/>
        </w:rPr>
        <w:t xml:space="preserve">כספו עלי אדמות, ועת מדובר בכספים אותם חסך במשך שנים ארוכות, והגם שהבהיר לחיילים כי </w:t>
      </w:r>
      <w:r w:rsidRPr="003F61B0">
        <w:rPr>
          <w:rFonts w:hint="cs"/>
          <w:rtl/>
        </w:rPr>
        <w:t>הוא נדרש לכספים לצורך טיפול רפואי</w:t>
      </w:r>
      <w:r>
        <w:rPr>
          <w:rFonts w:hint="cs"/>
          <w:rtl/>
        </w:rPr>
        <w:t>" (פסקה 151 לפסק דינו)</w:t>
      </w:r>
      <w:r w:rsidRPr="003F61B0">
        <w:rPr>
          <w:rFonts w:hint="cs"/>
          <w:rtl/>
        </w:rPr>
        <w:t>.</w:t>
      </w:r>
    </w:p>
    <w:p w:rsidR="00B347E6" w:rsidRDefault="00B347E6" w:rsidP="00B347E6">
      <w:pPr>
        <w:pStyle w:val="Ruller5"/>
        <w:rPr>
          <w:rtl/>
        </w:rPr>
      </w:pPr>
    </w:p>
    <w:p w:rsidR="00B347E6" w:rsidRDefault="00B347E6" w:rsidP="00B347E6">
      <w:pPr>
        <w:pStyle w:val="Ruller5"/>
        <w:rPr>
          <w:rtl/>
        </w:rPr>
      </w:pPr>
    </w:p>
    <w:p w:rsidR="00B347E6" w:rsidRDefault="00B347E6" w:rsidP="00B347E6">
      <w:pPr>
        <w:pStyle w:val="Ruller41"/>
        <w:rPr>
          <w:rtl/>
        </w:rPr>
      </w:pPr>
      <w:r>
        <w:rPr>
          <w:rtl/>
        </w:rPr>
        <w:tab/>
      </w:r>
      <w:r>
        <w:rPr>
          <w:rFonts w:hint="cs"/>
          <w:rtl/>
        </w:rPr>
        <w:t>עוד נספר לקורא, כי לפי התיאור הנשמע מפיו של האיש המבוגר שהתראיין בסצנה, בעת שפרצו החיילים לביתו, צ</w:t>
      </w:r>
      <w:r>
        <w:rPr>
          <w:rFonts w:ascii="FrankRuehl" w:hAnsi="FrankRuehl"/>
          <w:rtl/>
        </w:rPr>
        <w:t>וּ</w:t>
      </w:r>
      <w:r>
        <w:rPr>
          <w:rFonts w:hint="cs"/>
          <w:rtl/>
        </w:rPr>
        <w:t>וה עליו באיומי נשק להיות בשקט, שאם לא כן יהרגוהו; וכי באותן שניות שהמרואיין מספר זאת בסרט, מוצג לצופה צילום של המשיב ושני חיילים נוספים. מיד לאחר מכן התמונה חוזרת למרואיין שטוען כי החיילים הרסו את חייו ונטלו את כל חסכונותיו.</w:t>
      </w:r>
    </w:p>
    <w:p w:rsidR="00B347E6" w:rsidRDefault="00B347E6" w:rsidP="00B347E6">
      <w:pPr>
        <w:pStyle w:val="Ruller41"/>
        <w:rPr>
          <w:rtl/>
        </w:rPr>
      </w:pPr>
    </w:p>
    <w:p w:rsidR="00B347E6" w:rsidRDefault="00B347E6" w:rsidP="00B347E6">
      <w:pPr>
        <w:pStyle w:val="Ruller41"/>
        <w:rPr>
          <w:rtl/>
        </w:rPr>
      </w:pPr>
      <w:r>
        <w:rPr>
          <w:rFonts w:hint="cs"/>
          <w:rtl/>
        </w:rPr>
        <w:t>26.</w:t>
      </w:r>
      <w:r>
        <w:rPr>
          <w:rtl/>
        </w:rPr>
        <w:tab/>
      </w:r>
      <w:r>
        <w:rPr>
          <w:rFonts w:hint="cs"/>
          <w:rtl/>
        </w:rPr>
        <w:t xml:space="preserve">בית המשפט המחוזי ציין כי המערער זנח בסיכומיו את הטענה כי הסרט אינו מהווה לשון הרע, וקבע כי הסרט מייחס למשיב "באופן ברור ומפורש מעשה של ביזת כל כספו של זקן ערירי, וזאת תחת איומי נשק, וכל זאת ביחס לכספים אשר היו מיועדים לטיפול רפואי". בנוסף נקבע כי סצנת ביזת הזקן מהווה "חלק ממארג כולל של סצנות המייחסות לחיילי צה"ל מעשים בלתי נתפסים באכזריותם ותוך הפגנת חוסר אנושיות וזלזול בחיי אדם" (פסקה 219 לפסק דינו). כפי שיוסבר להלן, קביעת בית המשפט המחוזי כי שילוב צילומו של המשיב בסרט, בראי ההקשר של הדברים, מהווה לשון הרע כלפי המשיב </w:t>
      </w:r>
      <w:r>
        <w:rPr>
          <w:rtl/>
        </w:rPr>
        <w:t>–</w:t>
      </w:r>
      <w:r>
        <w:rPr>
          <w:rFonts w:hint="cs"/>
          <w:rtl/>
        </w:rPr>
        <w:t xml:space="preserve"> בדין יסודה.</w:t>
      </w:r>
    </w:p>
    <w:p w:rsidR="00B347E6" w:rsidRDefault="00B347E6" w:rsidP="00B347E6">
      <w:pPr>
        <w:pStyle w:val="Ruller41"/>
        <w:rPr>
          <w:rtl/>
        </w:rPr>
      </w:pPr>
    </w:p>
    <w:p w:rsidR="00B347E6" w:rsidRDefault="00B347E6" w:rsidP="00B347E6">
      <w:pPr>
        <w:pStyle w:val="Ruller41"/>
        <w:rPr>
          <w:rtl/>
        </w:rPr>
      </w:pPr>
      <w:r>
        <w:rPr>
          <w:rFonts w:hint="cs"/>
          <w:rtl/>
        </w:rPr>
        <w:t>27.</w:t>
      </w:r>
      <w:r>
        <w:rPr>
          <w:rFonts w:hint="cs"/>
          <w:rtl/>
        </w:rPr>
        <w:tab/>
        <w:t xml:space="preserve">לא אחת, בבוא בית המשפט לבחון אם הפרסום שלפניו אמנם מהווה לשון הרע, מוצא עצמו בית המשפט מפרק את הפרסום לגורמים ומתמקד באמירה נקודתית על מנת לבדוק אם זו מהווה דיבה. ברם, כפי שהובהר בפסיקה, על בית המשפט ליתן דעתו על הפרסום בכללותו ועל הקשר הדברים הכולל, ואל לו להסתפק בבחינה ממוקדת של אמירה ספציפית </w:t>
      </w:r>
      <w:r w:rsidRPr="00EC6D5C">
        <w:rPr>
          <w:rFonts w:ascii="Century" w:hAnsi="Century"/>
          <w:rtl/>
        </w:rPr>
        <w:t>(</w:t>
      </w:r>
      <w:r>
        <w:rPr>
          <w:rFonts w:ascii="Century" w:hAnsi="Century" w:hint="cs"/>
          <w:rtl/>
        </w:rPr>
        <w:t xml:space="preserve">דברי השופט </w:t>
      </w:r>
      <w:r w:rsidRPr="00BF664F">
        <w:rPr>
          <w:rFonts w:ascii="Century" w:hAnsi="Century" w:cs="Miriam" w:hint="cs"/>
          <w:b/>
          <w:spacing w:val="0"/>
          <w:szCs w:val="24"/>
          <w:rtl/>
        </w:rPr>
        <w:t>ג' בך</w:t>
      </w:r>
      <w:r>
        <w:rPr>
          <w:rFonts w:ascii="Century" w:hAnsi="Century" w:hint="cs"/>
          <w:rtl/>
        </w:rPr>
        <w:t xml:space="preserve"> ב</w:t>
      </w:r>
      <w:r w:rsidRPr="00EC6D5C">
        <w:rPr>
          <w:rFonts w:ascii="Century" w:hAnsi="Century"/>
          <w:rtl/>
        </w:rPr>
        <w:t xml:space="preserve">ע"א 809/89 </w:t>
      </w:r>
      <w:r w:rsidRPr="00EC6D5C">
        <w:rPr>
          <w:rFonts w:ascii="Century" w:hAnsi="Century" w:cs="Miriam"/>
          <w:b/>
          <w:spacing w:val="0"/>
          <w:szCs w:val="24"/>
          <w:rtl/>
        </w:rPr>
        <w:t>משעור נ' חביבי</w:t>
      </w:r>
      <w:r w:rsidRPr="00EC6D5C">
        <w:rPr>
          <w:rFonts w:ascii="Century" w:hAnsi="Century"/>
          <w:rtl/>
        </w:rPr>
        <w:t>, פ"ד מ</w:t>
      </w:r>
      <w:r>
        <w:rPr>
          <w:rFonts w:ascii="Century" w:hAnsi="Century" w:hint="cs"/>
          <w:rtl/>
        </w:rPr>
        <w:t>ז (1) 1, 11 (1992);</w:t>
      </w:r>
      <w:r>
        <w:rPr>
          <w:rFonts w:ascii="FrankRuehl" w:hAnsi="FrankRuehl" w:hint="cs"/>
          <w:color w:val="000000"/>
          <w:sz w:val="28"/>
          <w:rtl/>
        </w:rPr>
        <w:t xml:space="preserve"> </w:t>
      </w:r>
      <w:r w:rsidRPr="00BF664F">
        <w:rPr>
          <w:rFonts w:ascii="Century" w:hAnsi="Century"/>
          <w:rtl/>
        </w:rPr>
        <w:t>ע</w:t>
      </w:r>
      <w:r>
        <w:rPr>
          <w:rFonts w:ascii="Century" w:hAnsi="Century" w:hint="cs"/>
          <w:rtl/>
        </w:rPr>
        <w:t>"</w:t>
      </w:r>
      <w:r w:rsidRPr="00BF664F">
        <w:rPr>
          <w:rFonts w:ascii="Century" w:hAnsi="Century"/>
          <w:rtl/>
        </w:rPr>
        <w:t xml:space="preserve">א 9462/04‏ </w:t>
      </w:r>
      <w:r w:rsidRPr="00BF664F">
        <w:rPr>
          <w:rFonts w:ascii="Century" w:hAnsi="Century" w:cs="Miriam"/>
          <w:b/>
          <w:spacing w:val="0"/>
          <w:szCs w:val="24"/>
          <w:rtl/>
        </w:rPr>
        <w:t>מורדוב נ' ידיעות אחרונות בע"מ</w:t>
      </w:r>
      <w:r w:rsidRPr="00BF664F">
        <w:rPr>
          <w:rFonts w:ascii="Century" w:hAnsi="Century" w:hint="cs"/>
          <w:rtl/>
        </w:rPr>
        <w:t>, פסקה 7 (28.12.</w:t>
      </w:r>
      <w:r w:rsidRPr="00403423">
        <w:rPr>
          <w:rFonts w:ascii="Century" w:hAnsi="Century" w:hint="cs"/>
          <w:rtl/>
        </w:rPr>
        <w:t xml:space="preserve">2005); אורי </w:t>
      </w:r>
      <w:r>
        <w:rPr>
          <w:rFonts w:ascii="Century" w:hAnsi="Century" w:hint="cs"/>
          <w:rtl/>
        </w:rPr>
        <w:t xml:space="preserve">שנהר </w:t>
      </w:r>
      <w:r w:rsidRPr="00403423">
        <w:rPr>
          <w:rFonts w:ascii="Century" w:hAnsi="Century" w:cs="Miriam" w:hint="cs"/>
          <w:b/>
          <w:spacing w:val="0"/>
          <w:szCs w:val="24"/>
          <w:rtl/>
        </w:rPr>
        <w:t>דיני לשון הרע</w:t>
      </w:r>
      <w:r>
        <w:rPr>
          <w:rFonts w:ascii="Century" w:hAnsi="Century" w:hint="cs"/>
          <w:rtl/>
        </w:rPr>
        <w:t xml:space="preserve"> 118 (1997) (להלן: </w:t>
      </w:r>
      <w:r w:rsidRPr="0077291B">
        <w:rPr>
          <w:rFonts w:ascii="Century" w:hAnsi="Century" w:cs="Miriam" w:hint="cs"/>
          <w:b/>
          <w:spacing w:val="0"/>
          <w:szCs w:val="24"/>
          <w:rtl/>
        </w:rPr>
        <w:t>שנהר</w:t>
      </w:r>
      <w:r>
        <w:rPr>
          <w:rFonts w:ascii="Century" w:hAnsi="Century" w:hint="cs"/>
          <w:rtl/>
        </w:rPr>
        <w:t xml:space="preserve">); חאלד גנאים, מרדכי קרמניצר ובועז שנור </w:t>
      </w:r>
      <w:r w:rsidRPr="00403423">
        <w:rPr>
          <w:rFonts w:ascii="Century" w:hAnsi="Century" w:cs="Miriam" w:hint="cs"/>
          <w:b/>
          <w:spacing w:val="0"/>
          <w:szCs w:val="24"/>
          <w:rtl/>
        </w:rPr>
        <w:t xml:space="preserve">דיני לשון הרע </w:t>
      </w:r>
      <w:r w:rsidRPr="00403423">
        <w:rPr>
          <w:rFonts w:ascii="Century" w:hAnsi="Century" w:cs="Miriam"/>
          <w:b/>
          <w:spacing w:val="0"/>
          <w:szCs w:val="24"/>
          <w:rtl/>
        </w:rPr>
        <w:t>–</w:t>
      </w:r>
      <w:r w:rsidRPr="00403423">
        <w:rPr>
          <w:rFonts w:ascii="Century" w:hAnsi="Century" w:cs="Miriam" w:hint="cs"/>
          <w:b/>
          <w:spacing w:val="0"/>
          <w:szCs w:val="24"/>
          <w:rtl/>
        </w:rPr>
        <w:t xml:space="preserve"> הדין המצוי והדין הרצוי</w:t>
      </w:r>
      <w:r>
        <w:rPr>
          <w:rFonts w:ascii="Century" w:hAnsi="Century" w:hint="cs"/>
          <w:rtl/>
        </w:rPr>
        <w:t xml:space="preserve"> 206 (מהדורה שניה מורחבת, 2019) (להלן: </w:t>
      </w:r>
      <w:r w:rsidRPr="00403423">
        <w:rPr>
          <w:rFonts w:ascii="Century" w:hAnsi="Century" w:cs="Miriam" w:hint="cs"/>
          <w:b/>
          <w:spacing w:val="0"/>
          <w:szCs w:val="24"/>
          <w:rtl/>
        </w:rPr>
        <w:t>גנאים, קרמניצר ושנור</w:t>
      </w:r>
      <w:r>
        <w:rPr>
          <w:rFonts w:ascii="Century" w:hAnsi="Century" w:hint="cs"/>
          <w:rtl/>
        </w:rPr>
        <w:t>)).</w:t>
      </w:r>
      <w:r>
        <w:rPr>
          <w:rFonts w:hint="cs"/>
          <w:rtl/>
        </w:rPr>
        <w:t xml:space="preserve"> יש שבחינת הפרסום בכללותו תוביל למסקנה כי חרף קיומה של אמירה פוגענית ספציפית </w:t>
      </w:r>
      <w:r>
        <w:rPr>
          <w:rtl/>
        </w:rPr>
        <w:t>–</w:t>
      </w:r>
      <w:r>
        <w:rPr>
          <w:rFonts w:hint="cs"/>
          <w:rtl/>
        </w:rPr>
        <w:t xml:space="preserve"> אין הפרסום עולה כדי לשון הרע; ויש שבחינת הפרסום בכללותו תוביל למסקנה כי מכלול הדברים הוא שמגבש קיומה של לשון הרע, או שהמכלול הוא שצובע אמירה ספציפית בצבעי דיבה (ראו והשוו</w:t>
      </w:r>
      <w:r w:rsidRPr="002B216F">
        <w:rPr>
          <w:rFonts w:ascii="FrankRuehl" w:hAnsi="FrankRuehl"/>
          <w:color w:val="000000"/>
          <w:sz w:val="28"/>
          <w:rtl/>
        </w:rPr>
        <w:t xml:space="preserve"> </w:t>
      </w:r>
      <w:r>
        <w:rPr>
          <w:rFonts w:ascii="FrankRuehl" w:hAnsi="FrankRuehl"/>
          <w:color w:val="000000"/>
          <w:sz w:val="28"/>
          <w:rtl/>
        </w:rPr>
        <w:t xml:space="preserve">ע"א 1104/00‏ </w:t>
      </w:r>
      <w:r w:rsidRPr="00403423">
        <w:rPr>
          <w:rFonts w:ascii="Century" w:hAnsi="Century" w:cs="Miriam"/>
          <w:b/>
          <w:spacing w:val="0"/>
          <w:szCs w:val="24"/>
          <w:rtl/>
        </w:rPr>
        <w:t>אפל נ' חסון</w:t>
      </w:r>
      <w:r>
        <w:rPr>
          <w:rFonts w:ascii="FrankRuehl" w:hAnsi="FrankRuehl"/>
          <w:color w:val="000000"/>
          <w:sz w:val="28"/>
          <w:rtl/>
        </w:rPr>
        <w:t>, פ</w:t>
      </w:r>
      <w:r>
        <w:rPr>
          <w:rFonts w:ascii="FrankRuehl" w:hAnsi="FrankRuehl" w:hint="cs"/>
          <w:color w:val="000000"/>
          <w:sz w:val="28"/>
          <w:rtl/>
        </w:rPr>
        <w:t>"</w:t>
      </w:r>
      <w:r>
        <w:rPr>
          <w:rFonts w:ascii="FrankRuehl" w:hAnsi="FrankRuehl"/>
          <w:color w:val="000000"/>
          <w:sz w:val="28"/>
          <w:rtl/>
        </w:rPr>
        <w:t>ד נו(2) 607</w:t>
      </w:r>
      <w:r>
        <w:rPr>
          <w:rFonts w:ascii="FrankRuehl" w:hAnsi="FrankRuehl" w:hint="cs"/>
          <w:color w:val="000000"/>
          <w:sz w:val="28"/>
          <w:rtl/>
        </w:rPr>
        <w:t>, 619 (2002)</w:t>
      </w:r>
      <w:r>
        <w:rPr>
          <w:rFonts w:hint="cs"/>
          <w:rtl/>
        </w:rPr>
        <w:t>).</w:t>
      </w:r>
    </w:p>
    <w:p w:rsidR="00B347E6" w:rsidRDefault="00B347E6" w:rsidP="00B347E6">
      <w:pPr>
        <w:pStyle w:val="Ruller41"/>
        <w:rPr>
          <w:rtl/>
        </w:rPr>
      </w:pPr>
    </w:p>
    <w:p w:rsidR="00B347E6" w:rsidRDefault="00B347E6" w:rsidP="00B347E6">
      <w:pPr>
        <w:pStyle w:val="Ruller41"/>
        <w:rPr>
          <w:rtl/>
        </w:rPr>
      </w:pPr>
      <w:r>
        <w:rPr>
          <w:rFonts w:hint="cs"/>
          <w:rtl/>
        </w:rPr>
        <w:t>28.</w:t>
      </w:r>
      <w:r>
        <w:rPr>
          <w:rtl/>
        </w:rPr>
        <w:tab/>
      </w:r>
      <w:r>
        <w:rPr>
          <w:rFonts w:hint="cs"/>
          <w:rtl/>
        </w:rPr>
        <w:t xml:space="preserve">לא אכחד כי במבט ראשון, לאחר צפייה ב"סצנת ביזת הזקן" המדוברת כשהיא עומדת </w:t>
      </w:r>
      <w:r w:rsidRPr="00AD3822">
        <w:rPr>
          <w:rFonts w:ascii="Century" w:hAnsi="Century" w:cs="Miriam" w:hint="cs"/>
          <w:b/>
          <w:spacing w:val="0"/>
          <w:szCs w:val="24"/>
          <w:rtl/>
        </w:rPr>
        <w:t>בבדידותה</w:t>
      </w:r>
      <w:r>
        <w:rPr>
          <w:rFonts w:hint="cs"/>
          <w:rtl/>
        </w:rPr>
        <w:t xml:space="preserve">, נותר מקום להרהר אם הצגת המשיב ושני החיילים הנוספים במשך שניות ספורות אמנם מובילה בהכרח למסקנה כי השלושה קשורים למעשה הביזה עצמו. ככלל, בעריכת סרטים, במיוחד סרטים </w:t>
      </w:r>
      <w:r>
        <w:rPr>
          <w:rFonts w:ascii="Times New Roman" w:hAnsi="Times New Roman" w:hint="cs"/>
          <w:rtl/>
        </w:rPr>
        <w:t xml:space="preserve">בז'אנר הדוקומנטארי, </w:t>
      </w:r>
      <w:r>
        <w:rPr>
          <w:rFonts w:hint="cs"/>
          <w:rtl/>
        </w:rPr>
        <w:t>נפוץ השימוש בצילומי אילוסטרציה, שהם:</w:t>
      </w:r>
    </w:p>
    <w:p w:rsidR="00B347E6" w:rsidRPr="007E1E4C" w:rsidRDefault="00B347E6" w:rsidP="00B347E6">
      <w:pPr>
        <w:pStyle w:val="Ruller5"/>
        <w:rPr>
          <w:rFonts w:ascii="Century" w:hAnsi="Century"/>
          <w:rtl/>
        </w:rPr>
      </w:pPr>
    </w:p>
    <w:p w:rsidR="00B347E6" w:rsidRDefault="00B347E6" w:rsidP="00B347E6">
      <w:pPr>
        <w:pStyle w:val="Ruller5"/>
        <w:rPr>
          <w:rtl/>
        </w:rPr>
      </w:pPr>
      <w:r w:rsidRPr="007E1E4C">
        <w:rPr>
          <w:rFonts w:ascii="Century" w:hAnsi="Century"/>
          <w:rtl/>
        </w:rPr>
        <w:t>"</w:t>
      </w:r>
      <w:r w:rsidRPr="007E1E4C">
        <w:rPr>
          <w:rFonts w:ascii="Century" w:hAnsi="Century" w:hint="eastAsia"/>
          <w:rtl/>
        </w:rPr>
        <w:t>צילומים</w:t>
      </w:r>
      <w:r w:rsidRPr="007E1E4C">
        <w:rPr>
          <w:rFonts w:ascii="Century" w:hAnsi="Century"/>
          <w:rtl/>
        </w:rPr>
        <w:t xml:space="preserve"> אשר לא צולמו בזמן אמת במהלך התרחשות האירוע נשוא הכתבה, והם נועדו להשלים אותה באופן חזותי, להעביר לצופים מסר לגבי המידע המועבר להם בכתבה, ולספק לה המחשה או הסבר. כלי נוסף הוא הדבקת קטעי שמע על גבי קטעי חוזי שצולמו בזמן ובמקום אחרים (</w:t>
      </w:r>
      <w:r w:rsidRPr="007E1E4C">
        <w:rPr>
          <w:rFonts w:ascii="Century" w:hAnsi="Century"/>
        </w:rPr>
        <w:t>voice over</w:t>
      </w:r>
      <w:r w:rsidRPr="007E1E4C">
        <w:rPr>
          <w:rFonts w:ascii="Century" w:hAnsi="Century"/>
          <w:rtl/>
        </w:rPr>
        <w:t xml:space="preserve">) [...] </w:t>
      </w:r>
      <w:r w:rsidRPr="007E1E4C">
        <w:rPr>
          <w:rFonts w:ascii="Century" w:hAnsi="Century" w:hint="eastAsia"/>
          <w:rtl/>
        </w:rPr>
        <w:t>בחירת</w:t>
      </w:r>
      <w:r w:rsidRPr="007E1E4C">
        <w:rPr>
          <w:rFonts w:ascii="Century" w:hAnsi="Century"/>
          <w:rtl/>
        </w:rPr>
        <w:t xml:space="preserve"> </w:t>
      </w:r>
      <w:r w:rsidRPr="007E1E4C">
        <w:rPr>
          <w:rFonts w:ascii="Century" w:hAnsi="Century" w:hint="eastAsia"/>
          <w:rtl/>
        </w:rPr>
        <w:t>התכנים</w:t>
      </w:r>
      <w:r w:rsidRPr="007E1E4C">
        <w:rPr>
          <w:rFonts w:ascii="Century" w:hAnsi="Century"/>
          <w:rtl/>
        </w:rPr>
        <w:t xml:space="preserve"> </w:t>
      </w:r>
      <w:r w:rsidRPr="007E1E4C">
        <w:rPr>
          <w:rFonts w:ascii="Century" w:hAnsi="Century" w:hint="eastAsia"/>
          <w:rtl/>
        </w:rPr>
        <w:t>שיהיו</w:t>
      </w:r>
      <w:r w:rsidRPr="007E1E4C">
        <w:rPr>
          <w:rFonts w:ascii="Century" w:hAnsi="Century"/>
          <w:rtl/>
        </w:rPr>
        <w:t xml:space="preserve"> </w:t>
      </w:r>
      <w:r w:rsidRPr="007E1E4C">
        <w:rPr>
          <w:rFonts w:ascii="Century" w:hAnsi="Century" w:hint="eastAsia"/>
          <w:rtl/>
        </w:rPr>
        <w:t>כלולים</w:t>
      </w:r>
      <w:r w:rsidRPr="007E1E4C">
        <w:rPr>
          <w:rFonts w:ascii="Century" w:hAnsi="Century"/>
          <w:rtl/>
        </w:rPr>
        <w:t xml:space="preserve"> </w:t>
      </w:r>
      <w:r w:rsidRPr="007E1E4C">
        <w:rPr>
          <w:rFonts w:ascii="Century" w:hAnsi="Century" w:hint="eastAsia"/>
          <w:rtl/>
        </w:rPr>
        <w:t>בפרסום</w:t>
      </w:r>
      <w:r w:rsidRPr="007E1E4C">
        <w:rPr>
          <w:rFonts w:ascii="Century" w:hAnsi="Century"/>
          <w:rtl/>
        </w:rPr>
        <w:t xml:space="preserve">, </w:t>
      </w:r>
      <w:r w:rsidRPr="007E1E4C">
        <w:rPr>
          <w:rFonts w:ascii="Century" w:hAnsi="Century" w:hint="eastAsia"/>
          <w:rtl/>
        </w:rPr>
        <w:t>האופן</w:t>
      </w:r>
      <w:r w:rsidRPr="007E1E4C">
        <w:rPr>
          <w:rFonts w:ascii="Century" w:hAnsi="Century"/>
          <w:rtl/>
        </w:rPr>
        <w:t xml:space="preserve"> </w:t>
      </w:r>
      <w:r w:rsidRPr="007E1E4C">
        <w:rPr>
          <w:rFonts w:ascii="Century" w:hAnsi="Century" w:hint="eastAsia"/>
          <w:rtl/>
        </w:rPr>
        <w:t>בו</w:t>
      </w:r>
      <w:r w:rsidRPr="007E1E4C">
        <w:rPr>
          <w:rFonts w:ascii="Century" w:hAnsi="Century"/>
          <w:rtl/>
        </w:rPr>
        <w:t xml:space="preserve"> </w:t>
      </w:r>
      <w:r w:rsidRPr="007E1E4C">
        <w:rPr>
          <w:rFonts w:ascii="Century" w:hAnsi="Century" w:hint="eastAsia"/>
          <w:rtl/>
        </w:rPr>
        <w:t>יוצגו</w:t>
      </w:r>
      <w:r w:rsidRPr="007E1E4C">
        <w:rPr>
          <w:rFonts w:ascii="Century" w:hAnsi="Century"/>
          <w:rtl/>
        </w:rPr>
        <w:t xml:space="preserve">, </w:t>
      </w:r>
      <w:r w:rsidRPr="007E1E4C">
        <w:rPr>
          <w:rFonts w:ascii="Century" w:hAnsi="Century" w:hint="eastAsia"/>
          <w:rtl/>
        </w:rPr>
        <w:t>השילוב</w:t>
      </w:r>
      <w:r w:rsidRPr="007E1E4C">
        <w:rPr>
          <w:rFonts w:ascii="Century" w:hAnsi="Century"/>
          <w:rtl/>
        </w:rPr>
        <w:t xml:space="preserve"> </w:t>
      </w:r>
      <w:r w:rsidRPr="007E1E4C">
        <w:rPr>
          <w:rFonts w:ascii="Century" w:hAnsi="Century" w:hint="eastAsia"/>
          <w:rtl/>
        </w:rPr>
        <w:t>בין</w:t>
      </w:r>
      <w:r w:rsidRPr="007E1E4C">
        <w:rPr>
          <w:rFonts w:ascii="Century" w:hAnsi="Century"/>
          <w:rtl/>
        </w:rPr>
        <w:t xml:space="preserve"> </w:t>
      </w:r>
      <w:r w:rsidRPr="007E1E4C">
        <w:rPr>
          <w:rFonts w:ascii="Century" w:hAnsi="Century" w:hint="eastAsia"/>
          <w:rtl/>
        </w:rPr>
        <w:t>קטעי</w:t>
      </w:r>
      <w:r w:rsidRPr="007E1E4C">
        <w:rPr>
          <w:rFonts w:ascii="Century" w:hAnsi="Century"/>
          <w:rtl/>
        </w:rPr>
        <w:t xml:space="preserve"> </w:t>
      </w:r>
      <w:r w:rsidRPr="007E1E4C">
        <w:rPr>
          <w:rFonts w:ascii="Century" w:hAnsi="Century" w:hint="eastAsia"/>
          <w:rtl/>
        </w:rPr>
        <w:t>קול</w:t>
      </w:r>
      <w:r w:rsidRPr="007E1E4C">
        <w:rPr>
          <w:rFonts w:ascii="Century" w:hAnsi="Century"/>
          <w:rtl/>
        </w:rPr>
        <w:t xml:space="preserve"> </w:t>
      </w:r>
      <w:r w:rsidRPr="007E1E4C">
        <w:rPr>
          <w:rFonts w:ascii="Century" w:hAnsi="Century" w:hint="eastAsia"/>
          <w:rtl/>
        </w:rPr>
        <w:t>לבין</w:t>
      </w:r>
      <w:r w:rsidRPr="007E1E4C">
        <w:rPr>
          <w:rFonts w:ascii="Century" w:hAnsi="Century"/>
          <w:rtl/>
        </w:rPr>
        <w:t xml:space="preserve"> </w:t>
      </w:r>
      <w:r w:rsidRPr="007E1E4C">
        <w:rPr>
          <w:rFonts w:ascii="Century" w:hAnsi="Century" w:hint="eastAsia"/>
          <w:rtl/>
        </w:rPr>
        <w:t>קטעי</w:t>
      </w:r>
      <w:r w:rsidRPr="007E1E4C">
        <w:rPr>
          <w:rFonts w:ascii="Century" w:hAnsi="Century"/>
          <w:rtl/>
        </w:rPr>
        <w:t xml:space="preserve"> </w:t>
      </w:r>
      <w:r w:rsidRPr="007E1E4C">
        <w:rPr>
          <w:rFonts w:ascii="Century" w:hAnsi="Century" w:hint="eastAsia"/>
          <w:rtl/>
        </w:rPr>
        <w:t>תמונה</w:t>
      </w:r>
      <w:r w:rsidRPr="007E1E4C">
        <w:rPr>
          <w:rFonts w:ascii="Century" w:hAnsi="Century"/>
          <w:rtl/>
        </w:rPr>
        <w:t xml:space="preserve">, </w:t>
      </w:r>
      <w:r w:rsidRPr="007E1E4C">
        <w:rPr>
          <w:rFonts w:ascii="Century" w:hAnsi="Century" w:hint="eastAsia"/>
          <w:rtl/>
        </w:rPr>
        <w:t>והשימוש</w:t>
      </w:r>
      <w:r w:rsidRPr="007E1E4C">
        <w:rPr>
          <w:rFonts w:ascii="Century" w:hAnsi="Century"/>
          <w:rtl/>
        </w:rPr>
        <w:t xml:space="preserve"> </w:t>
      </w:r>
      <w:r w:rsidRPr="007E1E4C">
        <w:rPr>
          <w:rFonts w:ascii="Century" w:hAnsi="Century" w:hint="eastAsia"/>
          <w:rtl/>
        </w:rPr>
        <w:t>בצילומי</w:t>
      </w:r>
      <w:r w:rsidRPr="007E1E4C">
        <w:rPr>
          <w:rFonts w:ascii="Century" w:hAnsi="Century"/>
          <w:rtl/>
        </w:rPr>
        <w:t xml:space="preserve"> </w:t>
      </w:r>
      <w:r w:rsidRPr="007E1E4C">
        <w:rPr>
          <w:rFonts w:ascii="Century" w:hAnsi="Century" w:hint="eastAsia"/>
          <w:rtl/>
        </w:rPr>
        <w:t>אילוסטרציה</w:t>
      </w:r>
      <w:r w:rsidRPr="007E1E4C">
        <w:rPr>
          <w:rFonts w:ascii="Century" w:hAnsi="Century"/>
          <w:rtl/>
        </w:rPr>
        <w:t xml:space="preserve"> </w:t>
      </w:r>
      <w:r w:rsidRPr="007E1E4C">
        <w:rPr>
          <w:rFonts w:ascii="Century" w:hAnsi="Century" w:hint="eastAsia"/>
          <w:rtl/>
        </w:rPr>
        <w:t>–</w:t>
      </w:r>
      <w:r w:rsidRPr="007E1E4C">
        <w:rPr>
          <w:rFonts w:ascii="Century" w:hAnsi="Century"/>
          <w:rtl/>
        </w:rPr>
        <w:t xml:space="preserve"> </w:t>
      </w:r>
      <w:r w:rsidRPr="007E1E4C">
        <w:rPr>
          <w:rFonts w:ascii="Century" w:hAnsi="Century" w:hint="eastAsia"/>
          <w:rtl/>
        </w:rPr>
        <w:t>כל</w:t>
      </w:r>
      <w:r w:rsidRPr="007E1E4C">
        <w:rPr>
          <w:rFonts w:ascii="Century" w:hAnsi="Century"/>
          <w:rtl/>
        </w:rPr>
        <w:t xml:space="preserve"> </w:t>
      </w:r>
      <w:r w:rsidRPr="007E1E4C">
        <w:rPr>
          <w:rFonts w:ascii="Century" w:hAnsi="Century" w:hint="eastAsia"/>
          <w:rtl/>
        </w:rPr>
        <w:t>אלה</w:t>
      </w:r>
      <w:r w:rsidRPr="007E1E4C">
        <w:rPr>
          <w:rFonts w:ascii="Century" w:hAnsi="Century"/>
          <w:rtl/>
        </w:rPr>
        <w:t xml:space="preserve"> </w:t>
      </w:r>
      <w:r w:rsidRPr="007E1E4C">
        <w:rPr>
          <w:rFonts w:ascii="Century" w:hAnsi="Century" w:hint="eastAsia"/>
          <w:rtl/>
        </w:rPr>
        <w:t>יש</w:t>
      </w:r>
      <w:r w:rsidRPr="007E1E4C">
        <w:rPr>
          <w:rFonts w:ascii="Century" w:hAnsi="Century"/>
          <w:rtl/>
        </w:rPr>
        <w:t xml:space="preserve"> </w:t>
      </w:r>
      <w:r w:rsidRPr="007E1E4C">
        <w:rPr>
          <w:rFonts w:ascii="Century" w:hAnsi="Century" w:hint="eastAsia"/>
          <w:rtl/>
        </w:rPr>
        <w:t>בהם</w:t>
      </w:r>
      <w:r w:rsidRPr="007E1E4C">
        <w:rPr>
          <w:rFonts w:ascii="Century" w:hAnsi="Century"/>
          <w:rtl/>
        </w:rPr>
        <w:t xml:space="preserve"> </w:t>
      </w:r>
      <w:r w:rsidRPr="007E1E4C">
        <w:rPr>
          <w:rFonts w:ascii="Century" w:hAnsi="Century" w:hint="eastAsia"/>
          <w:rtl/>
        </w:rPr>
        <w:t>כדי</w:t>
      </w:r>
      <w:r w:rsidRPr="007E1E4C">
        <w:rPr>
          <w:rFonts w:ascii="Century" w:hAnsi="Century"/>
          <w:rtl/>
        </w:rPr>
        <w:t xml:space="preserve"> </w:t>
      </w:r>
      <w:r w:rsidRPr="007E1E4C">
        <w:rPr>
          <w:rFonts w:ascii="Century" w:hAnsi="Century" w:hint="eastAsia"/>
          <w:rtl/>
        </w:rPr>
        <w:t>לשקף</w:t>
      </w:r>
      <w:r w:rsidRPr="007E1E4C">
        <w:rPr>
          <w:rFonts w:ascii="Century" w:hAnsi="Century"/>
          <w:rtl/>
        </w:rPr>
        <w:t xml:space="preserve"> </w:t>
      </w:r>
      <w:r w:rsidRPr="007E1E4C">
        <w:rPr>
          <w:rFonts w:ascii="Century" w:hAnsi="Century" w:hint="eastAsia"/>
          <w:rtl/>
        </w:rPr>
        <w:t>את</w:t>
      </w:r>
      <w:r w:rsidRPr="007E1E4C">
        <w:rPr>
          <w:rFonts w:ascii="Century" w:hAnsi="Century"/>
          <w:rtl/>
        </w:rPr>
        <w:t xml:space="preserve"> </w:t>
      </w:r>
      <w:r w:rsidRPr="007E1E4C">
        <w:rPr>
          <w:rFonts w:ascii="Century" w:hAnsi="Century" w:hint="eastAsia"/>
          <w:rtl/>
        </w:rPr>
        <w:t>פרשנותו</w:t>
      </w:r>
      <w:r w:rsidRPr="007E1E4C">
        <w:rPr>
          <w:rFonts w:ascii="Century" w:hAnsi="Century"/>
          <w:rtl/>
        </w:rPr>
        <w:t xml:space="preserve"> </w:t>
      </w:r>
      <w:r w:rsidRPr="007E1E4C">
        <w:rPr>
          <w:rFonts w:ascii="Century" w:hAnsi="Century" w:hint="eastAsia"/>
          <w:rtl/>
        </w:rPr>
        <w:t>של</w:t>
      </w:r>
      <w:r w:rsidRPr="007E1E4C">
        <w:rPr>
          <w:rFonts w:ascii="Century" w:hAnsi="Century"/>
          <w:rtl/>
        </w:rPr>
        <w:t xml:space="preserve"> </w:t>
      </w:r>
      <w:r w:rsidRPr="007E1E4C">
        <w:rPr>
          <w:rFonts w:ascii="Century" w:hAnsi="Century" w:hint="eastAsia"/>
          <w:rtl/>
        </w:rPr>
        <w:t>העורך</w:t>
      </w:r>
      <w:r w:rsidRPr="007E1E4C">
        <w:rPr>
          <w:rFonts w:ascii="Century" w:hAnsi="Century"/>
          <w:rtl/>
        </w:rPr>
        <w:t xml:space="preserve"> </w:t>
      </w:r>
      <w:r w:rsidRPr="007E1E4C">
        <w:rPr>
          <w:rFonts w:ascii="Century" w:hAnsi="Century" w:hint="eastAsia"/>
          <w:rtl/>
        </w:rPr>
        <w:t>ל</w:t>
      </w:r>
      <w:r w:rsidRPr="007E1E4C">
        <w:rPr>
          <w:rFonts w:ascii="Century" w:hAnsi="Century"/>
          <w:rtl/>
        </w:rPr>
        <w:t>'מציאות'" (</w:t>
      </w:r>
      <w:r w:rsidRPr="007E1E4C">
        <w:rPr>
          <w:rFonts w:ascii="Century" w:hAnsi="Century" w:hint="eastAsia"/>
          <w:rtl/>
        </w:rPr>
        <w:t>ע</w:t>
      </w:r>
      <w:r w:rsidRPr="007E1E4C">
        <w:rPr>
          <w:rFonts w:ascii="Century" w:hAnsi="Century"/>
          <w:rtl/>
        </w:rPr>
        <w:t xml:space="preserve">"א 751/10 </w:t>
      </w:r>
      <w:r w:rsidRPr="007E1E4C">
        <w:rPr>
          <w:rFonts w:ascii="Century" w:hAnsi="Century" w:cs="Miriam"/>
          <w:b/>
          <w:spacing w:val="0"/>
          <w:szCs w:val="24"/>
          <w:rtl/>
        </w:rPr>
        <w:t xml:space="preserve">פלוני נ' </w:t>
      </w:r>
      <w:r w:rsidRPr="007E1E4C">
        <w:rPr>
          <w:rFonts w:ascii="Century" w:hAnsi="Century" w:cs="Miriam" w:hint="eastAsia"/>
          <w:b/>
          <w:spacing w:val="0"/>
          <w:szCs w:val="24"/>
          <w:rtl/>
        </w:rPr>
        <w:t>דיין</w:t>
      </w:r>
      <w:r w:rsidRPr="007E1E4C">
        <w:rPr>
          <w:rFonts w:ascii="Century" w:hAnsi="Century" w:cs="Miriam"/>
          <w:b/>
          <w:spacing w:val="0"/>
          <w:szCs w:val="24"/>
          <w:rtl/>
        </w:rPr>
        <w:t>-אורבך</w:t>
      </w:r>
      <w:r w:rsidRPr="007E1E4C">
        <w:rPr>
          <w:rFonts w:ascii="Century" w:hAnsi="Century"/>
          <w:rtl/>
        </w:rPr>
        <w:t>,</w:t>
      </w:r>
      <w:r>
        <w:rPr>
          <w:rFonts w:ascii="Century" w:hAnsi="Century" w:hint="cs"/>
          <w:rtl/>
        </w:rPr>
        <w:t xml:space="preserve"> </w:t>
      </w:r>
      <w:r w:rsidRPr="0020519F">
        <w:rPr>
          <w:rFonts w:ascii="Century" w:hAnsi="Century"/>
          <w:rtl/>
        </w:rPr>
        <w:t>פ</w:t>
      </w:r>
      <w:r w:rsidRPr="0020519F">
        <w:rPr>
          <w:rFonts w:ascii="Century" w:hAnsi="Century" w:hint="cs"/>
          <w:rtl/>
        </w:rPr>
        <w:t>"</w:t>
      </w:r>
      <w:r w:rsidRPr="0020519F">
        <w:rPr>
          <w:rFonts w:ascii="Century" w:hAnsi="Century"/>
          <w:rtl/>
        </w:rPr>
        <w:t>ד סה(3) 369</w:t>
      </w:r>
      <w:r>
        <w:rPr>
          <w:rFonts w:ascii="Century" w:hAnsi="Century" w:hint="cs"/>
          <w:rtl/>
        </w:rPr>
        <w:t>,</w:t>
      </w:r>
      <w:r w:rsidRPr="0020519F">
        <w:rPr>
          <w:rFonts w:ascii="Century" w:hAnsi="Century" w:hint="cs"/>
          <w:rtl/>
        </w:rPr>
        <w:t xml:space="preserve"> </w:t>
      </w:r>
      <w:r w:rsidRPr="007E1E4C">
        <w:rPr>
          <w:rFonts w:ascii="Century" w:hAnsi="Century" w:hint="eastAsia"/>
          <w:rtl/>
        </w:rPr>
        <w:t>פסקאות</w:t>
      </w:r>
      <w:r w:rsidRPr="007E1E4C">
        <w:rPr>
          <w:rFonts w:ascii="Century" w:hAnsi="Century"/>
          <w:rtl/>
        </w:rPr>
        <w:t xml:space="preserve"> 96-95 </w:t>
      </w:r>
      <w:r w:rsidRPr="0020519F">
        <w:rPr>
          <w:rFonts w:ascii="Century" w:hAnsi="Century" w:hint="cs"/>
          <w:rtl/>
        </w:rPr>
        <w:t>(2012)</w:t>
      </w:r>
      <w:r w:rsidRPr="008D13D6">
        <w:rPr>
          <w:rFonts w:ascii="Century" w:hAnsi="Century"/>
          <w:rtl/>
        </w:rPr>
        <w:t xml:space="preserve"> </w:t>
      </w:r>
      <w:r>
        <w:rPr>
          <w:rFonts w:ascii="Century" w:hAnsi="Century" w:hint="cs"/>
          <w:rtl/>
        </w:rPr>
        <w:t xml:space="preserve">(להלן: עניין </w:t>
      </w:r>
      <w:r w:rsidRPr="007E1E4C">
        <w:rPr>
          <w:rFonts w:cs="Miriam" w:hint="eastAsia"/>
          <w:b/>
          <w:spacing w:val="0"/>
          <w:szCs w:val="24"/>
          <w:rtl/>
        </w:rPr>
        <w:t>דיין</w:t>
      </w:r>
      <w:r>
        <w:rPr>
          <w:rFonts w:ascii="Century" w:hAnsi="Century" w:hint="cs"/>
          <w:rtl/>
        </w:rPr>
        <w:t>))</w:t>
      </w:r>
      <w:r w:rsidRPr="007E1E4C">
        <w:rPr>
          <w:rFonts w:ascii="Century" w:hAnsi="Century"/>
          <w:rtl/>
        </w:rPr>
        <w:t xml:space="preserve">. </w:t>
      </w:r>
    </w:p>
    <w:p w:rsidR="00B347E6" w:rsidRDefault="00B347E6" w:rsidP="00B347E6">
      <w:pPr>
        <w:pStyle w:val="Ruller5"/>
        <w:rPr>
          <w:rtl/>
        </w:rPr>
      </w:pPr>
    </w:p>
    <w:p w:rsidR="00B347E6" w:rsidRDefault="00B347E6" w:rsidP="00B347E6">
      <w:pPr>
        <w:pStyle w:val="Ruller5"/>
        <w:rPr>
          <w:rtl/>
        </w:rPr>
      </w:pPr>
    </w:p>
    <w:p w:rsidR="00B347E6" w:rsidRDefault="00B347E6" w:rsidP="00B347E6">
      <w:pPr>
        <w:pStyle w:val="Ruller41"/>
        <w:rPr>
          <w:rtl/>
        </w:rPr>
      </w:pPr>
      <w:r>
        <w:rPr>
          <w:rtl/>
        </w:rPr>
        <w:tab/>
      </w:r>
      <w:r>
        <w:rPr>
          <w:rFonts w:hint="cs"/>
          <w:rtl/>
        </w:rPr>
        <w:t xml:space="preserve">ככלל, הצופה הסביר אמור להבין כי בסרט מעין זה משובצים צילומי </w:t>
      </w:r>
      <w:r w:rsidRPr="005E53F8">
        <w:rPr>
          <w:rFonts w:ascii="Century" w:hAnsi="Century" w:hint="cs"/>
          <w:rtl/>
        </w:rPr>
        <w:t>אילוסטרציה</w:t>
      </w:r>
      <w:r>
        <w:rPr>
          <w:rFonts w:hint="cs"/>
          <w:rtl/>
        </w:rPr>
        <w:t>, ומכאן שיכולה להישמע הטענה כי הצופה סביר אינו מקשר בין התמונה בה נחזים שלושה חיילים המהלכים עם נשקם, שאחד מביניהם הוא המשיב, לבין דברי האיש ב"סצנת ביזת הזקן".</w:t>
      </w:r>
    </w:p>
    <w:p w:rsidR="00B347E6" w:rsidRDefault="00B347E6" w:rsidP="00B347E6">
      <w:pPr>
        <w:pStyle w:val="Ruller41"/>
        <w:rPr>
          <w:rtl/>
        </w:rPr>
      </w:pPr>
    </w:p>
    <w:p w:rsidR="00B347E6" w:rsidRPr="009D37B5" w:rsidRDefault="00B347E6" w:rsidP="00B347E6">
      <w:pPr>
        <w:pStyle w:val="Ruller41"/>
        <w:rPr>
          <w:rtl/>
        </w:rPr>
      </w:pPr>
      <w:r>
        <w:rPr>
          <w:rtl/>
        </w:rPr>
        <w:tab/>
      </w:r>
      <w:r>
        <w:rPr>
          <w:rFonts w:hint="cs"/>
          <w:rtl/>
        </w:rPr>
        <w:t xml:space="preserve">אולם, לאחר צפייה בסרט </w:t>
      </w:r>
      <w:r w:rsidRPr="00E87ABA">
        <w:rPr>
          <w:rFonts w:ascii="Century" w:hAnsi="Century" w:cs="Miriam" w:hint="cs"/>
          <w:b/>
          <w:spacing w:val="0"/>
          <w:szCs w:val="24"/>
          <w:rtl/>
        </w:rPr>
        <w:t>במלואו</w:t>
      </w:r>
      <w:r>
        <w:rPr>
          <w:rFonts w:hint="cs"/>
          <w:rtl/>
        </w:rPr>
        <w:t xml:space="preserve">, שותף אני למסקנתו של בית המשפט המחוזי. צפייה בסרט לכל אורכו תומכת במסקנה כי שיבוץ צילומו של המשיב בנקודת הזמן המדויקת כפי שנבחרה על ידי עורך הסרט </w:t>
      </w:r>
      <w:r>
        <w:rPr>
          <w:rtl/>
        </w:rPr>
        <w:t>–</w:t>
      </w:r>
      <w:r>
        <w:rPr>
          <w:rFonts w:hint="cs"/>
          <w:rtl/>
        </w:rPr>
        <w:t xml:space="preserve"> בעיצומה של הסצנה שבה מתואר מעשה</w:t>
      </w:r>
      <w:r w:rsidRPr="009D37B5">
        <w:rPr>
          <w:rFonts w:hint="cs"/>
          <w:rtl/>
        </w:rPr>
        <w:t xml:space="preserve"> הביזה </w:t>
      </w:r>
      <w:r w:rsidRPr="009D37B5">
        <w:rPr>
          <w:rtl/>
        </w:rPr>
        <w:t>–</w:t>
      </w:r>
      <w:r w:rsidRPr="009D37B5">
        <w:rPr>
          <w:rFonts w:hint="cs"/>
          <w:rtl/>
        </w:rPr>
        <w:t xml:space="preserve"> יוצא מכלל שיבוץ סתם ואינו בגדר שיבוץ אקראי גרידא.</w:t>
      </w:r>
    </w:p>
    <w:p w:rsidR="00B347E6" w:rsidRPr="009D37B5" w:rsidRDefault="00B347E6" w:rsidP="00B347E6">
      <w:pPr>
        <w:pStyle w:val="Ruller41"/>
        <w:rPr>
          <w:rtl/>
        </w:rPr>
      </w:pPr>
    </w:p>
    <w:p w:rsidR="00B347E6" w:rsidRPr="009D37B5" w:rsidRDefault="00B347E6" w:rsidP="00B347E6">
      <w:pPr>
        <w:pStyle w:val="Ruller41"/>
        <w:rPr>
          <w:rtl/>
        </w:rPr>
      </w:pPr>
      <w:r w:rsidRPr="009D37B5">
        <w:rPr>
          <w:rtl/>
        </w:rPr>
        <w:tab/>
      </w:r>
      <w:r w:rsidRPr="009D37B5">
        <w:rPr>
          <w:rFonts w:hint="cs"/>
          <w:rtl/>
        </w:rPr>
        <w:t xml:space="preserve">צא ולמד, שמקום שבו </w:t>
      </w:r>
      <w:r>
        <w:rPr>
          <w:rFonts w:hint="cs"/>
          <w:rtl/>
        </w:rPr>
        <w:t>מרואיינים בסרט מתארים</w:t>
      </w:r>
      <w:r w:rsidRPr="009D37B5">
        <w:rPr>
          <w:rFonts w:hint="cs"/>
          <w:rtl/>
        </w:rPr>
        <w:t xml:space="preserve"> בולדוזרים שבהם עשה צה"ל שימוש במהלך המבצע </w:t>
      </w:r>
      <w:r w:rsidRPr="009D37B5">
        <w:rPr>
          <w:rtl/>
        </w:rPr>
        <w:t>–</w:t>
      </w:r>
      <w:r w:rsidRPr="009D37B5">
        <w:rPr>
          <w:rFonts w:hint="cs"/>
          <w:rtl/>
        </w:rPr>
        <w:t xml:space="preserve"> משולבים בדבריהם צילומים של בולדוזרים בפעולה; כאשר מתוארת בסרט מתקפה מן האוויר </w:t>
      </w:r>
      <w:r w:rsidRPr="009D37B5">
        <w:rPr>
          <w:rtl/>
        </w:rPr>
        <w:t>–</w:t>
      </w:r>
      <w:r w:rsidRPr="009D37B5">
        <w:rPr>
          <w:rFonts w:hint="cs"/>
          <w:rtl/>
        </w:rPr>
        <w:t xml:space="preserve"> משולב צילום של מסוק תקיפה בפעולה שצולם לכאורה במהלך המבצע; כאשר אחד המרואיינים בסרט טוען שחיילי צה"ל הורו לאנשים להתפשט </w:t>
      </w:r>
      <w:r w:rsidRPr="009D37B5">
        <w:rPr>
          <w:rtl/>
        </w:rPr>
        <w:t>–</w:t>
      </w:r>
      <w:r w:rsidRPr="009D37B5">
        <w:rPr>
          <w:rFonts w:hint="cs"/>
          <w:rtl/>
        </w:rPr>
        <w:t xml:space="preserve"> מוצגים אנשים מובלים על ידי כוח צה"לי כאשר חלקם ללא חולצות. והנה, כאשר מגיע הסרט לסצנה שבה מתואר מעשה ביזת הזקן, משובץ בעיצומה של הסצנה הצילום שבו מופיע המשיב עם שני חיילים נוספים.</w:t>
      </w:r>
    </w:p>
    <w:p w:rsidR="00B347E6" w:rsidRPr="009D37B5" w:rsidRDefault="00B347E6" w:rsidP="00B347E6">
      <w:pPr>
        <w:pStyle w:val="Ruller41"/>
        <w:rPr>
          <w:rtl/>
        </w:rPr>
      </w:pPr>
    </w:p>
    <w:p w:rsidR="00B347E6" w:rsidRDefault="00B347E6" w:rsidP="00B347E6">
      <w:pPr>
        <w:pStyle w:val="Ruller41"/>
        <w:rPr>
          <w:rtl/>
        </w:rPr>
      </w:pPr>
      <w:r w:rsidRPr="009D37B5">
        <w:rPr>
          <w:rtl/>
        </w:rPr>
        <w:tab/>
      </w:r>
      <w:r w:rsidRPr="009D37B5">
        <w:rPr>
          <w:rFonts w:hint="cs"/>
          <w:rtl/>
        </w:rPr>
        <w:t xml:space="preserve">בנוסף לכך, וכפי שציין בית המשפט המחוזי, פס הקול של הסרט, שבו מתאר הדובר הזקן את מעשה הביזה ואת איומו של החייל כלפיו שישתוק פן יהרגהו, אף הוא נמשך והולך בשעה שמוצג בפני הצופה צילומו של המשיב. הכתוביות המלוות את תיאור מעשה הביזה הנטען ואת איומו של "החייל הבוזז" כלפי הדובר הזקן, מופיעות גם הן באותן שניות ממש שבו מוקרן צילומו של המשיב. ללמדך, ששיבוץ תמונת המשיב לאו יד המקרה הוא. לא ב"תמונת אילוסטרציה" של חיילים בעיצומו של מבצע צבאי עסקינן, כי אם הצגה מכוונת של שלושה חיילים מהלכים בנונשלנטיות </w:t>
      </w:r>
      <w:r w:rsidRPr="009D37B5">
        <w:rPr>
          <w:rtl/>
        </w:rPr>
        <w:t>–</w:t>
      </w:r>
      <w:r w:rsidRPr="009D37B5">
        <w:rPr>
          <w:rFonts w:hint="cs"/>
          <w:rtl/>
        </w:rPr>
        <w:t xml:space="preserve"> תוך יצירת זיקה ברורה בין תיאור מעשה הביזה לצילום המוצג של שלושת החיילים. </w:t>
      </w:r>
      <w:r>
        <w:rPr>
          <w:rFonts w:hint="cs"/>
          <w:rtl/>
        </w:rPr>
        <w:t xml:space="preserve">למיצער, אופן הצגת הדברים עלול ליצור ספק אצל הצופה הסביר, שמא שלושת החיילים הנחזים בתמונה, הם אלה שנטלו חלק במעשה הביזה: </w:t>
      </w:r>
    </w:p>
    <w:p w:rsidR="00B347E6" w:rsidRDefault="00B347E6" w:rsidP="00B347E6">
      <w:pPr>
        <w:pStyle w:val="Ruller41"/>
        <w:rPr>
          <w:rtl/>
        </w:rPr>
      </w:pPr>
    </w:p>
    <w:p w:rsidR="00B347E6" w:rsidRDefault="00B347E6" w:rsidP="00B347E6">
      <w:pPr>
        <w:pStyle w:val="Ruller5"/>
        <w:rPr>
          <w:rtl/>
        </w:rPr>
      </w:pPr>
      <w:r>
        <w:rPr>
          <w:rFonts w:hint="cs"/>
          <w:rtl/>
        </w:rPr>
        <w:t xml:space="preserve">"האופן בו מוצגים הדברים מקשה על הצופה להתרשם כי מדובר בתמונה מנקודת מבטו של היוצר וליצור חוצץ בין תמונה סובייקטיבית זו לבין המציאות כהוויתה. לכך השלכות של ממש על הרושם שנוצר אצל הצופה הסביר וליכולתו להעריך האם מדובר בהצגת עובדות או בהבעת דעה" (דברי השופט </w:t>
      </w:r>
      <w:r w:rsidRPr="007E1E4C">
        <w:rPr>
          <w:rFonts w:ascii="Century" w:hAnsi="Century" w:cs="Miriam" w:hint="eastAsia"/>
          <w:b/>
          <w:spacing w:val="0"/>
          <w:szCs w:val="24"/>
          <w:rtl/>
        </w:rPr>
        <w:t>דנציגר</w:t>
      </w:r>
      <w:r>
        <w:rPr>
          <w:rFonts w:hint="cs"/>
          <w:rtl/>
        </w:rPr>
        <w:t xml:space="preserve"> בעניין </w:t>
      </w:r>
      <w:r w:rsidRPr="007E1E4C">
        <w:rPr>
          <w:rFonts w:ascii="Century" w:hAnsi="Century" w:cs="Miriam" w:hint="eastAsia"/>
          <w:b/>
          <w:spacing w:val="0"/>
          <w:szCs w:val="24"/>
          <w:rtl/>
        </w:rPr>
        <w:t>בן</w:t>
      </w:r>
      <w:r w:rsidRPr="007E1E4C">
        <w:rPr>
          <w:rFonts w:ascii="Century" w:hAnsi="Century" w:cs="Miriam"/>
          <w:b/>
          <w:spacing w:val="0"/>
          <w:szCs w:val="24"/>
          <w:rtl/>
        </w:rPr>
        <w:t xml:space="preserve"> </w:t>
      </w:r>
      <w:r w:rsidRPr="007E1E4C">
        <w:rPr>
          <w:rFonts w:ascii="Century" w:hAnsi="Century" w:cs="Miriam" w:hint="eastAsia"/>
          <w:b/>
          <w:spacing w:val="0"/>
          <w:szCs w:val="24"/>
          <w:rtl/>
        </w:rPr>
        <w:t>נתן</w:t>
      </w:r>
      <w:r w:rsidRPr="0042381D">
        <w:rPr>
          <w:rFonts w:hint="cs"/>
          <w:rtl/>
        </w:rPr>
        <w:t xml:space="preserve"> </w:t>
      </w:r>
      <w:r>
        <w:rPr>
          <w:rFonts w:hint="cs"/>
          <w:rtl/>
        </w:rPr>
        <w:t xml:space="preserve">בפסקה 64). </w:t>
      </w:r>
    </w:p>
    <w:p w:rsidR="00B347E6" w:rsidRDefault="00B347E6" w:rsidP="00B347E6">
      <w:pPr>
        <w:pStyle w:val="Ruller5"/>
        <w:rPr>
          <w:rtl/>
        </w:rPr>
      </w:pPr>
    </w:p>
    <w:p w:rsidR="00B347E6" w:rsidRPr="009D37B5" w:rsidRDefault="00B347E6" w:rsidP="00B347E6">
      <w:pPr>
        <w:pStyle w:val="Ruller5"/>
        <w:rPr>
          <w:rtl/>
        </w:rPr>
      </w:pPr>
    </w:p>
    <w:p w:rsidR="00B347E6" w:rsidRPr="009D37B5" w:rsidRDefault="00B347E6" w:rsidP="00B347E6">
      <w:pPr>
        <w:pStyle w:val="Ruller41"/>
        <w:rPr>
          <w:rtl/>
        </w:rPr>
      </w:pPr>
      <w:r w:rsidRPr="009D37B5">
        <w:rPr>
          <w:rFonts w:hint="cs"/>
          <w:rtl/>
        </w:rPr>
        <w:t>29.</w:t>
      </w:r>
      <w:r w:rsidRPr="009D37B5">
        <w:rPr>
          <w:rtl/>
        </w:rPr>
        <w:tab/>
      </w:r>
      <w:r w:rsidRPr="009D37B5">
        <w:rPr>
          <w:rFonts w:hint="cs"/>
          <w:rtl/>
        </w:rPr>
        <w:t>ודוק: היה זה המערער שהעיד כי מתוך כ-25 שעות צילום, שמתוכן ביקש לערוך סרט בן 50 דקות, היה עליו "לבחור את הקטעים הכי חשובים של כל דמות ודמות שראיינתי"; ולאחר שסיים את העריכה הראשונית של הסרט, נסע לרומא שבאיטליה, שם עבד לצד עורך מקצועי וביחד ביצעו עריכה סופית של הסרט, כאשר "עריכה זו כללה בחירת הקטעים הסופיים, סדר הבאתם בסרט, הוספת פס קול וכו'" (סעיפים 49-30 לתצהיר המערער בבית המשפט המחוזי). על רקע דברים אלה, קשה לקבל את התזה כי שילוב צילומו של המשיב לא נעשה במחשבה תחילה במטרה ליצור זיקה בין תיאור סצנת הביזה לבין החיילים המוצגים. שאם כך הדבר, תמיהה היא מה ראה המערער לקטוע את סצנת תיאור מעשה הביזה ולשלב בעיצומה את צילום המשיב ושני החיילים הנוספים. מכל מקום, למצער כך עשויים הדברים להיתפש ולהתפר</w:t>
      </w:r>
      <w:r w:rsidRPr="009D37B5">
        <w:rPr>
          <w:rFonts w:ascii="FrankRuehl" w:hAnsi="FrankRuehl"/>
          <w:rtl/>
        </w:rPr>
        <w:t>שׁ</w:t>
      </w:r>
      <w:r w:rsidRPr="009D37B5">
        <w:rPr>
          <w:rFonts w:hint="cs"/>
          <w:rtl/>
        </w:rPr>
        <w:t xml:space="preserve"> מנקודת מבטו של הצופה הסביר. אכן, "יש לזכור, שקורא העיתון הרגיל אינו מנתח את אשר מגישים לו ניתוח מדוקדק אלא הרושם הכללי הוא הקובע, </w:t>
      </w:r>
      <w:r w:rsidRPr="009D37B5">
        <w:rPr>
          <w:rFonts w:ascii="Century" w:hAnsi="Century" w:hint="cs"/>
          <w:rtl/>
        </w:rPr>
        <w:t>ורושם זה מושפע מאוד מסדר הדברים</w:t>
      </w:r>
      <w:r w:rsidRPr="009D37B5">
        <w:rPr>
          <w:rFonts w:hint="cs"/>
          <w:rtl/>
        </w:rPr>
        <w:t xml:space="preserve">" (דברי מ"מ הנשיא (כתוארו אז) </w:t>
      </w:r>
      <w:r w:rsidRPr="009D37B5">
        <w:rPr>
          <w:rFonts w:ascii="Century" w:hAnsi="Century" w:cs="Miriam" w:hint="cs"/>
          <w:b/>
          <w:spacing w:val="0"/>
          <w:szCs w:val="24"/>
          <w:rtl/>
        </w:rPr>
        <w:t>מ' לנדוי</w:t>
      </w:r>
      <w:r w:rsidRPr="009D37B5">
        <w:rPr>
          <w:rFonts w:hint="cs"/>
          <w:rtl/>
        </w:rPr>
        <w:t xml:space="preserve"> בדנ"א 9/77 </w:t>
      </w:r>
      <w:r w:rsidRPr="009D37B5">
        <w:rPr>
          <w:rFonts w:ascii="Century" w:hAnsi="Century" w:cs="Miriam" w:hint="cs"/>
          <w:b/>
          <w:spacing w:val="0"/>
          <w:szCs w:val="24"/>
          <w:rtl/>
        </w:rPr>
        <w:t>חברת החשמל לישראל בע"מ נ' הוצאת עתון "הארץ" בע"מ</w:t>
      </w:r>
      <w:r w:rsidRPr="009D37B5">
        <w:rPr>
          <w:rFonts w:hint="cs"/>
          <w:rtl/>
        </w:rPr>
        <w:t>, פ"ד לב(3) 337, 354 (1978)). כך כאשר מדובר בקריאת כתבה בעיתון, וכך כאשר מדובר בצפייה בסרט.</w:t>
      </w:r>
    </w:p>
    <w:p w:rsidR="00B347E6" w:rsidRPr="009D37B5" w:rsidRDefault="00B347E6" w:rsidP="00B347E6">
      <w:pPr>
        <w:pStyle w:val="Ruller41"/>
        <w:rPr>
          <w:rtl/>
        </w:rPr>
      </w:pPr>
    </w:p>
    <w:p w:rsidR="00B347E6" w:rsidRPr="009D37B5" w:rsidRDefault="00B347E6" w:rsidP="00B347E6">
      <w:pPr>
        <w:pStyle w:val="Ruller41"/>
        <w:rPr>
          <w:rFonts w:ascii="Century" w:hAnsi="Century"/>
          <w:rtl/>
        </w:rPr>
      </w:pPr>
      <w:r w:rsidRPr="009D37B5">
        <w:rPr>
          <w:rFonts w:ascii="Century" w:hAnsi="Century"/>
          <w:rtl/>
        </w:rPr>
        <w:tab/>
      </w:r>
      <w:r w:rsidRPr="009D37B5">
        <w:rPr>
          <w:rFonts w:ascii="Century" w:hAnsi="Century" w:hint="cs"/>
          <w:rtl/>
        </w:rPr>
        <w:t>לכך יש להוסיף את חוסר תום לבו של המערער, שלא טרח להוסיף "דיסקליימר" לגבי החיילים שמצולמים בסרט. דבר שבשגרה שבכתבות עיתונאיות או בסרטים תיעודיים שבהם משולבים צילומים של אנשים ברי-זיהוי, עורכי הכתבה מוסיפים כתובית המבהירה כי אין למצולמים קשר לכתבה. אילו כך היה נוהג המערער, ול</w:t>
      </w:r>
      <w:r w:rsidRPr="009D37B5">
        <w:rPr>
          <w:rFonts w:ascii="FrankRuehl" w:hAnsi="FrankRuehl"/>
          <w:rtl/>
        </w:rPr>
        <w:t>וּ</w:t>
      </w:r>
      <w:r w:rsidRPr="009D37B5">
        <w:rPr>
          <w:rFonts w:ascii="Century" w:hAnsi="Century" w:hint="cs"/>
          <w:rtl/>
        </w:rPr>
        <w:t xml:space="preserve"> בדרך של הוספת כתובית המבהירה כי אין לייחס למצולמים את המעשים המתוארים בסרט </w:t>
      </w:r>
      <w:r w:rsidRPr="009D37B5">
        <w:rPr>
          <w:rFonts w:ascii="Century" w:hAnsi="Century"/>
          <w:rtl/>
        </w:rPr>
        <w:t>–</w:t>
      </w:r>
      <w:r w:rsidRPr="009D37B5">
        <w:rPr>
          <w:rFonts w:ascii="Century" w:hAnsi="Century" w:hint="cs"/>
          <w:rtl/>
        </w:rPr>
        <w:t xml:space="preserve"> דומה כי היה בכך כדי לטול עוקצה של תביעה. הימנעותו של המערער מלעשות כן, בשילוב משיכת הכתוביות והש</w:t>
      </w:r>
      <w:r w:rsidRPr="009D37B5">
        <w:rPr>
          <w:rFonts w:ascii="FrankRuehl" w:hAnsi="FrankRuehl"/>
          <w:rtl/>
        </w:rPr>
        <w:t>ֵ</w:t>
      </w:r>
      <w:r w:rsidRPr="009D37B5">
        <w:rPr>
          <w:rFonts w:ascii="Century" w:hAnsi="Century" w:hint="cs"/>
          <w:rtl/>
        </w:rPr>
        <w:t xml:space="preserve">מע של סצנת הביזה דווקא לרגע שבו מופיע צילומו של המשיב על גבי המסך </w:t>
      </w:r>
      <w:r w:rsidRPr="009D37B5">
        <w:rPr>
          <w:rFonts w:ascii="Century" w:hAnsi="Century"/>
          <w:rtl/>
        </w:rPr>
        <w:t>–</w:t>
      </w:r>
      <w:r w:rsidRPr="009D37B5">
        <w:rPr>
          <w:rFonts w:ascii="Century" w:hAnsi="Century" w:hint="cs"/>
          <w:rtl/>
        </w:rPr>
        <w:t xml:space="preserve"> תומכת במסקנה כי היתה כוונה ליצור זיקה בין הדברים.</w:t>
      </w:r>
    </w:p>
    <w:p w:rsidR="00B347E6" w:rsidRPr="009D37B5" w:rsidRDefault="00B347E6" w:rsidP="00B347E6">
      <w:pPr>
        <w:pStyle w:val="Ruller41"/>
        <w:rPr>
          <w:rFonts w:ascii="Century" w:hAnsi="Century"/>
          <w:rtl/>
        </w:rPr>
      </w:pPr>
    </w:p>
    <w:p w:rsidR="00B347E6" w:rsidRPr="009D37B5" w:rsidRDefault="00B347E6" w:rsidP="00B347E6">
      <w:pPr>
        <w:pStyle w:val="Ruller41"/>
        <w:rPr>
          <w:rFonts w:ascii="Century" w:hAnsi="Century"/>
          <w:rtl/>
        </w:rPr>
      </w:pPr>
      <w:r w:rsidRPr="009D37B5">
        <w:rPr>
          <w:rFonts w:ascii="Century" w:hAnsi="Century" w:hint="cs"/>
          <w:rtl/>
        </w:rPr>
        <w:t>30.</w:t>
      </w:r>
      <w:r w:rsidRPr="009D37B5">
        <w:rPr>
          <w:rFonts w:ascii="Century" w:hAnsi="Century"/>
          <w:rtl/>
        </w:rPr>
        <w:tab/>
      </w:r>
      <w:r w:rsidRPr="009D37B5">
        <w:rPr>
          <w:rFonts w:ascii="Century" w:hAnsi="Century" w:hint="cs"/>
          <w:rtl/>
        </w:rPr>
        <w:t xml:space="preserve">כפי שהוסבר, יש להתייחס אל הדברים גם בהקשר הכולל של הדברים וליתן את הדעת על הפרסום בכללותו. ואכן, כפי שציין בית המשפט המחוזי, סצנת ביזת הזקן שבה מופיע צילומו של המשיב היא חלק ממארג כולל של סצנות שמייחסות לחיילי צה"ל ביצוע פשעי מלחמה חמורים, והגם שהצופה הסביר לא צפוי לייחס למשיב נטילת חלק בכל אחד ואחד מן האירועים החמורים המתוארים בסרט, יש בהקשר הדברים הכולל כדי להשליך על האופן שבו הצופה הסביר צפוי לתפוש את המשיב, בהיותו מזוהה בסרט כחייל שנטל חלק בלחימה בג'נין במבצע "חומת מגן". </w:t>
      </w:r>
    </w:p>
    <w:p w:rsidR="00B347E6" w:rsidRPr="009D37B5" w:rsidRDefault="00B347E6" w:rsidP="00B347E6">
      <w:pPr>
        <w:pStyle w:val="Ruller41"/>
        <w:rPr>
          <w:rFonts w:ascii="Century" w:hAnsi="Century"/>
          <w:rtl/>
        </w:rPr>
      </w:pPr>
    </w:p>
    <w:p w:rsidR="00B347E6" w:rsidRPr="009D37B5" w:rsidRDefault="00B347E6" w:rsidP="00B347E6">
      <w:pPr>
        <w:pStyle w:val="Ruller41"/>
        <w:rPr>
          <w:rFonts w:ascii="Century" w:hAnsi="Century"/>
          <w:rtl/>
        </w:rPr>
      </w:pPr>
      <w:r w:rsidRPr="009D37B5">
        <w:rPr>
          <w:rFonts w:ascii="Century" w:hAnsi="Century"/>
          <w:rtl/>
        </w:rPr>
        <w:tab/>
      </w:r>
      <w:r w:rsidRPr="009D37B5">
        <w:rPr>
          <w:rFonts w:ascii="Century" w:hAnsi="Century" w:hint="cs"/>
          <w:rtl/>
        </w:rPr>
        <w:t xml:space="preserve">יפה לעניין זה דוגמה שהובאה על ידי בא כוחו של המשיב, שהוזכרה גם בפסק דינו של בית משפט קמא. טול מקרה שבו מופקת כתבה העוסקת בתופעה של הטרדה מינית כלפי סטודנטיות בפקולטה של מוסד אקדמי ידוע. כעת נניח כי צילומו של אחד המרצים בפקולטה משולב בתוך הכתבה, אף שבפועל אין כל יסוד לטענה כי הוא ביצע עבירה כלשהי. ברי כי בדוגמה מעין זו, אם הצופה הסביר צפוי לקשור בין המרצה לבין ביצוע ההטרדות המיניות הנטענות </w:t>
      </w:r>
      <w:r w:rsidRPr="009D37B5">
        <w:rPr>
          <w:rFonts w:ascii="Century" w:hAnsi="Century"/>
          <w:rtl/>
        </w:rPr>
        <w:t>–</w:t>
      </w:r>
      <w:r w:rsidRPr="009D37B5">
        <w:rPr>
          <w:rFonts w:ascii="Century" w:hAnsi="Century" w:hint="cs"/>
          <w:rtl/>
        </w:rPr>
        <w:t xml:space="preserve"> יעלה הדבר כדי לשון הרע כלפי המרצה. כך </w:t>
      </w:r>
      <w:r>
        <w:rPr>
          <w:rFonts w:ascii="Century" w:hAnsi="Century" w:hint="cs"/>
          <w:rtl/>
        </w:rPr>
        <w:t xml:space="preserve">באופן כללי </w:t>
      </w:r>
      <w:r w:rsidRPr="009D37B5">
        <w:rPr>
          <w:rFonts w:ascii="Century" w:hAnsi="Century" w:hint="cs"/>
          <w:rtl/>
        </w:rPr>
        <w:t xml:space="preserve">בהתייחס לשיבוץ תמונתו של המרצה בכתבה, וכך ביתר שאת מקום שבו צילומו של המרצה משולב על ידי עורך הכתבה </w:t>
      </w:r>
      <w:r w:rsidRPr="009D37B5">
        <w:rPr>
          <w:rFonts w:ascii="Century" w:hAnsi="Century" w:cs="Miriam" w:hint="cs"/>
          <w:b/>
          <w:spacing w:val="0"/>
          <w:szCs w:val="24"/>
          <w:rtl/>
        </w:rPr>
        <w:t>בעיצומה</w:t>
      </w:r>
      <w:r w:rsidRPr="009D37B5">
        <w:rPr>
          <w:rFonts w:ascii="Century" w:hAnsi="Century" w:hint="cs"/>
          <w:rtl/>
        </w:rPr>
        <w:t xml:space="preserve"> של סצנה שבה אחת מהסטודנטיות מתארת תקיפה מינית שהיא עצמה חוותה. בהשלכה לענייננו </w:t>
      </w:r>
      <w:r w:rsidRPr="009D37B5">
        <w:rPr>
          <w:rFonts w:ascii="Century" w:hAnsi="Century"/>
          <w:rtl/>
        </w:rPr>
        <w:t>–</w:t>
      </w:r>
      <w:r w:rsidRPr="009D37B5">
        <w:rPr>
          <w:rFonts w:ascii="Century" w:hAnsi="Century" w:hint="cs"/>
          <w:rtl/>
        </w:rPr>
        <w:t xml:space="preserve"> שילוב צילומו של המשיב בסרט שעוסק כל כולו בפשעי מלחמה נטענים שביצעו כביכול חיילי צה"ל במהלך מבצע "חומת מגן", ובפרט שילוב הצילום </w:t>
      </w:r>
      <w:r w:rsidRPr="009D37B5">
        <w:rPr>
          <w:rFonts w:ascii="Century" w:hAnsi="Century" w:cs="Miriam" w:hint="cs"/>
          <w:b/>
          <w:spacing w:val="0"/>
          <w:szCs w:val="24"/>
          <w:rtl/>
        </w:rPr>
        <w:t>בעיצומה</w:t>
      </w:r>
      <w:r w:rsidRPr="009D37B5">
        <w:rPr>
          <w:rFonts w:ascii="Century" w:hAnsi="Century" w:hint="cs"/>
          <w:rtl/>
        </w:rPr>
        <w:t xml:space="preserve"> של סצנת ביזת הזקן </w:t>
      </w:r>
      <w:r w:rsidRPr="009D37B5">
        <w:rPr>
          <w:rFonts w:ascii="Century" w:hAnsi="Century"/>
          <w:rtl/>
        </w:rPr>
        <w:t>–</w:t>
      </w:r>
      <w:r w:rsidRPr="009D37B5">
        <w:rPr>
          <w:rFonts w:ascii="Century" w:hAnsi="Century" w:hint="cs"/>
          <w:rtl/>
        </w:rPr>
        <w:t xml:space="preserve"> מהווים לשון הרע כלפי המשיב, הן בהקשר הדברים הכולל והן בהקשר הפרטני של מעשה הביזה הנטען. </w:t>
      </w:r>
      <w:r>
        <w:rPr>
          <w:rFonts w:ascii="Century" w:hAnsi="Century" w:hint="cs"/>
          <w:rtl/>
        </w:rPr>
        <w:t xml:space="preserve">משכך, </w:t>
      </w:r>
      <w:r w:rsidRPr="009D37B5">
        <w:rPr>
          <w:rFonts w:ascii="Century" w:hAnsi="Century" w:hint="cs"/>
          <w:rtl/>
        </w:rPr>
        <w:t>לא מצאתי טעם של ממש שמצדיק התערבות בקביעתו המנומקת של בית המשפט המחוזי שלא לאמץ את חוות דעתו של המומחה מטעם המערער בנושא.</w:t>
      </w:r>
    </w:p>
    <w:p w:rsidR="00B347E6" w:rsidRPr="009D37B5" w:rsidRDefault="00B347E6" w:rsidP="00B347E6">
      <w:pPr>
        <w:pStyle w:val="Ruller41"/>
        <w:rPr>
          <w:rFonts w:ascii="Century" w:hAnsi="Century"/>
          <w:rtl/>
        </w:rPr>
      </w:pPr>
    </w:p>
    <w:p w:rsidR="00B347E6" w:rsidRPr="009D37B5" w:rsidRDefault="00B347E6" w:rsidP="00B347E6">
      <w:pPr>
        <w:pStyle w:val="Ruller41"/>
        <w:rPr>
          <w:rFonts w:ascii="Century" w:hAnsi="Century"/>
          <w:rtl/>
        </w:rPr>
      </w:pPr>
      <w:r w:rsidRPr="009D37B5">
        <w:rPr>
          <w:rFonts w:ascii="Century" w:hAnsi="Century"/>
          <w:rtl/>
        </w:rPr>
        <w:tab/>
      </w:r>
      <w:r w:rsidRPr="009D37B5">
        <w:rPr>
          <w:rFonts w:ascii="Century" w:hAnsi="Century" w:hint="cs"/>
          <w:rtl/>
        </w:rPr>
        <w:t xml:space="preserve">[הערה במאמר מוסגר: עורך הסרט לא הסתפק בהצגת מרואיינים המתארים מעשי זוועה שבוצעו כביכול על ידי חיילי צה"ל, אלא שילב בסרט אמירות אנטישמיות בוטות. כך, אחד המרואיינים בסרט מתייחס ליהודים ומתאר אותם כיצורים "שאינם יצירי כפיו של האל" וכמי שגילו את "היכולת להשתבט" כבר לפני תקופה ארוכה. דברים אלה אינם נוגעים במישרין לערעור דנן, אך יש בהם כדי להטיל צל כבד על תום לבו של המערער, בפרט לנוכח הבהרתו כי הקפיד לברור היטב את הקטעים שנכללו בגרסה הסופית של הסרט. יוער כי כאשר עומת המערער עם דברים אלו בבית המשפט המחוזי, הוא טען כי לאחר ההליכים בעניין </w:t>
      </w:r>
      <w:r w:rsidRPr="009D37B5">
        <w:rPr>
          <w:rFonts w:ascii="Century" w:hAnsi="Century" w:cs="Miriam" w:hint="cs"/>
          <w:b/>
          <w:spacing w:val="0"/>
          <w:szCs w:val="24"/>
          <w:rtl/>
        </w:rPr>
        <w:t xml:space="preserve">בן נתן </w:t>
      </w:r>
      <w:r w:rsidRPr="009D37B5">
        <w:rPr>
          <w:rFonts w:ascii="Century" w:hAnsi="Century" w:hint="cs"/>
          <w:rtl/>
        </w:rPr>
        <w:t>הוא מצא לנכון לחתוך את המשפט הזה מהגרסה המקוצרת של הסרט, שכן לדבריו "זה לא נשמע אנושי לעשות דמוניזציה לישראלים וליהודים" וכי אינו מוכן "לעשות דמוניזציה כמו שהיטלר ואחרים עשו לעם היהודי" (פרוטוקול, עמ' 92). אילו כך סבר המערער באמת ובתמים, תמיהה היא מה ראה מלכתחילה לשלב אמירות כגון דא בסרטו].</w:t>
      </w:r>
    </w:p>
    <w:p w:rsidR="00B347E6" w:rsidRPr="009D37B5" w:rsidRDefault="00B347E6" w:rsidP="00B347E6">
      <w:pPr>
        <w:pStyle w:val="Ruller41"/>
        <w:rPr>
          <w:rFonts w:ascii="Century" w:hAnsi="Century"/>
          <w:rtl/>
        </w:rPr>
      </w:pPr>
    </w:p>
    <w:p w:rsidR="00B347E6" w:rsidRPr="009D37B5" w:rsidRDefault="008D6D79" w:rsidP="00B347E6">
      <w:pPr>
        <w:pStyle w:val="Ruller41"/>
        <w:rPr>
          <w:rFonts w:ascii="Century" w:hAnsi="Century"/>
          <w:rtl/>
        </w:rPr>
      </w:pPr>
      <w:r>
        <w:rPr>
          <w:rFonts w:ascii="Century" w:hAnsi="Century" w:hint="cs"/>
          <w:rtl/>
        </w:rPr>
        <w:t>31</w:t>
      </w:r>
      <w:r w:rsidR="00B347E6" w:rsidRPr="009D37B5">
        <w:rPr>
          <w:rFonts w:ascii="Century" w:hAnsi="Century" w:hint="cs"/>
          <w:rtl/>
        </w:rPr>
        <w:t>.</w:t>
      </w:r>
      <w:r w:rsidR="00B347E6" w:rsidRPr="009D37B5">
        <w:rPr>
          <w:rFonts w:ascii="Century" w:hAnsi="Century"/>
          <w:rtl/>
        </w:rPr>
        <w:tab/>
      </w:r>
      <w:r w:rsidR="00B347E6" w:rsidRPr="009D37B5">
        <w:rPr>
          <w:rFonts w:ascii="Century" w:hAnsi="Century" w:hint="cs"/>
          <w:rtl/>
        </w:rPr>
        <w:t xml:space="preserve">לסיכום חלק זה של הדיון, קביעתו של בית המשפט המחוזי כי הפרסום מהווה לשון הרע כלפי המשיב </w:t>
      </w:r>
      <w:r w:rsidR="00B347E6" w:rsidRPr="009D37B5">
        <w:rPr>
          <w:rFonts w:ascii="Century" w:hAnsi="Century"/>
          <w:rtl/>
        </w:rPr>
        <w:t>–</w:t>
      </w:r>
      <w:r w:rsidR="00B347E6" w:rsidRPr="009D37B5">
        <w:rPr>
          <w:rFonts w:ascii="Century" w:hAnsi="Century" w:hint="cs"/>
          <w:rtl/>
        </w:rPr>
        <w:t xml:space="preserve"> בדין יסודה, ואין עילה להתערב בה. משצלחנו קושיה זו, נפנה לקושיה הבאה העומדת כאמור בלב הערעור, והיא סוגיית התיישנות תביעתו של המשיב.</w:t>
      </w:r>
    </w:p>
    <w:p w:rsidR="00B347E6" w:rsidRPr="0094073F" w:rsidRDefault="00B347E6" w:rsidP="00B347E6">
      <w:pPr>
        <w:pStyle w:val="Ruller41"/>
        <w:rPr>
          <w:rFonts w:ascii="Century" w:hAnsi="Century"/>
          <w:rtl/>
        </w:rPr>
      </w:pPr>
    </w:p>
    <w:p w:rsidR="00B347E6" w:rsidRPr="0094073F" w:rsidRDefault="00B347E6" w:rsidP="00B347E6">
      <w:pPr>
        <w:pStyle w:val="Ruller41"/>
        <w:rPr>
          <w:rFonts w:ascii="Century" w:hAnsi="Century" w:cs="Miriam"/>
          <w:b/>
          <w:spacing w:val="0"/>
          <w:szCs w:val="24"/>
          <w:rtl/>
        </w:rPr>
      </w:pPr>
      <w:r w:rsidRPr="0094073F">
        <w:rPr>
          <w:rFonts w:ascii="Century" w:hAnsi="Century" w:cs="Miriam" w:hint="cs"/>
          <w:b/>
          <w:spacing w:val="0"/>
          <w:szCs w:val="24"/>
          <w:rtl/>
        </w:rPr>
        <w:t>התיישנות</w:t>
      </w:r>
    </w:p>
    <w:p w:rsidR="00B347E6" w:rsidRPr="0094073F" w:rsidRDefault="00B347E6" w:rsidP="00B347E6">
      <w:pPr>
        <w:pStyle w:val="Ruller41"/>
        <w:rPr>
          <w:rFonts w:ascii="Century" w:hAnsi="Century"/>
          <w:rtl/>
        </w:rPr>
      </w:pPr>
    </w:p>
    <w:p w:rsidR="00B347E6" w:rsidRPr="0094073F" w:rsidRDefault="008D6D79" w:rsidP="00B347E6">
      <w:pPr>
        <w:pStyle w:val="Ruller41"/>
        <w:rPr>
          <w:rFonts w:ascii="Century" w:hAnsi="Century"/>
          <w:rtl/>
        </w:rPr>
      </w:pPr>
      <w:r>
        <w:rPr>
          <w:rFonts w:ascii="Century" w:hAnsi="Century" w:hint="cs"/>
          <w:rtl/>
        </w:rPr>
        <w:t>32</w:t>
      </w:r>
      <w:r w:rsidR="00B347E6" w:rsidRPr="0094073F">
        <w:rPr>
          <w:rFonts w:ascii="Century" w:hAnsi="Century" w:hint="cs"/>
          <w:rtl/>
        </w:rPr>
        <w:t>.</w:t>
      </w:r>
      <w:r w:rsidR="00B347E6" w:rsidRPr="0094073F">
        <w:rPr>
          <w:rFonts w:ascii="Century" w:hAnsi="Century" w:hint="cs"/>
          <w:rtl/>
        </w:rPr>
        <w:tab/>
        <w:t xml:space="preserve"> אין חולק כי הסרט צולם בשנת 2002 בסמוך לאחר יציאת כוחות צה"ל מהעיר ג'נין במסגרת מבצע "חומת מגן", וכי הסרט הוקרן בישראל לראשונה עוד באותה שנה (עניין </w:t>
      </w:r>
      <w:r w:rsidR="00B347E6" w:rsidRPr="0094073F">
        <w:rPr>
          <w:rFonts w:ascii="Century" w:hAnsi="Century" w:cs="Miriam" w:hint="cs"/>
          <w:b/>
          <w:spacing w:val="0"/>
          <w:szCs w:val="24"/>
          <w:rtl/>
        </w:rPr>
        <w:t>בכרי</w:t>
      </w:r>
      <w:r w:rsidR="00B347E6" w:rsidRPr="0094073F">
        <w:rPr>
          <w:rFonts w:ascii="Century" w:hAnsi="Century" w:hint="cs"/>
          <w:rtl/>
        </w:rPr>
        <w:t xml:space="preserve">, עמ' 257). תביעתו של המשיב שעליה נסב דיוננו הוגשה כעבור כארבע-עשרה שנה, בשנת 2016. </w:t>
      </w:r>
    </w:p>
    <w:p w:rsidR="00B347E6" w:rsidRPr="0094073F" w:rsidRDefault="00B347E6" w:rsidP="00B347E6">
      <w:pPr>
        <w:pStyle w:val="Ruller41"/>
        <w:rPr>
          <w:rFonts w:ascii="Century" w:hAnsi="Century"/>
          <w:rtl/>
        </w:rPr>
      </w:pPr>
    </w:p>
    <w:p w:rsidR="00B347E6" w:rsidRPr="0094073F" w:rsidRDefault="00B347E6" w:rsidP="00B347E6">
      <w:pPr>
        <w:pStyle w:val="Ruller41"/>
        <w:rPr>
          <w:rFonts w:ascii="Century" w:hAnsi="Century"/>
          <w:rtl/>
        </w:rPr>
      </w:pPr>
      <w:r w:rsidRPr="0094073F">
        <w:rPr>
          <w:rFonts w:ascii="Century" w:hAnsi="Century"/>
          <w:rtl/>
        </w:rPr>
        <w:tab/>
      </w:r>
      <w:r w:rsidRPr="0094073F">
        <w:rPr>
          <w:rFonts w:ascii="Century" w:hAnsi="Century" w:hint="cs"/>
          <w:rtl/>
        </w:rPr>
        <w:t xml:space="preserve">מובן, אפוא, שאילו עילת תביעתו של המשיב נולדה עם הקרנת הסרט לראשונה, הרי שזו התיישנה זה מכבר, אי שם בשנת 2009, בחלוף שבע שנים מיום שנוצרה עילת התביעה (סעיף 5(1) לחוק ההתיישנות). קבלת תביעתו של המשיב ודחיית הערעור דנן מותנות אפוא בכך שעילת התביעה </w:t>
      </w:r>
      <w:r w:rsidRPr="0094073F">
        <w:rPr>
          <w:rFonts w:ascii="Century" w:hAnsi="Century" w:cs="Miriam" w:hint="cs"/>
          <w:b/>
          <w:spacing w:val="0"/>
          <w:szCs w:val="24"/>
          <w:rtl/>
        </w:rPr>
        <w:t>נולדה</w:t>
      </w:r>
      <w:r w:rsidRPr="0094073F">
        <w:rPr>
          <w:rFonts w:ascii="Century" w:hAnsi="Century" w:hint="cs"/>
          <w:rtl/>
        </w:rPr>
        <w:t xml:space="preserve"> במועד מאוחר יותר, במהלך שבע השנים שקדמו להגשת התביעה (קרי משנת 2009 ואילך), או לחלופין, כי נתקיים אחד מחריגי חוק ההתיישנות שבגינם </w:t>
      </w:r>
      <w:r w:rsidRPr="0094073F">
        <w:rPr>
          <w:rFonts w:ascii="Century" w:hAnsi="Century" w:cs="Miriam" w:hint="cs"/>
          <w:b/>
          <w:spacing w:val="0"/>
          <w:szCs w:val="24"/>
          <w:rtl/>
        </w:rPr>
        <w:t>נדחה</w:t>
      </w:r>
      <w:r w:rsidRPr="0094073F">
        <w:rPr>
          <w:rFonts w:ascii="Century" w:hAnsi="Century" w:hint="cs"/>
          <w:rtl/>
        </w:rPr>
        <w:t xml:space="preserve"> מועד פתיחת מירוץ ההתיישנות לנקודת זמן הממוקמת בתוך תקופת שבע השנים שקדמה להגשת התביעה.</w:t>
      </w:r>
    </w:p>
    <w:p w:rsidR="00B347E6" w:rsidRPr="0094073F" w:rsidRDefault="00B347E6" w:rsidP="00B347E6">
      <w:pPr>
        <w:pStyle w:val="Ruller41"/>
        <w:rPr>
          <w:rFonts w:ascii="Century" w:hAnsi="Century"/>
          <w:rtl/>
        </w:rPr>
      </w:pPr>
    </w:p>
    <w:p w:rsidR="00B347E6" w:rsidRPr="0094073F" w:rsidRDefault="00B347E6" w:rsidP="00B347E6">
      <w:pPr>
        <w:pStyle w:val="Ruller41"/>
        <w:rPr>
          <w:rFonts w:ascii="Century" w:hAnsi="Century"/>
          <w:rtl/>
        </w:rPr>
      </w:pPr>
      <w:r w:rsidRPr="0094073F">
        <w:rPr>
          <w:rFonts w:ascii="Century" w:hAnsi="Century"/>
          <w:rtl/>
        </w:rPr>
        <w:tab/>
      </w:r>
      <w:r w:rsidRPr="0094073F">
        <w:rPr>
          <w:rFonts w:ascii="Century" w:hAnsi="Century" w:hint="cs"/>
          <w:rtl/>
        </w:rPr>
        <w:t>נבחן את הדברים. כבית משפט קמא, נבחן תחילה אם במקרה דנן נתמלאו תנאיו של כלל הגילוי המאוחר המעוגן בסעיף 8 לחוק ההתיישנות, ולאחר מכן נידרש לשאלת מועד לידת עילת התובענה בהתחשב במאפייני העוולה של פרסום לשון הרע. אקדים ואומר כי הגם שלטעמי נפלו אי-אלו שגגות בפסק דינו של בית המשפט המחוזי, מסקנתו כי התביעה לא התיישנה עומדת בעינה.</w:t>
      </w:r>
    </w:p>
    <w:p w:rsidR="00B347E6" w:rsidRDefault="00B347E6" w:rsidP="00B347E6">
      <w:pPr>
        <w:pStyle w:val="Ruller41"/>
        <w:rPr>
          <w:rFonts w:ascii="Century" w:hAnsi="Century"/>
          <w:color w:val="0070C0"/>
          <w:rtl/>
        </w:rPr>
      </w:pPr>
    </w:p>
    <w:p w:rsidR="00B347E6" w:rsidRPr="00E4411D" w:rsidRDefault="00B347E6" w:rsidP="00B347E6">
      <w:pPr>
        <w:pStyle w:val="Ruller41"/>
        <w:rPr>
          <w:rFonts w:ascii="Century" w:hAnsi="Century" w:cs="Miriam"/>
          <w:b/>
          <w:spacing w:val="0"/>
          <w:szCs w:val="24"/>
          <w:rtl/>
        </w:rPr>
      </w:pPr>
      <w:r w:rsidRPr="00E4411D">
        <w:rPr>
          <w:rFonts w:ascii="Century" w:hAnsi="Century" w:cs="Miriam" w:hint="cs"/>
          <w:b/>
          <w:spacing w:val="0"/>
          <w:szCs w:val="24"/>
          <w:rtl/>
        </w:rPr>
        <w:t>כלל הגילוי המאוחר</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33</w:t>
      </w:r>
      <w:r w:rsidR="00B347E6" w:rsidRPr="00580A00">
        <w:rPr>
          <w:rFonts w:ascii="Century" w:hAnsi="Century" w:hint="cs"/>
          <w:rtl/>
        </w:rPr>
        <w:t>.</w:t>
      </w:r>
      <w:r w:rsidR="00B347E6" w:rsidRPr="00580A00">
        <w:rPr>
          <w:rFonts w:ascii="Century" w:hAnsi="Century" w:hint="cs"/>
          <w:rtl/>
        </w:rPr>
        <w:tab/>
        <w:t>סעיף 8 לחוק ההתיישנות קובע כדלקמן:</w:t>
      </w:r>
    </w:p>
    <w:p w:rsidR="00B347E6" w:rsidRPr="00580A00" w:rsidRDefault="00B347E6" w:rsidP="00B347E6">
      <w:pPr>
        <w:pStyle w:val="Ruller41"/>
        <w:rPr>
          <w:rFonts w:ascii="Century" w:hAnsi="Century"/>
          <w:rtl/>
        </w:rPr>
      </w:pPr>
    </w:p>
    <w:p w:rsidR="00B347E6" w:rsidRPr="00580A00" w:rsidRDefault="00B347E6" w:rsidP="00B347E6">
      <w:pPr>
        <w:pStyle w:val="Ruller5"/>
        <w:spacing w:line="276" w:lineRule="auto"/>
        <w:rPr>
          <w:rFonts w:ascii="Century" w:hAnsi="Century" w:cs="Miriam"/>
          <w:b/>
          <w:spacing w:val="0"/>
          <w:szCs w:val="24"/>
          <w:rtl/>
        </w:rPr>
      </w:pPr>
      <w:r w:rsidRPr="00580A00">
        <w:rPr>
          <w:rFonts w:ascii="Century" w:hAnsi="Century" w:cs="Miriam" w:hint="cs"/>
          <w:b/>
          <w:spacing w:val="0"/>
          <w:szCs w:val="24"/>
          <w:rtl/>
        </w:rPr>
        <w:t>התיישנות שלא מדעת</w:t>
      </w:r>
    </w:p>
    <w:p w:rsidR="00B347E6" w:rsidRPr="00580A00" w:rsidRDefault="00B347E6" w:rsidP="00B347E6">
      <w:pPr>
        <w:pStyle w:val="Ruller5"/>
        <w:rPr>
          <w:rFonts w:ascii="FrankRuehl" w:hAnsi="FrankRuehl"/>
          <w:sz w:val="28"/>
          <w:rtl/>
        </w:rPr>
      </w:pPr>
      <w:r w:rsidRPr="00580A00">
        <w:rPr>
          <w:rFonts w:ascii="FrankRuehl" w:hAnsi="FrankRuehl" w:hint="cs"/>
          <w:sz w:val="28"/>
          <w:rtl/>
        </w:rPr>
        <w:t xml:space="preserve">8. </w:t>
      </w:r>
      <w:r w:rsidRPr="00580A00">
        <w:rPr>
          <w:rFonts w:ascii="FrankRuehl" w:hAnsi="FrankRuehl"/>
          <w:sz w:val="28"/>
          <w:rtl/>
        </w:rPr>
        <w:t>נעלמו מן התובע העובדות המהוות את עילת התובענה, מסיבות שלא היו תלויות בו ושאף בזהירות סבירה לא יכול היה למנוע אותן, תתחיל תקופת ההתיישנות ביום שבו נודעו לתובע עובדות אל</w:t>
      </w:r>
      <w:r w:rsidRPr="00580A00">
        <w:rPr>
          <w:rFonts w:ascii="FrankRuehl" w:hAnsi="FrankRuehl" w:hint="cs"/>
          <w:sz w:val="28"/>
          <w:rtl/>
        </w:rPr>
        <w:t>ה.</w:t>
      </w:r>
    </w:p>
    <w:p w:rsidR="00B347E6" w:rsidRPr="00580A00" w:rsidRDefault="00B347E6" w:rsidP="00B347E6">
      <w:pPr>
        <w:pStyle w:val="Ruller5"/>
        <w:rPr>
          <w:rFonts w:ascii="FrankRuehl" w:hAnsi="FrankRuehl"/>
          <w:sz w:val="28"/>
          <w:rtl/>
        </w:rPr>
      </w:pPr>
    </w:p>
    <w:p w:rsidR="00B347E6" w:rsidRPr="00580A00" w:rsidRDefault="00B347E6" w:rsidP="00B347E6">
      <w:pPr>
        <w:pStyle w:val="Ruller5"/>
        <w:rPr>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 xml:space="preserve">סעיף זה, המעגן כאמור את כלל הגילוי המאוחר, זכה לאורך השנים להתייחסות ענפה בפסיקה. על פי טיבו, כלל זה נועד לגשר על קיומו של פער בין המציאות העובדתית והמשפטית כהווייתה לבין מציאות זו כפי שהיא נתפשת בתודעתו של התובע. לצורך כך, המחוקק קבע כי מירוץ ההתיישנות יושעה כל עוד התובע </w:t>
      </w:r>
      <w:r w:rsidRPr="00580A00">
        <w:rPr>
          <w:rFonts w:ascii="Century" w:hAnsi="Century" w:cs="Miriam" w:hint="cs"/>
          <w:b/>
          <w:spacing w:val="0"/>
          <w:szCs w:val="24"/>
          <w:rtl/>
        </w:rPr>
        <w:t>לא גילה ולא יכול היה לגלות</w:t>
      </w:r>
      <w:r w:rsidRPr="00580A00">
        <w:rPr>
          <w:rFonts w:ascii="Century" w:hAnsi="Century" w:hint="cs"/>
          <w:rtl/>
        </w:rPr>
        <w:t xml:space="preserve"> את העובדות שמקימות את עילת תביעתו. ההיגיון העומד בבסיס הוראה זו ברור: בהעדר ידיעה או יכולת לדעת מצד התובע, יש קושי לראותו כמי שוויתר או ישן על זכויותיו, ואף לא ניתן לבוא אליו בטרוניא על כך שיצר ציפיות אצל הנתבע כי ויתר או מחל על תביעתו. בכך נחלשים חלק מהטעמים העיקריים העומדים בבסיס מוסד ההתיישנות, ומכאן ההצדקה לדחות את מועד פתיחת מירוץ ההתיישנות כפי שמורה הסעיף</w:t>
      </w:r>
      <w:r w:rsidRPr="00580A00">
        <w:rPr>
          <w:rFonts w:hint="cs"/>
          <w:rtl/>
        </w:rPr>
        <w:t xml:space="preserve"> (</w:t>
      </w:r>
      <w:hyperlink w:history="1">
        <w:r w:rsidRPr="00580A00">
          <w:rPr>
            <w:rtl/>
          </w:rPr>
          <w:t>רע"א 901/07</w:t>
        </w:r>
      </w:hyperlink>
      <w:r w:rsidRPr="00580A00">
        <w:t xml:space="preserve"> </w:t>
      </w:r>
      <w:r w:rsidRPr="00580A00">
        <w:rPr>
          <w:rFonts w:ascii="Century" w:hAnsi="Century" w:cs="Miriam"/>
          <w:b/>
          <w:spacing w:val="0"/>
          <w:szCs w:val="24"/>
          <w:rtl/>
        </w:rPr>
        <w:t>גיא-ליפל נ' מדינת ישראל – הוועדה לאנרגיה אטומית</w:t>
      </w:r>
      <w:r w:rsidRPr="00580A00">
        <w:rPr>
          <w:rFonts w:hint="cs"/>
          <w:rtl/>
        </w:rPr>
        <w:t xml:space="preserve">, </w:t>
      </w:r>
      <w:r w:rsidRPr="00580A00">
        <w:rPr>
          <w:rtl/>
        </w:rPr>
        <w:t xml:space="preserve">פסקה </w:t>
      </w:r>
      <w:r w:rsidRPr="00580A00">
        <w:rPr>
          <w:rFonts w:hint="cs"/>
          <w:rtl/>
        </w:rPr>
        <w:t>40 והאסמכתאות שם) (19.9.2010) (</w:t>
      </w:r>
      <w:r w:rsidRPr="00580A00">
        <w:rPr>
          <w:rtl/>
        </w:rPr>
        <w:t xml:space="preserve">להלן: עניין </w:t>
      </w:r>
      <w:r w:rsidRPr="00580A00">
        <w:rPr>
          <w:rFonts w:ascii="Century" w:hAnsi="Century" w:cs="Miriam"/>
          <w:b/>
          <w:spacing w:val="0"/>
          <w:szCs w:val="24"/>
          <w:rtl/>
        </w:rPr>
        <w:t>גיא-ליפל</w:t>
      </w:r>
      <w:r w:rsidRPr="00580A00">
        <w:rPr>
          <w:rFonts w:ascii="Century" w:hAnsi="Century" w:hint="cs"/>
          <w:rtl/>
        </w:rPr>
        <w:t xml:space="preserve">)). </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34</w:t>
      </w:r>
      <w:r w:rsidR="00B347E6" w:rsidRPr="00580A00">
        <w:rPr>
          <w:rFonts w:ascii="Century" w:hAnsi="Century" w:hint="cs"/>
          <w:rtl/>
        </w:rPr>
        <w:t>.</w:t>
      </w:r>
      <w:r w:rsidR="00B347E6" w:rsidRPr="00580A00">
        <w:rPr>
          <w:rFonts w:ascii="Century" w:hAnsi="Century" w:hint="cs"/>
          <w:rtl/>
        </w:rPr>
        <w:tab/>
        <w:t xml:space="preserve">אף שהמחוקק "הלך לקראת" התובע-הניזוק בכך שאפשר דחייה של מועד פתיחת מירוץ ההתיישנות כמתואר לעיל, אין פירוש הדבר כי התובע רשאי לעצום עיניו מראות ולפקוח אותן במועד הנוח לו, ובכך לברור לעצמו את המועד שבו תיווצר עילת תביעתו, וכבר הובהר בפסיקה כי "אין להלום מצב שבו המפתח לתחילת מירוץ ההתיישנות יהיה בידיו של התובע" (רע"א 8694/20 </w:t>
      </w:r>
      <w:r w:rsidR="00B347E6" w:rsidRPr="00580A00">
        <w:rPr>
          <w:rFonts w:ascii="Century" w:hAnsi="Century" w:cs="Miriam" w:hint="cs"/>
          <w:b/>
          <w:spacing w:val="0"/>
          <w:szCs w:val="24"/>
          <w:rtl/>
        </w:rPr>
        <w:t>דוויק נ' זרביב</w:t>
      </w:r>
      <w:r w:rsidR="00B347E6" w:rsidRPr="00580A00">
        <w:rPr>
          <w:rFonts w:ascii="Century" w:hAnsi="Century" w:hint="cs"/>
          <w:rtl/>
        </w:rPr>
        <w:t xml:space="preserve">, פסקה 24 לפסק דיני (21.7.2022) (להלן: עניין </w:t>
      </w:r>
      <w:r w:rsidR="00B347E6" w:rsidRPr="00580A00">
        <w:rPr>
          <w:rFonts w:ascii="Century" w:hAnsi="Century" w:cs="Miriam" w:hint="cs"/>
          <w:b/>
          <w:spacing w:val="0"/>
          <w:szCs w:val="24"/>
          <w:rtl/>
        </w:rPr>
        <w:t>דוויק</w:t>
      </w:r>
      <w:r w:rsidR="00B347E6" w:rsidRPr="00580A00">
        <w:rPr>
          <w:rFonts w:ascii="Century" w:hAnsi="Century" w:hint="cs"/>
          <w:rtl/>
        </w:rPr>
        <w:t xml:space="preserve">)). מן הטעם הזה, בחוקקו את סעיף 8 לחוק ההתיישנות המחוקק לא הסתפק בהחלת מבחן </w:t>
      </w:r>
      <w:r w:rsidR="00B347E6" w:rsidRPr="00580A00">
        <w:rPr>
          <w:rFonts w:ascii="Century" w:hAnsi="Century" w:cs="Miriam" w:hint="cs"/>
          <w:b/>
          <w:spacing w:val="0"/>
          <w:szCs w:val="24"/>
          <w:rtl/>
        </w:rPr>
        <w:t>סובייקטיבי</w:t>
      </w:r>
      <w:r w:rsidR="00B347E6" w:rsidRPr="00580A00">
        <w:rPr>
          <w:rFonts w:ascii="Century" w:hAnsi="Century" w:hint="cs"/>
          <w:rtl/>
        </w:rPr>
        <w:t xml:space="preserve"> לגבי ידיעתו </w:t>
      </w:r>
      <w:r w:rsidR="00B347E6" w:rsidRPr="00580A00">
        <w:rPr>
          <w:rFonts w:ascii="Century" w:hAnsi="Century" w:cs="Miriam" w:hint="cs"/>
          <w:b/>
          <w:spacing w:val="0"/>
          <w:szCs w:val="24"/>
          <w:rtl/>
        </w:rPr>
        <w:t>בפועל</w:t>
      </w:r>
      <w:r w:rsidR="00B347E6" w:rsidRPr="00580A00">
        <w:rPr>
          <w:rFonts w:ascii="Century" w:hAnsi="Century" w:hint="cs"/>
          <w:rtl/>
        </w:rPr>
        <w:t xml:space="preserve"> של התובע הקונקרטי ("נעלמו מן התובע העובדות"), אלא הוסיף על כך מבחן בעל היבט </w:t>
      </w:r>
      <w:r w:rsidR="00B347E6" w:rsidRPr="00580A00">
        <w:rPr>
          <w:rFonts w:ascii="Century" w:hAnsi="Century" w:cs="Miriam" w:hint="cs"/>
          <w:b/>
          <w:spacing w:val="0"/>
          <w:szCs w:val="24"/>
          <w:rtl/>
        </w:rPr>
        <w:t>אובייקטיבי</w:t>
      </w:r>
      <w:r w:rsidR="00B347E6" w:rsidRPr="00580A00">
        <w:rPr>
          <w:rFonts w:ascii="Century" w:hAnsi="Century" w:hint="cs"/>
          <w:rtl/>
        </w:rPr>
        <w:t xml:space="preserve"> לגבי ידיעתו </w:t>
      </w:r>
      <w:r w:rsidR="00B347E6" w:rsidRPr="00580A00">
        <w:rPr>
          <w:rFonts w:ascii="Century" w:hAnsi="Century" w:cs="Miriam" w:hint="cs"/>
          <w:b/>
          <w:spacing w:val="0"/>
          <w:szCs w:val="24"/>
          <w:rtl/>
        </w:rPr>
        <w:t>בכוח</w:t>
      </w:r>
      <w:r w:rsidR="00B347E6" w:rsidRPr="00580A00">
        <w:rPr>
          <w:rFonts w:ascii="Century" w:hAnsi="Century" w:hint="cs"/>
          <w:rtl/>
        </w:rPr>
        <w:t xml:space="preserve"> של התובע ("מסיבות שלא היו תלויות בו ושאף בזהירות סבירה לא יכול היה למנוע אותן"). </w:t>
      </w:r>
    </w:p>
    <w:p w:rsidR="00B347E6" w:rsidRPr="00580A00" w:rsidRDefault="00B347E6" w:rsidP="00B347E6">
      <w:pPr>
        <w:pStyle w:val="Ruller41"/>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 xml:space="preserve">סעיף 8 לחוק ההתיישנות מעמיד אפוא במרכזו שאלה עובדתית הבוחנת, לצד ההיבט הסובייקטיבי לגבי ידיעתו של התובע בפועל, </w:t>
      </w:r>
      <w:r w:rsidRPr="00580A00">
        <w:rPr>
          <w:rFonts w:ascii="Century" w:hAnsi="Century"/>
          <w:rtl/>
        </w:rPr>
        <w:t xml:space="preserve">אם בזהירות סבירה </w:t>
      </w:r>
      <w:r w:rsidRPr="00580A00">
        <w:rPr>
          <w:rFonts w:ascii="Century" w:hAnsi="Century" w:cs="Miriam"/>
          <w:b/>
          <w:spacing w:val="0"/>
          <w:szCs w:val="24"/>
          <w:rtl/>
        </w:rPr>
        <w:t>יכול היה</w:t>
      </w:r>
      <w:r w:rsidRPr="00580A00">
        <w:rPr>
          <w:rFonts w:ascii="Century" w:hAnsi="Century"/>
          <w:rtl/>
        </w:rPr>
        <w:t xml:space="preserve"> התובע לגלות את כלל העובדות המהוות את עילת התובענה</w:t>
      </w:r>
      <w:r w:rsidRPr="00580A00">
        <w:rPr>
          <w:rFonts w:ascii="Century" w:hAnsi="Century" w:hint="cs"/>
          <w:rtl/>
        </w:rPr>
        <w:t>. כפי שהוסבר: "</w:t>
      </w:r>
      <w:r w:rsidRPr="00580A00">
        <w:rPr>
          <w:rFonts w:ascii="Century" w:hAnsi="Century"/>
          <w:rtl/>
        </w:rPr>
        <w:t>ככלל, התשובה לשאלה זו אינה תלויה במעשיו או במחדליו של הנתבע, אלא ביכולתו האובייקטיבית של התובע לגלות את המידע הרלוונטי בכוחות עצמ</w:t>
      </w:r>
      <w:r w:rsidRPr="00580A00">
        <w:rPr>
          <w:rFonts w:ascii="Century" w:hAnsi="Century" w:hint="cs"/>
          <w:rtl/>
        </w:rPr>
        <w:t>ו", כאשר באופן עקרוני די בידיעה "בכוח או בפועל, ברמה של קצה חוט" כדי להביא לפתיחת מירוץ ההתיישנות</w:t>
      </w:r>
      <w:r w:rsidRPr="00580A00">
        <w:rPr>
          <w:rFonts w:ascii="FrankRuehl" w:hAnsi="FrankRuehl" w:hint="cs"/>
          <w:sz w:val="28"/>
          <w:rtl/>
        </w:rPr>
        <w:t xml:space="preserve"> </w:t>
      </w:r>
      <w:r w:rsidRPr="00580A00">
        <w:rPr>
          <w:rFonts w:ascii="Century" w:hAnsi="Century" w:hint="cs"/>
          <w:rtl/>
        </w:rPr>
        <w:t>(</w:t>
      </w:r>
      <w:hyperlink w:history="1">
        <w:r w:rsidRPr="00580A00">
          <w:rPr>
            <w:rStyle w:val="Hyperlink"/>
            <w:rFonts w:ascii="Century" w:hAnsi="Century"/>
            <w:color w:val="auto"/>
            <w:u w:val="none"/>
            <w:rtl/>
          </w:rPr>
          <w:t>ע"א 1442/13</w:t>
        </w:r>
      </w:hyperlink>
      <w:r w:rsidRPr="00580A00">
        <w:rPr>
          <w:rFonts w:ascii="Century" w:hAnsi="Century" w:hint="cs"/>
          <w:rtl/>
        </w:rPr>
        <w:t xml:space="preserve"> </w:t>
      </w:r>
      <w:r w:rsidRPr="00580A00">
        <w:rPr>
          <w:rFonts w:ascii="Century" w:hAnsi="Century" w:cs="Miriam"/>
          <w:b/>
          <w:spacing w:val="0"/>
          <w:szCs w:val="24"/>
          <w:rtl/>
        </w:rPr>
        <w:t>זוארס נ' התעשיה הצבאית ישראל בע"</w:t>
      </w:r>
      <w:r w:rsidRPr="00580A00">
        <w:rPr>
          <w:rFonts w:ascii="Century" w:hAnsi="Century" w:cs="Miriam" w:hint="cs"/>
          <w:b/>
          <w:spacing w:val="0"/>
          <w:szCs w:val="24"/>
          <w:rtl/>
        </w:rPr>
        <w:t>מ</w:t>
      </w:r>
      <w:r w:rsidRPr="00580A00">
        <w:rPr>
          <w:rFonts w:ascii="Century" w:hAnsi="Century" w:hint="cs"/>
          <w:rtl/>
        </w:rPr>
        <w:t xml:space="preserve">, </w:t>
      </w:r>
      <w:r w:rsidRPr="00580A00">
        <w:rPr>
          <w:rFonts w:ascii="Century" w:hAnsi="Century"/>
          <w:rtl/>
        </w:rPr>
        <w:t>פסק</w:t>
      </w:r>
      <w:r w:rsidRPr="00580A00">
        <w:rPr>
          <w:rFonts w:ascii="Century" w:hAnsi="Century" w:hint="cs"/>
          <w:rtl/>
        </w:rPr>
        <w:t>אות</w:t>
      </w:r>
      <w:r w:rsidRPr="00580A00">
        <w:rPr>
          <w:rFonts w:ascii="Century" w:hAnsi="Century"/>
          <w:rtl/>
        </w:rPr>
        <w:t xml:space="preserve"> </w:t>
      </w:r>
      <w:r w:rsidRPr="00580A00">
        <w:rPr>
          <w:rFonts w:ascii="Century" w:hAnsi="Century" w:hint="cs"/>
          <w:rtl/>
        </w:rPr>
        <w:t xml:space="preserve">11, 17 (18.8.2016); </w:t>
      </w:r>
      <w:r w:rsidRPr="00580A00">
        <w:rPr>
          <w:rFonts w:ascii="Century" w:hAnsi="Century"/>
          <w:rtl/>
        </w:rPr>
        <w:t>רע</w:t>
      </w:r>
      <w:r w:rsidRPr="00580A00">
        <w:rPr>
          <w:rFonts w:ascii="Century" w:hAnsi="Century" w:hint="cs"/>
          <w:rtl/>
        </w:rPr>
        <w:t>"</w:t>
      </w:r>
      <w:r w:rsidRPr="00580A00">
        <w:rPr>
          <w:rFonts w:ascii="Century" w:hAnsi="Century"/>
          <w:rtl/>
        </w:rPr>
        <w:t xml:space="preserve">א 6737/20 </w:t>
      </w:r>
      <w:r w:rsidRPr="00580A00">
        <w:rPr>
          <w:rFonts w:ascii="Century" w:hAnsi="Century" w:cs="Miriam"/>
          <w:b/>
          <w:spacing w:val="0"/>
          <w:szCs w:val="24"/>
          <w:rtl/>
        </w:rPr>
        <w:t>הראל נ' נס</w:t>
      </w:r>
      <w:r w:rsidRPr="00580A00">
        <w:rPr>
          <w:rFonts w:ascii="Century" w:hAnsi="Century" w:hint="cs"/>
          <w:rtl/>
        </w:rPr>
        <w:t xml:space="preserve">, פסקה 36 (16.8.2021)). </w:t>
      </w:r>
    </w:p>
    <w:p w:rsidR="00B347E6" w:rsidRPr="00580A00" w:rsidRDefault="00B347E6" w:rsidP="00B347E6">
      <w:pPr>
        <w:pStyle w:val="Ruller41"/>
        <w:rPr>
          <w:rFonts w:ascii="Century" w:hAnsi="Century"/>
          <w:rtl/>
        </w:rPr>
      </w:pPr>
    </w:p>
    <w:p w:rsidR="00B347E6" w:rsidRPr="00580A00" w:rsidRDefault="00B347E6" w:rsidP="00B347E6">
      <w:pPr>
        <w:pStyle w:val="Ruller41"/>
        <w:rPr>
          <w:rFonts w:ascii="Century" w:hAnsi="Century"/>
        </w:rPr>
      </w:pPr>
      <w:r w:rsidRPr="00580A00">
        <w:rPr>
          <w:rFonts w:ascii="Century" w:hAnsi="Century"/>
          <w:rtl/>
        </w:rPr>
        <w:tab/>
      </w:r>
      <w:r w:rsidRPr="00580A00">
        <w:rPr>
          <w:rFonts w:ascii="Century" w:hAnsi="Century" w:hint="cs"/>
          <w:rtl/>
        </w:rPr>
        <w:t xml:space="preserve">על רקע כללים אלה, הובהר בפסיקה כי מירוץ ההתיישנות לא נפתח במועד שבו תובע </w:t>
      </w:r>
      <w:r w:rsidRPr="00580A00">
        <w:rPr>
          <w:rFonts w:ascii="Century" w:hAnsi="Century" w:cs="Miriam" w:hint="cs"/>
          <w:b/>
          <w:spacing w:val="0"/>
          <w:szCs w:val="24"/>
          <w:rtl/>
        </w:rPr>
        <w:t>החליט</w:t>
      </w:r>
      <w:r w:rsidRPr="00580A00">
        <w:rPr>
          <w:rFonts w:ascii="Century" w:hAnsi="Century" w:hint="cs"/>
          <w:rtl/>
        </w:rPr>
        <w:t xml:space="preserve"> לפנות לעורך דין או מהנדס או רופא לשם קבלת חוות דעת שהבהירה לו את מצבו המשפטי או העובדתי, אלא השאלה היא "אם הייתה בידי התובע </w:t>
      </w:r>
      <w:r w:rsidRPr="00580A00">
        <w:rPr>
          <w:rFonts w:ascii="Century" w:hAnsi="Century" w:cs="Miriam" w:hint="cs"/>
          <w:b/>
          <w:spacing w:val="0"/>
          <w:szCs w:val="24"/>
          <w:rtl/>
        </w:rPr>
        <w:t>האפשרות</w:t>
      </w:r>
      <w:r w:rsidRPr="00580A00">
        <w:rPr>
          <w:rFonts w:ascii="Century" w:hAnsi="Century" w:hint="cs"/>
          <w:rtl/>
        </w:rPr>
        <w:t xml:space="preserve"> לפנות עוד קודם לכן לעורך הדין או המהנדס או הרופא"</w:t>
      </w:r>
      <w:r w:rsidRPr="00580A00">
        <w:rPr>
          <w:rFonts w:ascii="FrankRuehl" w:hAnsi="FrankRuehl" w:hint="cs"/>
          <w:sz w:val="28"/>
          <w:rtl/>
        </w:rPr>
        <w:t xml:space="preserve"> </w:t>
      </w:r>
      <w:r w:rsidRPr="00580A00">
        <w:rPr>
          <w:rFonts w:ascii="Century" w:hAnsi="Century" w:hint="cs"/>
          <w:rtl/>
        </w:rPr>
        <w:t>(</w:t>
      </w:r>
      <w:r w:rsidRPr="00580A00">
        <w:rPr>
          <w:rFonts w:ascii="Century" w:hAnsi="Century"/>
          <w:rtl/>
        </w:rPr>
        <w:t>ע</w:t>
      </w:r>
      <w:r w:rsidRPr="00580A00">
        <w:rPr>
          <w:rFonts w:ascii="Century" w:hAnsi="Century" w:hint="cs"/>
          <w:rtl/>
        </w:rPr>
        <w:t>"</w:t>
      </w:r>
      <w:r w:rsidRPr="00580A00">
        <w:rPr>
          <w:rFonts w:ascii="Century" w:hAnsi="Century"/>
          <w:rtl/>
        </w:rPr>
        <w:t xml:space="preserve">א 642/21 </w:t>
      </w:r>
      <w:r w:rsidRPr="00580A00">
        <w:rPr>
          <w:rFonts w:ascii="Century" w:hAnsi="Century" w:cs="Miriam"/>
          <w:b/>
          <w:spacing w:val="0"/>
          <w:szCs w:val="24"/>
          <w:rtl/>
        </w:rPr>
        <w:t>ורקשטל נ' בנק לאומי לישראל בע"מ</w:t>
      </w:r>
      <w:r w:rsidRPr="00580A00">
        <w:rPr>
          <w:rFonts w:ascii="Century" w:hAnsi="Century" w:hint="cs"/>
          <w:rtl/>
        </w:rPr>
        <w:t xml:space="preserve">, פסקה 8 והאסמכתאות שם (29.6.2022) </w:t>
      </w:r>
      <w:r>
        <w:rPr>
          <w:rFonts w:ascii="Century" w:hAnsi="Century" w:hint="cs"/>
          <w:rtl/>
        </w:rPr>
        <w:t>(</w:t>
      </w:r>
      <w:r w:rsidRPr="00580A00">
        <w:rPr>
          <w:rFonts w:ascii="Century" w:hAnsi="Century" w:hint="cs"/>
          <w:rtl/>
        </w:rPr>
        <w:t xml:space="preserve">ההדגשות הוספו </w:t>
      </w:r>
      <w:r w:rsidRPr="00580A00">
        <w:rPr>
          <w:rFonts w:ascii="Century" w:hAnsi="Century"/>
          <w:rtl/>
        </w:rPr>
        <w:t>–</w:t>
      </w:r>
      <w:r w:rsidRPr="00580A00">
        <w:rPr>
          <w:rFonts w:ascii="Century" w:hAnsi="Century" w:hint="cs"/>
          <w:rtl/>
        </w:rPr>
        <w:t xml:space="preserve"> י"ע</w:t>
      </w:r>
      <w:r>
        <w:rPr>
          <w:rFonts w:ascii="Century" w:hAnsi="Century" w:hint="cs"/>
          <w:rtl/>
        </w:rPr>
        <w:t>)</w:t>
      </w:r>
      <w:r w:rsidRPr="00580A00">
        <w:rPr>
          <w:rFonts w:ascii="Century" w:hAnsi="Century" w:hint="cs"/>
          <w:rtl/>
        </w:rPr>
        <w:t xml:space="preserve">; עניין </w:t>
      </w:r>
      <w:r w:rsidRPr="00580A00">
        <w:rPr>
          <w:rFonts w:ascii="Century" w:hAnsi="Century" w:cs="Miriam" w:hint="cs"/>
          <w:b/>
          <w:spacing w:val="0"/>
          <w:szCs w:val="24"/>
          <w:rtl/>
        </w:rPr>
        <w:t>דוויק</w:t>
      </w:r>
      <w:r w:rsidRPr="00580A00">
        <w:rPr>
          <w:rFonts w:ascii="Century" w:hAnsi="Century" w:hint="cs"/>
          <w:rtl/>
        </w:rPr>
        <w:t xml:space="preserve">, שם). עוד נקבע כי מקום שבו הנתבע העלה טענת התיישנות והתובע טוען לתחולתו של כלל הגילוי המאוחר, התובע הוא שנושא בנטל להוכיח כי נתמלאו תנאיו (עניין </w:t>
      </w:r>
      <w:r w:rsidRPr="00580A00">
        <w:rPr>
          <w:rFonts w:ascii="Century" w:hAnsi="Century" w:cs="Miriam" w:hint="cs"/>
          <w:b/>
          <w:spacing w:val="0"/>
          <w:szCs w:val="24"/>
          <w:rtl/>
        </w:rPr>
        <w:t>גיא-ליפל</w:t>
      </w:r>
      <w:r w:rsidRPr="00580A00">
        <w:rPr>
          <w:rFonts w:ascii="Century" w:hAnsi="Century" w:hint="cs"/>
          <w:rtl/>
        </w:rPr>
        <w:t xml:space="preserve">, פסקה 41 והאסמכתאות שם; טל חבקין </w:t>
      </w:r>
      <w:r w:rsidRPr="00580A00">
        <w:rPr>
          <w:rFonts w:ascii="Century" w:hAnsi="Century" w:cs="Miriam" w:hint="cs"/>
          <w:b/>
          <w:spacing w:val="0"/>
          <w:szCs w:val="24"/>
          <w:rtl/>
        </w:rPr>
        <w:t>התיישנות</w:t>
      </w:r>
      <w:r w:rsidRPr="00580A00">
        <w:rPr>
          <w:rFonts w:ascii="Century" w:hAnsi="Century" w:hint="cs"/>
          <w:rtl/>
        </w:rPr>
        <w:t xml:space="preserve"> 65 (מהדורה שניה, 2021) (להלן: </w:t>
      </w:r>
      <w:r w:rsidRPr="00580A00">
        <w:rPr>
          <w:rFonts w:ascii="Century" w:hAnsi="Century" w:cs="Miriam" w:hint="cs"/>
          <w:b/>
          <w:spacing w:val="0"/>
          <w:szCs w:val="24"/>
          <w:rtl/>
        </w:rPr>
        <w:t>חבקין</w:t>
      </w:r>
      <w:r w:rsidRPr="00580A00">
        <w:rPr>
          <w:rFonts w:ascii="Century" w:hAnsi="Century" w:hint="cs"/>
          <w:rtl/>
        </w:rPr>
        <w:t>)</w:t>
      </w:r>
      <w:r>
        <w:rPr>
          <w:rFonts w:ascii="Century" w:hAnsi="Century" w:hint="cs"/>
          <w:rtl/>
        </w:rPr>
        <w:t>, וההפניות המובאות שם בה"ש 32</w:t>
      </w:r>
      <w:r w:rsidRPr="00580A00">
        <w:rPr>
          <w:rFonts w:ascii="Century" w:hAnsi="Century" w:hint="cs"/>
          <w:rtl/>
        </w:rPr>
        <w:t>).</w:t>
      </w:r>
    </w:p>
    <w:p w:rsidR="00B347E6" w:rsidRPr="00C85AD9"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35</w:t>
      </w:r>
      <w:r w:rsidR="00B347E6" w:rsidRPr="00580A00">
        <w:rPr>
          <w:rFonts w:ascii="Century" w:hAnsi="Century" w:hint="cs"/>
          <w:rtl/>
        </w:rPr>
        <w:t>.</w:t>
      </w:r>
      <w:r w:rsidR="00B347E6" w:rsidRPr="00580A00">
        <w:rPr>
          <w:rFonts w:ascii="Century" w:hAnsi="Century" w:hint="cs"/>
          <w:rtl/>
        </w:rPr>
        <w:tab/>
        <w:t xml:space="preserve">במקרה שלפנינו, בית המשפט המחוזי אימץ - </w:t>
      </w:r>
      <w:r w:rsidR="00B347E6" w:rsidRPr="00580A00">
        <w:rPr>
          <w:rFonts w:ascii="Century" w:hAnsi="Century" w:cs="Miriam" w:hint="cs"/>
          <w:b/>
          <w:spacing w:val="0"/>
          <w:szCs w:val="24"/>
          <w:rtl/>
        </w:rPr>
        <w:t>במישור העובדתי</w:t>
      </w:r>
      <w:r w:rsidR="00B347E6" w:rsidRPr="00580A00">
        <w:rPr>
          <w:rFonts w:ascii="Century" w:hAnsi="Century" w:hint="cs"/>
          <w:rtl/>
        </w:rPr>
        <w:t xml:space="preserve"> - את עדותו של המשיב כי עד לשנת 2015 לא צפה בסרט ולא היה מודע לכך שהוא עצמו מופיע בסרט. </w:t>
      </w:r>
    </w:p>
    <w:p w:rsidR="00B347E6" w:rsidRPr="00580A00" w:rsidRDefault="00B347E6" w:rsidP="00B347E6">
      <w:pPr>
        <w:pStyle w:val="Ruller41"/>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 xml:space="preserve">אין לכחד כי במבט ראשון, יש קושי ליישב בין גרסה זו של המשיב לבין העובדה שבמסגרת ההליך בעניין </w:t>
      </w:r>
      <w:r w:rsidRPr="00580A00">
        <w:rPr>
          <w:rFonts w:ascii="Century" w:hAnsi="Century" w:cs="Miriam" w:hint="cs"/>
          <w:b/>
          <w:spacing w:val="0"/>
          <w:szCs w:val="24"/>
          <w:rtl/>
        </w:rPr>
        <w:t>בכרי</w:t>
      </w:r>
      <w:r w:rsidRPr="00580A00">
        <w:rPr>
          <w:rFonts w:ascii="Century" w:hAnsi="Century" w:hint="cs"/>
          <w:rtl/>
        </w:rPr>
        <w:t xml:space="preserve"> בשנת 2003, בא כוחו של המשיב, עו"ד כספי, הגיש בקשה לצרף את </w:t>
      </w:r>
      <w:r w:rsidRPr="00580A00">
        <w:rPr>
          <w:rFonts w:ascii="Century" w:hAnsi="Century" w:cs="Miriam" w:hint="cs"/>
          <w:b/>
          <w:spacing w:val="0"/>
          <w:szCs w:val="24"/>
          <w:rtl/>
        </w:rPr>
        <w:t>המשיב</w:t>
      </w:r>
      <w:r w:rsidRPr="00580A00">
        <w:rPr>
          <w:rFonts w:ascii="Century" w:hAnsi="Century" w:hint="cs"/>
          <w:rtl/>
        </w:rPr>
        <w:t xml:space="preserve"> להליך, מה שמלמד לכאורה כי המשיב כבר צפה בסרט באותו מועד. למרות זאת, בית המשפט המחוזי, </w:t>
      </w:r>
      <w:r w:rsidRPr="00580A00">
        <w:rPr>
          <w:rFonts w:ascii="Century" w:hAnsi="Century" w:cs="Miriam" w:hint="cs"/>
          <w:b/>
          <w:spacing w:val="0"/>
          <w:szCs w:val="24"/>
          <w:rtl/>
        </w:rPr>
        <w:t>שהיה ער לקושי האמור</w:t>
      </w:r>
      <w:r w:rsidRPr="00580A00">
        <w:rPr>
          <w:rFonts w:ascii="Century" w:hAnsi="Century" w:hint="cs"/>
          <w:rtl/>
        </w:rPr>
        <w:t xml:space="preserve">, מצא לאמץ את גרסת המשיב ולייחס לה משקל ראייתי משמעותי. זאת, לאור התרשמותו כי עדותו של המשיב היתה "מהימנה מאוד" וכי פיו ולבו שווים; לאחר שמצא כי עדותו מתיישבת עם עדויותיהם של יתר העדים; ולנוכח התרשמותו מעדותו של עו"ד כספי ודרך פועלו לגבי ניהול ההליכים נגד הקרנת הסרט. </w:t>
      </w:r>
    </w:p>
    <w:p w:rsidR="00B347E6" w:rsidRPr="00580A00" w:rsidRDefault="00B347E6" w:rsidP="00B347E6">
      <w:pPr>
        <w:pStyle w:val="Ruller41"/>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 xml:space="preserve">למקרא פסק דינו של בית המשפט המחוזי, ניכר עד מאד כי החלטתו לאמץ את גרסת המשיב התבססה באופן מובהק על התרשמותו הבלתי אמצעית מהעדים שהופיעו בפניו ועל ממצאי מהימנות, ובייחוד התרשמותו מכנותו של מהמשיב. בנסיבות אלו, חרף הקושי הראייתי המתואר, איני סבור כי יש בסיס להתערבותנו בנקודה זו. לפיכך, נקודת המוצא להמשך הדיון בערעור דנן היא גרסת המשיב שאומצה בבית המשפט המחוזי, </w:t>
      </w:r>
      <w:r>
        <w:rPr>
          <w:rFonts w:ascii="Century" w:hAnsi="Century" w:hint="cs"/>
          <w:rtl/>
        </w:rPr>
        <w:t xml:space="preserve">קרי </w:t>
      </w:r>
      <w:r>
        <w:rPr>
          <w:rFonts w:ascii="Century" w:hAnsi="Century"/>
          <w:rtl/>
        </w:rPr>
        <w:t>–</w:t>
      </w:r>
      <w:r>
        <w:rPr>
          <w:rFonts w:ascii="Century" w:hAnsi="Century" w:hint="cs"/>
          <w:rtl/>
        </w:rPr>
        <w:t xml:space="preserve"> </w:t>
      </w:r>
      <w:r w:rsidRPr="00580A00">
        <w:rPr>
          <w:rFonts w:ascii="Century" w:hAnsi="Century" w:hint="cs"/>
          <w:rtl/>
        </w:rPr>
        <w:t>כי המשיב צפה לראשונה בסרט בשנת 2015</w:t>
      </w:r>
      <w:r>
        <w:rPr>
          <w:rFonts w:ascii="Century" w:hAnsi="Century" w:hint="cs"/>
          <w:rtl/>
        </w:rPr>
        <w:t>,</w:t>
      </w:r>
      <w:r w:rsidRPr="00580A00">
        <w:rPr>
          <w:rFonts w:ascii="Century" w:hAnsi="Century" w:hint="cs"/>
          <w:rtl/>
        </w:rPr>
        <w:t xml:space="preserve"> ורק אז התברר לו כי צילומו-שלו מופיע בסרט.</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36</w:t>
      </w:r>
      <w:r w:rsidR="00B347E6" w:rsidRPr="00580A00">
        <w:rPr>
          <w:rFonts w:ascii="Century" w:hAnsi="Century" w:hint="cs"/>
          <w:rtl/>
        </w:rPr>
        <w:t>.</w:t>
      </w:r>
      <w:r w:rsidR="00B347E6" w:rsidRPr="00580A00">
        <w:rPr>
          <w:rFonts w:ascii="Century" w:hAnsi="Century" w:hint="cs"/>
          <w:rtl/>
        </w:rPr>
        <w:tab/>
        <w:t xml:space="preserve">כך הם הדברים במישור העובדתי. לעומת זאת, </w:t>
      </w:r>
      <w:r w:rsidR="00B347E6" w:rsidRPr="00580A00">
        <w:rPr>
          <w:rFonts w:ascii="Century" w:hAnsi="Century" w:cs="Miriam" w:hint="cs"/>
          <w:b/>
          <w:spacing w:val="0"/>
          <w:szCs w:val="24"/>
          <w:rtl/>
        </w:rPr>
        <w:t>במישור המשפטי</w:t>
      </w:r>
      <w:r w:rsidR="00B347E6" w:rsidRPr="00580A00">
        <w:rPr>
          <w:rFonts w:ascii="Century" w:hAnsi="Century" w:hint="cs"/>
          <w:rtl/>
        </w:rPr>
        <w:t xml:space="preserve"> תמונת המצב מעט שונה, ומסקנתו של בית המשפט המחוזי טומנת בחובה קושי. זאת, שכן עיון בפסק הדין מעלה כי אף שבית המשפט היה ער להיבט האובייקטיבי שנכלל בסעיף 8 לחוק ההתיישנות, בפועל הוראת הסעיף יושמה על בסיס מבחן שהוא </w:t>
      </w:r>
      <w:r w:rsidR="00B347E6" w:rsidRPr="004C3908">
        <w:rPr>
          <w:rFonts w:ascii="Century" w:hAnsi="Century" w:cs="Miriam" w:hint="cs"/>
          <w:b/>
          <w:spacing w:val="0"/>
          <w:szCs w:val="24"/>
          <w:rtl/>
        </w:rPr>
        <w:t>סובייקטיבי</w:t>
      </w:r>
      <w:r w:rsidR="00B347E6" w:rsidRPr="004C3908">
        <w:rPr>
          <w:rFonts w:ascii="Century" w:hAnsi="Century" w:hint="cs"/>
          <w:rtl/>
        </w:rPr>
        <w:t xml:space="preserve"> </w:t>
      </w:r>
      <w:r w:rsidR="00B347E6" w:rsidRPr="00580A00">
        <w:rPr>
          <w:rFonts w:ascii="Century" w:hAnsi="Century" w:hint="cs"/>
          <w:rtl/>
        </w:rPr>
        <w:t>במהותו. נסביר במה דברים אמורים.</w:t>
      </w:r>
    </w:p>
    <w:p w:rsidR="00B347E6" w:rsidRPr="00580A00" w:rsidRDefault="00B347E6" w:rsidP="00B347E6">
      <w:pPr>
        <w:pStyle w:val="Ruller41"/>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 xml:space="preserve">בדונו בסעיף 8 לחוק ההתיישנות, בית המשפט המחוזי הקדים והעיר כי </w:t>
      </w:r>
      <w:r w:rsidRPr="00580A00">
        <w:rPr>
          <w:rFonts w:ascii="Century" w:hAnsi="Century"/>
          <w:rtl/>
        </w:rPr>
        <w:t>–</w:t>
      </w:r>
      <w:r w:rsidRPr="00580A00">
        <w:rPr>
          <w:rFonts w:ascii="Century" w:hAnsi="Century" w:hint="cs"/>
          <w:rtl/>
        </w:rPr>
        <w:t xml:space="preserve"> </w:t>
      </w:r>
    </w:p>
    <w:p w:rsidR="00B347E6" w:rsidRPr="00580A00" w:rsidRDefault="00B347E6" w:rsidP="00B347E6">
      <w:pPr>
        <w:pStyle w:val="1"/>
        <w:spacing w:line="360" w:lineRule="auto"/>
        <w:jc w:val="both"/>
        <w:rPr>
          <w:rFonts w:ascii="Arial" w:hAnsi="Arial"/>
          <w:noProof w:val="0"/>
          <w:rtl/>
        </w:rPr>
      </w:pPr>
    </w:p>
    <w:p w:rsidR="00B347E6" w:rsidRPr="00580A00" w:rsidRDefault="00B347E6" w:rsidP="00B347E6">
      <w:pPr>
        <w:pStyle w:val="Ruller5"/>
      </w:pPr>
      <w:r w:rsidRPr="00580A00">
        <w:rPr>
          <w:rFonts w:hint="cs"/>
          <w:rtl/>
        </w:rPr>
        <w:t>"</w:t>
      </w:r>
      <w:r w:rsidRPr="00580A00">
        <w:rPr>
          <w:rtl/>
        </w:rPr>
        <w:t xml:space="preserve">לכאורה, מקום בו </w:t>
      </w:r>
      <w:r w:rsidRPr="00580A00">
        <w:rPr>
          <w:rFonts w:hint="cs"/>
          <w:rtl/>
        </w:rPr>
        <w:t xml:space="preserve">אדם סביר </w:t>
      </w:r>
      <w:r w:rsidRPr="00580A00">
        <w:rPr>
          <w:rtl/>
        </w:rPr>
        <w:t xml:space="preserve">מודע לכך שקיים סרט </w:t>
      </w:r>
      <w:r w:rsidRPr="00580A00">
        <w:rPr>
          <w:rFonts w:hint="cs"/>
          <w:rtl/>
        </w:rPr>
        <w:t>ה</w:t>
      </w:r>
      <w:r w:rsidRPr="00580A00">
        <w:rPr>
          <w:rtl/>
        </w:rPr>
        <w:t>עוסק באירוע בו הוא עצמו נטל חלק (מבצע חומת מגן), ו</w:t>
      </w:r>
      <w:r w:rsidRPr="00580A00">
        <w:rPr>
          <w:rFonts w:hint="cs"/>
          <w:rtl/>
        </w:rPr>
        <w:t xml:space="preserve">הוא אף </w:t>
      </w:r>
      <w:r w:rsidRPr="00580A00">
        <w:rPr>
          <w:rtl/>
        </w:rPr>
        <w:t>יודע כי מתנהלים ביחס לאותו סרט הליכים משפטיים אשר מטרתם למנוע המשך הקרנתו עקב טענות לכך שיש בו משום הוצאת דיבה, ניתן היה לצפות</w:t>
      </w:r>
      <w:r w:rsidRPr="00580A00">
        <w:rPr>
          <w:rFonts w:hint="cs"/>
          <w:rtl/>
        </w:rPr>
        <w:t>,</w:t>
      </w:r>
      <w:r w:rsidRPr="00580A00">
        <w:rPr>
          <w:rtl/>
        </w:rPr>
        <w:t xml:space="preserve"> כי </w:t>
      </w:r>
      <w:r w:rsidRPr="00580A00">
        <w:rPr>
          <w:rFonts w:hint="cs"/>
          <w:rtl/>
        </w:rPr>
        <w:t xml:space="preserve">אותו אדם - </w:t>
      </w:r>
      <w:r w:rsidRPr="00580A00">
        <w:rPr>
          <w:rtl/>
        </w:rPr>
        <w:t xml:space="preserve">ייצפה בסרט, גם אם לא באופן מיידי, אך במהלך שבע שנים שלאחר הקרנתו המקורית. </w:t>
      </w:r>
    </w:p>
    <w:p w:rsidR="00B347E6" w:rsidRPr="00580A00" w:rsidRDefault="00B347E6" w:rsidP="00B347E6">
      <w:pPr>
        <w:pStyle w:val="Ruller5"/>
      </w:pPr>
    </w:p>
    <w:p w:rsidR="00B347E6" w:rsidRPr="00580A00" w:rsidRDefault="00B347E6" w:rsidP="00B347E6">
      <w:pPr>
        <w:pStyle w:val="Ruller5"/>
        <w:rPr>
          <w:rtl/>
        </w:rPr>
      </w:pPr>
      <w:r w:rsidRPr="00580A00">
        <w:rPr>
          <w:rtl/>
        </w:rPr>
        <w:t xml:space="preserve">בהינתן </w:t>
      </w:r>
      <w:r w:rsidRPr="00580A00">
        <w:rPr>
          <w:rFonts w:hint="cs"/>
          <w:rtl/>
        </w:rPr>
        <w:t xml:space="preserve">הוראות הדין, </w:t>
      </w:r>
      <w:r w:rsidRPr="00580A00">
        <w:rPr>
          <w:rtl/>
        </w:rPr>
        <w:t>ואותה בחירה מודעת</w:t>
      </w:r>
      <w:r w:rsidRPr="00580A00">
        <w:rPr>
          <w:rFonts w:hint="cs"/>
          <w:rtl/>
        </w:rPr>
        <w:t xml:space="preserve"> של התובע</w:t>
      </w:r>
      <w:r w:rsidRPr="00580A00">
        <w:rPr>
          <w:rtl/>
        </w:rPr>
        <w:t>, עולה השאלה האם אין בכך כדי להביא למסקנה על פיה אין לראות</w:t>
      </w:r>
      <w:r w:rsidRPr="00580A00">
        <w:rPr>
          <w:rFonts w:hint="cs"/>
          <w:rtl/>
        </w:rPr>
        <w:t>ו</w:t>
      </w:r>
      <w:r w:rsidRPr="00580A00">
        <w:rPr>
          <w:rtl/>
        </w:rPr>
        <w:t xml:space="preserve"> כמי שנקט באמצעים סבירים ומתבקשים לגלות את העובדות, ומשכך כמי שתביעתו התיישנה</w:t>
      </w:r>
      <w:r w:rsidRPr="00580A00">
        <w:rPr>
          <w:rFonts w:hint="cs"/>
          <w:rtl/>
        </w:rPr>
        <w:t>" (פסקאות 82-81 לפסק דינו).</w:t>
      </w:r>
      <w:r w:rsidRPr="00580A00">
        <w:rPr>
          <w:rtl/>
        </w:rPr>
        <w:t xml:space="preserve"> </w:t>
      </w:r>
    </w:p>
    <w:p w:rsidR="00B347E6" w:rsidRPr="00580A00" w:rsidRDefault="00B347E6" w:rsidP="00B347E6">
      <w:pPr>
        <w:pStyle w:val="Ruller5"/>
        <w:rPr>
          <w:rtl/>
        </w:rPr>
      </w:pPr>
    </w:p>
    <w:p w:rsidR="00B347E6" w:rsidRPr="00580A00" w:rsidRDefault="00B347E6" w:rsidP="00B347E6">
      <w:pPr>
        <w:pStyle w:val="Ruller5"/>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בדברים אלה כיוון בית המשפט, כנדרש, להיבט האובייקטיבי של סעיף 8 לחוק, קרי לשאלה אם המשיב יכול היה בזהירות סבירה לגלות את העובדות המקימות את עילת תביעתו. ברם, למרות האמור, בית המשפט הגיע למסקנה כי במקרה דנן נתמלאו תנאיו של הסעיף. את מסקנתו נימק בית המשפט באופן הבא:</w:t>
      </w:r>
    </w:p>
    <w:p w:rsidR="00B347E6" w:rsidRPr="00580A00" w:rsidRDefault="00B347E6" w:rsidP="00B347E6">
      <w:pPr>
        <w:pStyle w:val="Ruller41"/>
        <w:rPr>
          <w:rFonts w:ascii="Century" w:hAnsi="Century"/>
          <w:rtl/>
        </w:rPr>
      </w:pPr>
    </w:p>
    <w:p w:rsidR="00B347E6" w:rsidRPr="00580A00" w:rsidRDefault="00B347E6" w:rsidP="00B347E6">
      <w:pPr>
        <w:pStyle w:val="Ruller5"/>
        <w:rPr>
          <w:rtl/>
        </w:rPr>
      </w:pPr>
      <w:r w:rsidRPr="00580A00">
        <w:rPr>
          <w:rFonts w:hint="cs"/>
          <w:rtl/>
        </w:rPr>
        <w:t xml:space="preserve">"[...] יש לזכור כי המדובר באירוע מוקצן, ייחודי אשר לא מצאתי כי ניתן כלל לבחון אותו תחת אותה 'מסננת' של סבירות, התואמת את התנהלותו של אדם 'רגיל' מן היישוב, בימי שגרה. </w:t>
      </w:r>
    </w:p>
    <w:p w:rsidR="00B347E6" w:rsidRPr="00580A00" w:rsidRDefault="00B347E6" w:rsidP="00B347E6">
      <w:pPr>
        <w:pStyle w:val="Ruller5"/>
        <w:rPr>
          <w:rtl/>
        </w:rPr>
      </w:pPr>
    </w:p>
    <w:p w:rsidR="00B347E6" w:rsidRPr="00580A00" w:rsidRDefault="00B347E6" w:rsidP="00B347E6">
      <w:pPr>
        <w:pStyle w:val="Ruller5"/>
        <w:rPr>
          <w:rFonts w:ascii="Century" w:hAnsi="Century"/>
          <w:rtl/>
        </w:rPr>
      </w:pPr>
      <w:r w:rsidRPr="00580A00">
        <w:rPr>
          <w:rFonts w:hint="cs"/>
          <w:rtl/>
        </w:rPr>
        <w:t xml:space="preserve">אין שום דבר רגיל בלוחמה, וודאי לא כזו במסגרתה מאבד אדם מחבריו או פקודיו, וכפועל יוצא התנהלותו או התגובה שלו לאותם אירועים אינה יכולה להיבחן במנותק מכך, לרבות סבירות יכולתו לצפות בסרט, שעה שהוא אינו מודע לכך שהוא מופיע בו" (שם, פסקה 83). </w:t>
      </w:r>
    </w:p>
    <w:p w:rsidR="00B347E6" w:rsidRPr="00580A00" w:rsidRDefault="00B347E6" w:rsidP="00B347E6">
      <w:pPr>
        <w:pStyle w:val="Ruller5"/>
        <w:rPr>
          <w:rFonts w:ascii="Century" w:hAnsi="Century"/>
          <w:rtl/>
        </w:rPr>
      </w:pPr>
    </w:p>
    <w:p w:rsidR="00B347E6" w:rsidRPr="00580A00" w:rsidRDefault="00B347E6" w:rsidP="00B347E6">
      <w:pPr>
        <w:pStyle w:val="Ruller5"/>
        <w:rPr>
          <w:rFonts w:ascii="Century" w:hAnsi="Century"/>
          <w:rtl/>
        </w:rPr>
      </w:pPr>
    </w:p>
    <w:p w:rsidR="00B347E6" w:rsidRPr="00580A00" w:rsidRDefault="00B347E6" w:rsidP="00B347E6">
      <w:pPr>
        <w:pStyle w:val="Ruller41"/>
        <w:rPr>
          <w:rFonts w:ascii="Century" w:hAnsi="Century"/>
          <w:rtl/>
        </w:rPr>
      </w:pPr>
      <w:r w:rsidRPr="00580A00">
        <w:rPr>
          <w:rtl/>
        </w:rPr>
        <w:tab/>
      </w:r>
      <w:r w:rsidRPr="00580A00">
        <w:rPr>
          <w:rFonts w:hint="cs"/>
          <w:rtl/>
        </w:rPr>
        <w:t xml:space="preserve">תימוכין לדברים אלו מצא בית המשפט בדבריו של המשיב בעדותו, שסיפר כי הוא וחבריו רצו מאוד "לשים את זה בצד ולשכוח", וכי הוא לא התעמק בנושא "כדי לא לעסוק בפצע". </w:t>
      </w:r>
      <w:r w:rsidRPr="00580A00">
        <w:rPr>
          <w:rFonts w:ascii="Century" w:hAnsi="Century" w:hint="cs"/>
          <w:rtl/>
        </w:rPr>
        <w:t>לנוכח האמור, בית המשפט קבע כי "רצונו של [המשיב] שלא לשוב ו'לחפור' בפצעי נפשו מהלוחמה במבצע, אינו בלתי סביר בנסיבותיו של מקרה זה, וכי אין לראותו כמי שלא נקט באמצעים סבירים לצורך צפייה בסרט, ולו על מנת לוודא אם הוא מופיע במסגרתו אם לאו" (שם, פסקה 86).</w:t>
      </w:r>
    </w:p>
    <w:p w:rsidR="00B347E6" w:rsidRPr="00580A00" w:rsidRDefault="00B347E6" w:rsidP="00B347E6">
      <w:pPr>
        <w:pStyle w:val="Ruller41"/>
        <w:rPr>
          <w:rFonts w:ascii="Century" w:hAnsi="Century"/>
          <w:rtl/>
        </w:rPr>
      </w:pPr>
      <w:r w:rsidRPr="00580A00">
        <w:rPr>
          <w:rFonts w:ascii="Century" w:hAnsi="Century"/>
          <w:rtl/>
        </w:rPr>
        <w:tab/>
      </w:r>
    </w:p>
    <w:p w:rsidR="00B347E6" w:rsidRPr="00580A00" w:rsidRDefault="008D6D79" w:rsidP="00B347E6">
      <w:pPr>
        <w:pStyle w:val="Ruller41"/>
        <w:rPr>
          <w:rFonts w:ascii="Century" w:hAnsi="Century"/>
          <w:rtl/>
        </w:rPr>
      </w:pPr>
      <w:r>
        <w:rPr>
          <w:rFonts w:ascii="Century" w:hAnsi="Century" w:hint="cs"/>
          <w:rtl/>
        </w:rPr>
        <w:t>37</w:t>
      </w:r>
      <w:r w:rsidR="00B347E6" w:rsidRPr="00580A00">
        <w:rPr>
          <w:rFonts w:ascii="Century" w:hAnsi="Century" w:hint="cs"/>
          <w:rtl/>
        </w:rPr>
        <w:t>.</w:t>
      </w:r>
      <w:r w:rsidR="00B347E6" w:rsidRPr="00580A00">
        <w:rPr>
          <w:rFonts w:ascii="Century" w:hAnsi="Century"/>
          <w:rtl/>
        </w:rPr>
        <w:tab/>
      </w:r>
      <w:r w:rsidR="00B347E6">
        <w:rPr>
          <w:rFonts w:ascii="Century" w:hAnsi="Century" w:hint="cs"/>
          <w:rtl/>
        </w:rPr>
        <w:t>יש לה</w:t>
      </w:r>
      <w:r w:rsidR="00B347E6" w:rsidRPr="00580A00">
        <w:rPr>
          <w:rFonts w:ascii="Century" w:hAnsi="Century" w:hint="cs"/>
          <w:rtl/>
        </w:rPr>
        <w:t xml:space="preserve">דגיש: דבריו של המשיב באשר לפצע העמוק שחש בעקבות הלחימה בג'נין במבצע "חומת מגן", באשר לחוסר רצונו להתעמק בנושא ובסרט, ובאשר לבחירתו להדחיק את הדברים ולהניחם בצד </w:t>
      </w:r>
      <w:r w:rsidR="00B347E6" w:rsidRPr="00580A00">
        <w:rPr>
          <w:rFonts w:ascii="Century" w:hAnsi="Century"/>
          <w:rtl/>
        </w:rPr>
        <w:t>–</w:t>
      </w:r>
      <w:r w:rsidR="00B347E6" w:rsidRPr="00580A00">
        <w:rPr>
          <w:rFonts w:ascii="Century" w:hAnsi="Century" w:hint="cs"/>
          <w:rtl/>
        </w:rPr>
        <w:t xml:space="preserve"> הם דברים נכוחים, והתרשמותו של בית המשפט המחוזי מגרסתו של המשיב מלמדת כי אכן "ניכרים דברי אמת". כפי שציין בית המשפט, לוחמה מהסוג שבה השתתף המשיב, על המחיר הכבד שהיה כרוך בה, אינה "דבר רגיל" בשום היבט ואופן. רחוק מכך. מובן אפוא כי איש אינו בא בטרוניא למשיב על בחירתו שלא לצפות בסרט במשך מספר שנים לאחר צאתו לאור. בחירתו זו </w:t>
      </w:r>
      <w:r w:rsidR="00B347E6" w:rsidRPr="00580A00">
        <w:rPr>
          <w:rFonts w:ascii="Century" w:hAnsi="Century"/>
          <w:rtl/>
        </w:rPr>
        <w:t>–</w:t>
      </w:r>
      <w:r w:rsidR="00B347E6" w:rsidRPr="00580A00">
        <w:rPr>
          <w:rFonts w:ascii="Century" w:hAnsi="Century" w:hint="cs"/>
          <w:rtl/>
        </w:rPr>
        <w:t xml:space="preserve"> מובנת. יש לכבדה.</w:t>
      </w:r>
    </w:p>
    <w:p w:rsidR="00B347E6" w:rsidRPr="00580A00" w:rsidRDefault="00B347E6" w:rsidP="00B347E6">
      <w:pPr>
        <w:pStyle w:val="Ruller41"/>
        <w:rPr>
          <w:rFonts w:ascii="Century" w:hAnsi="Century"/>
          <w:rtl/>
        </w:rPr>
      </w:pPr>
    </w:p>
    <w:p w:rsidR="00B347E6" w:rsidRPr="00580A00" w:rsidRDefault="00B347E6" w:rsidP="00B347E6">
      <w:pPr>
        <w:pStyle w:val="Ruller41"/>
      </w:pPr>
      <w:r w:rsidRPr="00580A00">
        <w:rPr>
          <w:rFonts w:ascii="Century" w:hAnsi="Century"/>
          <w:rtl/>
        </w:rPr>
        <w:tab/>
      </w:r>
      <w:r w:rsidRPr="00580A00">
        <w:rPr>
          <w:rFonts w:ascii="Century" w:hAnsi="Century" w:hint="cs"/>
          <w:rtl/>
        </w:rPr>
        <w:t xml:space="preserve">ברם, כלליהם של דיני ההתיישנות ברורים אף הם. </w:t>
      </w:r>
      <w:r>
        <w:rPr>
          <w:rFonts w:ascii="Century" w:hAnsi="Century" w:hint="cs"/>
          <w:rtl/>
        </w:rPr>
        <w:t xml:space="preserve">ככלל, </w:t>
      </w:r>
      <w:r w:rsidRPr="00580A00">
        <w:rPr>
          <w:rFonts w:ascii="Century" w:hAnsi="Century" w:hint="cs"/>
          <w:rtl/>
        </w:rPr>
        <w:t xml:space="preserve">לרשותו של תובע עומדת תקופה משמעותית בת </w:t>
      </w:r>
      <w:r w:rsidRPr="00580A00">
        <w:rPr>
          <w:rFonts w:ascii="Century" w:hAnsi="Century" w:cs="Miriam" w:hint="cs"/>
          <w:b/>
          <w:spacing w:val="0"/>
          <w:szCs w:val="24"/>
          <w:rtl/>
        </w:rPr>
        <w:t>שבע שנים</w:t>
      </w:r>
      <w:r w:rsidRPr="00580A00">
        <w:rPr>
          <w:rFonts w:ascii="Century" w:hAnsi="Century" w:hint="cs"/>
          <w:rtl/>
        </w:rPr>
        <w:t xml:space="preserve"> להגשת תביעתו מהיום שבו נולדה עילת התביעה. ההנחה היא כי במהלך תקופה זו התובע ידרוש ויחקור ויפעל להשגת הראיות. הנחה נוספת היא כי תקופה ממושכת זו מעמידה לרשות התובע פרק זמן שיאפשר לו להתמודד עם הפגיעה שנגרמה לו ולהתארגן לצורך גיבוש התביעה. עמדה על כך השופטת </w:t>
      </w:r>
      <w:r w:rsidRPr="00580A00">
        <w:rPr>
          <w:rFonts w:ascii="Century" w:hAnsi="Century" w:cs="Miriam" w:hint="cs"/>
          <w:b/>
          <w:spacing w:val="0"/>
          <w:szCs w:val="24"/>
          <w:rtl/>
        </w:rPr>
        <w:t>וילנר</w:t>
      </w:r>
      <w:r w:rsidRPr="00580A00">
        <w:rPr>
          <w:rFonts w:ascii="Century" w:hAnsi="Century" w:hint="cs"/>
          <w:rtl/>
        </w:rPr>
        <w:t xml:space="preserve"> ברע"א </w:t>
      </w:r>
      <w:r w:rsidRPr="00580A00">
        <w:rPr>
          <w:rtl/>
        </w:rPr>
        <w:t>1101/20</w:t>
      </w:r>
      <w:r w:rsidRPr="00580A00">
        <w:rPr>
          <w:rFonts w:hint="cs"/>
          <w:rtl/>
        </w:rPr>
        <w:t xml:space="preserve"> </w:t>
      </w:r>
      <w:r w:rsidRPr="00580A00">
        <w:rPr>
          <w:rFonts w:ascii="Century" w:hAnsi="Century" w:cs="Miriam"/>
          <w:b/>
          <w:spacing w:val="0"/>
          <w:szCs w:val="24"/>
          <w:rtl/>
        </w:rPr>
        <w:t>שירותי בריאות כללית נ' פלוני</w:t>
      </w:r>
      <w:r w:rsidRPr="00580A00">
        <w:rPr>
          <w:rFonts w:hint="cs"/>
          <w:rtl/>
        </w:rPr>
        <w:t xml:space="preserve"> (21.5.2020) (להלן: עניין </w:t>
      </w:r>
      <w:r w:rsidRPr="00580A00">
        <w:rPr>
          <w:rFonts w:ascii="Century" w:hAnsi="Century" w:cs="Miriam" w:hint="cs"/>
          <w:b/>
          <w:spacing w:val="0"/>
          <w:szCs w:val="24"/>
          <w:rtl/>
        </w:rPr>
        <w:t>פלוני</w:t>
      </w:r>
      <w:r w:rsidRPr="00580A00">
        <w:rPr>
          <w:rFonts w:hint="cs"/>
          <w:rtl/>
        </w:rPr>
        <w:t>):</w:t>
      </w:r>
    </w:p>
    <w:p w:rsidR="00B347E6" w:rsidRPr="004C3908" w:rsidRDefault="00B347E6" w:rsidP="00B347E6">
      <w:pPr>
        <w:spacing w:line="300" w:lineRule="atLeast"/>
        <w:jc w:val="both"/>
        <w:rPr>
          <w:rFonts w:ascii="FrankRuehl" w:hAnsi="FrankRuehl"/>
          <w:sz w:val="28"/>
          <w:rtl/>
        </w:rPr>
      </w:pPr>
    </w:p>
    <w:p w:rsidR="00B347E6" w:rsidRPr="00580A00" w:rsidRDefault="00B347E6" w:rsidP="00B347E6">
      <w:pPr>
        <w:pStyle w:val="Ruller5"/>
        <w:rPr>
          <w:rtl/>
        </w:rPr>
      </w:pPr>
      <w:r w:rsidRPr="00580A00">
        <w:rPr>
          <w:rFonts w:hint="cs"/>
          <w:rtl/>
        </w:rPr>
        <w:t xml:space="preserve">"[...] </w:t>
      </w:r>
      <w:r w:rsidRPr="00580A00">
        <w:rPr>
          <w:rtl/>
        </w:rPr>
        <w:t>מועד התחלת תקופת ההתיישנות הוא המועד בו התובע חשד או צריך היה לחשוד בקיומן של העובדות המהוות את עילת התביעה, וזאת במנותק משאלת היכולת להשגת הראיות לתמיכה בתביעה שכזו. ודוק - החקירה והדרישה לשם השגת הראיות תיעשה אם כן </w:t>
      </w:r>
      <w:r w:rsidRPr="00580A00">
        <w:rPr>
          <w:rFonts w:ascii="Century" w:hAnsi="Century" w:cs="Miriam"/>
          <w:b/>
          <w:spacing w:val="0"/>
          <w:szCs w:val="24"/>
          <w:rtl/>
        </w:rPr>
        <w:t>בתוך תקופת ההתיישנות </w:t>
      </w:r>
      <w:r w:rsidRPr="00580A00">
        <w:rPr>
          <w:rtl/>
        </w:rPr>
        <w:t>הנמשכת שבע שנים שלמות.</w:t>
      </w:r>
    </w:p>
    <w:p w:rsidR="00B347E6" w:rsidRPr="00580A00" w:rsidRDefault="00B347E6" w:rsidP="00B347E6">
      <w:pPr>
        <w:pStyle w:val="Ruller5"/>
        <w:rPr>
          <w:rtl/>
        </w:rPr>
      </w:pPr>
    </w:p>
    <w:p w:rsidR="00B347E6" w:rsidRPr="00580A00" w:rsidRDefault="00B347E6" w:rsidP="00B347E6">
      <w:pPr>
        <w:pStyle w:val="Ruller5"/>
        <w:rPr>
          <w:rFonts w:ascii="Century" w:hAnsi="Century"/>
          <w:rtl/>
        </w:rPr>
      </w:pPr>
      <w:r w:rsidRPr="00580A00">
        <w:rPr>
          <w:rtl/>
        </w:rPr>
        <w:t>אותו רציונל העומד בבסיס הדברים שלעיל, מוליך גם</w:t>
      </w:r>
      <w:r w:rsidRPr="00580A00">
        <w:rPr>
          <w:rFonts w:hint="cs"/>
          <w:rtl/>
        </w:rPr>
        <w:t xml:space="preserve"> </w:t>
      </w:r>
      <w:r w:rsidRPr="00580A00">
        <w:rPr>
          <w:rtl/>
        </w:rPr>
        <w:t>למסקנה</w:t>
      </w:r>
      <w:r w:rsidRPr="00580A00">
        <w:rPr>
          <w:rFonts w:hint="cs"/>
          <w:rtl/>
        </w:rPr>
        <w:t xml:space="preserve"> </w:t>
      </w:r>
      <w:r w:rsidRPr="00580A00">
        <w:rPr>
          <w:rtl/>
        </w:rPr>
        <w:t>לפיה</w:t>
      </w:r>
      <w:r w:rsidRPr="00580A00">
        <w:rPr>
          <w:rFonts w:ascii="Century" w:hAnsi="Century" w:cs="Miriam" w:hint="cs"/>
          <w:b/>
          <w:spacing w:val="0"/>
          <w:szCs w:val="24"/>
          <w:rtl/>
        </w:rPr>
        <w:t xml:space="preserve"> </w:t>
      </w:r>
      <w:r w:rsidRPr="00580A00">
        <w:rPr>
          <w:rFonts w:ascii="Century" w:hAnsi="Century" w:cs="Miriam"/>
          <w:b/>
          <w:spacing w:val="0"/>
          <w:szCs w:val="24"/>
          <w:rtl/>
        </w:rPr>
        <w:t>תקופת</w:t>
      </w:r>
      <w:r w:rsidRPr="00580A00">
        <w:rPr>
          <w:rFonts w:ascii="Century" w:hAnsi="Century" w:cs="Miriam" w:hint="cs"/>
          <w:b/>
          <w:spacing w:val="0"/>
          <w:szCs w:val="24"/>
          <w:rtl/>
        </w:rPr>
        <w:t xml:space="preserve"> </w:t>
      </w:r>
      <w:r w:rsidRPr="00580A00">
        <w:rPr>
          <w:rFonts w:ascii="Century" w:hAnsi="Century" w:cs="Miriam"/>
          <w:b/>
          <w:spacing w:val="0"/>
          <w:szCs w:val="24"/>
          <w:rtl/>
        </w:rPr>
        <w:t>ההתמודדות</w:t>
      </w:r>
      <w:r w:rsidRPr="00580A00">
        <w:rPr>
          <w:rFonts w:ascii="Century" w:hAnsi="Century" w:cs="Miriam" w:hint="cs"/>
          <w:b/>
          <w:spacing w:val="0"/>
          <w:szCs w:val="24"/>
          <w:rtl/>
        </w:rPr>
        <w:t xml:space="preserve"> </w:t>
      </w:r>
      <w:r w:rsidRPr="00580A00">
        <w:rPr>
          <w:rFonts w:ascii="Century" w:hAnsi="Century" w:cs="Miriam"/>
          <w:b/>
          <w:spacing w:val="0"/>
          <w:szCs w:val="24"/>
          <w:rtl/>
        </w:rPr>
        <w:t>עם</w:t>
      </w:r>
      <w:r w:rsidRPr="00580A00">
        <w:rPr>
          <w:rFonts w:ascii="Century" w:hAnsi="Century" w:cs="Miriam" w:hint="cs"/>
          <w:b/>
          <w:spacing w:val="0"/>
          <w:szCs w:val="24"/>
          <w:rtl/>
        </w:rPr>
        <w:t xml:space="preserve"> </w:t>
      </w:r>
      <w:r w:rsidRPr="00580A00">
        <w:rPr>
          <w:rFonts w:ascii="Century" w:hAnsi="Century" w:cs="Miriam"/>
          <w:b/>
          <w:spacing w:val="0"/>
          <w:szCs w:val="24"/>
          <w:rtl/>
        </w:rPr>
        <w:t>הפגיעה</w:t>
      </w:r>
      <w:r w:rsidRPr="00580A00">
        <w:rPr>
          <w:rFonts w:ascii="Miriam" w:hAnsi="Miriam" w:cs="Miriam"/>
          <w:rtl/>
        </w:rPr>
        <w:t> </w:t>
      </w:r>
      <w:r w:rsidRPr="00580A00">
        <w:rPr>
          <w:rtl/>
        </w:rPr>
        <w:t>וההתארגנות לגיבוש הראיות והתביעה, לא תביא לעיכוב</w:t>
      </w:r>
      <w:r w:rsidRPr="00580A00">
        <w:rPr>
          <w:rFonts w:hint="cs"/>
          <w:rtl/>
        </w:rPr>
        <w:t xml:space="preserve"> </w:t>
      </w:r>
      <w:r w:rsidRPr="00580A00">
        <w:rPr>
          <w:rtl/>
        </w:rPr>
        <w:t xml:space="preserve">בתחילת תקופת ההתיישנות. כך, תקופת ההתיישנות מתחילה </w:t>
      </w:r>
      <w:r w:rsidRPr="00580A00">
        <w:rPr>
          <w:rFonts w:hint="cs"/>
          <w:rtl/>
        </w:rPr>
        <w:t>'</w:t>
      </w:r>
      <w:r w:rsidRPr="00580A00">
        <w:rPr>
          <w:rtl/>
        </w:rPr>
        <w:t>לרוץ</w:t>
      </w:r>
      <w:r w:rsidRPr="00580A00">
        <w:rPr>
          <w:rFonts w:hint="cs"/>
          <w:rtl/>
        </w:rPr>
        <w:t>'</w:t>
      </w:r>
      <w:r w:rsidRPr="00580A00">
        <w:rPr>
          <w:rtl/>
        </w:rPr>
        <w:t xml:space="preserve"> גם בנסיבות בהן הניזוק נזקק לטיפול בנזקיו, ובתוך כך – לעבור טיפולים רפואיים, לשקם את מצבו הכלכלי, המשפחתי או הנפשי. </w:t>
      </w:r>
      <w:r w:rsidRPr="007E1E4C">
        <w:rPr>
          <w:rFonts w:ascii="Century" w:hAnsi="Century"/>
          <w:rtl/>
        </w:rPr>
        <w:t>מטבע הדברים, ולמרבה הצער, עוולות נזיקיות שונות עלולות להציב את הניזוקים במצבי חיים מאתגרים וקשים</w:t>
      </w:r>
      <w:r w:rsidRPr="00FD7103">
        <w:rPr>
          <w:rtl/>
        </w:rPr>
        <w:t>.</w:t>
      </w:r>
      <w:r w:rsidRPr="0012524E">
        <w:rPr>
          <w:rtl/>
        </w:rPr>
        <w:t xml:space="preserve"> </w:t>
      </w:r>
      <w:r w:rsidRPr="00580A00">
        <w:rPr>
          <w:rtl/>
        </w:rPr>
        <w:t>ואולם, תקופת ההתיישנות בשל אירוע נזיקי נקבעה בחוק לתקופה ארוכה של שבע שנים מהיום בו אירע הנזק  (ובמקרים בהם נעלמו מעיני התובע עובדות המהוות את עילת התובענה – מהיום בו הוא חשד בקיומן של עובדות אלה או צריך היה לחשוד בהן), וזאת בין היתר, מתוך התחשבות בתקופה שלאחר האירוע הנזיקי בה הנפגע אינו פנוי להגשת תביעה באופן מידי. משכך, אין להוסיף ולהרחיב את תקופת ההתיישנות </w:t>
      </w:r>
      <w:r w:rsidRPr="00580A00">
        <w:rPr>
          <w:rFonts w:ascii="Century" w:hAnsi="Century" w:cs="Miriam"/>
          <w:b/>
          <w:spacing w:val="0"/>
          <w:szCs w:val="24"/>
          <w:rtl/>
        </w:rPr>
        <w:t>שנקבעה בחוק</w:t>
      </w:r>
      <w:r w:rsidRPr="00580A00">
        <w:rPr>
          <w:rtl/>
        </w:rPr>
        <w:t> על תביעות נזיקיות כך שתתחיל רק במועד בו הניזוק יכול היה להתפנות מטיפוליו הרפואיים או משיקום אחר של נזקיו</w:t>
      </w:r>
      <w:r w:rsidRPr="00580A00">
        <w:rPr>
          <w:rFonts w:hint="cs"/>
          <w:rtl/>
        </w:rPr>
        <w:t xml:space="preserve">" (שם </w:t>
      </w:r>
      <w:r>
        <w:rPr>
          <w:rFonts w:hint="cs"/>
          <w:rtl/>
        </w:rPr>
        <w:t>ב</w:t>
      </w:r>
      <w:r w:rsidRPr="00580A00">
        <w:rPr>
          <w:rFonts w:hint="cs"/>
          <w:rtl/>
        </w:rPr>
        <w:t>פסקאות 19-18</w:t>
      </w:r>
      <w:r>
        <w:rPr>
          <w:rFonts w:hint="cs"/>
          <w:rtl/>
        </w:rPr>
        <w:t xml:space="preserve">, </w:t>
      </w:r>
      <w:r w:rsidRPr="00580A00">
        <w:rPr>
          <w:rFonts w:hint="cs"/>
          <w:rtl/>
        </w:rPr>
        <w:t>ההדגשות במקור).</w:t>
      </w:r>
    </w:p>
    <w:p w:rsidR="00B347E6" w:rsidRPr="00580A00" w:rsidRDefault="00B347E6" w:rsidP="00B347E6">
      <w:pPr>
        <w:pStyle w:val="Ruller5"/>
        <w:rPr>
          <w:rFonts w:ascii="Century" w:hAnsi="Century"/>
          <w:rtl/>
        </w:rPr>
      </w:pPr>
    </w:p>
    <w:p w:rsidR="00B347E6" w:rsidRPr="00580A00" w:rsidRDefault="00B347E6" w:rsidP="00B347E6">
      <w:pPr>
        <w:pStyle w:val="Ruller5"/>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אכן, פעמים רבות מוצאים עצמם ניזוקים ובני משפחותיהם ניצבים בפני אתגרים קשים מנשוא שהתרגשו עליהם שלא בטובתם. לא אחת חרב עליהם עולמם והם מנסים אט אט לאחות את השברים ולמצוא מזור לגופם ולנפשם. יש שמדובר בתובעים שהם או ילדיהם סבלו נזקים קשים עקב תאונות דרכים או תאונות עבודה; יש שמדובר בנפגעי עבירה או נפגעי פעולות איבה; יש שמדובר בנזקי רשלנות רפואית או ב</w:t>
      </w:r>
      <w:r>
        <w:rPr>
          <w:rFonts w:ascii="Century" w:hAnsi="Century" w:hint="cs"/>
          <w:rtl/>
        </w:rPr>
        <w:t>הורים ל</w:t>
      </w:r>
      <w:r w:rsidRPr="00580A00">
        <w:rPr>
          <w:rFonts w:ascii="Century" w:hAnsi="Century" w:hint="cs"/>
          <w:rtl/>
        </w:rPr>
        <w:t xml:space="preserve">עוללים בני יומם שנזקם לא אובחן כדבעי במהלך </w:t>
      </w:r>
      <w:r>
        <w:rPr>
          <w:rFonts w:ascii="Century" w:hAnsi="Century" w:hint="cs"/>
          <w:rtl/>
        </w:rPr>
        <w:t>תקופת ה</w:t>
      </w:r>
      <w:r w:rsidRPr="00580A00">
        <w:rPr>
          <w:rFonts w:ascii="Century" w:hAnsi="Century" w:hint="cs"/>
          <w:rtl/>
        </w:rPr>
        <w:t xml:space="preserve">היריון. הצד השווה לכולם, שחוסר רצונו של הניזוק "לחטט" בפצעיו, והעדפתו לדחות את העיסוק המשפטי לנקודת זמן עתידית נוחה יותר </w:t>
      </w:r>
      <w:r w:rsidRPr="00580A00">
        <w:rPr>
          <w:rFonts w:ascii="Century" w:hAnsi="Century"/>
          <w:rtl/>
        </w:rPr>
        <w:t>–</w:t>
      </w:r>
      <w:r w:rsidRPr="00580A00">
        <w:rPr>
          <w:rFonts w:ascii="Century" w:hAnsi="Century" w:hint="cs"/>
          <w:rtl/>
        </w:rPr>
        <w:t xml:space="preserve"> מובנים לחלוטין. ואולם, ככל שבדיני ההתיישנות עסקינן, המחוקק לא הכיר בקשיים מעין אלו בתור עילה שמובילה לדחיית מירוץ ההתיישנות או להשעייתו. קושי אישי של תובע לנקוט הליכים משפטיים, או קושי אישי שבגינו נמנע תובע מלפעול לגילוי העובדות הנדרשות, אין בהם כשלעצמם כדי לעצור את מירוץ ההתיישנות. לשם כך העמיד המחוקק לרשות התובע תקופה ממושכת העומדת, ככלל, על שבע שנים, מתוך הנחה כי יש בתקופה זו כדי לאפשר לניזוקים די זמן לפעול למיצוי זכויותיהם.</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38</w:t>
      </w:r>
      <w:r w:rsidR="00B347E6" w:rsidRPr="00580A00">
        <w:rPr>
          <w:rFonts w:ascii="Century" w:hAnsi="Century" w:hint="cs"/>
          <w:rtl/>
        </w:rPr>
        <w:t>.</w:t>
      </w:r>
      <w:r w:rsidR="00B347E6" w:rsidRPr="00580A00">
        <w:rPr>
          <w:rFonts w:ascii="Century" w:hAnsi="Century"/>
          <w:rtl/>
        </w:rPr>
        <w:tab/>
      </w:r>
      <w:r w:rsidR="00B347E6" w:rsidRPr="00580A00">
        <w:rPr>
          <w:rFonts w:ascii="Century" w:hAnsi="Century" w:hint="cs"/>
          <w:rtl/>
        </w:rPr>
        <w:t>ודוק: חוק ההתיישנות מכיר בקיומם של מצבים שבהם יושעה מירוץ ההתיישנות בגין מצבו הנפשי של תובע, וזאת כאשר האחרון "</w:t>
      </w:r>
      <w:r w:rsidR="00B347E6" w:rsidRPr="00580A00">
        <w:rPr>
          <w:rtl/>
        </w:rPr>
        <w:t>לא היה מסוגל לדאוג לעניניו מחמת ליקוי נפשי או שכלי, זמני או קבוע, ולא היה עליו אפוטרופוס</w:t>
      </w:r>
      <w:r w:rsidR="00B347E6" w:rsidRPr="00580A00">
        <w:rPr>
          <w:rFonts w:hint="cs"/>
          <w:rtl/>
        </w:rPr>
        <w:t xml:space="preserve">" (סעיף 11 לחוק ההתיישנות). אלא שמכלל הן נשמע לאו, לאמור: השעיית מירוץ ההתיישנות מכוח עילה זו שמורה למקרים שבהם התובע היה נתון במצב של </w:t>
      </w:r>
      <w:r w:rsidR="00B347E6" w:rsidRPr="00580A00">
        <w:rPr>
          <w:rFonts w:ascii="Century" w:hAnsi="Century" w:cs="Miriam" w:hint="cs"/>
          <w:b/>
          <w:spacing w:val="0"/>
          <w:szCs w:val="24"/>
          <w:rtl/>
        </w:rPr>
        <w:t>חוסר מסוגלות</w:t>
      </w:r>
      <w:r w:rsidR="00B347E6" w:rsidRPr="00580A00">
        <w:rPr>
          <w:rFonts w:hint="cs"/>
          <w:rtl/>
        </w:rPr>
        <w:t xml:space="preserve"> להגיש את התביעה, וברי כי לא כל אימת שנגרם לתובע נזק נפשי שבגינו בחר להדחיק את הדברים, יהיה בכך כדי להביא לעצירת מירוץ ההתיישנות </w:t>
      </w:r>
      <w:r w:rsidR="00B347E6" w:rsidRPr="00580A00">
        <w:rPr>
          <w:rFonts w:ascii="Century" w:hAnsi="Century" w:hint="cs"/>
          <w:rtl/>
        </w:rPr>
        <w:t xml:space="preserve">(ראו לעניין זה: </w:t>
      </w:r>
      <w:r w:rsidR="00B347E6" w:rsidRPr="00580A00">
        <w:rPr>
          <w:rFonts w:ascii="Century" w:hAnsi="Century"/>
          <w:rtl/>
        </w:rPr>
        <w:t>ע</w:t>
      </w:r>
      <w:r w:rsidR="00B347E6" w:rsidRPr="00580A00">
        <w:rPr>
          <w:rFonts w:ascii="Century" w:hAnsi="Century" w:hint="cs"/>
          <w:rtl/>
        </w:rPr>
        <w:t>"</w:t>
      </w:r>
      <w:r w:rsidR="00B347E6" w:rsidRPr="00580A00">
        <w:rPr>
          <w:rFonts w:ascii="Century" w:hAnsi="Century"/>
          <w:rtl/>
        </w:rPr>
        <w:t>א 7313/09</w:t>
      </w:r>
      <w:r w:rsidR="00B347E6" w:rsidRPr="00580A00">
        <w:rPr>
          <w:rFonts w:ascii="Century" w:hAnsi="Century" w:hint="cs"/>
          <w:rtl/>
        </w:rPr>
        <w:t xml:space="preserve"> </w:t>
      </w:r>
      <w:r w:rsidR="00B347E6" w:rsidRPr="00580A00">
        <w:rPr>
          <w:rFonts w:ascii="Century" w:hAnsi="Century" w:cs="Miriam"/>
          <w:b/>
          <w:spacing w:val="0"/>
          <w:szCs w:val="24"/>
          <w:rtl/>
        </w:rPr>
        <w:t>קופת חולים לאומית נ' לוי</w:t>
      </w:r>
      <w:r w:rsidR="00B347E6" w:rsidRPr="00580A00">
        <w:rPr>
          <w:rFonts w:ascii="Century" w:hAnsi="Century" w:hint="cs"/>
          <w:rtl/>
        </w:rPr>
        <w:t xml:space="preserve">, פסקה 12 (18.11.2010) (להלן: עניין </w:t>
      </w:r>
      <w:r w:rsidR="00B347E6" w:rsidRPr="00580A00">
        <w:rPr>
          <w:rFonts w:ascii="Century" w:hAnsi="Century" w:cs="Miriam" w:hint="cs"/>
          <w:b/>
          <w:spacing w:val="0"/>
          <w:szCs w:val="24"/>
          <w:rtl/>
        </w:rPr>
        <w:t>לוי</w:t>
      </w:r>
      <w:r w:rsidR="00B347E6" w:rsidRPr="00580A00">
        <w:rPr>
          <w:rFonts w:ascii="Century" w:hAnsi="Century" w:hint="cs"/>
          <w:rtl/>
        </w:rPr>
        <w:t xml:space="preserve">); </w:t>
      </w:r>
      <w:r w:rsidR="00B347E6" w:rsidRPr="00580A00">
        <w:rPr>
          <w:rFonts w:ascii="Century" w:hAnsi="Century"/>
          <w:rtl/>
        </w:rPr>
        <w:t>ע</w:t>
      </w:r>
      <w:r w:rsidR="00B347E6" w:rsidRPr="00580A00">
        <w:rPr>
          <w:rFonts w:ascii="Century" w:hAnsi="Century" w:hint="cs"/>
          <w:rtl/>
        </w:rPr>
        <w:t>"</w:t>
      </w:r>
      <w:r w:rsidR="00B347E6" w:rsidRPr="00580A00">
        <w:rPr>
          <w:rFonts w:ascii="Century" w:hAnsi="Century"/>
          <w:rtl/>
        </w:rPr>
        <w:t>א 7426/14</w:t>
      </w:r>
      <w:r w:rsidR="00B347E6" w:rsidRPr="00580A00">
        <w:rPr>
          <w:rFonts w:ascii="Century" w:hAnsi="Century" w:hint="cs"/>
          <w:rtl/>
        </w:rPr>
        <w:t xml:space="preserve"> </w:t>
      </w:r>
      <w:r w:rsidR="00B347E6" w:rsidRPr="00580A00">
        <w:rPr>
          <w:rFonts w:ascii="Century" w:hAnsi="Century"/>
          <w:rtl/>
        </w:rPr>
        <w:t>‏</w:t>
      </w:r>
      <w:r w:rsidR="00B347E6" w:rsidRPr="00580A00">
        <w:rPr>
          <w:rFonts w:ascii="Century" w:hAnsi="Century" w:cs="Miriam"/>
          <w:b/>
          <w:spacing w:val="0"/>
          <w:szCs w:val="24"/>
          <w:rtl/>
        </w:rPr>
        <w:t>פלונית נ' דניאל</w:t>
      </w:r>
      <w:r w:rsidR="00B347E6" w:rsidRPr="00580A00">
        <w:rPr>
          <w:rFonts w:ascii="Century" w:hAnsi="Century" w:hint="cs"/>
          <w:rtl/>
        </w:rPr>
        <w:t xml:space="preserve">, פסקה 52 לפסק דיני, פסקה 8 לפסק דינה של השופטת </w:t>
      </w:r>
      <w:r w:rsidR="00B347E6" w:rsidRPr="00580A00">
        <w:rPr>
          <w:rFonts w:ascii="Century" w:hAnsi="Century" w:cs="Miriam" w:hint="cs"/>
          <w:b/>
          <w:spacing w:val="0"/>
          <w:szCs w:val="24"/>
          <w:rtl/>
        </w:rPr>
        <w:t>ברק-ארז</w:t>
      </w:r>
      <w:r w:rsidR="00B347E6" w:rsidRPr="00580A00">
        <w:rPr>
          <w:rFonts w:ascii="Century" w:hAnsi="Century" w:hint="cs"/>
          <w:rtl/>
        </w:rPr>
        <w:t xml:space="preserve"> (14.3.2016) (להלן: עניין </w:t>
      </w:r>
      <w:r w:rsidR="00B347E6" w:rsidRPr="00580A00">
        <w:rPr>
          <w:rFonts w:ascii="Century" w:hAnsi="Century" w:cs="Miriam" w:hint="cs"/>
          <w:b/>
          <w:spacing w:val="0"/>
          <w:szCs w:val="24"/>
          <w:rtl/>
        </w:rPr>
        <w:t>דניאל</w:t>
      </w:r>
      <w:r w:rsidR="00B347E6" w:rsidRPr="00580A00">
        <w:rPr>
          <w:rFonts w:ascii="Century" w:hAnsi="Century" w:hint="cs"/>
          <w:rtl/>
        </w:rPr>
        <w:t xml:space="preserve">); ישראל גלעד </w:t>
      </w:r>
      <w:r w:rsidR="00B347E6" w:rsidRPr="00580A00">
        <w:rPr>
          <w:rFonts w:ascii="Century" w:hAnsi="Century" w:cs="Miriam" w:hint="cs"/>
          <w:b/>
          <w:spacing w:val="0"/>
          <w:szCs w:val="24"/>
          <w:rtl/>
        </w:rPr>
        <w:t>התיישנות בדין האזרחי</w:t>
      </w:r>
      <w:r w:rsidR="00B347E6" w:rsidRPr="00580A00">
        <w:rPr>
          <w:rFonts w:ascii="Century" w:hAnsi="Century" w:hint="cs"/>
          <w:rtl/>
        </w:rPr>
        <w:t xml:space="preserve"> 338 (2022) (להלן: </w:t>
      </w:r>
      <w:r w:rsidR="00B347E6" w:rsidRPr="00580A00">
        <w:rPr>
          <w:rFonts w:ascii="Century" w:hAnsi="Century" w:cs="Miriam" w:hint="cs"/>
          <w:b/>
          <w:spacing w:val="0"/>
          <w:szCs w:val="24"/>
          <w:rtl/>
        </w:rPr>
        <w:t>גלעד</w:t>
      </w:r>
      <w:r w:rsidR="00B347E6" w:rsidRPr="00580A00">
        <w:rPr>
          <w:rFonts w:ascii="Century" w:hAnsi="Century" w:hint="cs"/>
          <w:rtl/>
        </w:rPr>
        <w:t>)). במקרה שלפנינו אין חולק כי סעיף 11 לחוק ההתיישנות לא חל, ולא בכדי טענה שכזו לא הועלתה. בנסיבות אלו, לא ניתן "לעקוף" את תנאי סעיף 11 לחוק באמצעות סעיף 8 לחוק, בבחינת "הדחקה" שאמנם אינה עולה כדי חוסר מסוגלות, אך כזו שיש בה כביכול כדי להביא לדחיית פתיחת מירוץ ההתיישנות.</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39</w:t>
      </w:r>
      <w:r w:rsidR="00B347E6" w:rsidRPr="00580A00">
        <w:rPr>
          <w:rFonts w:ascii="Century" w:hAnsi="Century" w:hint="cs"/>
          <w:rtl/>
        </w:rPr>
        <w:t>.</w:t>
      </w:r>
      <w:r w:rsidR="00B347E6" w:rsidRPr="00580A00">
        <w:rPr>
          <w:rFonts w:ascii="Century" w:hAnsi="Century"/>
          <w:rtl/>
        </w:rPr>
        <w:tab/>
      </w:r>
      <w:r w:rsidR="00B347E6" w:rsidRPr="00580A00">
        <w:rPr>
          <w:rFonts w:ascii="Century" w:hAnsi="Century" w:hint="cs"/>
          <w:rtl/>
        </w:rPr>
        <w:t xml:space="preserve">לא נעלם מעיניי כי במקרה שלפנינו אין מדובר בתובע </w:t>
      </w:r>
      <w:r w:rsidR="00B347E6" w:rsidRPr="00580A00">
        <w:rPr>
          <w:rFonts w:ascii="Century" w:hAnsi="Century" w:cs="Miriam" w:hint="cs"/>
          <w:b/>
          <w:spacing w:val="0"/>
          <w:szCs w:val="24"/>
          <w:rtl/>
        </w:rPr>
        <w:t>שידע</w:t>
      </w:r>
      <w:r w:rsidR="00B347E6" w:rsidRPr="00580A00">
        <w:rPr>
          <w:rFonts w:ascii="Century" w:hAnsi="Century" w:hint="cs"/>
          <w:rtl/>
        </w:rPr>
        <w:t xml:space="preserve"> כי נגרם לו נזק ולמרות זאת התמהמה בהגשת התביעה, אלא בניזוק </w:t>
      </w:r>
      <w:r w:rsidR="00B347E6" w:rsidRPr="00580A00">
        <w:rPr>
          <w:rFonts w:ascii="Century" w:hAnsi="Century" w:cs="Miriam" w:hint="cs"/>
          <w:b/>
          <w:spacing w:val="0"/>
          <w:szCs w:val="24"/>
          <w:rtl/>
        </w:rPr>
        <w:t>שכלל לא ידע</w:t>
      </w:r>
      <w:r w:rsidR="00B347E6" w:rsidRPr="00580A00">
        <w:rPr>
          <w:rFonts w:ascii="Century" w:hAnsi="Century" w:hint="cs"/>
          <w:rtl/>
        </w:rPr>
        <w:t xml:space="preserve"> על הנזק מושא התביעה במשך תקופה ארוכה. בכך שונה ענייננו מהמצב הטיפוסי שבו ניזוק סבל נזק כתוצאה מאירוע נזיקי, </w:t>
      </w:r>
      <w:r w:rsidR="00B347E6" w:rsidRPr="00580A00">
        <w:rPr>
          <w:rFonts w:ascii="Century" w:hAnsi="Century" w:cs="Miriam" w:hint="cs"/>
          <w:b/>
          <w:spacing w:val="0"/>
          <w:szCs w:val="24"/>
          <w:rtl/>
        </w:rPr>
        <w:t>ובשל נזק זה</w:t>
      </w:r>
      <w:r w:rsidR="00B347E6" w:rsidRPr="00580A00">
        <w:rPr>
          <w:rFonts w:ascii="Century" w:hAnsi="Century" w:hint="cs"/>
          <w:rtl/>
        </w:rPr>
        <w:t xml:space="preserve"> הוא נאלץ להתמודד עם קשיים ולכן נמנע במשך תקופה מלחקור ולדרוש לגבי מצבו המשפטי והעובדתי (כמתואר בעניין </w:t>
      </w:r>
      <w:r w:rsidR="00B347E6" w:rsidRPr="00580A00">
        <w:rPr>
          <w:rFonts w:ascii="Century" w:hAnsi="Century" w:cs="Miriam" w:hint="cs"/>
          <w:b/>
          <w:spacing w:val="0"/>
          <w:szCs w:val="24"/>
          <w:rtl/>
        </w:rPr>
        <w:t>פלוני</w:t>
      </w:r>
      <w:r w:rsidR="00B347E6" w:rsidRPr="00580A00">
        <w:rPr>
          <w:rFonts w:ascii="Century" w:hAnsi="Century" w:hint="cs"/>
          <w:rtl/>
        </w:rPr>
        <w:t xml:space="preserve"> המוזכר לעיל). במילים אחרות: במקרה שלפנינו, המשיב-הניזוק היה נתון במצב נפשי לא פשוט בשל נסיבות חיצוניות (הלחימה במבצע "חומת מגן"), ובגין מצב נפשי זה הוא בחר להימנע מלצפות בסרט, מה שהוביל לכך שהוא </w:t>
      </w:r>
      <w:r w:rsidR="00B347E6" w:rsidRPr="00580A00">
        <w:rPr>
          <w:rFonts w:ascii="Century" w:hAnsi="Century" w:cs="Miriam" w:hint="cs"/>
          <w:b/>
          <w:spacing w:val="0"/>
          <w:szCs w:val="24"/>
          <w:rtl/>
        </w:rPr>
        <w:t xml:space="preserve">לא גילה כי בוצעה עוולה כלפיו </w:t>
      </w:r>
      <w:r w:rsidR="00B347E6" w:rsidRPr="00580A00">
        <w:rPr>
          <w:rFonts w:ascii="Century" w:hAnsi="Century" w:hint="cs"/>
          <w:rtl/>
        </w:rPr>
        <w:t>באופן אישי</w:t>
      </w:r>
      <w:r w:rsidR="00B347E6" w:rsidRPr="00580A00">
        <w:rPr>
          <w:rFonts w:ascii="Century" w:hAnsi="Century" w:cs="Miriam" w:hint="cs"/>
          <w:b/>
          <w:spacing w:val="0"/>
          <w:szCs w:val="24"/>
          <w:rtl/>
        </w:rPr>
        <w:t xml:space="preserve"> </w:t>
      </w:r>
      <w:r w:rsidR="00B347E6" w:rsidRPr="00580A00">
        <w:rPr>
          <w:rFonts w:ascii="Century" w:hAnsi="Century" w:hint="cs"/>
          <w:rtl/>
        </w:rPr>
        <w:t>כתוצאה מפרסום סרטו של המערער</w:t>
      </w:r>
      <w:r w:rsidR="00B347E6">
        <w:rPr>
          <w:rFonts w:ascii="Century" w:hAnsi="Century" w:hint="cs"/>
          <w:rtl/>
        </w:rPr>
        <w:t xml:space="preserve"> </w:t>
      </w:r>
      <w:r w:rsidR="00B347E6" w:rsidRPr="00580A00">
        <w:rPr>
          <w:rFonts w:ascii="Century" w:hAnsi="Century" w:hint="cs"/>
          <w:rtl/>
        </w:rPr>
        <w:t>(וממילא לא ידע כי נגרם לו נזק). מכאן הטענה כי המשיב לא ידע על "העובדות המהוות את עילת התובענה", וכי בשל כך יש תחולה לסעיף 8 לחוק ההתיישנות. דומה כי לכך כיוון בית משפט קמא בהתייחסו להעדר הידיעה של המשיב לגבי עובדת הופעתו בסרט, ואביא את הדברים כלשונם:</w:t>
      </w:r>
    </w:p>
    <w:p w:rsidR="00B347E6" w:rsidRPr="00580A00" w:rsidRDefault="00B347E6" w:rsidP="00B347E6">
      <w:pPr>
        <w:pStyle w:val="Ruller41"/>
        <w:rPr>
          <w:rFonts w:ascii="Century" w:hAnsi="Century"/>
          <w:rtl/>
        </w:rPr>
      </w:pPr>
    </w:p>
    <w:p w:rsidR="00B347E6" w:rsidRPr="00580A00" w:rsidRDefault="00B347E6" w:rsidP="00B347E6">
      <w:pPr>
        <w:pStyle w:val="Ruller5"/>
        <w:rPr>
          <w:rtl/>
        </w:rPr>
      </w:pPr>
      <w:r w:rsidRPr="00580A00">
        <w:rPr>
          <w:rFonts w:hint="cs"/>
          <w:rtl/>
        </w:rPr>
        <w:t>"</w:t>
      </w:r>
      <w:r w:rsidRPr="00580A00">
        <w:rPr>
          <w:rtl/>
        </w:rPr>
        <w:t xml:space="preserve">לעניין זה יש </w:t>
      </w:r>
      <w:r w:rsidRPr="00580A00">
        <w:rPr>
          <w:rFonts w:hint="cs"/>
          <w:rtl/>
        </w:rPr>
        <w:t>להוסיף ו</w:t>
      </w:r>
      <w:r w:rsidRPr="00580A00">
        <w:rPr>
          <w:rtl/>
        </w:rPr>
        <w:t>להבחן בין עניינו של מי שיש בידיו את כלל הנתונים המהווים את עילת תביעתו ובוחר שלא לפתוח בהליך המשפטי; לבין עניינו של מי שאינו מודע לכלל העובדות המרכיבות את עילת תביעתו, והעדר הבירור מקורו ב</w:t>
      </w:r>
      <w:r w:rsidRPr="00580A00">
        <w:rPr>
          <w:rFonts w:hint="cs"/>
          <w:rtl/>
        </w:rPr>
        <w:t xml:space="preserve">אותה </w:t>
      </w:r>
      <w:r w:rsidRPr="00580A00">
        <w:rPr>
          <w:rtl/>
        </w:rPr>
        <w:t>התנהלות אנושית של אי רצון לחזור ולעסוק באירוע טראומתי בו נטל חלק</w:t>
      </w:r>
      <w:r w:rsidRPr="00580A00">
        <w:rPr>
          <w:rFonts w:hint="cs"/>
          <w:rtl/>
        </w:rPr>
        <w:t xml:space="preserve">" (פסקה 87 לפסק דינו). </w:t>
      </w:r>
    </w:p>
    <w:p w:rsidR="00B347E6" w:rsidRPr="00580A00" w:rsidRDefault="00B347E6" w:rsidP="00B347E6">
      <w:pPr>
        <w:pStyle w:val="Ruller5"/>
        <w:rPr>
          <w:rtl/>
        </w:rPr>
      </w:pPr>
    </w:p>
    <w:p w:rsidR="00B347E6" w:rsidRPr="00580A00" w:rsidRDefault="00B347E6" w:rsidP="00B347E6">
      <w:pPr>
        <w:pStyle w:val="Ruller5"/>
        <w:rPr>
          <w:rtl/>
        </w:rPr>
      </w:pPr>
    </w:p>
    <w:p w:rsidR="00B347E6" w:rsidRPr="00580A00" w:rsidRDefault="00B347E6" w:rsidP="00B347E6">
      <w:pPr>
        <w:pStyle w:val="Ruller41"/>
        <w:rPr>
          <w:rtl/>
        </w:rPr>
      </w:pPr>
      <w:r w:rsidRPr="00580A00">
        <w:rPr>
          <w:rtl/>
        </w:rPr>
        <w:tab/>
      </w:r>
      <w:r w:rsidRPr="00580A00">
        <w:rPr>
          <w:rFonts w:hint="cs"/>
          <w:rtl/>
        </w:rPr>
        <w:t>אלא שדומה כי דברים אלו מוסבים, פעם נוספת, על ההיבט הסובייקטיבי של כלל הגילוי המאוחר, קרי מה ידע או לא ידע המשיב.</w:t>
      </w:r>
      <w:r w:rsidRPr="00580A00">
        <w:rPr>
          <w:rFonts w:ascii="Century" w:hAnsi="Century" w:hint="cs"/>
          <w:rtl/>
        </w:rPr>
        <w:t xml:space="preserve"> </w:t>
      </w:r>
      <w:r w:rsidRPr="00580A00">
        <w:rPr>
          <w:rFonts w:hint="cs"/>
          <w:rtl/>
        </w:rPr>
        <w:t xml:space="preserve">ואולם, כפי שהוסבר, תחולתו של סעיף 8 לחוק מותנית גם בכך שהתובע </w:t>
      </w:r>
      <w:r w:rsidRPr="00580A00">
        <w:rPr>
          <w:rFonts w:ascii="Century" w:hAnsi="Century" w:cs="Miriam" w:hint="cs"/>
          <w:b/>
          <w:spacing w:val="0"/>
          <w:szCs w:val="24"/>
          <w:rtl/>
        </w:rPr>
        <w:t>לא יכול היה</w:t>
      </w:r>
      <w:r w:rsidRPr="00580A00">
        <w:rPr>
          <w:rFonts w:hint="cs"/>
          <w:rtl/>
        </w:rPr>
        <w:t xml:space="preserve"> </w:t>
      </w:r>
      <w:r w:rsidRPr="00580A00">
        <w:rPr>
          <w:rFonts w:ascii="Century" w:hAnsi="Century" w:cs="Miriam" w:hint="cs"/>
          <w:b/>
          <w:spacing w:val="0"/>
          <w:szCs w:val="24"/>
          <w:rtl/>
        </w:rPr>
        <w:t>לגלות</w:t>
      </w:r>
      <w:r w:rsidRPr="00580A00">
        <w:rPr>
          <w:rFonts w:hint="cs"/>
          <w:rtl/>
        </w:rPr>
        <w:t xml:space="preserve"> את העובדות המקימות את עילת התובענה. לעתים התובע אינו מודע למעשה או המחדל הרלוונטיים, לעתים הוא אינו מודע לזהותו של הנתבע-המזיק, לעתים הוא אינו מודע לנזק שנגרם לו, ולעתים הוא אינו מודע לרכיב הקשר הסיבתי בין המעשה לנזק. המשותף לכולם, שלא די באי-גילוי </w:t>
      </w:r>
      <w:r w:rsidRPr="00580A00">
        <w:rPr>
          <w:rFonts w:ascii="Century" w:hAnsi="Century" w:cs="Miriam" w:hint="cs"/>
          <w:b/>
          <w:spacing w:val="0"/>
          <w:szCs w:val="24"/>
          <w:rtl/>
        </w:rPr>
        <w:t>בפועל</w:t>
      </w:r>
      <w:r w:rsidRPr="00580A00">
        <w:rPr>
          <w:rFonts w:hint="cs"/>
          <w:rtl/>
        </w:rPr>
        <w:t xml:space="preserve"> כדי להביא לדחיית מירוץ ההתיישנות. עמדה על הדברים השופטת </w:t>
      </w:r>
      <w:r w:rsidRPr="00580A00">
        <w:rPr>
          <w:rFonts w:ascii="Century" w:hAnsi="Century" w:cs="Miriam" w:hint="cs"/>
          <w:b/>
          <w:spacing w:val="0"/>
          <w:szCs w:val="24"/>
          <w:rtl/>
        </w:rPr>
        <w:t>פרוקצ'יה</w:t>
      </w:r>
      <w:r w:rsidRPr="00580A00">
        <w:rPr>
          <w:rFonts w:hint="cs"/>
          <w:rtl/>
        </w:rPr>
        <w:t xml:space="preserve"> </w:t>
      </w:r>
      <w:r w:rsidRPr="00580A00">
        <w:rPr>
          <w:rFonts w:ascii="Century" w:hAnsi="Century" w:hint="cs"/>
          <w:rtl/>
        </w:rPr>
        <w:t>ב</w:t>
      </w:r>
      <w:r w:rsidRPr="00580A00">
        <w:rPr>
          <w:rFonts w:ascii="Century" w:hAnsi="Century"/>
          <w:rtl/>
        </w:rPr>
        <w:t>ע</w:t>
      </w:r>
      <w:r w:rsidRPr="00580A00">
        <w:rPr>
          <w:rFonts w:ascii="Century" w:hAnsi="Century" w:hint="cs"/>
          <w:rtl/>
        </w:rPr>
        <w:t>"</w:t>
      </w:r>
      <w:r w:rsidRPr="00580A00">
        <w:rPr>
          <w:rFonts w:ascii="Century" w:hAnsi="Century"/>
          <w:rtl/>
        </w:rPr>
        <w:t>א 2206/08</w:t>
      </w:r>
      <w:r w:rsidRPr="00580A00">
        <w:rPr>
          <w:rFonts w:ascii="Century" w:hAnsi="Century" w:hint="cs"/>
          <w:rtl/>
        </w:rPr>
        <w:t xml:space="preserve"> </w:t>
      </w:r>
      <w:r w:rsidRPr="00580A00">
        <w:rPr>
          <w:rFonts w:ascii="Century" w:hAnsi="Century" w:cs="Miriam"/>
          <w:b/>
          <w:spacing w:val="0"/>
          <w:szCs w:val="24"/>
          <w:rtl/>
        </w:rPr>
        <w:t>סיגמן נ' חב' דובק בע"מ</w:t>
      </w:r>
      <w:r w:rsidRPr="00580A00">
        <w:rPr>
          <w:rFonts w:ascii="Century" w:hAnsi="Century" w:cs="Miriam" w:hint="cs"/>
          <w:b/>
          <w:spacing w:val="0"/>
          <w:szCs w:val="24"/>
          <w:rtl/>
        </w:rPr>
        <w:t xml:space="preserve"> </w:t>
      </w:r>
      <w:r w:rsidRPr="00580A00">
        <w:rPr>
          <w:rFonts w:ascii="Century" w:hAnsi="Century" w:hint="cs"/>
          <w:rtl/>
        </w:rPr>
        <w:t>(11.7.2010)</w:t>
      </w:r>
      <w:r w:rsidRPr="00580A00">
        <w:rPr>
          <w:rFonts w:hint="cs"/>
          <w:rtl/>
        </w:rPr>
        <w:t xml:space="preserve"> ביחס לאי-גילוי רכיב הנזק:</w:t>
      </w:r>
    </w:p>
    <w:p w:rsidR="00B347E6" w:rsidRPr="00580A00" w:rsidRDefault="00B347E6" w:rsidP="00B347E6">
      <w:pPr>
        <w:pStyle w:val="Ruller41"/>
        <w:rPr>
          <w:rFonts w:ascii="Century" w:hAnsi="Century"/>
          <w:rtl/>
        </w:rPr>
      </w:pPr>
    </w:p>
    <w:p w:rsidR="00B347E6" w:rsidRPr="00580A00" w:rsidRDefault="00B347E6" w:rsidP="00B347E6">
      <w:pPr>
        <w:pStyle w:val="Ruller5"/>
        <w:rPr>
          <w:rFonts w:ascii="Century" w:hAnsi="Century"/>
          <w:rtl/>
        </w:rPr>
      </w:pPr>
      <w:r w:rsidRPr="00580A00">
        <w:rPr>
          <w:rFonts w:hint="cs"/>
          <w:rtl/>
        </w:rPr>
        <w:t>"</w:t>
      </w:r>
      <w:r w:rsidRPr="00580A00">
        <w:rPr>
          <w:rtl/>
        </w:rPr>
        <w:t xml:space="preserve">קביעת מבחן סובייקטיבי לפיו גילוי מאוחר של הנזק </w:t>
      </w:r>
      <w:r w:rsidRPr="00580A00">
        <w:rPr>
          <w:rFonts w:ascii="Century" w:hAnsi="Century"/>
          <w:rtl/>
        </w:rPr>
        <w:t>בעוולת נזיקין על פי סעיף 89</w:t>
      </w:r>
      <w:r w:rsidRPr="00580A00">
        <w:rPr>
          <w:rFonts w:ascii="Century" w:hAnsi="Century" w:hint="cs"/>
          <w:rtl/>
        </w:rPr>
        <w:t xml:space="preserve">(2) </w:t>
      </w:r>
      <w:r w:rsidRPr="00580A00">
        <w:rPr>
          <w:rFonts w:ascii="Century" w:hAnsi="Century"/>
          <w:rtl/>
        </w:rPr>
        <w:t xml:space="preserve">תלוי באופן מוחלט בתובע ובמידת נכונותו לפעול לגילוי הנזק, מערער את האיזון הראוי בין הגורמים השונים בדין ההתיישנות. הוא מאפשר לתובע </w:t>
      </w:r>
      <w:r w:rsidRPr="00580A00">
        <w:rPr>
          <w:rFonts w:ascii="Century" w:hAnsi="Century" w:hint="cs"/>
          <w:rtl/>
        </w:rPr>
        <w:t>'</w:t>
      </w:r>
      <w:r w:rsidRPr="00580A00">
        <w:rPr>
          <w:rFonts w:ascii="Century" w:hAnsi="Century"/>
          <w:rtl/>
        </w:rPr>
        <w:t>לישון על זכויותיו</w:t>
      </w:r>
      <w:r w:rsidRPr="00580A00">
        <w:rPr>
          <w:rFonts w:ascii="Century" w:hAnsi="Century" w:hint="cs"/>
          <w:rtl/>
        </w:rPr>
        <w:t>'</w:t>
      </w:r>
      <w:r w:rsidRPr="00580A00">
        <w:rPr>
          <w:rFonts w:ascii="Century" w:hAnsi="Century"/>
          <w:rtl/>
        </w:rPr>
        <w:t xml:space="preserve">, להתעלם מעובדות נזק הזמינות </w:t>
      </w:r>
      <w:r w:rsidRPr="00580A00">
        <w:rPr>
          <w:rFonts w:ascii="Century" w:hAnsi="Century" w:hint="cs"/>
          <w:rtl/>
        </w:rPr>
        <w:t>'</w:t>
      </w:r>
      <w:r w:rsidRPr="00580A00">
        <w:rPr>
          <w:rFonts w:ascii="Century" w:hAnsi="Century"/>
          <w:rtl/>
        </w:rPr>
        <w:t>בכח</w:t>
      </w:r>
      <w:r w:rsidRPr="00580A00">
        <w:rPr>
          <w:rFonts w:ascii="Century" w:hAnsi="Century" w:hint="cs"/>
          <w:rtl/>
        </w:rPr>
        <w:t>'</w:t>
      </w:r>
      <w:r w:rsidRPr="00580A00">
        <w:rPr>
          <w:rFonts w:ascii="Century" w:hAnsi="Century"/>
          <w:rtl/>
        </w:rPr>
        <w:t>, ואף שניתן לגלותן במאמץ סביר. הוא מאפשר לתובע שהתרשל בגילוי עובדות הנזק להתמהמה בהגשת התביעה, ולעכב במחדלו את מירוץ ההתיישנות, ומתנה את תחילת ההתיישנות ברצונו הטוב לפעול לגילוי עובדות שהיו זמינות וניתנות לגילוי כל העת. הדעת נותנת, כי דין ההתיישנות בנזיקין בענין מועד גילוי הנזק לא התכוון להביא לתוצאה כי מנין ההתיישנות יידחה עד לנקודת זמן שבה נתגלה הנזק בפועל על ידי התובע, גם מקום שניתן היה במאמץ סביר לגלותו קודם לכן. אין להניח כי הדין התכוון לפגוע באיזון העדין שבין האינטרסים המשולבים המרכיבים את הרציונל להתיישנות – של התובע, הנתבע, והציבור בכללו. סביר, אפוא, להניח, כי תכליתו של כלל הגילוי המאוחר של הנזק בסעיף 89</w:t>
      </w:r>
      <w:r w:rsidRPr="00580A00">
        <w:rPr>
          <w:rFonts w:ascii="Century" w:hAnsi="Century" w:hint="cs"/>
          <w:rtl/>
        </w:rPr>
        <w:t xml:space="preserve"> (2)</w:t>
      </w:r>
      <w:r w:rsidRPr="00580A00">
        <w:rPr>
          <w:rFonts w:ascii="Century" w:hAnsi="Century"/>
        </w:rPr>
        <w:t> </w:t>
      </w:r>
      <w:r w:rsidRPr="00580A00">
        <w:rPr>
          <w:rFonts w:ascii="Century" w:hAnsi="Century"/>
          <w:rtl/>
        </w:rPr>
        <w:t>לפקודה נועדה להחיל על התובע סטנדרט גילוי אובייקטיבי, המחייב מאמץ סביר מצידו לגילוי עובדות הנזק</w:t>
      </w:r>
      <w:r w:rsidRPr="00580A00">
        <w:rPr>
          <w:rFonts w:ascii="Century" w:hAnsi="Century" w:hint="cs"/>
          <w:rtl/>
        </w:rPr>
        <w:t xml:space="preserve">" (שם, פסקה 20). </w:t>
      </w:r>
    </w:p>
    <w:p w:rsidR="00B347E6" w:rsidRPr="00580A00" w:rsidRDefault="00B347E6" w:rsidP="00B347E6">
      <w:pPr>
        <w:pStyle w:val="Ruller5"/>
        <w:rPr>
          <w:rFonts w:ascii="Century" w:hAnsi="Century"/>
          <w:rtl/>
        </w:rPr>
      </w:pPr>
    </w:p>
    <w:p w:rsidR="00B347E6" w:rsidRPr="00580A00" w:rsidRDefault="00B347E6" w:rsidP="00B347E6">
      <w:pPr>
        <w:pStyle w:val="Ruller5"/>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 xml:space="preserve">דברים אלו של השופטת </w:t>
      </w:r>
      <w:r w:rsidRPr="00580A00">
        <w:rPr>
          <w:rFonts w:ascii="Century" w:hAnsi="Century" w:cs="Miriam" w:hint="cs"/>
          <w:b/>
          <w:spacing w:val="0"/>
          <w:szCs w:val="24"/>
          <w:rtl/>
        </w:rPr>
        <w:t>פרוקצ'יה</w:t>
      </w:r>
      <w:r w:rsidRPr="00580A00">
        <w:rPr>
          <w:rFonts w:ascii="Century" w:hAnsi="Century" w:hint="cs"/>
          <w:rtl/>
        </w:rPr>
        <w:t xml:space="preserve"> נאמרו ביחס לסעיף 89(2) לפקודת הנזיקין, והם עומדים בתוקפם בה במידה ביחס לסעיף 8 לחוק ההתיישנות (ראו שם ב</w:t>
      </w:r>
      <w:r>
        <w:rPr>
          <w:rFonts w:ascii="Century" w:hAnsi="Century" w:hint="cs"/>
          <w:rtl/>
        </w:rPr>
        <w:t xml:space="preserve">פסק דינה של </w:t>
      </w:r>
      <w:r w:rsidRPr="00580A00">
        <w:rPr>
          <w:rFonts w:ascii="Century" w:hAnsi="Century" w:hint="cs"/>
          <w:rtl/>
        </w:rPr>
        <w:t xml:space="preserve">השופטת </w:t>
      </w:r>
      <w:r w:rsidRPr="00580A00">
        <w:rPr>
          <w:rFonts w:ascii="Century" w:hAnsi="Century" w:cs="Miriam" w:hint="cs"/>
          <w:b/>
          <w:spacing w:val="0"/>
          <w:szCs w:val="24"/>
          <w:rtl/>
        </w:rPr>
        <w:t>ארבל</w:t>
      </w:r>
      <w:r>
        <w:rPr>
          <w:rFonts w:ascii="Century" w:hAnsi="Century" w:hint="cs"/>
          <w:rtl/>
        </w:rPr>
        <w:t xml:space="preserve"> (שנותרה באותה פרשה בדעת מיעוט)</w:t>
      </w:r>
      <w:r w:rsidRPr="00580A00">
        <w:rPr>
          <w:rFonts w:ascii="Century" w:hAnsi="Century" w:hint="cs"/>
          <w:rtl/>
        </w:rPr>
        <w:t xml:space="preserve">; וכן אצל </w:t>
      </w:r>
      <w:r w:rsidRPr="00580A00">
        <w:rPr>
          <w:rFonts w:ascii="Century" w:hAnsi="Century" w:cs="Miriam" w:hint="cs"/>
          <w:b/>
          <w:spacing w:val="0"/>
          <w:szCs w:val="24"/>
          <w:rtl/>
        </w:rPr>
        <w:t>גלעד</w:t>
      </w:r>
      <w:r w:rsidRPr="00580A00">
        <w:rPr>
          <w:rFonts w:ascii="Century" w:hAnsi="Century" w:hint="cs"/>
          <w:rtl/>
        </w:rPr>
        <w:t xml:space="preserve"> בעמ' 249 ה"ש 36). כמו כן, כשם שהדברים רלוונטיים לשאלת מודעותו של התובע לרכיב </w:t>
      </w:r>
      <w:r w:rsidRPr="00580A00">
        <w:rPr>
          <w:rFonts w:ascii="Century" w:hAnsi="Century" w:cs="Miriam" w:hint="cs"/>
          <w:b/>
          <w:spacing w:val="0"/>
          <w:szCs w:val="24"/>
          <w:rtl/>
        </w:rPr>
        <w:t>הנזק</w:t>
      </w:r>
      <w:r w:rsidRPr="00580A00">
        <w:rPr>
          <w:rFonts w:ascii="Century" w:hAnsi="Century" w:hint="cs"/>
          <w:rtl/>
        </w:rPr>
        <w:t xml:space="preserve">, כך כוחם יפה לגבי מודעותו של התובע ליתר העובדות המקימות את עילת התובענה. רוצה לומר, שהעובדה שהמשיב במקרה דנן לא היה מודע לעובדה שהוא מופיע בסרט, אינה פוטרת אותנו מהצורך לבחון, על פי אמת מידה אובייקטיבית, אם הוא יכול היה לגלות זאת במאמץ סביר. כפי שהוסבר בפסיקה, במסגרת בחינה אובייקטיבית זו יש לעמוד על הנסיבות </w:t>
      </w:r>
      <w:r w:rsidRPr="00580A00">
        <w:rPr>
          <w:rFonts w:ascii="Century" w:hAnsi="Century" w:cs="Miriam" w:hint="cs"/>
          <w:b/>
          <w:spacing w:val="0"/>
          <w:szCs w:val="24"/>
          <w:rtl/>
        </w:rPr>
        <w:t>החיצוניות</w:t>
      </w:r>
      <w:r w:rsidRPr="00580A00">
        <w:rPr>
          <w:rFonts w:ascii="Century" w:hAnsi="Century" w:hint="cs"/>
          <w:rtl/>
        </w:rPr>
        <w:t xml:space="preserve"> של המקרה (</w:t>
      </w:r>
      <w:r w:rsidRPr="00580A00">
        <w:rPr>
          <w:rFonts w:ascii="FrankRuehl" w:hAnsi="FrankRuehl"/>
          <w:sz w:val="28"/>
          <w:rtl/>
        </w:rPr>
        <w:t xml:space="preserve">כגון מושא הגילוי, המידע שכבר הצטבר אצל התובע </w:t>
      </w:r>
      <w:r w:rsidRPr="00580A00">
        <w:rPr>
          <w:rFonts w:ascii="FrankRuehl" w:hAnsi="FrankRuehl" w:hint="cs"/>
          <w:sz w:val="28"/>
          <w:rtl/>
        </w:rPr>
        <w:t>ושיעור</w:t>
      </w:r>
      <w:r w:rsidRPr="00580A00">
        <w:rPr>
          <w:rFonts w:ascii="FrankRuehl" w:hAnsi="FrankRuehl"/>
          <w:sz w:val="28"/>
          <w:rtl/>
        </w:rPr>
        <w:t xml:space="preserve"> הנזק</w:t>
      </w:r>
      <w:r w:rsidRPr="00580A00">
        <w:rPr>
          <w:rFonts w:ascii="FrankRuehl" w:hAnsi="FrankRuehl" w:hint="cs"/>
          <w:sz w:val="28"/>
          <w:rtl/>
        </w:rPr>
        <w:t>)</w:t>
      </w:r>
      <w:r w:rsidRPr="00580A00">
        <w:rPr>
          <w:rFonts w:ascii="Century" w:hAnsi="Century" w:hint="cs"/>
          <w:rtl/>
        </w:rPr>
        <w:t xml:space="preserve">, להבדיל מהנסיבות </w:t>
      </w:r>
      <w:r w:rsidRPr="00580A00">
        <w:rPr>
          <w:rFonts w:ascii="Century" w:hAnsi="Century" w:cs="Miriam" w:hint="cs"/>
          <w:b/>
          <w:spacing w:val="0"/>
          <w:szCs w:val="24"/>
          <w:rtl/>
        </w:rPr>
        <w:t>הפנימיות</w:t>
      </w:r>
      <w:r w:rsidRPr="00580A00">
        <w:rPr>
          <w:rFonts w:ascii="Century" w:hAnsi="Century" w:hint="cs"/>
          <w:rtl/>
        </w:rPr>
        <w:t xml:space="preserve"> הנסבות על תכונותיו האישיות-המיוחדות של התובע הספציפי (עניין </w:t>
      </w:r>
      <w:r w:rsidRPr="00580A00">
        <w:rPr>
          <w:rFonts w:ascii="Century" w:hAnsi="Century" w:cs="Miriam" w:hint="cs"/>
          <w:b/>
          <w:spacing w:val="0"/>
          <w:szCs w:val="24"/>
          <w:rtl/>
        </w:rPr>
        <w:t>גיא-ליפל</w:t>
      </w:r>
      <w:r w:rsidRPr="00580A00">
        <w:rPr>
          <w:rFonts w:ascii="Century" w:hAnsi="Century" w:hint="cs"/>
          <w:rtl/>
        </w:rPr>
        <w:t>, פסקאות 52, 56 סיפא).</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40</w:t>
      </w:r>
      <w:r w:rsidR="00B347E6" w:rsidRPr="00580A00">
        <w:rPr>
          <w:rFonts w:ascii="Century" w:hAnsi="Century" w:hint="cs"/>
          <w:rtl/>
        </w:rPr>
        <w:t>.</w:t>
      </w:r>
      <w:r w:rsidR="00B347E6" w:rsidRPr="00580A00">
        <w:rPr>
          <w:rFonts w:ascii="Century" w:hAnsi="Century"/>
          <w:rtl/>
        </w:rPr>
        <w:tab/>
      </w:r>
      <w:r w:rsidR="00B347E6" w:rsidRPr="00580A00">
        <w:rPr>
          <w:rFonts w:ascii="Century" w:hAnsi="Century" w:hint="cs"/>
          <w:rtl/>
        </w:rPr>
        <w:t>לנוכח האמור, אין ל</w:t>
      </w:r>
      <w:r w:rsidR="00B347E6">
        <w:rPr>
          <w:rFonts w:ascii="Century" w:hAnsi="Century" w:hint="cs"/>
          <w:rtl/>
        </w:rPr>
        <w:t>י</w:t>
      </w:r>
      <w:r w:rsidR="00B347E6" w:rsidRPr="00580A00">
        <w:rPr>
          <w:rFonts w:ascii="Century" w:hAnsi="Century" w:hint="cs"/>
          <w:rtl/>
        </w:rPr>
        <w:t xml:space="preserve"> אלא להפנות לקביעותיו העובדתיות של בית המשפט המחוזי. כזכור, בית המשפט קבע כי הוכח בפניו שהמשיב היה מודע לכך שהסרט קיים ולכך שננקטו הליכים משפטיים שונים ביחס להקרנתו; כי סוגיית תוכנו של הסרט וניהול הליכים המשפטיים ביחס אליו היו נושא לשיח בין הלוחמים; כי המשיב אישר כי בחר שלא לראות את הסרט; וכי לרשות המשיב עמדה אפשרות מעשית לראות את הסרט מבלי שנדרש למאמץ יוצא דופן לשם כך. </w:t>
      </w:r>
    </w:p>
    <w:p w:rsidR="00B347E6" w:rsidRPr="00580A00" w:rsidRDefault="00B347E6" w:rsidP="00B347E6">
      <w:pPr>
        <w:pStyle w:val="Ruller41"/>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מצע עובדתי זה מוביל למסקנה כי תנאיו של סעיף 8 לחוק ההתיישנות לא נתמלאו במקרה דנן. אמנם, יכולתו של תובע לגלות את העובדות בנקל, אין בה כשלעצמה כדי להעיד בהכרח כי התנהגותו היתה בלתי סבירה (</w:t>
      </w:r>
      <w:r w:rsidRPr="00580A00">
        <w:rPr>
          <w:rFonts w:ascii="Century" w:hAnsi="Century"/>
          <w:rtl/>
        </w:rPr>
        <w:t>ע</w:t>
      </w:r>
      <w:r w:rsidRPr="00580A00">
        <w:rPr>
          <w:rFonts w:ascii="Century" w:hAnsi="Century" w:hint="cs"/>
          <w:rtl/>
        </w:rPr>
        <w:t>"</w:t>
      </w:r>
      <w:r w:rsidRPr="00580A00">
        <w:rPr>
          <w:rFonts w:ascii="Century" w:hAnsi="Century"/>
          <w:rtl/>
        </w:rPr>
        <w:t xml:space="preserve">א 1349/05 </w:t>
      </w:r>
      <w:r w:rsidRPr="00580A00">
        <w:rPr>
          <w:rFonts w:ascii="Century" w:hAnsi="Century" w:cs="Miriam"/>
          <w:b/>
          <w:spacing w:val="0"/>
          <w:szCs w:val="24"/>
          <w:rtl/>
        </w:rPr>
        <w:t>שוב נ' בנק ירושלים</w:t>
      </w:r>
      <w:r w:rsidRPr="00580A00">
        <w:rPr>
          <w:rFonts w:ascii="Century" w:hAnsi="Century" w:hint="cs"/>
          <w:rtl/>
        </w:rPr>
        <w:t xml:space="preserve">, פסקה 2 לפסק דינו של המשנה לנשיאה </w:t>
      </w:r>
      <w:r w:rsidRPr="00580A00">
        <w:rPr>
          <w:rFonts w:ascii="Century" w:hAnsi="Century" w:cs="Miriam" w:hint="cs"/>
          <w:b/>
          <w:spacing w:val="0"/>
          <w:szCs w:val="24"/>
          <w:rtl/>
        </w:rPr>
        <w:t>ריבלין</w:t>
      </w:r>
      <w:r w:rsidRPr="00580A00">
        <w:rPr>
          <w:rFonts w:ascii="Century" w:hAnsi="Century" w:hint="cs"/>
          <w:rtl/>
        </w:rPr>
        <w:t xml:space="preserve"> ופסק דינו של השופט </w:t>
      </w:r>
      <w:r w:rsidRPr="00580A00">
        <w:rPr>
          <w:rFonts w:ascii="Century" w:hAnsi="Century" w:cs="Miriam" w:hint="cs"/>
          <w:b/>
          <w:spacing w:val="0"/>
          <w:szCs w:val="24"/>
          <w:rtl/>
        </w:rPr>
        <w:t>ג'ובראן</w:t>
      </w:r>
      <w:r w:rsidRPr="00580A00">
        <w:rPr>
          <w:rFonts w:ascii="Century" w:hAnsi="Century" w:hint="cs"/>
          <w:rtl/>
        </w:rPr>
        <w:t xml:space="preserve"> (18.3.2009); עניין </w:t>
      </w:r>
      <w:r w:rsidRPr="00580A00">
        <w:rPr>
          <w:rFonts w:ascii="Century" w:hAnsi="Century" w:cs="Miriam" w:hint="cs"/>
          <w:b/>
          <w:spacing w:val="0"/>
          <w:szCs w:val="24"/>
          <w:rtl/>
        </w:rPr>
        <w:t>גיא-ליפל</w:t>
      </w:r>
      <w:r w:rsidRPr="00580A00">
        <w:rPr>
          <w:rFonts w:ascii="Century" w:hAnsi="Century" w:hint="cs"/>
          <w:rtl/>
        </w:rPr>
        <w:t>, פסקה 50). ואולם, מכלול הממצאים העובדתיים שנקבעו מובילים למסקנה הראשונית שאליה הגיע בית המשפט המחוזי שצוטטה לעיל, ולפיה "מקום בו אדם סביר מודע לכך שקיים סרט העוסק באירוע שבו הוא עצמו נטל חלק (מבצע חומת מגן), והוא אף יודע כי מתנהלים ביחס לאותו סרט הליכים משפטיים אשר מטרתם למנוע המשך הקרנתו עקב טענות שיש לכך משום הוצאת דיבה, ניתן היה לצפות כי אותו אדם יצפה בסרט, גם אם לא באופן מיידי, אך במהלך שבע שנים שלאחר הקרנתו המקורית" (פסקה 81 לפסק דינו). לעניין זה, איני סבור כי יש בסיס להבחין, לצורך יישום כלל הגילוי המאוחר, בין עניינו של המשיב לבין עניינם של ניזוקים אחרים המתמודדים עם קשיים כאלו ואחרים שבעטיים לא גילו את העובדות הנדרשות להגשת תביעתם. אלה גם אלה נדרשים לעמוד במבחן האובייקטיבי המעוגן בסעיף 8 לחוק ההתיישנות, וכפי שהוסבר, תנאיו של מבחן זה לא נתמלאו במקרה דנן.</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41</w:t>
      </w:r>
      <w:r w:rsidR="00B347E6" w:rsidRPr="00580A00">
        <w:rPr>
          <w:rFonts w:ascii="Century" w:hAnsi="Century" w:hint="cs"/>
          <w:rtl/>
        </w:rPr>
        <w:t>.</w:t>
      </w:r>
      <w:r w:rsidR="00B347E6" w:rsidRPr="00580A00">
        <w:rPr>
          <w:rFonts w:ascii="Century" w:hAnsi="Century"/>
          <w:rtl/>
        </w:rPr>
        <w:tab/>
      </w:r>
      <w:r w:rsidR="00B347E6" w:rsidRPr="00580A00">
        <w:rPr>
          <w:rFonts w:ascii="Century" w:hAnsi="Century" w:hint="cs"/>
          <w:rtl/>
        </w:rPr>
        <w:t xml:space="preserve">נחזור ונבהיר כי אין באמור כדי להטיל דופי כלשהו ביחס להתנהלותו של המשיב. כפי שצוין, בהחלט ניתן להבין ללבו של המשיב שבחר למשוך ידיו מכל עיסוק בסרט במשך תקופה ארוכה. אין זאת אלא שבאספקלריה הצרה של דיני ההתיישנות, לא די בקשיים שעמם נאלץ המשיב להתמודד כדי </w:t>
      </w:r>
      <w:r w:rsidR="00B347E6" w:rsidRPr="00580A00">
        <w:rPr>
          <w:rFonts w:ascii="Century" w:hAnsi="Century" w:hint="eastAsia"/>
          <w:rtl/>
        </w:rPr>
        <w:t>להשעות א</w:t>
      </w:r>
      <w:r w:rsidR="00B347E6" w:rsidRPr="00580A00">
        <w:rPr>
          <w:rFonts w:ascii="Century" w:hAnsi="Century" w:hint="cs"/>
          <w:rtl/>
        </w:rPr>
        <w:t xml:space="preserve">ת מירוץ ההתיישנות, ומשעה שהתשתית העובדתית במקרה דנן מובילה למסקנה כי היה על המשיב לגלות את העובדות המקימות את עילת התובענה במועד מוקדם יותר </w:t>
      </w:r>
      <w:r w:rsidR="00B347E6" w:rsidRPr="00580A00">
        <w:rPr>
          <w:rFonts w:ascii="Century" w:hAnsi="Century"/>
          <w:rtl/>
        </w:rPr>
        <w:t>–</w:t>
      </w:r>
      <w:r w:rsidR="00B347E6" w:rsidRPr="00580A00">
        <w:rPr>
          <w:rFonts w:ascii="Century" w:hAnsi="Century" w:hint="cs"/>
          <w:rtl/>
        </w:rPr>
        <w:t xml:space="preserve"> אין מנוס משלילת תחולתו של כלל הגילוי המאוחר. </w:t>
      </w:r>
    </w:p>
    <w:p w:rsidR="00B347E6" w:rsidRPr="00580A00" w:rsidRDefault="00B347E6" w:rsidP="00B347E6">
      <w:pPr>
        <w:pStyle w:val="Ruller41"/>
        <w:rPr>
          <w:rFonts w:ascii="Century" w:hAnsi="Century"/>
          <w:rtl/>
        </w:rPr>
      </w:pPr>
    </w:p>
    <w:p w:rsidR="00B347E6" w:rsidRPr="00580A00" w:rsidRDefault="00B347E6" w:rsidP="00DE70CB">
      <w:pPr>
        <w:pStyle w:val="Ruller41"/>
        <w:rPr>
          <w:rFonts w:ascii="Century" w:hAnsi="Century"/>
          <w:rtl/>
        </w:rPr>
      </w:pPr>
      <w:r w:rsidRPr="00580A00">
        <w:rPr>
          <w:rFonts w:ascii="Century" w:hAnsi="Century"/>
          <w:rtl/>
        </w:rPr>
        <w:tab/>
      </w:r>
      <w:r w:rsidRPr="00580A00">
        <w:rPr>
          <w:rFonts w:ascii="Century" w:hAnsi="Century" w:hint="cs"/>
          <w:rtl/>
        </w:rPr>
        <w:t xml:space="preserve">הערה: המסקנה כי </w:t>
      </w:r>
      <w:r w:rsidRPr="00580A00">
        <w:rPr>
          <w:rFonts w:ascii="Century" w:hAnsi="Century" w:cs="Miriam" w:hint="cs"/>
          <w:b/>
          <w:spacing w:val="0"/>
          <w:szCs w:val="24"/>
          <w:rtl/>
        </w:rPr>
        <w:t>גילוי</w:t>
      </w:r>
      <w:r w:rsidRPr="00580A00">
        <w:rPr>
          <w:rFonts w:ascii="Century" w:hAnsi="Century" w:hint="cs"/>
          <w:rtl/>
        </w:rPr>
        <w:t xml:space="preserve"> העובדות מצד המשיב במועד מוקדם יותר היה </w:t>
      </w:r>
      <w:r w:rsidRPr="00580A00">
        <w:rPr>
          <w:rFonts w:ascii="Century" w:hAnsi="Century" w:cs="Miriam" w:hint="cs"/>
          <w:b/>
          <w:spacing w:val="0"/>
          <w:szCs w:val="24"/>
          <w:rtl/>
        </w:rPr>
        <w:t>סביר</w:t>
      </w:r>
      <w:r w:rsidRPr="00580A00">
        <w:rPr>
          <w:rFonts w:ascii="Century" w:hAnsi="Century" w:hint="cs"/>
          <w:rtl/>
        </w:rPr>
        <w:t xml:space="preserve">, אין פירושה בהכרח כי </w:t>
      </w:r>
      <w:r w:rsidRPr="00580A00">
        <w:rPr>
          <w:rFonts w:ascii="Century" w:hAnsi="Century" w:cs="Miriam" w:hint="cs"/>
          <w:b/>
          <w:spacing w:val="0"/>
          <w:szCs w:val="24"/>
          <w:rtl/>
        </w:rPr>
        <w:t>אי-גילוי</w:t>
      </w:r>
      <w:r w:rsidRPr="00580A00">
        <w:rPr>
          <w:rFonts w:ascii="Century" w:hAnsi="Century" w:hint="cs"/>
          <w:rtl/>
        </w:rPr>
        <w:t xml:space="preserve"> העובדות מצד המשיב במקרה דנן היה </w:t>
      </w:r>
      <w:r w:rsidRPr="00580A00">
        <w:rPr>
          <w:rFonts w:ascii="Century" w:hAnsi="Century" w:cs="Miriam" w:hint="cs"/>
          <w:b/>
          <w:spacing w:val="0"/>
          <w:szCs w:val="24"/>
          <w:rtl/>
        </w:rPr>
        <w:t>בלתי סביר</w:t>
      </w:r>
      <w:r w:rsidRPr="00580A00">
        <w:rPr>
          <w:rFonts w:ascii="Century" w:hAnsi="Century" w:hint="cs"/>
          <w:rtl/>
        </w:rPr>
        <w:t xml:space="preserve">. רוצה לומר, שאין הכרח לייחס למשיב התנהלות בלתי סבירה, על מנת להגיע למסקנה כי היה עליו לגלות את העובדות במועד מוקדם יותר. הבחנה זו בין סבירות הגילוי לסבירות אי-הגילוי זכתה להתייחסותו של פרופ' </w:t>
      </w:r>
      <w:r w:rsidRPr="00580A00">
        <w:rPr>
          <w:rFonts w:ascii="Century" w:hAnsi="Century" w:cs="Miriam" w:hint="cs"/>
          <w:b/>
          <w:spacing w:val="0"/>
          <w:szCs w:val="24"/>
          <w:rtl/>
        </w:rPr>
        <w:t>גלעד</w:t>
      </w:r>
      <w:r w:rsidRPr="00580A00">
        <w:rPr>
          <w:rFonts w:ascii="Century" w:hAnsi="Century" w:hint="cs"/>
          <w:rtl/>
        </w:rPr>
        <w:t xml:space="preserve"> וכונתה על ידו סוגיית "הסבירות הכפולה". לשיטתו, לפי ההסדר המשתמע מלשון סעיף 8 לחוק ההתיישנות, די בכך שניתן היה "בזהירות ראויה" לגלות את הטעון גילוי כדי לשלול את תחולתו של כלל הגילוי המאוחר, וזאת גם אם באותה מידה היה זה סביר לא לגלות את הטעון גילוי (</w:t>
      </w:r>
      <w:r w:rsidRPr="00580A00">
        <w:rPr>
          <w:rFonts w:ascii="Century" w:hAnsi="Century" w:cs="Miriam" w:hint="cs"/>
          <w:b/>
          <w:spacing w:val="0"/>
          <w:szCs w:val="24"/>
          <w:rtl/>
        </w:rPr>
        <w:t>גלעד</w:t>
      </w:r>
      <w:r w:rsidRPr="00580A00">
        <w:rPr>
          <w:rFonts w:ascii="Century" w:hAnsi="Century" w:hint="cs"/>
          <w:rtl/>
        </w:rPr>
        <w:t>, עמ' 252-251). אימוץ גישה זו במקרה דנן מאפשר לראות את בחירתו של המשיב שלא לצפות בסרט כסבירה, ובד בבד לקבוע כי גילוי העובדות (קרי, צפייה בסרט במועד מוקדם יותר) היה אף ה</w:t>
      </w:r>
      <w:r w:rsidR="00DE70CB">
        <w:rPr>
          <w:rFonts w:ascii="Century" w:hAnsi="Century" w:hint="cs"/>
          <w:rtl/>
        </w:rPr>
        <w:t>ו</w:t>
      </w:r>
      <w:r w:rsidRPr="00580A00">
        <w:rPr>
          <w:rFonts w:ascii="Century" w:hAnsi="Century" w:hint="cs"/>
          <w:rtl/>
        </w:rPr>
        <w:t xml:space="preserve">א סביר, ומשכך נשללת תחולתו של סעיף 8 לחוק ההתיישנות. </w:t>
      </w:r>
      <w:r>
        <w:rPr>
          <w:rFonts w:ascii="Century" w:hAnsi="Century" w:hint="cs"/>
          <w:rtl/>
        </w:rPr>
        <w:t>לטעמי,</w:t>
      </w:r>
      <w:r w:rsidRPr="00580A00">
        <w:rPr>
          <w:rFonts w:ascii="Century" w:hAnsi="Century" w:hint="cs"/>
          <w:rtl/>
        </w:rPr>
        <w:t xml:space="preserve"> גישה זו ביחס לסוגיית "הסבירות הכפולה" מתיישבת על פניה עם לשונו של הסעיף ויש בה טעם. עם זאת, איני רואה לקבוע מסמרות לגביה במישור העקרוני, ו</w:t>
      </w:r>
      <w:r>
        <w:rPr>
          <w:rFonts w:ascii="Century" w:hAnsi="Century" w:hint="cs"/>
          <w:rtl/>
        </w:rPr>
        <w:t>א</w:t>
      </w:r>
      <w:r w:rsidRPr="00580A00">
        <w:rPr>
          <w:rFonts w:ascii="Century" w:hAnsi="Century" w:hint="cs"/>
          <w:rtl/>
        </w:rPr>
        <w:t xml:space="preserve">ותיר את הדברים </w:t>
      </w:r>
      <w:r>
        <w:rPr>
          <w:rFonts w:ascii="Century" w:hAnsi="Century" w:hint="cs"/>
          <w:rtl/>
        </w:rPr>
        <w:t xml:space="preserve">בצריך עיון </w:t>
      </w:r>
      <w:r w:rsidRPr="00580A00">
        <w:rPr>
          <w:rFonts w:ascii="Century" w:hAnsi="Century" w:hint="cs"/>
          <w:rtl/>
        </w:rPr>
        <w:t>למקרים עתידיים לכשיתעוררו.</w:t>
      </w:r>
    </w:p>
    <w:p w:rsidR="00B347E6" w:rsidRPr="00580A00" w:rsidRDefault="00B347E6" w:rsidP="00B347E6">
      <w:pPr>
        <w:pStyle w:val="Ruller41"/>
        <w:rPr>
          <w:rFonts w:ascii="Century" w:hAnsi="Century"/>
          <w:rtl/>
        </w:rPr>
      </w:pPr>
    </w:p>
    <w:p w:rsidR="00B347E6" w:rsidRPr="00580A00" w:rsidRDefault="008D6D79" w:rsidP="00B347E6">
      <w:pPr>
        <w:pStyle w:val="Ruller41"/>
        <w:rPr>
          <w:rFonts w:ascii="Century" w:hAnsi="Century"/>
          <w:rtl/>
        </w:rPr>
      </w:pPr>
      <w:r>
        <w:rPr>
          <w:rFonts w:ascii="Century" w:hAnsi="Century" w:hint="cs"/>
          <w:rtl/>
        </w:rPr>
        <w:t>42</w:t>
      </w:r>
      <w:r w:rsidR="00B347E6" w:rsidRPr="00580A00">
        <w:rPr>
          <w:rFonts w:ascii="Century" w:hAnsi="Century" w:hint="cs"/>
          <w:rtl/>
        </w:rPr>
        <w:t>.</w:t>
      </w:r>
      <w:r w:rsidR="00B347E6" w:rsidRPr="00580A00">
        <w:rPr>
          <w:rFonts w:ascii="Century" w:hAnsi="Century" w:hint="cs"/>
          <w:rtl/>
        </w:rPr>
        <w:tab/>
        <w:t xml:space="preserve">לסיכום חלק זה של הדיון: בחינת התשתית העובדתית במקרה דנן לאור הכללים המשפטיים וההלכה הפסוקה לגבי יסודותיו של סעיף 8 לחוק ההתיישנות, מובילה למסקנה כי לא נתמלאו תנאיו של הסעיף וכי אין תחולה לכלל הגילוי המאוחר. משכך, מסקנתו של בית המשפט המחוזי כי מירוץ ההתיישנות נפתח רק בשנת 2015 </w:t>
      </w:r>
      <w:r w:rsidR="00B347E6" w:rsidRPr="00580A00">
        <w:rPr>
          <w:rFonts w:ascii="Century" w:hAnsi="Century"/>
          <w:rtl/>
        </w:rPr>
        <w:t>–</w:t>
      </w:r>
      <w:r w:rsidR="00B347E6" w:rsidRPr="00580A00">
        <w:rPr>
          <w:rFonts w:ascii="Century" w:hAnsi="Century" w:hint="cs"/>
          <w:rtl/>
        </w:rPr>
        <w:t xml:space="preserve"> עת צפה המשיב בסרט לראשונה וגילה כי צילומו מופיע בסרט </w:t>
      </w:r>
      <w:r w:rsidR="00B347E6" w:rsidRPr="00580A00">
        <w:rPr>
          <w:rFonts w:ascii="Century" w:hAnsi="Century"/>
          <w:rtl/>
        </w:rPr>
        <w:t>–</w:t>
      </w:r>
      <w:r w:rsidR="00B347E6" w:rsidRPr="00580A00">
        <w:rPr>
          <w:rFonts w:ascii="Century" w:hAnsi="Century" w:hint="cs"/>
          <w:rtl/>
        </w:rPr>
        <w:t xml:space="preserve"> בטעות יסודה. </w:t>
      </w:r>
    </w:p>
    <w:p w:rsidR="00B347E6" w:rsidRPr="00580A00" w:rsidRDefault="00B347E6" w:rsidP="00B347E6">
      <w:pPr>
        <w:pStyle w:val="Ruller41"/>
        <w:rPr>
          <w:rFonts w:ascii="Century" w:hAnsi="Century"/>
          <w:rtl/>
        </w:rPr>
      </w:pPr>
    </w:p>
    <w:p w:rsidR="00B347E6" w:rsidRPr="00580A00" w:rsidRDefault="00B347E6" w:rsidP="00B347E6">
      <w:pPr>
        <w:pStyle w:val="Ruller41"/>
        <w:rPr>
          <w:rFonts w:ascii="Century" w:hAnsi="Century"/>
          <w:rtl/>
        </w:rPr>
      </w:pPr>
      <w:r w:rsidRPr="00580A00">
        <w:rPr>
          <w:rFonts w:ascii="Century" w:hAnsi="Century"/>
          <w:rtl/>
        </w:rPr>
        <w:tab/>
      </w:r>
      <w:r w:rsidRPr="00580A00">
        <w:rPr>
          <w:rFonts w:ascii="Century" w:hAnsi="Century" w:hint="cs"/>
          <w:rtl/>
        </w:rPr>
        <w:t xml:space="preserve">באנו אפוא לכלל מסקנה </w:t>
      </w:r>
      <w:r w:rsidRPr="00580A00">
        <w:rPr>
          <w:rFonts w:ascii="Century" w:hAnsi="Century"/>
          <w:rtl/>
        </w:rPr>
        <w:t>–</w:t>
      </w:r>
      <w:r w:rsidRPr="00580A00">
        <w:rPr>
          <w:rFonts w:ascii="Century" w:hAnsi="Century" w:hint="cs"/>
          <w:rtl/>
        </w:rPr>
        <w:t xml:space="preserve"> על דרך השלילה </w:t>
      </w:r>
      <w:r w:rsidRPr="00580A00">
        <w:rPr>
          <w:rFonts w:ascii="Century" w:hAnsi="Century"/>
          <w:rtl/>
        </w:rPr>
        <w:t>–</w:t>
      </w:r>
      <w:r w:rsidRPr="00580A00">
        <w:rPr>
          <w:rFonts w:ascii="Century" w:hAnsi="Century" w:hint="cs"/>
          <w:rtl/>
        </w:rPr>
        <w:t xml:space="preserve"> כי מירוץ ההתיישנות </w:t>
      </w:r>
      <w:r w:rsidRPr="00580A00">
        <w:rPr>
          <w:rFonts w:ascii="Century" w:hAnsi="Century" w:cs="Miriam" w:hint="cs"/>
          <w:b/>
          <w:spacing w:val="0"/>
          <w:szCs w:val="24"/>
          <w:rtl/>
        </w:rPr>
        <w:t>לא נפתח</w:t>
      </w:r>
      <w:r w:rsidRPr="00580A00">
        <w:rPr>
          <w:rFonts w:ascii="Century" w:hAnsi="Century" w:hint="cs"/>
          <w:rtl/>
        </w:rPr>
        <w:t xml:space="preserve"> במועד שבו צפה המשיב בסרט לראשונה. כעת, לצורך הכרעה בערעור שלפנינו, שומה עלינו לקבוע </w:t>
      </w:r>
      <w:r w:rsidRPr="00580A00">
        <w:rPr>
          <w:rFonts w:ascii="Century" w:hAnsi="Century"/>
          <w:rtl/>
        </w:rPr>
        <w:t>–</w:t>
      </w:r>
      <w:r w:rsidRPr="00580A00">
        <w:rPr>
          <w:rFonts w:ascii="Century" w:hAnsi="Century" w:hint="cs"/>
          <w:rtl/>
        </w:rPr>
        <w:t xml:space="preserve"> על דרך החיוב </w:t>
      </w:r>
      <w:r w:rsidRPr="00580A00">
        <w:rPr>
          <w:rFonts w:ascii="Century" w:hAnsi="Century"/>
          <w:rtl/>
        </w:rPr>
        <w:t>–</w:t>
      </w:r>
      <w:r w:rsidRPr="00580A00">
        <w:rPr>
          <w:rFonts w:ascii="Century" w:hAnsi="Century" w:hint="cs"/>
          <w:rtl/>
        </w:rPr>
        <w:t xml:space="preserve"> אימתי </w:t>
      </w:r>
      <w:r w:rsidRPr="00580A00">
        <w:rPr>
          <w:rFonts w:ascii="Century" w:hAnsi="Century" w:cs="Miriam" w:hint="cs"/>
          <w:b/>
          <w:spacing w:val="0"/>
          <w:szCs w:val="24"/>
          <w:rtl/>
        </w:rPr>
        <w:t>נפתח</w:t>
      </w:r>
      <w:r w:rsidRPr="00580A00">
        <w:rPr>
          <w:rFonts w:ascii="Century" w:hAnsi="Century" w:hint="cs"/>
          <w:rtl/>
        </w:rPr>
        <w:t xml:space="preserve"> מירוץ ההתיישנות של תביעתו של המשיב. אל שאלה זו נפנה עתה.  </w:t>
      </w:r>
    </w:p>
    <w:p w:rsidR="00493D1F" w:rsidRPr="00580A00" w:rsidRDefault="00493D1F" w:rsidP="00B347E6">
      <w:pPr>
        <w:pStyle w:val="Ruller41"/>
        <w:rPr>
          <w:rFonts w:ascii="Century" w:hAnsi="Century"/>
          <w:rtl/>
        </w:rPr>
      </w:pPr>
    </w:p>
    <w:p w:rsidR="00B347E6" w:rsidRPr="00580A00" w:rsidRDefault="00B347E6" w:rsidP="00B347E6">
      <w:pPr>
        <w:pStyle w:val="Ruller41"/>
        <w:rPr>
          <w:rFonts w:ascii="Century" w:hAnsi="Century" w:cs="Miriam"/>
          <w:b/>
          <w:spacing w:val="0"/>
          <w:szCs w:val="24"/>
          <w:rtl/>
        </w:rPr>
      </w:pPr>
      <w:r w:rsidRPr="00580A00">
        <w:rPr>
          <w:rFonts w:ascii="Century" w:hAnsi="Century" w:cs="Miriam" w:hint="cs"/>
          <w:b/>
          <w:spacing w:val="0"/>
          <w:szCs w:val="24"/>
          <w:rtl/>
        </w:rPr>
        <w:t>על "תביעות חוזרות"; בין עילה מתחדשת לעילה נמשכת-מתארכת</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43</w:t>
      </w:r>
      <w:r w:rsidR="00B347E6">
        <w:rPr>
          <w:rFonts w:ascii="Century" w:hAnsi="Century" w:hint="cs"/>
          <w:rtl/>
        </w:rPr>
        <w:t>.</w:t>
      </w:r>
      <w:r w:rsidR="00B347E6">
        <w:rPr>
          <w:rFonts w:ascii="Century" w:hAnsi="Century" w:hint="cs"/>
          <w:rtl/>
        </w:rPr>
        <w:tab/>
        <w:t xml:space="preserve">הכלל היסודי באשר למועד פתיחת מירוץ ההתיישנות מעוגן בסעיף 6 לחוק </w:t>
      </w:r>
      <w:r w:rsidR="00B347E6" w:rsidRPr="00873EAC">
        <w:rPr>
          <w:rFonts w:ascii="Century" w:hAnsi="Century" w:hint="cs"/>
          <w:rtl/>
        </w:rPr>
        <w:t>ההתיישנות, הקובע כי "</w:t>
      </w:r>
      <w:r w:rsidR="00B347E6" w:rsidRPr="00873EAC">
        <w:rPr>
          <w:rFonts w:ascii="Century" w:hAnsi="Century"/>
          <w:rtl/>
        </w:rPr>
        <w:t>תקופת ההתיישנות מתחילה ביום שבו נולדה עילת התובענה</w:t>
      </w:r>
      <w:r w:rsidR="00B347E6" w:rsidRPr="00873EAC">
        <w:rPr>
          <w:rFonts w:ascii="Century" w:hAnsi="Century" w:hint="cs"/>
          <w:rtl/>
        </w:rPr>
        <w:t>".</w:t>
      </w:r>
      <w:r w:rsidR="00B347E6">
        <w:rPr>
          <w:rFonts w:ascii="Century" w:hAnsi="Century" w:hint="cs"/>
          <w:rtl/>
        </w:rPr>
        <w:t xml:space="preserve"> השאלה מהי נקודת הזמן שבה עילת תביעה "נולדת" אינה תמיד פשוטה להכרעה ועשויה לעורר שאלות-משנה שונות שחלקן חורגות מענייננו. משכך, ולצורך שלב זה של הדיון, נסתפק באזכור הכלל שהשתרש בפסיקה, ולפיו מירוץ ההתיישנות נפתח במועד שבו </w:t>
      </w:r>
      <w:r w:rsidR="00B347E6">
        <w:rPr>
          <w:rFonts w:ascii="FrankRuehl" w:hAnsi="FrankRuehl"/>
          <w:color w:val="000000"/>
          <w:sz w:val="28"/>
          <w:rtl/>
        </w:rPr>
        <w:t>מתגבשות העובדות המהותיות המזכות את התובע בקיום החיוב כלפיו על ידי הנתבע</w:t>
      </w:r>
      <w:r w:rsidR="00B347E6">
        <w:rPr>
          <w:rFonts w:ascii="FrankRuehl" w:hAnsi="FrankRuehl" w:hint="cs"/>
          <w:color w:val="000000"/>
          <w:sz w:val="28"/>
          <w:rtl/>
        </w:rPr>
        <w:t xml:space="preserve">, קרי במועד שבו </w:t>
      </w:r>
      <w:r w:rsidR="00B347E6">
        <w:rPr>
          <w:rFonts w:ascii="FrankRuehl" w:hAnsi="FrankRuehl"/>
          <w:color w:val="000000"/>
          <w:sz w:val="28"/>
          <w:rtl/>
        </w:rPr>
        <w:t>אילו היה</w:t>
      </w:r>
      <w:r w:rsidR="00B347E6" w:rsidRPr="00E41438">
        <w:rPr>
          <w:rFonts w:ascii="Century" w:hAnsi="Century"/>
          <w:rtl/>
        </w:rPr>
        <w:t xml:space="preserve"> מגיש התובע את תביעתו לבית המשפט והיה מוכיח את כל העובדות המהותיות - היה זוכה בפסק דין</w:t>
      </w:r>
      <w:r w:rsidR="00B347E6" w:rsidRPr="00E41438">
        <w:rPr>
          <w:rFonts w:ascii="Century" w:hAnsi="Century" w:hint="cs"/>
          <w:rtl/>
        </w:rPr>
        <w:t xml:space="preserve"> (עניין </w:t>
      </w:r>
      <w:r w:rsidR="00B347E6" w:rsidRPr="00E41438">
        <w:rPr>
          <w:rFonts w:ascii="Century" w:hAnsi="Century" w:cs="Miriam" w:hint="cs"/>
          <w:b/>
          <w:spacing w:val="0"/>
          <w:szCs w:val="24"/>
          <w:rtl/>
        </w:rPr>
        <w:t>גיא-ליפל</w:t>
      </w:r>
      <w:r w:rsidR="00B347E6" w:rsidRPr="00E41438">
        <w:rPr>
          <w:rFonts w:ascii="Century" w:hAnsi="Century" w:hint="cs"/>
          <w:rtl/>
        </w:rPr>
        <w:t>, פסקה 44 והאסמכתאות שם</w:t>
      </w:r>
      <w:r w:rsidR="00B347E6">
        <w:rPr>
          <w:rFonts w:ascii="Century" w:hAnsi="Century" w:hint="cs"/>
          <w:rtl/>
        </w:rPr>
        <w:t>;</w:t>
      </w:r>
      <w:r w:rsidR="00B347E6" w:rsidRPr="00E41438">
        <w:rPr>
          <w:rFonts w:ascii="Century" w:hAnsi="Century" w:hint="cs"/>
          <w:rtl/>
        </w:rPr>
        <w:t xml:space="preserve"> ע"</w:t>
      </w:r>
      <w:r w:rsidR="00B347E6" w:rsidRPr="00E41438">
        <w:rPr>
          <w:rFonts w:ascii="Century" w:hAnsi="Century"/>
          <w:rtl/>
        </w:rPr>
        <w:t>א 8438/09</w:t>
      </w:r>
      <w:r w:rsidR="00B347E6" w:rsidRPr="00E41438">
        <w:rPr>
          <w:rFonts w:ascii="Century" w:hAnsi="Century" w:hint="cs"/>
          <w:rtl/>
        </w:rPr>
        <w:t xml:space="preserve"> </w:t>
      </w:r>
      <w:r w:rsidR="00B347E6" w:rsidRPr="00E41438">
        <w:rPr>
          <w:rFonts w:ascii="Century" w:hAnsi="Century" w:cs="Miriam"/>
          <w:b/>
          <w:spacing w:val="0"/>
          <w:szCs w:val="24"/>
          <w:rtl/>
        </w:rPr>
        <w:t>רובאב חברה לנכסים בע"מ נ' אחים דוניץ בע"מ</w:t>
      </w:r>
      <w:r w:rsidR="00B347E6" w:rsidRPr="00E41438">
        <w:rPr>
          <w:rFonts w:ascii="Century" w:hAnsi="Century"/>
          <w:rtl/>
        </w:rPr>
        <w:t>, פ</w:t>
      </w:r>
      <w:r w:rsidR="00B347E6">
        <w:rPr>
          <w:rFonts w:ascii="Century" w:hAnsi="Century" w:hint="cs"/>
          <w:rtl/>
        </w:rPr>
        <w:t>"</w:t>
      </w:r>
      <w:r w:rsidR="00B347E6" w:rsidRPr="00E41438">
        <w:rPr>
          <w:rFonts w:ascii="Century" w:hAnsi="Century"/>
          <w:rtl/>
        </w:rPr>
        <w:t>ד סה(2) 635</w:t>
      </w:r>
      <w:r w:rsidR="00B347E6" w:rsidRPr="00E41438">
        <w:rPr>
          <w:rFonts w:ascii="Century" w:hAnsi="Century" w:hint="cs"/>
          <w:rtl/>
        </w:rPr>
        <w:t>, פסקה 18 (19.4.2012)).</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44</w:t>
      </w:r>
      <w:r w:rsidR="00B347E6">
        <w:rPr>
          <w:rFonts w:ascii="Century" w:hAnsi="Century" w:hint="cs"/>
          <w:rtl/>
        </w:rPr>
        <w:t>.</w:t>
      </w:r>
      <w:r w:rsidR="00B347E6">
        <w:rPr>
          <w:rFonts w:ascii="Century" w:hAnsi="Century" w:hint="cs"/>
          <w:rtl/>
        </w:rPr>
        <w:tab/>
        <w:t xml:space="preserve">יש עילות תביעה שמועד לידתן הוא פשוט וברור. דוגמה טיפוסית לכך היא כאשר מדובר באירוע נקודתי גלוי וחד פעמי. כך, כאשר ראובן תוקף את שמעון, נולדת לשמעון עילת תביעה נגד ראובן ברגע שבו אירעה התקיפה. בדומה לכך, ככלל, אם שמעון מפרסם לשון הרע על ראובן, נולדת לראובן עילת תביעה כלפי שמעון במועד הפרסום, ואז נשמעת יריית הפתיחה של מירוץ ההתיישנות ביחס לתביעתו של ראובן. [הערה: כמו עוולת התקיפה, העוולה של פרסום לשון הרע אינה כוללת את יסוד הנזק בין יסודותיה. משכך, איני רואה להידרש במסגרת הערעור דנן לשאלות שעניינן </w:t>
      </w:r>
      <w:r w:rsidR="00B347E6" w:rsidRPr="00A9525D">
        <w:rPr>
          <w:rFonts w:ascii="Century" w:hAnsi="Century" w:cs="Miriam" w:hint="cs"/>
          <w:b/>
          <w:spacing w:val="0"/>
          <w:szCs w:val="24"/>
          <w:rtl/>
        </w:rPr>
        <w:t>מועד גילוי הנזק</w:t>
      </w:r>
      <w:r w:rsidR="00B347E6">
        <w:rPr>
          <w:rFonts w:ascii="Century" w:hAnsi="Century" w:hint="cs"/>
          <w:rtl/>
        </w:rPr>
        <w:t xml:space="preserve"> ונפקות הדברים לגבי מועד תחילת מירוץ ההתיישנות ותקופתה, נושא החורג מענייננו].</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אילו במקרה שלפנינו מדובר היה בהקרנה חד פעמית של סרטו של המערער בשנת 2002, נקל היה לקבוע כי במועד זה נולדה עילת תביעתו של המשיב (זאת לנוכח מסקנתנו לעיל כי היה על המשיב לדעת על העובדות המהוות את עילת התובענה). או-אז, בהינתן שתקופת ההתיישנות מסתיימת בחלוף שבע שנים ממועד לידת עילת התובענה, התוצאה היתה כי תביעתו של המשיב </w:t>
      </w:r>
      <w:r>
        <w:rPr>
          <w:rFonts w:ascii="Century" w:hAnsi="Century"/>
          <w:rtl/>
        </w:rPr>
        <w:t>–</w:t>
      </w:r>
      <w:r>
        <w:rPr>
          <w:rFonts w:ascii="Century" w:hAnsi="Century" w:hint="cs"/>
          <w:rtl/>
        </w:rPr>
        <w:t xml:space="preserve"> שהוגשה רק בשנת 2016 </w:t>
      </w:r>
      <w:r>
        <w:rPr>
          <w:rFonts w:ascii="Century" w:hAnsi="Century"/>
          <w:rtl/>
        </w:rPr>
        <w:t>–</w:t>
      </w:r>
      <w:r>
        <w:rPr>
          <w:rFonts w:ascii="Century" w:hAnsi="Century" w:hint="cs"/>
          <w:rtl/>
        </w:rPr>
        <w:t xml:space="preserve"> התיישנה. דא עקא, שהמקרה שלפנינו אינו כה פשוט, שכן תביעתו של המשיב לא הוגשה בגין הקרנתו הראשונה של הסרט, אלא בעקבות הקרנות נוספות של הסרט שהתרחשו בשנים מאוחרות יותר </w:t>
      </w:r>
      <w:r w:rsidRPr="009F364F">
        <w:rPr>
          <w:rFonts w:ascii="Century" w:hAnsi="Century" w:hint="cs"/>
          <w:rtl/>
        </w:rPr>
        <w:t xml:space="preserve">(וזאת מלבד העלאת הסרט לאתר יוטיוב </w:t>
      </w:r>
      <w:r w:rsidRPr="009F364F">
        <w:rPr>
          <w:rFonts w:ascii="Century" w:hAnsi="Century"/>
          <w:rtl/>
        </w:rPr>
        <w:t>–</w:t>
      </w:r>
      <w:r w:rsidRPr="009F364F">
        <w:rPr>
          <w:rFonts w:ascii="Century" w:hAnsi="Century" w:hint="cs"/>
          <w:rtl/>
        </w:rPr>
        <w:t xml:space="preserve"> סוגיה שאליה אתייחס בהמשך הדברים). עובד</w:t>
      </w:r>
      <w:r>
        <w:rPr>
          <w:rFonts w:ascii="Century" w:hAnsi="Century" w:hint="cs"/>
          <w:rtl/>
        </w:rPr>
        <w:t>ה זו מצריכה מאתנו להידרש ליחס שבין ההקרנות המאוחרות להקרנה הראשונה, ולשאלה כיצד יש להשקיף על הקרנות שונות אלו בראי דיני ההתיישנות.</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45</w:t>
      </w:r>
      <w:r w:rsidR="00B347E6">
        <w:rPr>
          <w:rFonts w:ascii="Century" w:hAnsi="Century" w:hint="cs"/>
          <w:rtl/>
        </w:rPr>
        <w:t>.</w:t>
      </w:r>
      <w:r w:rsidR="00B347E6">
        <w:rPr>
          <w:rFonts w:ascii="Century" w:hAnsi="Century"/>
          <w:rtl/>
        </w:rPr>
        <w:tab/>
      </w:r>
      <w:r w:rsidR="00B347E6" w:rsidRPr="008D520B">
        <w:rPr>
          <w:rFonts w:ascii="Century" w:hAnsi="Century" w:hint="cs"/>
          <w:rtl/>
        </w:rPr>
        <w:t>ב</w:t>
      </w:r>
      <w:r w:rsidR="00B347E6" w:rsidRPr="008D520B">
        <w:rPr>
          <w:rFonts w:ascii="FrankRuehl" w:hAnsi="FrankRuehl"/>
          <w:color w:val="000000"/>
          <w:sz w:val="28"/>
          <w:rtl/>
        </w:rPr>
        <w:t>ע</w:t>
      </w:r>
      <w:r w:rsidR="00B347E6" w:rsidRPr="008D520B">
        <w:rPr>
          <w:rFonts w:ascii="FrankRuehl" w:hAnsi="FrankRuehl" w:hint="cs"/>
          <w:color w:val="000000"/>
          <w:sz w:val="28"/>
          <w:rtl/>
        </w:rPr>
        <w:t>"</w:t>
      </w:r>
      <w:r w:rsidR="00B347E6" w:rsidRPr="008D520B">
        <w:rPr>
          <w:rFonts w:ascii="FrankRuehl" w:hAnsi="FrankRuehl"/>
          <w:color w:val="000000"/>
          <w:sz w:val="28"/>
          <w:rtl/>
        </w:rPr>
        <w:t xml:space="preserve">א 9292/07 </w:t>
      </w:r>
      <w:r w:rsidR="00B347E6" w:rsidRPr="008D520B">
        <w:rPr>
          <w:rFonts w:ascii="Century" w:hAnsi="Century" w:cs="Miriam"/>
          <w:b/>
          <w:spacing w:val="0"/>
          <w:szCs w:val="24"/>
          <w:rtl/>
        </w:rPr>
        <w:t>חברות שדמות הדרום בע"מ נ' וועדה מקומית לתכנון ובנייה "שמעונים"‏</w:t>
      </w:r>
      <w:r w:rsidR="00B347E6">
        <w:rPr>
          <w:rFonts w:ascii="Century" w:hAnsi="Century" w:cs="Miriam" w:hint="cs"/>
          <w:b/>
          <w:spacing w:val="0"/>
          <w:szCs w:val="24"/>
          <w:rtl/>
        </w:rPr>
        <w:t xml:space="preserve"> </w:t>
      </w:r>
      <w:r w:rsidR="00B347E6">
        <w:rPr>
          <w:rFonts w:ascii="Century" w:hAnsi="Century" w:hint="cs"/>
          <w:rtl/>
        </w:rPr>
        <w:t xml:space="preserve">(6.1.2010) (להלן: עניין </w:t>
      </w:r>
      <w:r w:rsidR="00B347E6" w:rsidRPr="009F364F">
        <w:rPr>
          <w:rFonts w:ascii="Century" w:hAnsi="Century" w:cs="Miriam" w:hint="cs"/>
          <w:b/>
          <w:spacing w:val="0"/>
          <w:szCs w:val="24"/>
          <w:rtl/>
        </w:rPr>
        <w:t>שדמות הדרום</w:t>
      </w:r>
      <w:r w:rsidR="00B347E6" w:rsidRPr="009F364F">
        <w:rPr>
          <w:rFonts w:ascii="Century" w:hAnsi="Century" w:hint="cs"/>
          <w:rtl/>
        </w:rPr>
        <w:t>) ציינתי שלוש קטיגוריות של מקרים</w:t>
      </w:r>
      <w:r w:rsidR="00B347E6">
        <w:rPr>
          <w:rFonts w:ascii="Century" w:hAnsi="Century" w:hint="cs"/>
          <w:rtl/>
        </w:rPr>
        <w:t xml:space="preserve"> שיש להבחין ביניהם בהתייחס להתיישנותן של תביעות נזיקין: </w:t>
      </w:r>
      <w:r w:rsidR="00B347E6">
        <w:rPr>
          <w:rFonts w:ascii="FrankRuehl" w:hAnsi="FrankRuehl"/>
          <w:color w:val="000000"/>
          <w:sz w:val="28"/>
          <w:rtl/>
        </w:rPr>
        <w:t>מעשה עוולתי-נקודתי אחד ונזק מתמשך בצידו;</w:t>
      </w:r>
      <w:r w:rsidR="00B347E6">
        <w:rPr>
          <w:rFonts w:ascii="FrankRuehl" w:hAnsi="FrankRuehl" w:hint="cs"/>
          <w:color w:val="000000"/>
          <w:sz w:val="28"/>
          <w:rtl/>
        </w:rPr>
        <w:t xml:space="preserve"> </w:t>
      </w:r>
      <w:r w:rsidR="00B347E6">
        <w:rPr>
          <w:rFonts w:ascii="FrankRuehl" w:hAnsi="FrankRuehl"/>
          <w:color w:val="000000"/>
          <w:sz w:val="28"/>
          <w:rtl/>
        </w:rPr>
        <w:t>מעשה עוולתי נמשך הגורם לנזק אחד;</w:t>
      </w:r>
      <w:r w:rsidR="00B347E6">
        <w:rPr>
          <w:rFonts w:ascii="FrankRuehl" w:hAnsi="FrankRuehl" w:hint="cs"/>
          <w:color w:val="000000"/>
          <w:sz w:val="28"/>
          <w:rtl/>
        </w:rPr>
        <w:t xml:space="preserve"> ו</w:t>
      </w:r>
      <w:r w:rsidR="00B347E6">
        <w:rPr>
          <w:rFonts w:ascii="FrankRuehl" w:hAnsi="FrankRuehl"/>
          <w:color w:val="000000"/>
          <w:sz w:val="28"/>
          <w:rtl/>
        </w:rPr>
        <w:t>מעשה עוולתי נמשך המקים עילות תביעה חוזרות ונשנות ונזק מתחדש</w:t>
      </w:r>
      <w:r w:rsidR="00B347E6">
        <w:rPr>
          <w:rFonts w:ascii="FrankRuehl" w:hAnsi="FrankRuehl" w:hint="cs"/>
          <w:color w:val="000000"/>
          <w:sz w:val="28"/>
          <w:rtl/>
        </w:rPr>
        <w:t xml:space="preserve"> (שם, פסקה 11)</w:t>
      </w:r>
      <w:r w:rsidR="00B347E6">
        <w:rPr>
          <w:rFonts w:ascii="FrankRuehl" w:hAnsi="FrankRuehl"/>
          <w:color w:val="000000"/>
          <w:sz w:val="28"/>
          <w:rtl/>
        </w:rPr>
        <w:t>.</w:t>
      </w:r>
      <w:r w:rsidR="00B347E6">
        <w:rPr>
          <w:rFonts w:ascii="Century" w:hAnsi="Century" w:hint="cs"/>
          <w:rtl/>
        </w:rPr>
        <w:t xml:space="preserve"> נעמוד בקצרה על עיקרי הדברים, ולשם כך נסתייע גם באופן הצגת הסוגיה של "תביעות חוזרות" בספרו של פרופ' </w:t>
      </w:r>
      <w:r w:rsidR="00B347E6" w:rsidRPr="00BD4021">
        <w:rPr>
          <w:rFonts w:ascii="Century" w:hAnsi="Century" w:cs="Miriam" w:hint="cs"/>
          <w:b/>
          <w:spacing w:val="0"/>
          <w:szCs w:val="24"/>
          <w:rtl/>
        </w:rPr>
        <w:t>גלעד</w:t>
      </w:r>
      <w:r w:rsidR="00B347E6">
        <w:rPr>
          <w:rFonts w:ascii="Century" w:hAnsi="Century" w:hint="cs"/>
          <w:rtl/>
        </w:rPr>
        <w:t xml:space="preserve"> (שם בפרק ד' חלק ד', בפרט עמ' 205-203; וכן במאמרו "התיישנות בנזיקין </w:t>
      </w:r>
      <w:r w:rsidR="00B347E6">
        <w:rPr>
          <w:rFonts w:ascii="Century" w:hAnsi="Century"/>
          <w:rtl/>
        </w:rPr>
        <w:t>–</w:t>
      </w:r>
      <w:r w:rsidR="00B347E6">
        <w:rPr>
          <w:rFonts w:ascii="Century" w:hAnsi="Century" w:hint="cs"/>
          <w:rtl/>
        </w:rPr>
        <w:t xml:space="preserve"> הצעה לשינוי החוק" </w:t>
      </w:r>
      <w:r w:rsidR="00B347E6" w:rsidRPr="007A4BC8">
        <w:rPr>
          <w:rFonts w:ascii="Century" w:hAnsi="Century" w:cs="Miriam" w:hint="cs"/>
          <w:b/>
          <w:spacing w:val="0"/>
          <w:szCs w:val="24"/>
          <w:rtl/>
        </w:rPr>
        <w:t>משפטים</w:t>
      </w:r>
      <w:r w:rsidR="00B347E6">
        <w:rPr>
          <w:rFonts w:ascii="Century" w:hAnsi="Century" w:hint="cs"/>
          <w:rtl/>
        </w:rPr>
        <w:t xml:space="preserve"> יט 81 (1989) (להלן: </w:t>
      </w:r>
      <w:r w:rsidR="00B347E6" w:rsidRPr="00AA4892">
        <w:rPr>
          <w:rFonts w:ascii="Century" w:hAnsi="Century" w:cs="Miriam" w:hint="cs"/>
          <w:b/>
          <w:spacing w:val="0"/>
          <w:szCs w:val="24"/>
          <w:rtl/>
        </w:rPr>
        <w:t xml:space="preserve">גלעד </w:t>
      </w:r>
      <w:r w:rsidR="00B347E6" w:rsidRPr="00AA4892">
        <w:rPr>
          <w:rFonts w:ascii="Century" w:hAnsi="Century" w:cs="Miriam"/>
          <w:b/>
          <w:spacing w:val="0"/>
          <w:szCs w:val="24"/>
          <w:rtl/>
        </w:rPr>
        <w:t>–</w:t>
      </w:r>
      <w:r w:rsidR="00B347E6" w:rsidRPr="00AA4892">
        <w:rPr>
          <w:rFonts w:ascii="Century" w:hAnsi="Century" w:cs="Miriam" w:hint="cs"/>
          <w:b/>
          <w:spacing w:val="0"/>
          <w:szCs w:val="24"/>
          <w:rtl/>
        </w:rPr>
        <w:t xml:space="preserve"> הצעה לשינוי החוק</w:t>
      </w:r>
      <w:r w:rsidR="00B347E6">
        <w:rPr>
          <w:rFonts w:ascii="Century" w:hAnsi="Century" w:hint="cs"/>
          <w:rtl/>
        </w:rPr>
        <w:t xml:space="preserve">); וראו גם אצל </w:t>
      </w:r>
      <w:r w:rsidR="00B347E6" w:rsidRPr="00A95BD5">
        <w:rPr>
          <w:rFonts w:ascii="Century" w:hAnsi="Century" w:cs="Miriam" w:hint="cs"/>
          <w:b/>
          <w:spacing w:val="0"/>
          <w:szCs w:val="24"/>
          <w:rtl/>
        </w:rPr>
        <w:t>חבקין</w:t>
      </w:r>
      <w:r w:rsidR="00B347E6">
        <w:rPr>
          <w:rFonts w:ascii="Century" w:hAnsi="Century" w:hint="cs"/>
          <w:rtl/>
        </w:rPr>
        <w:t xml:space="preserve"> בעמ' 455-453, המתבסס גם הוא על מאמרו הנ"ל של </w:t>
      </w:r>
      <w:r w:rsidR="00B347E6" w:rsidRPr="00A95BD5">
        <w:rPr>
          <w:rFonts w:ascii="Century" w:hAnsi="Century" w:cs="Miriam" w:hint="cs"/>
          <w:b/>
          <w:spacing w:val="0"/>
          <w:szCs w:val="24"/>
          <w:rtl/>
        </w:rPr>
        <w:t>גלעד</w:t>
      </w:r>
      <w:r w:rsidR="00B347E6">
        <w:rPr>
          <w:rFonts w:ascii="Century" w:hAnsi="Century" w:hint="cs"/>
          <w:rtl/>
        </w:rPr>
        <w:t xml:space="preserve">. </w:t>
      </w:r>
      <w:r w:rsidR="00B347E6" w:rsidRPr="00C85AD9">
        <w:rPr>
          <w:rFonts w:ascii="Century" w:hAnsi="Century" w:hint="cs"/>
          <w:rtl/>
        </w:rPr>
        <w:t xml:space="preserve">יובהר כי הצגת הדברים להלן נעשית, בשלב זה, מבלי בהכרח להביע עמדה באשר לאימוצם של שלל ההיבטים המוצגים </w:t>
      </w:r>
      <w:r w:rsidR="00B347E6" w:rsidRPr="00997B46">
        <w:rPr>
          <w:rFonts w:ascii="Century" w:hAnsi="Century" w:cs="Miriam" w:hint="cs"/>
          <w:b/>
          <w:spacing w:val="0"/>
          <w:szCs w:val="24"/>
          <w:rtl/>
        </w:rPr>
        <w:t>שם</w:t>
      </w:r>
      <w:r w:rsidR="00B347E6" w:rsidRPr="00C85AD9">
        <w:rPr>
          <w:rFonts w:ascii="Century" w:hAnsi="Century" w:hint="cs"/>
          <w:rtl/>
        </w:rPr>
        <w:t>)</w:t>
      </w:r>
      <w:r w:rsidR="00B347E6">
        <w:rPr>
          <w:rFonts w:ascii="Century" w:hAnsi="Century" w:hint="cs"/>
          <w:rtl/>
        </w:rPr>
        <w:t>.</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46</w:t>
      </w:r>
      <w:r w:rsidR="00B347E6">
        <w:rPr>
          <w:rFonts w:ascii="Century" w:hAnsi="Century" w:hint="cs"/>
          <w:rtl/>
        </w:rPr>
        <w:t>.</w:t>
      </w:r>
      <w:r w:rsidR="00B347E6">
        <w:rPr>
          <w:rFonts w:ascii="Century" w:hAnsi="Century"/>
          <w:rtl/>
        </w:rPr>
        <w:tab/>
      </w:r>
      <w:r w:rsidR="00B347E6">
        <w:rPr>
          <w:rFonts w:ascii="Century" w:hAnsi="Century" w:hint="cs"/>
          <w:rtl/>
        </w:rPr>
        <w:t xml:space="preserve">המונח "תביעות חוזרות" מוסבר על ידי </w:t>
      </w:r>
      <w:r w:rsidR="00B347E6" w:rsidRPr="00CC1083">
        <w:rPr>
          <w:rFonts w:ascii="Century" w:hAnsi="Century" w:cs="Miriam" w:hint="cs"/>
          <w:b/>
          <w:spacing w:val="0"/>
          <w:szCs w:val="24"/>
          <w:rtl/>
        </w:rPr>
        <w:t>גלעד</w:t>
      </w:r>
      <w:r w:rsidR="00B347E6">
        <w:rPr>
          <w:rFonts w:ascii="Century" w:hAnsi="Century" w:hint="cs"/>
          <w:rtl/>
        </w:rPr>
        <w:t xml:space="preserve"> כתביעות שונות המקיימות ביניהן יחס של דמיון ושל חזרה רצופה, הנצמחות בעקבות אירוע נמשך מסוים (כגון הפרות חוזה חוזרות, פגיעות עוולתיות חוזרות וכיוצא בזה). לצורך התחקות אחר מועד הולדתן והתיישנותן של התביעות, המחבר מבחין בין שלושה שלבים. </w:t>
      </w:r>
    </w:p>
    <w:p w:rsidR="00B347E6" w:rsidRDefault="00B347E6" w:rsidP="00B347E6">
      <w:pPr>
        <w:pStyle w:val="Ruller41"/>
        <w:rPr>
          <w:rFonts w:ascii="Century" w:hAnsi="Century"/>
          <w:rtl/>
        </w:rPr>
      </w:pPr>
    </w:p>
    <w:p w:rsidR="00B347E6" w:rsidRPr="00FD421A" w:rsidRDefault="00B347E6" w:rsidP="00DE70CB">
      <w:pPr>
        <w:pStyle w:val="Ruller41"/>
        <w:rPr>
          <w:rFonts w:ascii="Century" w:hAnsi="Century"/>
          <w:rtl/>
        </w:rPr>
      </w:pPr>
      <w:r>
        <w:rPr>
          <w:rFonts w:ascii="Century" w:hAnsi="Century"/>
          <w:rtl/>
        </w:rPr>
        <w:tab/>
      </w:r>
      <w:r w:rsidRPr="006E0836">
        <w:rPr>
          <w:rFonts w:ascii="Century" w:hAnsi="Century" w:cs="Miriam" w:hint="cs"/>
          <w:b/>
          <w:spacing w:val="0"/>
          <w:szCs w:val="24"/>
          <w:rtl/>
        </w:rPr>
        <w:t>א.</w:t>
      </w:r>
      <w:r>
        <w:rPr>
          <w:rFonts w:ascii="Century" w:hAnsi="Century" w:hint="cs"/>
          <w:rtl/>
        </w:rPr>
        <w:t xml:space="preserve"> ראשית יש להידרש לסוגיית </w:t>
      </w:r>
      <w:r w:rsidRPr="00213C41">
        <w:rPr>
          <w:rFonts w:ascii="Century" w:hAnsi="Century" w:cs="Miriam" w:hint="cs"/>
          <w:b/>
          <w:spacing w:val="0"/>
          <w:szCs w:val="24"/>
          <w:rtl/>
        </w:rPr>
        <w:t>רוחב עילת התביעה</w:t>
      </w:r>
      <w:r>
        <w:rPr>
          <w:rFonts w:ascii="Century" w:hAnsi="Century" w:hint="cs"/>
          <w:rtl/>
        </w:rPr>
        <w:t xml:space="preserve">. דהיינו, האם התביעות החוזרות שייכות כולן לעילה אחת, או שמא התביעה החוזרת מקימה עילה משל עצמה? </w:t>
      </w:r>
      <w:r w:rsidRPr="00FD421A">
        <w:rPr>
          <w:rFonts w:ascii="Century" w:hAnsi="Century" w:hint="cs"/>
          <w:rtl/>
        </w:rPr>
        <w:t xml:space="preserve">מקום שבו מדובר בעילת תביעה אחת שתחתיה מסתופפות כל התביעות החוזרות, הרי שמועד לידתן ומועד התיישנותן של התביעות החוזרות הוא כמועד לידתה והתיישנותה של התביעה הראשונה. לצורך הכרעה בשאלת רוחב עילת התביעה, מציע גלעד כלל אצבע </w:t>
      </w:r>
      <w:r>
        <w:rPr>
          <w:rFonts w:ascii="Century" w:hAnsi="Century" w:hint="cs"/>
          <w:rtl/>
        </w:rPr>
        <w:t>ש</w:t>
      </w:r>
      <w:r w:rsidRPr="00FD421A">
        <w:rPr>
          <w:rFonts w:ascii="Century" w:hAnsi="Century" w:hint="cs"/>
          <w:rtl/>
        </w:rPr>
        <w:t xml:space="preserve">לפיו, ככלל, כאשר התביעות החוזרות צומחות </w:t>
      </w:r>
      <w:r w:rsidRPr="00FD421A">
        <w:rPr>
          <w:rFonts w:ascii="Century" w:hAnsi="Century" w:cs="Miriam" w:hint="cs"/>
          <w:b/>
          <w:spacing w:val="0"/>
          <w:szCs w:val="24"/>
          <w:rtl/>
        </w:rPr>
        <w:t>מאירוע חד פעמי</w:t>
      </w:r>
      <w:r w:rsidRPr="00FD421A">
        <w:rPr>
          <w:rFonts w:ascii="Century" w:hAnsi="Century" w:hint="cs"/>
          <w:rtl/>
        </w:rPr>
        <w:t xml:space="preserve">, נקודת המוצא היא כי יש לשייכן לעילת תביעה אחת. לעומת זאת, כאשר הן צומחות </w:t>
      </w:r>
      <w:r w:rsidRPr="00FD421A">
        <w:rPr>
          <w:rFonts w:ascii="Century" w:hAnsi="Century" w:cs="Miriam" w:hint="cs"/>
          <w:b/>
          <w:spacing w:val="0"/>
          <w:szCs w:val="24"/>
          <w:rtl/>
        </w:rPr>
        <w:t>מאירוע נמשך</w:t>
      </w:r>
      <w:r w:rsidRPr="00FD421A">
        <w:rPr>
          <w:rFonts w:ascii="Century" w:hAnsi="Century" w:hint="cs"/>
          <w:rtl/>
        </w:rPr>
        <w:t xml:space="preserve">, ראוי לשייכן לעילות תביעה שונות. </w:t>
      </w:r>
    </w:p>
    <w:p w:rsidR="00B347E6" w:rsidRPr="00FD421A" w:rsidRDefault="00B347E6" w:rsidP="00B347E6">
      <w:pPr>
        <w:pStyle w:val="Ruller41"/>
        <w:rPr>
          <w:rFonts w:ascii="Century" w:hAnsi="Century"/>
          <w:rtl/>
        </w:rPr>
      </w:pPr>
    </w:p>
    <w:p w:rsidR="00B347E6" w:rsidRPr="0026554F" w:rsidRDefault="00B347E6" w:rsidP="00B347E6">
      <w:pPr>
        <w:pStyle w:val="Ruller41"/>
        <w:rPr>
          <w:rFonts w:ascii="Century" w:hAnsi="Century"/>
        </w:rPr>
      </w:pPr>
      <w:r w:rsidRPr="00FD421A">
        <w:rPr>
          <w:rFonts w:ascii="Century" w:hAnsi="Century"/>
          <w:rtl/>
        </w:rPr>
        <w:tab/>
      </w:r>
      <w:r w:rsidRPr="00FD421A">
        <w:rPr>
          <w:rFonts w:ascii="Century" w:hAnsi="Century" w:hint="cs"/>
          <w:rtl/>
        </w:rPr>
        <w:t>דוגמה למקרה שבו מדובר בעילת תביעה אחת אנו מוצאים ב</w:t>
      </w:r>
      <w:r w:rsidRPr="00FD421A">
        <w:rPr>
          <w:rFonts w:ascii="FrankRuehl" w:hAnsi="FrankRuehl"/>
          <w:sz w:val="28"/>
          <w:rtl/>
        </w:rPr>
        <w:t>ע</w:t>
      </w:r>
      <w:r w:rsidRPr="00FD421A">
        <w:rPr>
          <w:rFonts w:ascii="FrankRuehl" w:hAnsi="FrankRuehl" w:hint="cs"/>
          <w:sz w:val="28"/>
          <w:rtl/>
        </w:rPr>
        <w:t xml:space="preserve">ניין </w:t>
      </w:r>
      <w:r w:rsidRPr="00FD421A">
        <w:rPr>
          <w:rFonts w:ascii="Century" w:hAnsi="Century" w:cs="Miriam" w:hint="cs"/>
          <w:spacing w:val="0"/>
          <w:szCs w:val="24"/>
          <w:rtl/>
        </w:rPr>
        <w:t>לוי</w:t>
      </w:r>
      <w:r w:rsidRPr="00FD421A">
        <w:rPr>
          <w:rFonts w:ascii="FrankRuehl" w:hAnsi="FrankRuehl" w:hint="cs"/>
          <w:sz w:val="28"/>
          <w:rtl/>
        </w:rPr>
        <w:t xml:space="preserve">, שבו נקבע כי רשלנות שהתבטאה באי אבחון גידול בראשו של התובע אינה בגדר עוולה נמשכת, אלא מדובר בנזק מתמשך בעקבות אירוע נקודתי </w:t>
      </w:r>
      <w:r w:rsidRPr="00FB6B6D">
        <w:rPr>
          <w:rFonts w:ascii="FrankRuehl" w:hAnsi="FrankRuehl" w:hint="cs"/>
          <w:color w:val="000000"/>
          <w:sz w:val="28"/>
          <w:rtl/>
        </w:rPr>
        <w:t xml:space="preserve">(שם, פסקה 13). דוגמה נוספת היא תביעה בגין נזקים שנגרמו בעקבות </w:t>
      </w:r>
      <w:r>
        <w:rPr>
          <w:rFonts w:ascii="FrankRuehl" w:hAnsi="FrankRuehl" w:hint="cs"/>
          <w:color w:val="000000"/>
          <w:sz w:val="28"/>
          <w:rtl/>
        </w:rPr>
        <w:t xml:space="preserve">אקט של </w:t>
      </w:r>
      <w:r w:rsidRPr="00FB6B6D">
        <w:rPr>
          <w:rFonts w:ascii="FrankRuehl" w:hAnsi="FrankRuehl" w:hint="cs"/>
          <w:color w:val="000000"/>
          <w:sz w:val="28"/>
          <w:rtl/>
        </w:rPr>
        <w:t xml:space="preserve">ביטול היתר בניה, </w:t>
      </w:r>
      <w:r>
        <w:rPr>
          <w:rFonts w:ascii="FrankRuehl" w:hAnsi="FrankRuehl" w:hint="cs"/>
          <w:color w:val="000000"/>
          <w:sz w:val="28"/>
          <w:rtl/>
        </w:rPr>
        <w:t xml:space="preserve">שלגביו נקבע כי הוא </w:t>
      </w:r>
      <w:r w:rsidRPr="00FB6B6D">
        <w:rPr>
          <w:rFonts w:ascii="FrankRuehl" w:hAnsi="FrankRuehl" w:hint="cs"/>
          <w:color w:val="000000"/>
          <w:sz w:val="28"/>
          <w:rtl/>
        </w:rPr>
        <w:t xml:space="preserve">מהווה </w:t>
      </w:r>
      <w:r>
        <w:rPr>
          <w:rFonts w:ascii="FrankRuehl" w:hAnsi="FrankRuehl" w:hint="cs"/>
          <w:color w:val="000000"/>
          <w:sz w:val="28"/>
          <w:rtl/>
        </w:rPr>
        <w:t xml:space="preserve">מעשה </w:t>
      </w:r>
      <w:r w:rsidRPr="00FB6B6D">
        <w:rPr>
          <w:rFonts w:ascii="FrankRuehl" w:hAnsi="FrankRuehl"/>
          <w:color w:val="000000"/>
          <w:sz w:val="28"/>
          <w:rtl/>
        </w:rPr>
        <w:t>עוולתי-נקודתי המביא בעקבותיו נזק מתמשך</w:t>
      </w:r>
      <w:r w:rsidRPr="00FB6B6D">
        <w:rPr>
          <w:rFonts w:ascii="FrankRuehl" w:hAnsi="FrankRuehl" w:hint="cs"/>
          <w:color w:val="000000"/>
          <w:sz w:val="28"/>
          <w:rtl/>
        </w:rPr>
        <w:t xml:space="preserve"> (עניין </w:t>
      </w:r>
      <w:r w:rsidRPr="00FB6B6D">
        <w:rPr>
          <w:rFonts w:ascii="Century" w:hAnsi="Century" w:cs="Miriam" w:hint="cs"/>
          <w:spacing w:val="0"/>
          <w:szCs w:val="24"/>
          <w:rtl/>
        </w:rPr>
        <w:t>שדמות הדרום</w:t>
      </w:r>
      <w:r w:rsidRPr="00FB6B6D">
        <w:rPr>
          <w:rFonts w:ascii="FrankRuehl" w:hAnsi="FrankRuehl" w:hint="cs"/>
          <w:color w:val="000000"/>
          <w:sz w:val="28"/>
          <w:rtl/>
        </w:rPr>
        <w:t>, פסקה 13).</w:t>
      </w:r>
      <w:r>
        <w:rPr>
          <w:rFonts w:ascii="Century" w:hAnsi="Century" w:hint="cs"/>
          <w:rtl/>
        </w:rPr>
        <w:t xml:space="preserve"> דוגמה מסוג אחר המובאת אצל </w:t>
      </w:r>
      <w:r w:rsidRPr="00E1760B">
        <w:rPr>
          <w:rFonts w:ascii="Century" w:hAnsi="Century" w:cs="Miriam" w:hint="cs"/>
          <w:b/>
          <w:spacing w:val="0"/>
          <w:szCs w:val="24"/>
          <w:rtl/>
        </w:rPr>
        <w:t>גלעד</w:t>
      </w:r>
      <w:r>
        <w:rPr>
          <w:rFonts w:ascii="Century" w:hAnsi="Century" w:hint="cs"/>
          <w:rtl/>
        </w:rPr>
        <w:t xml:space="preserve">, היא כאשר הפרת חוזה מקימה עילת תביעה מכוח דיני החוזים (שנולדה במועד ההפרה) ולצדה עילת תביעה מכוח דיני עשיית עושר ולא במשפט (שנולדה במועד מאוחר יותר, בעת שהתובע ביצע את החיוב במקומו של הנתבע-המפר). לגישת </w:t>
      </w:r>
      <w:r w:rsidRPr="0026554F">
        <w:rPr>
          <w:rFonts w:ascii="Century" w:hAnsi="Century" w:cs="Miriam" w:hint="cs"/>
          <w:b/>
          <w:spacing w:val="0"/>
          <w:szCs w:val="24"/>
          <w:rtl/>
        </w:rPr>
        <w:t>גלעד</w:t>
      </w:r>
      <w:r>
        <w:rPr>
          <w:rFonts w:ascii="Century" w:hAnsi="Century" w:hint="cs"/>
          <w:rtl/>
        </w:rPr>
        <w:t>, יש לראות את שתי התביעות כשייכות לאותה עילה, כך ששתיהן תתייש</w:t>
      </w:r>
      <w:r>
        <w:rPr>
          <w:rFonts w:ascii="FrankRuehl" w:hAnsi="FrankRuehl"/>
          <w:rtl/>
        </w:rPr>
        <w:t>נּ</w:t>
      </w:r>
      <w:r>
        <w:rPr>
          <w:rFonts w:ascii="Century" w:hAnsi="Century" w:hint="cs"/>
          <w:rtl/>
        </w:rPr>
        <w:t xml:space="preserve">ה לפי המועד המוקדם, קרי עם התיישנות העילה החוזית (שם, עמ' 167; והשוו </w:t>
      </w:r>
      <w:r w:rsidRPr="0026554F">
        <w:rPr>
          <w:rFonts w:ascii="Century" w:hAnsi="Century" w:hint="cs"/>
          <w:rtl/>
        </w:rPr>
        <w:t>ל</w:t>
      </w:r>
      <w:r w:rsidRPr="0026554F">
        <w:rPr>
          <w:rFonts w:ascii="Century" w:hAnsi="Century"/>
          <w:rtl/>
        </w:rPr>
        <w:t>רע</w:t>
      </w:r>
      <w:r w:rsidRPr="0026554F">
        <w:rPr>
          <w:rFonts w:ascii="Century" w:hAnsi="Century" w:hint="cs"/>
          <w:rtl/>
        </w:rPr>
        <w:t>"</w:t>
      </w:r>
      <w:r w:rsidRPr="0026554F">
        <w:rPr>
          <w:rFonts w:ascii="Century" w:hAnsi="Century"/>
          <w:rtl/>
        </w:rPr>
        <w:t xml:space="preserve">א 6774/19 </w:t>
      </w:r>
      <w:r w:rsidRPr="0026554F">
        <w:rPr>
          <w:rFonts w:ascii="Century" w:hAnsi="Century" w:cs="Miriam"/>
          <w:b/>
          <w:spacing w:val="0"/>
          <w:szCs w:val="24"/>
          <w:rtl/>
        </w:rPr>
        <w:t>אפרידר החברה לשיכון ופיתוח לישראל בע"מ נ' עיריית ראש העין</w:t>
      </w:r>
      <w:r>
        <w:rPr>
          <w:rFonts w:ascii="Century" w:hAnsi="Century" w:hint="cs"/>
          <w:rtl/>
        </w:rPr>
        <w:t xml:space="preserve"> (25.5.2021), שם נקבע כי תביעה הצהרתית לבטלות חוזה מחמת אי-חוקיות, אל מול תביעת השבה בגין כספים ששולמו מכוח החוזה הבלתי חוקי </w:t>
      </w:r>
      <w:r>
        <w:rPr>
          <w:rFonts w:ascii="Century" w:hAnsi="Century"/>
          <w:rtl/>
        </w:rPr>
        <w:t>–</w:t>
      </w:r>
      <w:r>
        <w:rPr>
          <w:rFonts w:ascii="Century" w:hAnsi="Century" w:hint="cs"/>
          <w:rtl/>
        </w:rPr>
        <w:t xml:space="preserve"> הן שתי עילות תביעה נפרדות שמועד התיישנותן שונה).</w:t>
      </w:r>
    </w:p>
    <w:p w:rsidR="00B347E6" w:rsidRPr="00A75465"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sidRPr="00A104E2">
        <w:rPr>
          <w:rFonts w:ascii="Century" w:hAnsi="Century" w:cs="Miriam" w:hint="cs"/>
          <w:b/>
          <w:spacing w:val="0"/>
          <w:szCs w:val="24"/>
          <w:rtl/>
        </w:rPr>
        <w:t>ב.</w:t>
      </w:r>
      <w:r w:rsidRPr="00A104E2">
        <w:rPr>
          <w:rFonts w:ascii="Century" w:hAnsi="Century" w:hint="cs"/>
          <w:rtl/>
        </w:rPr>
        <w:t xml:space="preserve"> </w:t>
      </w:r>
      <w:r>
        <w:rPr>
          <w:rFonts w:ascii="Century" w:hAnsi="Century" w:hint="cs"/>
          <w:rtl/>
        </w:rPr>
        <w:t xml:space="preserve">כאשר בשלב הראשון נקבע כי מדובר בתביעות חוזרות שעילותיהן </w:t>
      </w:r>
      <w:r w:rsidRPr="004F5B1C">
        <w:rPr>
          <w:rFonts w:ascii="Century" w:hAnsi="Century" w:cs="Miriam" w:hint="cs"/>
          <w:b/>
          <w:spacing w:val="0"/>
          <w:szCs w:val="24"/>
          <w:rtl/>
        </w:rPr>
        <w:t>שונות</w:t>
      </w:r>
      <w:r>
        <w:rPr>
          <w:rFonts w:ascii="Century" w:hAnsi="Century" w:hint="cs"/>
          <w:rtl/>
        </w:rPr>
        <w:t xml:space="preserve">, יש לפנות לשלב השני שבגדרו יש להבחין בין שני סוגים של מקרים: </w:t>
      </w:r>
    </w:p>
    <w:p w:rsidR="00B347E6" w:rsidRDefault="00B347E6" w:rsidP="00B347E6">
      <w:pPr>
        <w:pStyle w:val="Ruller41"/>
        <w:rPr>
          <w:rFonts w:ascii="Century" w:hAnsi="Century"/>
          <w:rtl/>
        </w:rPr>
      </w:pPr>
    </w:p>
    <w:p w:rsidR="00B347E6" w:rsidRDefault="00B347E6" w:rsidP="00B347E6">
      <w:pPr>
        <w:pStyle w:val="Ruller41"/>
        <w:rPr>
          <w:rtl/>
        </w:rPr>
      </w:pPr>
      <w:r>
        <w:rPr>
          <w:rFonts w:ascii="Century" w:hAnsi="Century"/>
          <w:rtl/>
        </w:rPr>
        <w:tab/>
      </w:r>
      <w:r>
        <w:rPr>
          <w:rFonts w:ascii="Century" w:hAnsi="Century" w:hint="cs"/>
          <w:rtl/>
        </w:rPr>
        <w:t>(1) סוג אחד של מקרים הוא כאשר מדובר ב</w:t>
      </w:r>
      <w:r w:rsidRPr="004F5B1C">
        <w:rPr>
          <w:rFonts w:ascii="Century" w:hAnsi="Century" w:cs="Miriam" w:hint="cs"/>
          <w:b/>
          <w:spacing w:val="0"/>
          <w:szCs w:val="24"/>
          <w:rtl/>
        </w:rPr>
        <w:t>ע</w:t>
      </w:r>
      <w:r>
        <w:rPr>
          <w:rFonts w:ascii="Century" w:hAnsi="Century" w:cs="Miriam" w:hint="cs"/>
          <w:b/>
          <w:spacing w:val="0"/>
          <w:szCs w:val="24"/>
          <w:rtl/>
        </w:rPr>
        <w:t>י</w:t>
      </w:r>
      <w:r w:rsidRPr="004F5B1C">
        <w:rPr>
          <w:rFonts w:ascii="Century" w:hAnsi="Century" w:cs="Miriam" w:hint="cs"/>
          <w:b/>
          <w:spacing w:val="0"/>
          <w:szCs w:val="24"/>
          <w:rtl/>
        </w:rPr>
        <w:t xml:space="preserve">לה </w:t>
      </w:r>
      <w:r>
        <w:rPr>
          <w:rFonts w:ascii="Century" w:hAnsi="Century" w:cs="Miriam" w:hint="cs"/>
          <w:b/>
          <w:spacing w:val="0"/>
          <w:szCs w:val="24"/>
          <w:rtl/>
        </w:rPr>
        <w:t>מתחדשת</w:t>
      </w:r>
      <w:r>
        <w:rPr>
          <w:rFonts w:ascii="Century" w:hAnsi="Century" w:hint="cs"/>
          <w:rtl/>
        </w:rPr>
        <w:t xml:space="preserve"> </w:t>
      </w:r>
      <w:r>
        <w:rPr>
          <w:rFonts w:ascii="Century" w:hAnsi="Century"/>
          <w:rtl/>
        </w:rPr>
        <w:t>–</w:t>
      </w:r>
      <w:r>
        <w:rPr>
          <w:rFonts w:ascii="Century" w:hAnsi="Century" w:hint="cs"/>
          <w:rtl/>
        </w:rPr>
        <w:t xml:space="preserve"> קרי כאשר האקט הרלוונטי מצמיח תביעות נפרדות עצמאיות. על מקרים אלה חל הדין הרגיל, קרי יש להשקיף על כל תביעה חוזרת בנפרד, וכל אחת מהן נולדת ומתיישנת במועד הרלוונטי לה. במילותיה של השופטת </w:t>
      </w:r>
      <w:r w:rsidRPr="00297289">
        <w:rPr>
          <w:rFonts w:ascii="Century" w:hAnsi="Century" w:cs="Miriam" w:hint="cs"/>
          <w:b/>
          <w:spacing w:val="0"/>
          <w:szCs w:val="24"/>
          <w:rtl/>
        </w:rPr>
        <w:t>פרוקצ'יה</w:t>
      </w:r>
      <w:r>
        <w:rPr>
          <w:rFonts w:ascii="Century" w:hAnsi="Century" w:hint="cs"/>
          <w:rtl/>
        </w:rPr>
        <w:t xml:space="preserve">: </w:t>
      </w:r>
      <w:r>
        <w:rPr>
          <w:rFonts w:hint="cs"/>
          <w:rtl/>
        </w:rPr>
        <w:t>"אם המעשה נמשך והולך ויוצר עילות תביעה מתחדשות, תוך גרימת נזק לנפגע מעת לעת, תתפוש ההתיישנות בתום 7 שנים ממועד היווצרות כל עילת תביעה מתחדשת" (ע"א</w:t>
      </w:r>
      <w:r w:rsidRPr="00C4521C">
        <w:rPr>
          <w:rFonts w:hint="cs"/>
          <w:rtl/>
        </w:rPr>
        <w:t xml:space="preserve"> </w:t>
      </w:r>
      <w:r w:rsidRPr="00C4521C">
        <w:rPr>
          <w:rtl/>
        </w:rPr>
        <w:t>9413/03</w:t>
      </w:r>
      <w:r>
        <w:rPr>
          <w:rFonts w:hint="cs"/>
          <w:rtl/>
        </w:rPr>
        <w:t xml:space="preserve"> </w:t>
      </w:r>
      <w:r w:rsidRPr="00C4521C">
        <w:rPr>
          <w:rFonts w:cs="Miriam"/>
          <w:b/>
          <w:spacing w:val="0"/>
          <w:szCs w:val="24"/>
          <w:rtl/>
        </w:rPr>
        <w:t>אלנקווה נ' הועדה המקומית לתכנון ולבניה, ירושלים</w:t>
      </w:r>
      <w:r>
        <w:rPr>
          <w:rFonts w:hint="cs"/>
          <w:rtl/>
        </w:rPr>
        <w:t xml:space="preserve">, פסקה 31 (22.6.2008) (להלן: עניין </w:t>
      </w:r>
      <w:r w:rsidRPr="00297289">
        <w:rPr>
          <w:rFonts w:ascii="Century" w:hAnsi="Century" w:cs="Miriam" w:hint="cs"/>
          <w:b/>
          <w:spacing w:val="0"/>
          <w:szCs w:val="24"/>
          <w:rtl/>
        </w:rPr>
        <w:t>אלנקווה</w:t>
      </w:r>
      <w:r>
        <w:rPr>
          <w:rFonts w:hint="cs"/>
          <w:rtl/>
        </w:rPr>
        <w:t>))</w:t>
      </w:r>
      <w:r>
        <w:rPr>
          <w:rFonts w:ascii="Century" w:hAnsi="Century" w:hint="cs"/>
          <w:rtl/>
        </w:rPr>
        <w:t xml:space="preserve">. דוגמה לכך היא המקרה שנדון בע"א 3139/05 </w:t>
      </w:r>
      <w:r w:rsidRPr="00C4521C">
        <w:rPr>
          <w:rFonts w:ascii="Century" w:hAnsi="Century" w:cs="Miriam"/>
          <w:b/>
          <w:spacing w:val="0"/>
          <w:szCs w:val="24"/>
          <w:rtl/>
        </w:rPr>
        <w:t>כלפון נוה ארזים בע"מ נ' הועדה המקומית לתכנון ובניה הרצליה</w:t>
      </w:r>
      <w:r>
        <w:rPr>
          <w:rFonts w:hint="cs"/>
          <w:rtl/>
        </w:rPr>
        <w:t xml:space="preserve"> (31.1.2008) (להלן: עניין </w:t>
      </w:r>
      <w:r w:rsidRPr="00385ECA">
        <w:rPr>
          <w:rFonts w:ascii="Century" w:hAnsi="Century" w:cs="Miriam" w:hint="cs"/>
          <w:b/>
          <w:spacing w:val="0"/>
          <w:szCs w:val="24"/>
          <w:rtl/>
        </w:rPr>
        <w:t>כלפון</w:t>
      </w:r>
      <w:r>
        <w:rPr>
          <w:rFonts w:hint="cs"/>
          <w:rtl/>
        </w:rPr>
        <w:t xml:space="preserve">), שם דובר בתביעת </w:t>
      </w:r>
      <w:r>
        <w:rPr>
          <w:rFonts w:ascii="Century" w:hAnsi="Century" w:hint="cs"/>
          <w:rtl/>
        </w:rPr>
        <w:t xml:space="preserve">רשלנות נגד ועדות התכנון בגין מחדל מתמשך מצדן שהתבטא בסירוב ליתן היתר בניה (ראו שם בפסקאות 33-32). </w:t>
      </w:r>
    </w:p>
    <w:p w:rsidR="00B347E6" w:rsidRDefault="00B347E6" w:rsidP="00B347E6">
      <w:pPr>
        <w:pStyle w:val="Ruller41"/>
        <w:rPr>
          <w:rtl/>
        </w:rPr>
      </w:pPr>
    </w:p>
    <w:p w:rsidR="00B347E6" w:rsidRPr="00297289" w:rsidRDefault="00B347E6" w:rsidP="00B347E6">
      <w:pPr>
        <w:pStyle w:val="Ruller41"/>
        <w:rPr>
          <w:rFonts w:ascii="Century" w:hAnsi="Century"/>
          <w:rtl/>
        </w:rPr>
      </w:pPr>
      <w:r>
        <w:rPr>
          <w:rtl/>
        </w:rPr>
        <w:tab/>
      </w:r>
      <w:r>
        <w:rPr>
          <w:rFonts w:hint="cs"/>
          <w:rtl/>
        </w:rPr>
        <w:t>יובהר כי סוג מקרים זה של "עילה מתחדשת" רלוונטי גם לגבי תביעות שהנזק אינו רכיב נדרש להתגבשותן. לדוגמה, לגבי עוולת הסגת גבול נאמר כי "</w:t>
      </w:r>
      <w:r>
        <w:rPr>
          <w:rFonts w:ascii="FrankRuehl" w:hAnsi="FrankRuehl"/>
          <w:color w:val="000000"/>
          <w:rtl/>
        </w:rPr>
        <w:t>בכל יום שהיא קיימת נולדת עילת תובענה חדשה, והיא נחסמת בתום תקופת ההתיישנות שלאחר אותו יום</w:t>
      </w:r>
      <w:r>
        <w:rPr>
          <w:rFonts w:ascii="FrankRuehl" w:hAnsi="FrankRuehl" w:hint="cs"/>
          <w:color w:val="000000"/>
          <w:rtl/>
        </w:rPr>
        <w:t xml:space="preserve">" </w:t>
      </w:r>
      <w:r w:rsidRPr="00C04DC5">
        <w:rPr>
          <w:rFonts w:hint="cs"/>
          <w:rtl/>
        </w:rPr>
        <w:t>(</w:t>
      </w:r>
      <w:r w:rsidRPr="00C04DC5">
        <w:rPr>
          <w:rtl/>
        </w:rPr>
        <w:t>ע"א</w:t>
      </w:r>
      <w:r>
        <w:rPr>
          <w:rFonts w:hint="cs"/>
          <w:rtl/>
        </w:rPr>
        <w:t xml:space="preserve"> </w:t>
      </w:r>
      <w:r w:rsidRPr="00C04DC5">
        <w:rPr>
          <w:rtl/>
        </w:rPr>
        <w:t>35/71</w:t>
      </w:r>
      <w:r>
        <w:rPr>
          <w:rFonts w:hint="cs"/>
          <w:rtl/>
        </w:rPr>
        <w:t xml:space="preserve"> </w:t>
      </w:r>
      <w:r w:rsidRPr="00C04DC5">
        <w:rPr>
          <w:rFonts w:ascii="Century" w:hAnsi="Century" w:cs="Miriam" w:hint="cs"/>
          <w:b/>
          <w:spacing w:val="0"/>
          <w:szCs w:val="24"/>
          <w:rtl/>
        </w:rPr>
        <w:t>חב</w:t>
      </w:r>
      <w:r w:rsidRPr="00C04DC5">
        <w:rPr>
          <w:rFonts w:ascii="Century" w:hAnsi="Century" w:cs="Miriam"/>
          <w:b/>
          <w:spacing w:val="0"/>
          <w:szCs w:val="24"/>
          <w:rtl/>
        </w:rPr>
        <w:t>רת ישראל אוסטרליה להשקעות פרדסנות ומטעים בע"מ נ' מושב בני דרור אגודה חקלאית שיתופית בע"מ</w:t>
      </w:r>
      <w:r>
        <w:rPr>
          <w:rFonts w:hint="cs"/>
          <w:rtl/>
        </w:rPr>
        <w:t xml:space="preserve">, </w:t>
      </w:r>
      <w:r w:rsidRPr="00C04DC5">
        <w:rPr>
          <w:rtl/>
        </w:rPr>
        <w:t>פ</w:t>
      </w:r>
      <w:r>
        <w:rPr>
          <w:rFonts w:hint="cs"/>
          <w:rtl/>
        </w:rPr>
        <w:t>"</w:t>
      </w:r>
      <w:r w:rsidRPr="00C04DC5">
        <w:rPr>
          <w:rtl/>
        </w:rPr>
        <w:t>ד כז(1) 225</w:t>
      </w:r>
      <w:r>
        <w:rPr>
          <w:rFonts w:hint="cs"/>
          <w:rtl/>
        </w:rPr>
        <w:t xml:space="preserve">, 228 (1972); ראו גם בעניין </w:t>
      </w:r>
      <w:r w:rsidRPr="00FB6B6D">
        <w:rPr>
          <w:rFonts w:ascii="Century" w:hAnsi="Century" w:cs="Miriam" w:hint="cs"/>
          <w:b/>
          <w:spacing w:val="0"/>
          <w:szCs w:val="24"/>
          <w:rtl/>
        </w:rPr>
        <w:t>אלנקווה</w:t>
      </w:r>
      <w:r>
        <w:rPr>
          <w:rFonts w:hint="cs"/>
          <w:rtl/>
        </w:rPr>
        <w:t xml:space="preserve">, פסקה 32; עניין </w:t>
      </w:r>
      <w:r w:rsidRPr="00FB6B6D">
        <w:rPr>
          <w:rFonts w:ascii="Century" w:hAnsi="Century" w:cs="Miriam" w:hint="cs"/>
          <w:b/>
          <w:spacing w:val="0"/>
          <w:szCs w:val="24"/>
          <w:rtl/>
        </w:rPr>
        <w:t>שדמות הדרום</w:t>
      </w:r>
      <w:r>
        <w:rPr>
          <w:rFonts w:hint="cs"/>
          <w:rtl/>
        </w:rPr>
        <w:t>, פסקה 12)</w:t>
      </w:r>
      <w:r w:rsidRPr="00D42D81">
        <w:rPr>
          <w:rFonts w:ascii="Century" w:hAnsi="Century" w:hint="cs"/>
          <w:rtl/>
        </w:rPr>
        <w:t>.</w:t>
      </w:r>
      <w:r>
        <w:rPr>
          <w:rFonts w:ascii="Century" w:hAnsi="Century" w:hint="cs"/>
          <w:rtl/>
        </w:rPr>
        <w:t xml:space="preserve"> ובקיצור, בסוג מקרים זה כל תביעה עומדת על רגליה שלה, ומכוחה של כל אחת ניתן לתבוע, ככלל, שבע שנים אחורה.</w:t>
      </w:r>
    </w:p>
    <w:p w:rsidR="00B347E6" w:rsidRDefault="00B347E6" w:rsidP="00B347E6">
      <w:pPr>
        <w:pStyle w:val="Ruller41"/>
        <w:rPr>
          <w:rtl/>
        </w:rPr>
      </w:pPr>
    </w:p>
    <w:p w:rsidR="00B347E6" w:rsidRDefault="00B347E6" w:rsidP="00B347E6">
      <w:pPr>
        <w:pStyle w:val="Ruller41"/>
        <w:rPr>
          <w:rtl/>
        </w:rPr>
      </w:pPr>
      <w:r>
        <w:rPr>
          <w:rtl/>
        </w:rPr>
        <w:tab/>
      </w:r>
      <w:r>
        <w:rPr>
          <w:rFonts w:hint="cs"/>
          <w:rtl/>
        </w:rPr>
        <w:t xml:space="preserve">(2) סוג המקרים השני (בגדרו של השלב השני שעוסק בתביעות חוזרות שעילותיהן שונות) </w:t>
      </w:r>
      <w:r>
        <w:rPr>
          <w:rtl/>
        </w:rPr>
        <w:t>–</w:t>
      </w:r>
      <w:r>
        <w:rPr>
          <w:rFonts w:hint="cs"/>
          <w:rtl/>
        </w:rPr>
        <w:t xml:space="preserve"> הוא כאשר מדובר ב</w:t>
      </w:r>
      <w:r w:rsidRPr="0061678A">
        <w:rPr>
          <w:rFonts w:ascii="Century" w:hAnsi="Century" w:cs="Miriam" w:hint="cs"/>
          <w:b/>
          <w:spacing w:val="0"/>
          <w:szCs w:val="24"/>
          <w:rtl/>
        </w:rPr>
        <w:t xml:space="preserve">עילה </w:t>
      </w:r>
      <w:r>
        <w:rPr>
          <w:rFonts w:ascii="Century" w:hAnsi="Century" w:cs="Miriam" w:hint="cs"/>
          <w:b/>
          <w:spacing w:val="0"/>
          <w:szCs w:val="24"/>
          <w:rtl/>
        </w:rPr>
        <w:t xml:space="preserve">מתארכת </w:t>
      </w:r>
      <w:r>
        <w:rPr>
          <w:rFonts w:hint="cs"/>
          <w:rtl/>
        </w:rPr>
        <w:t xml:space="preserve">(או </w:t>
      </w:r>
      <w:r w:rsidRPr="00A104E2">
        <w:rPr>
          <w:rFonts w:ascii="Century" w:hAnsi="Century" w:cs="Miriam" w:hint="cs"/>
          <w:b/>
          <w:spacing w:val="0"/>
          <w:szCs w:val="24"/>
          <w:rtl/>
        </w:rPr>
        <w:t xml:space="preserve">עילה </w:t>
      </w:r>
      <w:r>
        <w:rPr>
          <w:rFonts w:ascii="Century" w:hAnsi="Century" w:cs="Miriam" w:hint="cs"/>
          <w:b/>
          <w:spacing w:val="0"/>
          <w:szCs w:val="24"/>
          <w:rtl/>
        </w:rPr>
        <w:t>נמשכת</w:t>
      </w:r>
      <w:r>
        <w:rPr>
          <w:rFonts w:hint="cs"/>
          <w:rtl/>
        </w:rPr>
        <w:t xml:space="preserve">). לפי </w:t>
      </w:r>
      <w:r w:rsidRPr="003A3098">
        <w:rPr>
          <w:rFonts w:ascii="Century" w:hAnsi="Century" w:cs="Miriam" w:hint="cs"/>
          <w:b/>
          <w:spacing w:val="0"/>
          <w:szCs w:val="24"/>
          <w:rtl/>
        </w:rPr>
        <w:t>גלעד</w:t>
      </w:r>
      <w:r>
        <w:rPr>
          <w:rFonts w:hint="cs"/>
          <w:rtl/>
        </w:rPr>
        <w:t>, סוג מקרים זה מתייחס למצבים שבהם "בשל תכונות הדמיון והחזרה הרציפה [...] מאחדים רעיונית את העילות החוזרות העצמאיות, למרות עצמאותן, לעילה אחת 'גדולה' המשתרעת לאורך כל התקופה שבה נוצרו העילות העצמאיות 'הקטנות'" (שם, עמ' 215). במצבים אלה מתעוררת השאלה מהו מועד לידתה של אותה "עילה אחת גדולה". לשם כך יש להמשיך לשלב השלישי, כמפורט להלן.</w:t>
      </w:r>
    </w:p>
    <w:p w:rsidR="00B347E6" w:rsidRDefault="00B347E6" w:rsidP="00B347E6">
      <w:pPr>
        <w:pStyle w:val="Ruller41"/>
        <w:rPr>
          <w:rtl/>
        </w:rPr>
      </w:pPr>
    </w:p>
    <w:p w:rsidR="00B347E6" w:rsidRDefault="00B347E6" w:rsidP="00B347E6">
      <w:pPr>
        <w:pStyle w:val="Ruller41"/>
        <w:rPr>
          <w:rFonts w:ascii="Century" w:hAnsi="Century"/>
          <w:rtl/>
        </w:rPr>
      </w:pPr>
      <w:r>
        <w:rPr>
          <w:rtl/>
        </w:rPr>
        <w:tab/>
      </w:r>
      <w:r w:rsidRPr="006E0836">
        <w:rPr>
          <w:rFonts w:ascii="Century" w:hAnsi="Century" w:cs="Miriam" w:hint="cs"/>
          <w:b/>
          <w:spacing w:val="0"/>
          <w:szCs w:val="24"/>
          <w:rtl/>
        </w:rPr>
        <w:t>ג.</w:t>
      </w:r>
      <w:r>
        <w:rPr>
          <w:rFonts w:ascii="Century" w:hAnsi="Century" w:cs="Miriam" w:hint="cs"/>
          <w:b/>
          <w:spacing w:val="0"/>
          <w:szCs w:val="24"/>
          <w:rtl/>
        </w:rPr>
        <w:t xml:space="preserve"> </w:t>
      </w:r>
      <w:r w:rsidRPr="006E0836">
        <w:rPr>
          <w:rFonts w:ascii="Century" w:hAnsi="Century" w:hint="cs"/>
          <w:rtl/>
        </w:rPr>
        <w:t xml:space="preserve">בשלב השלישי, מקום </w:t>
      </w:r>
      <w:r>
        <w:rPr>
          <w:rFonts w:ascii="Century" w:hAnsi="Century" w:hint="cs"/>
          <w:rtl/>
        </w:rPr>
        <w:t>שבו</w:t>
      </w:r>
      <w:r w:rsidRPr="008B6DBD">
        <w:rPr>
          <w:rFonts w:ascii="Century" w:hAnsi="Century" w:hint="cs"/>
          <w:rtl/>
        </w:rPr>
        <w:t xml:space="preserve"> נקבע כי מדובר</w:t>
      </w:r>
      <w:r>
        <w:rPr>
          <w:rFonts w:ascii="Century" w:hAnsi="Century" w:hint="cs"/>
          <w:rtl/>
        </w:rPr>
        <w:t xml:space="preserve"> בעילה אחת </w:t>
      </w:r>
      <w:r w:rsidRPr="00A104E2">
        <w:rPr>
          <w:rFonts w:ascii="Century" w:hAnsi="Century" w:cs="Miriam" w:hint="cs"/>
          <w:b/>
          <w:spacing w:val="0"/>
          <w:szCs w:val="24"/>
          <w:rtl/>
        </w:rPr>
        <w:t>מתארכת</w:t>
      </w:r>
      <w:r>
        <w:rPr>
          <w:rFonts w:ascii="Century" w:hAnsi="Century" w:hint="cs"/>
          <w:rtl/>
        </w:rPr>
        <w:t xml:space="preserve">, יש לקבוע מהו מועד לידתה והתיישנותה. בעניין זה מציג </w:t>
      </w:r>
      <w:r w:rsidRPr="00ED1066">
        <w:rPr>
          <w:rFonts w:ascii="Century" w:hAnsi="Century" w:cs="Miriam" w:hint="cs"/>
          <w:b/>
          <w:spacing w:val="0"/>
          <w:szCs w:val="24"/>
          <w:rtl/>
        </w:rPr>
        <w:t>גלעד</w:t>
      </w:r>
      <w:r>
        <w:rPr>
          <w:rFonts w:ascii="Century" w:hAnsi="Century" w:hint="cs"/>
          <w:rtl/>
        </w:rPr>
        <w:t xml:space="preserve"> שלוש אפשרויות: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(1) אפשרות אחת היא לקבוע כי מועד לידתה הוא </w:t>
      </w:r>
      <w:r w:rsidRPr="00ED1066">
        <w:rPr>
          <w:rFonts w:ascii="Century" w:hAnsi="Century" w:cs="Miriam" w:hint="cs"/>
          <w:b/>
          <w:spacing w:val="0"/>
          <w:szCs w:val="24"/>
          <w:rtl/>
        </w:rPr>
        <w:t>בתחילת התקופה</w:t>
      </w:r>
      <w:r>
        <w:rPr>
          <w:rFonts w:ascii="Century" w:hAnsi="Century" w:hint="cs"/>
          <w:rtl/>
        </w:rPr>
        <w:t xml:space="preserve">, קרי במועד שבו נולדה התביעה החוזרת הראשונה ("דחיסה לאחור" של התקופה למועד תחילתה). אפשרות זו מיטיבה עם נתבעים, שכן היא מביאה להקדמת פתיחת מירוץ ההתיישנות ולהתיישנות כל התביעות החוזרות המאוחרות כבר עם התיישנותה של התביעה הראשונה (וראו אצל </w:t>
      </w:r>
      <w:r w:rsidRPr="00671F9A">
        <w:rPr>
          <w:rFonts w:ascii="Century" w:hAnsi="Century" w:cs="Miriam" w:hint="cs"/>
          <w:b/>
          <w:spacing w:val="0"/>
          <w:szCs w:val="24"/>
          <w:rtl/>
        </w:rPr>
        <w:t>גלעד</w:t>
      </w:r>
      <w:r>
        <w:rPr>
          <w:rFonts w:ascii="Century" w:hAnsi="Century" w:hint="cs"/>
          <w:rtl/>
        </w:rPr>
        <w:t xml:space="preserve">, הסבור כי להסדר שכזה של "דחיסה לאחור" אין הצדקה כאשר מדובר בעילות תביעות חוזרות (עצמאיות), וכי אין אסמכתאות הדוגלות בו בפסיקה בישראל, ואף לא בשיטות משפט נוספות (שם, עמ' 220). עם זאת, נעיר כי אפשרות הקרובה להסדר זה של "דחיסה לאחור" קיימת לכאורה כאשר נקבע, במסגרת שלב הבחינה הראשון של רוחב עילת התביעה, כי מדובר בתביעות השייכות לאותה עילה).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(2) אפשרות הפוכה היא לקבוע כי מועד לידתה של העילה המתארכת הוא </w:t>
      </w:r>
      <w:r w:rsidRPr="00ED1066">
        <w:rPr>
          <w:rFonts w:ascii="Century" w:hAnsi="Century" w:cs="Miriam" w:hint="cs"/>
          <w:b/>
          <w:spacing w:val="0"/>
          <w:szCs w:val="24"/>
          <w:rtl/>
        </w:rPr>
        <w:t>בסוף התקופה</w:t>
      </w:r>
      <w:r>
        <w:rPr>
          <w:rFonts w:ascii="Century" w:hAnsi="Century" w:hint="cs"/>
          <w:rtl/>
        </w:rPr>
        <w:t xml:space="preserve">, קרי במועד שבו נולדה התביעה החוזרת האחרונה ("דחיסה לפנים" של התקופה למועד לידת התביעה האחרונה). אפשרות זו מיטיבה עם תובעים, שכן היא דוחה את מועד פתיחת מירוץ ההתיישנות ומאפשרת לתבוע אחורנית בגין כל התביעות החוזרות, ללא תלות במשך הזמן שחלף מאז שנוצרו. </w:t>
      </w:r>
    </w:p>
    <w:p w:rsidR="00B347E6" w:rsidRDefault="00B347E6" w:rsidP="00B347E6">
      <w:pPr>
        <w:pStyle w:val="Ruller41"/>
        <w:rPr>
          <w:rFonts w:ascii="Century" w:hAnsi="Century"/>
          <w:rtl/>
        </w:rPr>
      </w:pPr>
    </w:p>
    <w:p w:rsidR="00B347E6" w:rsidRPr="008B6DBD" w:rsidRDefault="00B347E6" w:rsidP="00B347E6">
      <w:pPr>
        <w:pStyle w:val="Ruller41"/>
        <w:rPr>
          <w:rFonts w:ascii="Century" w:hAnsi="Century"/>
          <w:rtl/>
        </w:rPr>
      </w:pPr>
      <w:r>
        <w:rPr>
          <w:rFonts w:ascii="Century" w:hAnsi="Century"/>
          <w:rtl/>
        </w:rPr>
        <w:tab/>
      </w:r>
      <w:r>
        <w:rPr>
          <w:rFonts w:ascii="Century" w:hAnsi="Century" w:hint="cs"/>
          <w:rtl/>
        </w:rPr>
        <w:t xml:space="preserve">(3) אפשרות תיאורטית שלישית שמעלה </w:t>
      </w:r>
      <w:r w:rsidRPr="00EE269E">
        <w:rPr>
          <w:rFonts w:ascii="Century" w:hAnsi="Century" w:cs="Miriam" w:hint="cs"/>
          <w:b/>
          <w:spacing w:val="0"/>
          <w:szCs w:val="24"/>
          <w:rtl/>
        </w:rPr>
        <w:t>גלעד</w:t>
      </w:r>
      <w:r>
        <w:rPr>
          <w:rFonts w:ascii="Century" w:hAnsi="Century" w:hint="cs"/>
          <w:rtl/>
        </w:rPr>
        <w:t xml:space="preserve"> היא לדחוס את העילה למועד ביניים.</w:t>
      </w:r>
    </w:p>
    <w:p w:rsidR="00B347E6" w:rsidRDefault="00B347E6" w:rsidP="00B347E6">
      <w:pPr>
        <w:pStyle w:val="Ruller41"/>
        <w:rPr>
          <w:rtl/>
        </w:rPr>
      </w:pPr>
    </w:p>
    <w:p w:rsidR="00B347E6" w:rsidRDefault="008D6D79" w:rsidP="00B347E6">
      <w:pPr>
        <w:pStyle w:val="Ruller41"/>
        <w:rPr>
          <w:rtl/>
        </w:rPr>
      </w:pPr>
      <w:r>
        <w:rPr>
          <w:rFonts w:hint="cs"/>
          <w:rtl/>
        </w:rPr>
        <w:t>47</w:t>
      </w:r>
      <w:r w:rsidR="00B347E6">
        <w:rPr>
          <w:rFonts w:hint="cs"/>
          <w:rtl/>
        </w:rPr>
        <w:t>.</w:t>
      </w:r>
      <w:r w:rsidR="00B347E6">
        <w:rPr>
          <w:rFonts w:hint="cs"/>
          <w:rtl/>
        </w:rPr>
        <w:tab/>
        <w:t>בטרם נידרש למודל המוצג ולניתוח הדברים בראי המקרה שלפנינו, נעמיד לנגד עינינו את הוראותיו של סעיף 89 לפקודת הנזיקין:</w:t>
      </w:r>
    </w:p>
    <w:p w:rsidR="00B347E6" w:rsidRDefault="00B347E6" w:rsidP="00B347E6">
      <w:pPr>
        <w:pStyle w:val="Ruller41"/>
        <w:rPr>
          <w:rtl/>
        </w:rPr>
      </w:pPr>
    </w:p>
    <w:p w:rsidR="00B347E6" w:rsidRPr="007A4BC8" w:rsidRDefault="00B347E6" w:rsidP="00B347E6">
      <w:pPr>
        <w:pStyle w:val="Ruller5"/>
        <w:spacing w:line="276" w:lineRule="auto"/>
        <w:rPr>
          <w:rFonts w:ascii="Century" w:hAnsi="Century" w:cs="Miriam"/>
          <w:b/>
          <w:spacing w:val="0"/>
          <w:szCs w:val="24"/>
          <w:rtl/>
        </w:rPr>
      </w:pPr>
      <w:r w:rsidRPr="007A4BC8">
        <w:rPr>
          <w:rFonts w:ascii="Century" w:hAnsi="Century" w:cs="Miriam" w:hint="eastAsia"/>
          <w:b/>
          <w:spacing w:val="0"/>
          <w:szCs w:val="24"/>
          <w:rtl/>
        </w:rPr>
        <w:t>תחילת</w:t>
      </w:r>
      <w:r w:rsidRPr="007A4BC8">
        <w:rPr>
          <w:rFonts w:ascii="Century" w:hAnsi="Century" w:cs="Miriam"/>
          <w:b/>
          <w:spacing w:val="0"/>
          <w:szCs w:val="24"/>
          <w:rtl/>
        </w:rPr>
        <w:t xml:space="preserve"> </w:t>
      </w:r>
      <w:r w:rsidRPr="007A4BC8">
        <w:rPr>
          <w:rFonts w:ascii="Century" w:hAnsi="Century" w:cs="Miriam" w:hint="eastAsia"/>
          <w:b/>
          <w:spacing w:val="0"/>
          <w:szCs w:val="24"/>
          <w:rtl/>
        </w:rPr>
        <w:t>התיישנות</w:t>
      </w:r>
    </w:p>
    <w:p w:rsidR="00B347E6" w:rsidRPr="007A4BC8" w:rsidRDefault="00B347E6" w:rsidP="00B347E6">
      <w:pPr>
        <w:pStyle w:val="Ruller5"/>
        <w:rPr>
          <w:rtl/>
        </w:rPr>
      </w:pPr>
      <w:r w:rsidRPr="007A4BC8">
        <w:rPr>
          <w:rtl/>
        </w:rPr>
        <w:t>89</w:t>
      </w:r>
      <w:r>
        <w:rPr>
          <w:rFonts w:hint="cs"/>
          <w:rtl/>
        </w:rPr>
        <w:t xml:space="preserve">. </w:t>
      </w:r>
      <w:r w:rsidRPr="007A4BC8">
        <w:rPr>
          <w:rFonts w:hint="eastAsia"/>
          <w:rtl/>
        </w:rPr>
        <w:t>לענין</w:t>
      </w:r>
      <w:r w:rsidRPr="007A4BC8">
        <w:rPr>
          <w:rtl/>
        </w:rPr>
        <w:t xml:space="preserve"> </w:t>
      </w:r>
      <w:r w:rsidRPr="007A4BC8">
        <w:rPr>
          <w:rFonts w:hint="eastAsia"/>
          <w:rtl/>
        </w:rPr>
        <w:t>תקופת</w:t>
      </w:r>
      <w:r w:rsidRPr="007A4BC8">
        <w:rPr>
          <w:rtl/>
        </w:rPr>
        <w:t xml:space="preserve"> </w:t>
      </w:r>
      <w:r w:rsidRPr="007A4BC8">
        <w:rPr>
          <w:rFonts w:hint="eastAsia"/>
          <w:rtl/>
        </w:rPr>
        <w:t>התיישנות</w:t>
      </w:r>
      <w:r w:rsidRPr="007A4BC8">
        <w:rPr>
          <w:rtl/>
        </w:rPr>
        <w:t xml:space="preserve"> </w:t>
      </w:r>
      <w:r w:rsidRPr="007A4BC8">
        <w:rPr>
          <w:rFonts w:hint="eastAsia"/>
          <w:rtl/>
        </w:rPr>
        <w:t>בתובענות</w:t>
      </w:r>
      <w:r w:rsidRPr="007A4BC8">
        <w:rPr>
          <w:rtl/>
        </w:rPr>
        <w:t xml:space="preserve"> </w:t>
      </w:r>
      <w:r w:rsidRPr="007A4BC8">
        <w:rPr>
          <w:rFonts w:hint="eastAsia"/>
          <w:rtl/>
        </w:rPr>
        <w:t>על</w:t>
      </w:r>
      <w:r w:rsidRPr="007A4BC8">
        <w:rPr>
          <w:rtl/>
        </w:rPr>
        <w:t xml:space="preserve"> </w:t>
      </w:r>
      <w:r w:rsidRPr="007A4BC8">
        <w:rPr>
          <w:rFonts w:hint="eastAsia"/>
          <w:rtl/>
        </w:rPr>
        <w:t>עוולות</w:t>
      </w:r>
      <w:r w:rsidRPr="007A4BC8">
        <w:rPr>
          <w:rtl/>
        </w:rPr>
        <w:t xml:space="preserve"> – "</w:t>
      </w:r>
      <w:r w:rsidRPr="007A4BC8">
        <w:rPr>
          <w:rFonts w:hint="eastAsia"/>
          <w:rtl/>
        </w:rPr>
        <w:t>היום</w:t>
      </w:r>
      <w:r w:rsidRPr="007A4BC8">
        <w:rPr>
          <w:rtl/>
        </w:rPr>
        <w:t xml:space="preserve"> </w:t>
      </w:r>
      <w:r w:rsidRPr="007A4BC8">
        <w:rPr>
          <w:rFonts w:hint="eastAsia"/>
          <w:rtl/>
        </w:rPr>
        <w:t>שנולדה</w:t>
      </w:r>
      <w:r w:rsidRPr="007A4BC8">
        <w:rPr>
          <w:rtl/>
        </w:rPr>
        <w:t xml:space="preserve"> </w:t>
      </w:r>
      <w:r w:rsidRPr="007A4BC8">
        <w:rPr>
          <w:rFonts w:hint="eastAsia"/>
          <w:rtl/>
        </w:rPr>
        <w:t>עילת</w:t>
      </w:r>
      <w:r w:rsidRPr="007A4BC8">
        <w:rPr>
          <w:rtl/>
        </w:rPr>
        <w:t xml:space="preserve"> </w:t>
      </w:r>
      <w:r w:rsidRPr="007A4BC8">
        <w:rPr>
          <w:rFonts w:hint="eastAsia"/>
          <w:rtl/>
        </w:rPr>
        <w:t>התובענה</w:t>
      </w:r>
      <w:r w:rsidRPr="007A4BC8">
        <w:rPr>
          <w:rtl/>
        </w:rPr>
        <w:t xml:space="preserve">" </w:t>
      </w:r>
      <w:r w:rsidRPr="007A4BC8">
        <w:rPr>
          <w:rFonts w:hint="eastAsia"/>
          <w:rtl/>
        </w:rPr>
        <w:t>הוא</w:t>
      </w:r>
      <w:r w:rsidRPr="007A4BC8">
        <w:rPr>
          <w:rtl/>
        </w:rPr>
        <w:t xml:space="preserve"> </w:t>
      </w:r>
      <w:r w:rsidRPr="007A4BC8">
        <w:rPr>
          <w:rFonts w:hint="eastAsia"/>
          <w:rtl/>
        </w:rPr>
        <w:t>אחד</w:t>
      </w:r>
      <w:r w:rsidRPr="007A4BC8">
        <w:rPr>
          <w:rtl/>
        </w:rPr>
        <w:t xml:space="preserve"> </w:t>
      </w:r>
      <w:r w:rsidRPr="007A4BC8">
        <w:rPr>
          <w:rFonts w:hint="eastAsia"/>
          <w:rtl/>
        </w:rPr>
        <w:t>מאלה</w:t>
      </w:r>
      <w:r w:rsidRPr="007A4BC8">
        <w:rPr>
          <w:rtl/>
        </w:rPr>
        <w:t>:</w:t>
      </w:r>
    </w:p>
    <w:p w:rsidR="00B347E6" w:rsidRPr="007A4BC8" w:rsidRDefault="00B347E6" w:rsidP="00B347E6">
      <w:pPr>
        <w:pStyle w:val="Ruller5"/>
        <w:rPr>
          <w:rtl/>
        </w:rPr>
      </w:pPr>
      <w:r w:rsidRPr="007A4BC8">
        <w:rPr>
          <w:rtl/>
        </w:rPr>
        <w:t>(1)</w:t>
      </w:r>
      <w:r>
        <w:rPr>
          <w:rFonts w:hint="cs"/>
        </w:rPr>
        <w:t xml:space="preserve"> </w:t>
      </w:r>
      <w:r w:rsidRPr="007A4BC8">
        <w:rPr>
          <w:rFonts w:hint="eastAsia"/>
          <w:rtl/>
        </w:rPr>
        <w:t>מקום</w:t>
      </w:r>
      <w:r w:rsidRPr="007A4BC8">
        <w:rPr>
          <w:rtl/>
        </w:rPr>
        <w:t xml:space="preserve"> </w:t>
      </w:r>
      <w:r w:rsidRPr="007A4BC8">
        <w:rPr>
          <w:rFonts w:hint="eastAsia"/>
          <w:rtl/>
        </w:rPr>
        <w:t>שעילת</w:t>
      </w:r>
      <w:r w:rsidRPr="007A4BC8">
        <w:rPr>
          <w:rtl/>
        </w:rPr>
        <w:t xml:space="preserve"> </w:t>
      </w:r>
      <w:r w:rsidRPr="007A4BC8">
        <w:rPr>
          <w:rFonts w:hint="eastAsia"/>
          <w:rtl/>
        </w:rPr>
        <w:t>התובענה</w:t>
      </w:r>
      <w:r w:rsidRPr="007A4BC8">
        <w:rPr>
          <w:rtl/>
        </w:rPr>
        <w:t xml:space="preserve"> </w:t>
      </w:r>
      <w:r w:rsidRPr="007A4BC8">
        <w:rPr>
          <w:rFonts w:hint="eastAsia"/>
          <w:rtl/>
        </w:rPr>
        <w:t>היא</w:t>
      </w:r>
      <w:r w:rsidRPr="007A4BC8">
        <w:rPr>
          <w:rtl/>
        </w:rPr>
        <w:t xml:space="preserve"> </w:t>
      </w:r>
      <w:r w:rsidRPr="007A4BC8">
        <w:rPr>
          <w:rFonts w:hint="eastAsia"/>
          <w:rtl/>
        </w:rPr>
        <w:t>מעשה</w:t>
      </w:r>
      <w:r w:rsidRPr="007A4BC8">
        <w:rPr>
          <w:rtl/>
        </w:rPr>
        <w:t xml:space="preserve"> </w:t>
      </w:r>
      <w:r w:rsidRPr="007A4BC8">
        <w:rPr>
          <w:rFonts w:hint="eastAsia"/>
          <w:rtl/>
        </w:rPr>
        <w:t>או</w:t>
      </w:r>
      <w:r w:rsidRPr="007A4BC8">
        <w:rPr>
          <w:rtl/>
        </w:rPr>
        <w:t xml:space="preserve"> </w:t>
      </w:r>
      <w:r w:rsidRPr="007A4BC8">
        <w:rPr>
          <w:rFonts w:hint="eastAsia"/>
          <w:rtl/>
        </w:rPr>
        <w:t>מחדל</w:t>
      </w:r>
      <w:r w:rsidRPr="007A4BC8">
        <w:rPr>
          <w:rtl/>
        </w:rPr>
        <w:t xml:space="preserve"> – </w:t>
      </w:r>
      <w:r w:rsidRPr="007A4BC8">
        <w:rPr>
          <w:rFonts w:hint="eastAsia"/>
          <w:rtl/>
        </w:rPr>
        <w:t>היום</w:t>
      </w:r>
      <w:r w:rsidRPr="007A4BC8">
        <w:rPr>
          <w:rtl/>
        </w:rPr>
        <w:t xml:space="preserve"> </w:t>
      </w:r>
      <w:r w:rsidRPr="007A4BC8">
        <w:rPr>
          <w:rFonts w:hint="eastAsia"/>
          <w:rtl/>
        </w:rPr>
        <w:t>שבו</w:t>
      </w:r>
      <w:r w:rsidRPr="007A4BC8">
        <w:rPr>
          <w:rtl/>
        </w:rPr>
        <w:t xml:space="preserve"> </w:t>
      </w:r>
      <w:r w:rsidRPr="007A4BC8">
        <w:rPr>
          <w:rFonts w:hint="eastAsia"/>
          <w:rtl/>
        </w:rPr>
        <w:t>אירע</w:t>
      </w:r>
      <w:r w:rsidRPr="007A4BC8">
        <w:rPr>
          <w:rtl/>
        </w:rPr>
        <w:t xml:space="preserve"> </w:t>
      </w:r>
      <w:r w:rsidRPr="007A4BC8">
        <w:rPr>
          <w:rFonts w:hint="eastAsia"/>
          <w:rtl/>
        </w:rPr>
        <w:t>אותו</w:t>
      </w:r>
      <w:r w:rsidRPr="007A4BC8">
        <w:rPr>
          <w:rtl/>
        </w:rPr>
        <w:t xml:space="preserve"> </w:t>
      </w:r>
      <w:r w:rsidRPr="007A4BC8">
        <w:rPr>
          <w:rFonts w:hint="eastAsia"/>
          <w:rtl/>
        </w:rPr>
        <w:t>מעשה</w:t>
      </w:r>
      <w:r w:rsidRPr="007A4BC8">
        <w:rPr>
          <w:rtl/>
        </w:rPr>
        <w:t xml:space="preserve"> </w:t>
      </w:r>
      <w:r w:rsidRPr="007A4BC8">
        <w:rPr>
          <w:rFonts w:hint="eastAsia"/>
          <w:rtl/>
        </w:rPr>
        <w:t>או</w:t>
      </w:r>
      <w:r w:rsidRPr="007A4BC8">
        <w:rPr>
          <w:rtl/>
        </w:rPr>
        <w:t xml:space="preserve"> </w:t>
      </w:r>
      <w:r w:rsidRPr="007A4BC8">
        <w:rPr>
          <w:rFonts w:hint="eastAsia"/>
          <w:rtl/>
        </w:rPr>
        <w:t>מחדל</w:t>
      </w:r>
      <w:r w:rsidRPr="007A4BC8">
        <w:rPr>
          <w:rtl/>
        </w:rPr>
        <w:t xml:space="preserve">; </w:t>
      </w:r>
      <w:r w:rsidRPr="007A4BC8">
        <w:rPr>
          <w:rFonts w:hint="eastAsia"/>
          <w:rtl/>
        </w:rPr>
        <w:t>היה</w:t>
      </w:r>
      <w:r w:rsidRPr="007A4BC8">
        <w:rPr>
          <w:rtl/>
        </w:rPr>
        <w:t xml:space="preserve"> </w:t>
      </w:r>
      <w:r w:rsidRPr="007A4BC8">
        <w:rPr>
          <w:rFonts w:hint="eastAsia"/>
          <w:rtl/>
        </w:rPr>
        <w:t>המעשה</w:t>
      </w:r>
      <w:r w:rsidRPr="007A4BC8">
        <w:rPr>
          <w:rtl/>
        </w:rPr>
        <w:t xml:space="preserve"> </w:t>
      </w:r>
      <w:r w:rsidRPr="007A4BC8">
        <w:rPr>
          <w:rFonts w:hint="eastAsia"/>
          <w:rtl/>
        </w:rPr>
        <w:t>או</w:t>
      </w:r>
      <w:r w:rsidRPr="007A4BC8">
        <w:rPr>
          <w:rtl/>
        </w:rPr>
        <w:t xml:space="preserve"> </w:t>
      </w:r>
      <w:r w:rsidRPr="007A4BC8">
        <w:rPr>
          <w:rFonts w:hint="eastAsia"/>
          <w:rtl/>
        </w:rPr>
        <w:t>המחדל</w:t>
      </w:r>
      <w:r w:rsidRPr="007A4BC8">
        <w:rPr>
          <w:rtl/>
        </w:rPr>
        <w:t xml:space="preserve"> </w:t>
      </w:r>
      <w:r w:rsidRPr="007A4BC8">
        <w:rPr>
          <w:rFonts w:hint="eastAsia"/>
          <w:rtl/>
        </w:rPr>
        <w:t>נמשך</w:t>
      </w:r>
      <w:r w:rsidRPr="007A4BC8">
        <w:rPr>
          <w:rtl/>
        </w:rPr>
        <w:t xml:space="preserve"> </w:t>
      </w:r>
      <w:r w:rsidRPr="007A4BC8">
        <w:rPr>
          <w:rFonts w:hint="eastAsia"/>
          <w:rtl/>
        </w:rPr>
        <w:t>והולך</w:t>
      </w:r>
      <w:r w:rsidRPr="007A4BC8">
        <w:rPr>
          <w:rtl/>
        </w:rPr>
        <w:t xml:space="preserve"> – </w:t>
      </w:r>
      <w:r w:rsidRPr="007A4BC8">
        <w:rPr>
          <w:rFonts w:hint="eastAsia"/>
          <w:rtl/>
        </w:rPr>
        <w:t>היום</w:t>
      </w:r>
      <w:r w:rsidRPr="007A4BC8">
        <w:rPr>
          <w:rtl/>
        </w:rPr>
        <w:t xml:space="preserve"> </w:t>
      </w:r>
      <w:r w:rsidRPr="007A4BC8">
        <w:rPr>
          <w:rFonts w:hint="eastAsia"/>
          <w:rtl/>
        </w:rPr>
        <w:t>שבו</w:t>
      </w:r>
      <w:r w:rsidRPr="007A4BC8">
        <w:rPr>
          <w:rtl/>
        </w:rPr>
        <w:t xml:space="preserve"> </w:t>
      </w:r>
      <w:r w:rsidRPr="007A4BC8">
        <w:rPr>
          <w:rFonts w:hint="eastAsia"/>
          <w:rtl/>
        </w:rPr>
        <w:t>חדל</w:t>
      </w:r>
      <w:r w:rsidRPr="007A4BC8">
        <w:rPr>
          <w:rtl/>
        </w:rPr>
        <w:t>;</w:t>
      </w:r>
    </w:p>
    <w:p w:rsidR="00B347E6" w:rsidRDefault="00B347E6" w:rsidP="00B347E6">
      <w:pPr>
        <w:pStyle w:val="Ruller5"/>
        <w:rPr>
          <w:rtl/>
        </w:rPr>
      </w:pPr>
      <w:r w:rsidRPr="007A4BC8">
        <w:rPr>
          <w:rtl/>
        </w:rPr>
        <w:t>(2)</w:t>
      </w:r>
      <w:r>
        <w:rPr>
          <w:rFonts w:hint="cs"/>
        </w:rPr>
        <w:t xml:space="preserve"> </w:t>
      </w:r>
      <w:r w:rsidRPr="007A4BC8">
        <w:rPr>
          <w:rFonts w:hint="eastAsia"/>
          <w:rtl/>
        </w:rPr>
        <w:t>מקום</w:t>
      </w:r>
      <w:r w:rsidRPr="007A4BC8">
        <w:rPr>
          <w:rtl/>
        </w:rPr>
        <w:t xml:space="preserve"> </w:t>
      </w:r>
      <w:r w:rsidRPr="007A4BC8">
        <w:rPr>
          <w:rFonts w:hint="eastAsia"/>
          <w:rtl/>
        </w:rPr>
        <w:t>שעילת</w:t>
      </w:r>
      <w:r w:rsidRPr="007A4BC8">
        <w:rPr>
          <w:rtl/>
        </w:rPr>
        <w:t xml:space="preserve"> </w:t>
      </w:r>
      <w:r w:rsidRPr="007A4BC8">
        <w:rPr>
          <w:rFonts w:hint="eastAsia"/>
          <w:rtl/>
        </w:rPr>
        <w:t>התובענה</w:t>
      </w:r>
      <w:r w:rsidRPr="007A4BC8">
        <w:rPr>
          <w:rtl/>
        </w:rPr>
        <w:t xml:space="preserve"> </w:t>
      </w:r>
      <w:r w:rsidRPr="007A4BC8">
        <w:rPr>
          <w:rFonts w:hint="eastAsia"/>
          <w:rtl/>
        </w:rPr>
        <w:t>היא</w:t>
      </w:r>
      <w:r w:rsidRPr="007A4BC8">
        <w:rPr>
          <w:rtl/>
        </w:rPr>
        <w:t xml:space="preserve"> </w:t>
      </w:r>
      <w:r w:rsidRPr="007A4BC8">
        <w:rPr>
          <w:rFonts w:hint="eastAsia"/>
          <w:rtl/>
        </w:rPr>
        <w:t>נזק</w:t>
      </w:r>
      <w:r w:rsidRPr="007A4BC8">
        <w:rPr>
          <w:rtl/>
        </w:rPr>
        <w:t xml:space="preserve"> </w:t>
      </w:r>
      <w:r w:rsidRPr="007A4BC8">
        <w:rPr>
          <w:rFonts w:hint="eastAsia"/>
          <w:rtl/>
        </w:rPr>
        <w:t>שנגרם</w:t>
      </w:r>
      <w:r w:rsidRPr="007A4BC8">
        <w:rPr>
          <w:rtl/>
        </w:rPr>
        <w:t xml:space="preserve"> </w:t>
      </w:r>
      <w:r w:rsidRPr="007A4BC8">
        <w:rPr>
          <w:rFonts w:hint="eastAsia"/>
          <w:rtl/>
        </w:rPr>
        <w:t>על</w:t>
      </w:r>
      <w:r w:rsidRPr="007A4BC8">
        <w:rPr>
          <w:rtl/>
        </w:rPr>
        <w:t xml:space="preserve"> </w:t>
      </w:r>
      <w:r w:rsidRPr="007A4BC8">
        <w:rPr>
          <w:rFonts w:hint="eastAsia"/>
          <w:rtl/>
        </w:rPr>
        <w:t>ידי</w:t>
      </w:r>
      <w:r w:rsidRPr="007A4BC8">
        <w:rPr>
          <w:rtl/>
        </w:rPr>
        <w:t xml:space="preserve"> </w:t>
      </w:r>
      <w:r w:rsidRPr="007A4BC8">
        <w:rPr>
          <w:rFonts w:hint="eastAsia"/>
          <w:rtl/>
        </w:rPr>
        <w:t>מעשה</w:t>
      </w:r>
      <w:r w:rsidRPr="007A4BC8">
        <w:rPr>
          <w:rtl/>
        </w:rPr>
        <w:t xml:space="preserve"> </w:t>
      </w:r>
      <w:r w:rsidRPr="007A4BC8">
        <w:rPr>
          <w:rFonts w:hint="eastAsia"/>
          <w:rtl/>
        </w:rPr>
        <w:t>או</w:t>
      </w:r>
      <w:r w:rsidRPr="007A4BC8">
        <w:rPr>
          <w:rtl/>
        </w:rPr>
        <w:t xml:space="preserve"> </w:t>
      </w:r>
      <w:r w:rsidRPr="007A4BC8">
        <w:rPr>
          <w:rFonts w:hint="eastAsia"/>
          <w:rtl/>
        </w:rPr>
        <w:t>מחדל</w:t>
      </w:r>
      <w:r w:rsidRPr="007A4BC8">
        <w:rPr>
          <w:rtl/>
        </w:rPr>
        <w:t xml:space="preserve"> – </w:t>
      </w:r>
      <w:r w:rsidRPr="007A4BC8">
        <w:rPr>
          <w:rFonts w:hint="eastAsia"/>
          <w:rtl/>
        </w:rPr>
        <w:t>היום</w:t>
      </w:r>
      <w:r w:rsidRPr="007A4BC8">
        <w:rPr>
          <w:rtl/>
        </w:rPr>
        <w:t xml:space="preserve"> </w:t>
      </w:r>
      <w:r w:rsidRPr="007A4BC8">
        <w:rPr>
          <w:rFonts w:hint="eastAsia"/>
          <w:rtl/>
        </w:rPr>
        <w:t>שבו</w:t>
      </w:r>
      <w:r w:rsidRPr="007A4BC8">
        <w:rPr>
          <w:rtl/>
        </w:rPr>
        <w:t xml:space="preserve"> </w:t>
      </w:r>
      <w:r w:rsidRPr="007A4BC8">
        <w:rPr>
          <w:rFonts w:hint="eastAsia"/>
          <w:rtl/>
        </w:rPr>
        <w:t>אירע</w:t>
      </w:r>
      <w:r w:rsidRPr="007A4BC8">
        <w:rPr>
          <w:rtl/>
        </w:rPr>
        <w:t xml:space="preserve"> </w:t>
      </w:r>
      <w:r w:rsidRPr="007A4BC8">
        <w:rPr>
          <w:rFonts w:hint="eastAsia"/>
          <w:rtl/>
        </w:rPr>
        <w:t>אותו</w:t>
      </w:r>
      <w:r w:rsidRPr="007A4BC8">
        <w:rPr>
          <w:rtl/>
        </w:rPr>
        <w:t xml:space="preserve"> </w:t>
      </w:r>
      <w:r w:rsidRPr="007A4BC8">
        <w:rPr>
          <w:rFonts w:hint="eastAsia"/>
          <w:rtl/>
        </w:rPr>
        <w:t>נזק</w:t>
      </w:r>
      <w:r w:rsidRPr="007A4BC8">
        <w:rPr>
          <w:rtl/>
        </w:rPr>
        <w:t xml:space="preserve">; </w:t>
      </w:r>
      <w:r w:rsidRPr="007A4BC8">
        <w:rPr>
          <w:rFonts w:hint="eastAsia"/>
          <w:rtl/>
        </w:rPr>
        <w:t>לא</w:t>
      </w:r>
      <w:r w:rsidRPr="007A4BC8">
        <w:rPr>
          <w:rtl/>
        </w:rPr>
        <w:t xml:space="preserve"> </w:t>
      </w:r>
      <w:r w:rsidRPr="007A4BC8">
        <w:rPr>
          <w:rFonts w:hint="eastAsia"/>
          <w:rtl/>
        </w:rPr>
        <w:t>נתגלה</w:t>
      </w:r>
      <w:r w:rsidRPr="007A4BC8">
        <w:rPr>
          <w:rtl/>
        </w:rPr>
        <w:t xml:space="preserve"> </w:t>
      </w:r>
      <w:r w:rsidRPr="007A4BC8">
        <w:rPr>
          <w:rFonts w:hint="eastAsia"/>
          <w:rtl/>
        </w:rPr>
        <w:t>הנזק</w:t>
      </w:r>
      <w:r w:rsidRPr="007A4BC8">
        <w:rPr>
          <w:rtl/>
        </w:rPr>
        <w:t xml:space="preserve"> </w:t>
      </w:r>
      <w:r w:rsidRPr="007A4BC8">
        <w:rPr>
          <w:rFonts w:hint="eastAsia"/>
          <w:rtl/>
        </w:rPr>
        <w:t>ביום</w:t>
      </w:r>
      <w:r w:rsidRPr="007A4BC8">
        <w:rPr>
          <w:rtl/>
        </w:rPr>
        <w:t xml:space="preserve"> </w:t>
      </w:r>
      <w:r w:rsidRPr="007A4BC8">
        <w:rPr>
          <w:rFonts w:hint="eastAsia"/>
          <w:rtl/>
        </w:rPr>
        <w:t>שאירע</w:t>
      </w:r>
      <w:r w:rsidRPr="007A4BC8">
        <w:rPr>
          <w:rtl/>
        </w:rPr>
        <w:t xml:space="preserve"> – </w:t>
      </w:r>
      <w:r w:rsidRPr="007A4BC8">
        <w:rPr>
          <w:rFonts w:hint="eastAsia"/>
          <w:rtl/>
        </w:rPr>
        <w:t>היום</w:t>
      </w:r>
      <w:r w:rsidRPr="007A4BC8">
        <w:rPr>
          <w:rtl/>
        </w:rPr>
        <w:t xml:space="preserve"> </w:t>
      </w:r>
      <w:r w:rsidRPr="007A4BC8">
        <w:rPr>
          <w:rFonts w:hint="eastAsia"/>
          <w:rtl/>
        </w:rPr>
        <w:t>שבו</w:t>
      </w:r>
      <w:r w:rsidRPr="007A4BC8">
        <w:rPr>
          <w:rtl/>
        </w:rPr>
        <w:t xml:space="preserve"> </w:t>
      </w:r>
      <w:r w:rsidRPr="007A4BC8">
        <w:rPr>
          <w:rFonts w:hint="eastAsia"/>
          <w:rtl/>
        </w:rPr>
        <w:t>נתגלה</w:t>
      </w:r>
      <w:r w:rsidRPr="007A4BC8">
        <w:rPr>
          <w:rtl/>
        </w:rPr>
        <w:t xml:space="preserve"> </w:t>
      </w:r>
      <w:r w:rsidRPr="007A4BC8">
        <w:rPr>
          <w:rFonts w:hint="eastAsia"/>
          <w:rtl/>
        </w:rPr>
        <w:t>הנזק</w:t>
      </w:r>
      <w:r w:rsidRPr="007A4BC8">
        <w:rPr>
          <w:rtl/>
        </w:rPr>
        <w:t xml:space="preserve">, </w:t>
      </w:r>
      <w:r w:rsidRPr="007A4BC8">
        <w:rPr>
          <w:rFonts w:hint="eastAsia"/>
          <w:rtl/>
        </w:rPr>
        <w:t>אלא</w:t>
      </w:r>
      <w:r w:rsidRPr="007A4BC8">
        <w:rPr>
          <w:rtl/>
        </w:rPr>
        <w:t xml:space="preserve"> </w:t>
      </w:r>
      <w:r w:rsidRPr="007A4BC8">
        <w:rPr>
          <w:rFonts w:hint="eastAsia"/>
          <w:rtl/>
        </w:rPr>
        <w:t>שבמקרה</w:t>
      </w:r>
      <w:r w:rsidRPr="007A4BC8">
        <w:rPr>
          <w:rtl/>
        </w:rPr>
        <w:t xml:space="preserve"> </w:t>
      </w:r>
      <w:r w:rsidRPr="007A4BC8">
        <w:rPr>
          <w:rFonts w:hint="eastAsia"/>
          <w:rtl/>
        </w:rPr>
        <w:t>אחרון</w:t>
      </w:r>
      <w:r w:rsidRPr="007A4BC8">
        <w:rPr>
          <w:rtl/>
        </w:rPr>
        <w:t xml:space="preserve"> </w:t>
      </w:r>
      <w:r w:rsidRPr="007A4BC8">
        <w:rPr>
          <w:rFonts w:hint="eastAsia"/>
          <w:rtl/>
        </w:rPr>
        <w:t>זה</w:t>
      </w:r>
      <w:r w:rsidRPr="007A4BC8">
        <w:rPr>
          <w:rtl/>
        </w:rPr>
        <w:t xml:space="preserve"> </w:t>
      </w:r>
      <w:r w:rsidRPr="007A4BC8">
        <w:rPr>
          <w:rFonts w:hint="eastAsia"/>
          <w:rtl/>
        </w:rPr>
        <w:t>תתיישן</w:t>
      </w:r>
      <w:r w:rsidRPr="007A4BC8">
        <w:rPr>
          <w:rtl/>
        </w:rPr>
        <w:t xml:space="preserve"> </w:t>
      </w:r>
      <w:r w:rsidRPr="007A4BC8">
        <w:rPr>
          <w:rFonts w:hint="eastAsia"/>
          <w:rtl/>
        </w:rPr>
        <w:t>התובענה</w:t>
      </w:r>
      <w:r w:rsidRPr="007A4BC8">
        <w:rPr>
          <w:rtl/>
        </w:rPr>
        <w:t xml:space="preserve"> </w:t>
      </w:r>
      <w:r w:rsidRPr="007A4BC8">
        <w:rPr>
          <w:rFonts w:hint="eastAsia"/>
          <w:rtl/>
        </w:rPr>
        <w:t>אם</w:t>
      </w:r>
      <w:r w:rsidRPr="007A4BC8">
        <w:rPr>
          <w:rtl/>
        </w:rPr>
        <w:t xml:space="preserve"> </w:t>
      </w:r>
      <w:r w:rsidRPr="007A4BC8">
        <w:rPr>
          <w:rFonts w:hint="eastAsia"/>
          <w:rtl/>
        </w:rPr>
        <w:t>לא</w:t>
      </w:r>
      <w:r w:rsidRPr="007A4BC8">
        <w:rPr>
          <w:rtl/>
        </w:rPr>
        <w:t xml:space="preserve"> </w:t>
      </w:r>
      <w:r w:rsidRPr="007A4BC8">
        <w:rPr>
          <w:rFonts w:hint="eastAsia"/>
          <w:rtl/>
        </w:rPr>
        <w:t>הוגשה</w:t>
      </w:r>
      <w:r w:rsidRPr="007A4BC8">
        <w:rPr>
          <w:rtl/>
        </w:rPr>
        <w:t xml:space="preserve"> </w:t>
      </w:r>
      <w:r w:rsidRPr="007A4BC8">
        <w:rPr>
          <w:rFonts w:hint="eastAsia"/>
          <w:rtl/>
        </w:rPr>
        <w:t>תוך</w:t>
      </w:r>
      <w:r w:rsidRPr="007A4BC8">
        <w:rPr>
          <w:rtl/>
        </w:rPr>
        <w:t xml:space="preserve"> </w:t>
      </w:r>
      <w:r w:rsidRPr="007A4BC8">
        <w:rPr>
          <w:rFonts w:hint="eastAsia"/>
          <w:rtl/>
        </w:rPr>
        <w:t>עשר</w:t>
      </w:r>
      <w:r w:rsidRPr="007A4BC8">
        <w:rPr>
          <w:rtl/>
        </w:rPr>
        <w:t xml:space="preserve"> </w:t>
      </w:r>
      <w:r w:rsidRPr="007A4BC8">
        <w:rPr>
          <w:rFonts w:hint="eastAsia"/>
          <w:rtl/>
        </w:rPr>
        <w:t>שנים</w:t>
      </w:r>
      <w:r w:rsidRPr="007A4BC8">
        <w:rPr>
          <w:rtl/>
        </w:rPr>
        <w:t xml:space="preserve"> </w:t>
      </w:r>
      <w:r w:rsidRPr="007A4BC8">
        <w:rPr>
          <w:rFonts w:hint="eastAsia"/>
          <w:rtl/>
        </w:rPr>
        <w:t>מיום</w:t>
      </w:r>
      <w:r w:rsidRPr="007A4BC8">
        <w:rPr>
          <w:rtl/>
        </w:rPr>
        <w:t xml:space="preserve"> </w:t>
      </w:r>
      <w:r w:rsidRPr="007A4BC8">
        <w:rPr>
          <w:rFonts w:hint="eastAsia"/>
          <w:rtl/>
        </w:rPr>
        <w:t>אירוע</w:t>
      </w:r>
      <w:r w:rsidRPr="007A4BC8">
        <w:rPr>
          <w:rtl/>
        </w:rPr>
        <w:t xml:space="preserve"> </w:t>
      </w:r>
      <w:r w:rsidRPr="007A4BC8">
        <w:rPr>
          <w:rFonts w:hint="eastAsia"/>
          <w:rtl/>
        </w:rPr>
        <w:t>הנזק</w:t>
      </w:r>
      <w:r w:rsidRPr="007A4BC8">
        <w:rPr>
          <w:rtl/>
        </w:rPr>
        <w:t>.</w:t>
      </w:r>
    </w:p>
    <w:p w:rsidR="00B347E6" w:rsidRDefault="00B347E6" w:rsidP="00B347E6">
      <w:pPr>
        <w:pStyle w:val="Ruller5"/>
        <w:rPr>
          <w:rtl/>
        </w:rPr>
      </w:pPr>
    </w:p>
    <w:p w:rsidR="00B347E6" w:rsidRPr="00C4521C" w:rsidRDefault="00B347E6" w:rsidP="00B347E6">
      <w:pPr>
        <w:pStyle w:val="Ruller5"/>
        <w:rPr>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סעיף זה זכה להתייחסויות אין-ספור בפסיקה ובספרות, ולא זה המקום להידרש לשלל היבטיו ולמגוון ההערות והביקורות שנכתבו לגביו. בתמצית, ניתן לומר כי סעיף 89 לפקודה עוסק בסוגיית ההתיישנות בהקשר הנזיקי, ומבחין לעניין זה בין עוולות שהנזק אינו יסוד מיסודותיהן (סעיף 89(1)) לעוולות שהנזק הוא רכיב נדרש לצורך התגבשותן (סעיף 89(2)). (עוד על ההסדר בסעיף 89 ראו, מבין רבים: </w:t>
      </w:r>
      <w:r>
        <w:rPr>
          <w:rFonts w:ascii="FrankRuehl" w:hAnsi="FrankRuehl"/>
          <w:color w:val="000000"/>
          <w:sz w:val="28"/>
          <w:rtl/>
        </w:rPr>
        <w:t xml:space="preserve">ע"א 1254/99‏ </w:t>
      </w:r>
      <w:r w:rsidRPr="007A7531">
        <w:rPr>
          <w:rFonts w:ascii="Century" w:hAnsi="Century" w:cs="Miriam"/>
          <w:b/>
          <w:spacing w:val="0"/>
          <w:szCs w:val="24"/>
          <w:rtl/>
        </w:rPr>
        <w:t>המאירי נ' הכשרת הישוב – חברה לביטוח בע"מ</w:t>
      </w:r>
      <w:r>
        <w:rPr>
          <w:rFonts w:ascii="FrankRuehl" w:hAnsi="FrankRuehl"/>
          <w:color w:val="000000"/>
          <w:sz w:val="28"/>
          <w:rtl/>
        </w:rPr>
        <w:t>, פ</w:t>
      </w:r>
      <w:r>
        <w:rPr>
          <w:rFonts w:ascii="FrankRuehl" w:hAnsi="FrankRuehl" w:hint="cs"/>
          <w:color w:val="000000"/>
          <w:sz w:val="28"/>
          <w:rtl/>
        </w:rPr>
        <w:t>"</w:t>
      </w:r>
      <w:r>
        <w:rPr>
          <w:rFonts w:ascii="FrankRuehl" w:hAnsi="FrankRuehl"/>
          <w:color w:val="000000"/>
          <w:sz w:val="28"/>
          <w:rtl/>
        </w:rPr>
        <w:t>ד נד(2) 535</w:t>
      </w:r>
      <w:r>
        <w:rPr>
          <w:rFonts w:ascii="Century" w:hAnsi="Century" w:hint="cs"/>
          <w:rtl/>
        </w:rPr>
        <w:t>, 547-542 (2000</w:t>
      </w:r>
      <w:r w:rsidRPr="00AA4892">
        <w:rPr>
          <w:rFonts w:ascii="Century" w:hAnsi="Century" w:hint="cs"/>
          <w:rtl/>
        </w:rPr>
        <w:t xml:space="preserve">); </w:t>
      </w:r>
      <w:r w:rsidRPr="00AA4892">
        <w:rPr>
          <w:rFonts w:ascii="Century" w:hAnsi="Century"/>
          <w:rtl/>
        </w:rPr>
        <w:t>ע</w:t>
      </w:r>
      <w:r w:rsidRPr="00AA4892">
        <w:rPr>
          <w:rFonts w:ascii="Century" w:hAnsi="Century" w:hint="cs"/>
          <w:rtl/>
        </w:rPr>
        <w:t>"</w:t>
      </w:r>
      <w:r w:rsidRPr="00AA4892">
        <w:rPr>
          <w:rFonts w:ascii="Century" w:hAnsi="Century"/>
          <w:rtl/>
        </w:rPr>
        <w:t xml:space="preserve">א 10591/06 </w:t>
      </w:r>
      <w:r w:rsidRPr="00AA4892">
        <w:rPr>
          <w:rFonts w:ascii="Century" w:hAnsi="Century" w:cs="Miriam"/>
          <w:b/>
          <w:spacing w:val="0"/>
          <w:szCs w:val="24"/>
          <w:rtl/>
        </w:rPr>
        <w:t>יפרח נ' מפעלי תובלה בע"מ</w:t>
      </w:r>
      <w:r w:rsidRPr="00AA4892">
        <w:rPr>
          <w:rFonts w:ascii="Century" w:hAnsi="Century" w:hint="cs"/>
          <w:rtl/>
        </w:rPr>
        <w:t xml:space="preserve">, פסקאות 27-25 (12.7.2010); </w:t>
      </w:r>
      <w:r>
        <w:rPr>
          <w:rFonts w:ascii="Century" w:hAnsi="Century" w:hint="cs"/>
          <w:rtl/>
        </w:rPr>
        <w:t xml:space="preserve">עניין </w:t>
      </w:r>
      <w:r w:rsidRPr="00AA4892">
        <w:rPr>
          <w:rFonts w:ascii="Century" w:hAnsi="Century" w:cs="Miriam" w:hint="cs"/>
          <w:b/>
          <w:spacing w:val="0"/>
          <w:szCs w:val="24"/>
          <w:rtl/>
        </w:rPr>
        <w:t>גיא-ליפל</w:t>
      </w:r>
      <w:r>
        <w:rPr>
          <w:rFonts w:ascii="Century" w:hAnsi="Century" w:hint="cs"/>
          <w:rtl/>
        </w:rPr>
        <w:t xml:space="preserve">, פסקאות 37-32; </w:t>
      </w:r>
      <w:r w:rsidRPr="000D1855">
        <w:rPr>
          <w:rFonts w:ascii="Century" w:hAnsi="Century" w:hint="cs"/>
          <w:rtl/>
        </w:rPr>
        <w:t>י</w:t>
      </w:r>
      <w:r w:rsidRPr="000D1855">
        <w:rPr>
          <w:rFonts w:ascii="Century" w:hAnsi="Century"/>
          <w:rtl/>
        </w:rPr>
        <w:t>שראל </w:t>
      </w:r>
      <w:r>
        <w:rPr>
          <w:rFonts w:ascii="Century" w:hAnsi="Century"/>
          <w:rtl/>
        </w:rPr>
        <w:t>גלעד</w:t>
      </w:r>
      <w:r>
        <w:rPr>
          <w:rFonts w:ascii="Century" w:hAnsi="Century" w:hint="cs"/>
          <w:rtl/>
        </w:rPr>
        <w:t xml:space="preserve"> </w:t>
      </w:r>
      <w:r w:rsidRPr="000D1855">
        <w:rPr>
          <w:rFonts w:ascii="Century" w:hAnsi="Century"/>
          <w:rtl/>
        </w:rPr>
        <w:t>"התיישנות בנזיקין ומחלות סמויות</w:t>
      </w:r>
      <w:r>
        <w:rPr>
          <w:rFonts w:ascii="Century" w:hAnsi="Century" w:hint="cs"/>
          <w:rtl/>
        </w:rPr>
        <w:t xml:space="preserve">" </w:t>
      </w:r>
      <w:r w:rsidRPr="000D1855">
        <w:rPr>
          <w:rFonts w:ascii="Century" w:hAnsi="Century" w:cs="Miriam"/>
          <w:b/>
          <w:spacing w:val="0"/>
          <w:szCs w:val="24"/>
          <w:rtl/>
        </w:rPr>
        <w:t>משפטים</w:t>
      </w:r>
      <w:r w:rsidRPr="000D1855">
        <w:rPr>
          <w:rFonts w:ascii="Century" w:hAnsi="Century"/>
          <w:rtl/>
        </w:rPr>
        <w:t xml:space="preserve"> יד </w:t>
      </w:r>
      <w:r>
        <w:rPr>
          <w:rFonts w:ascii="Century" w:hAnsi="Century" w:hint="cs"/>
          <w:rtl/>
        </w:rPr>
        <w:t xml:space="preserve">500 (1985); </w:t>
      </w:r>
      <w:r w:rsidRPr="00AA4892">
        <w:rPr>
          <w:rFonts w:ascii="Century" w:hAnsi="Century" w:cs="Miriam" w:hint="cs"/>
          <w:b/>
          <w:spacing w:val="0"/>
          <w:szCs w:val="24"/>
          <w:rtl/>
        </w:rPr>
        <w:t xml:space="preserve">גלעד </w:t>
      </w:r>
      <w:r w:rsidRPr="00AA4892">
        <w:rPr>
          <w:rFonts w:ascii="Century" w:hAnsi="Century" w:cs="Miriam"/>
          <w:b/>
          <w:spacing w:val="0"/>
          <w:szCs w:val="24"/>
          <w:rtl/>
        </w:rPr>
        <w:t>–</w:t>
      </w:r>
      <w:r w:rsidRPr="00AA4892">
        <w:rPr>
          <w:rFonts w:ascii="Century" w:hAnsi="Century" w:cs="Miriam" w:hint="cs"/>
          <w:b/>
          <w:spacing w:val="0"/>
          <w:szCs w:val="24"/>
          <w:rtl/>
        </w:rPr>
        <w:t xml:space="preserve"> הצעה לשינוי החוק</w:t>
      </w:r>
      <w:r>
        <w:rPr>
          <w:rFonts w:ascii="Century" w:hAnsi="Century" w:hint="cs"/>
          <w:rtl/>
        </w:rPr>
        <w:t xml:space="preserve">; ונזכיר כי בהצעת חוק ההתיישנות, התשס"ד-2004, </w:t>
      </w:r>
      <w:r w:rsidRPr="00077A39">
        <w:rPr>
          <w:rFonts w:ascii="Century" w:hAnsi="Century" w:cs="Miriam" w:hint="cs"/>
          <w:b/>
          <w:spacing w:val="0"/>
          <w:szCs w:val="24"/>
          <w:rtl/>
        </w:rPr>
        <w:t>ה"ח הממשלה</w:t>
      </w:r>
      <w:r w:rsidRPr="00077A39">
        <w:rPr>
          <w:rFonts w:ascii="Century" w:hAnsi="Century" w:hint="cs"/>
          <w:rtl/>
        </w:rPr>
        <w:t xml:space="preserve"> </w:t>
      </w:r>
      <w:r>
        <w:rPr>
          <w:rFonts w:ascii="Century" w:hAnsi="Century" w:hint="cs"/>
          <w:rtl/>
        </w:rPr>
        <w:t xml:space="preserve">125, הוצע לבטל את סעיף 89 לפקודה ולקבוע הסדרים אחרים תחתיו (ראו בהצעת החוק בעמ' 633)). </w:t>
      </w:r>
    </w:p>
    <w:p w:rsidR="00B347E6" w:rsidRDefault="00B347E6" w:rsidP="00B347E6">
      <w:pPr>
        <w:pStyle w:val="Ruller41"/>
        <w:rPr>
          <w:rFonts w:ascii="Century" w:hAnsi="Century"/>
          <w:rtl/>
        </w:rPr>
      </w:pPr>
    </w:p>
    <w:p w:rsidR="00B347E6" w:rsidRDefault="00B347E6" w:rsidP="00B347E6">
      <w:pPr>
        <w:pStyle w:val="Ruller41"/>
        <w:rPr>
          <w:rFonts w:ascii="FrankRuehl" w:hAnsi="FrankRuehl"/>
          <w:color w:val="000000"/>
          <w:sz w:val="28"/>
          <w:rtl/>
        </w:rPr>
      </w:pPr>
      <w:r>
        <w:rPr>
          <w:rFonts w:ascii="Century" w:hAnsi="Century"/>
          <w:rtl/>
        </w:rPr>
        <w:tab/>
      </w:r>
      <w:r>
        <w:rPr>
          <w:rFonts w:ascii="Century" w:hAnsi="Century" w:hint="cs"/>
          <w:rtl/>
        </w:rPr>
        <w:t xml:space="preserve">מעניין להיווכח באופן שבו משתלב סעיף 89 לפקודה במודל שהוצג לעיל. כך בכל הנוגע לעוולות </w:t>
      </w:r>
      <w:r w:rsidRPr="00C10310">
        <w:rPr>
          <w:rFonts w:ascii="Century" w:hAnsi="Century" w:hint="cs"/>
          <w:rtl/>
        </w:rPr>
        <w:t>נמשכות</w:t>
      </w:r>
      <w:r>
        <w:rPr>
          <w:rFonts w:ascii="Century" w:hAnsi="Century" w:hint="cs"/>
          <w:rtl/>
        </w:rPr>
        <w:t xml:space="preserve"> שהנזק אינו יסוד מיסודותיהן, סעיף 89(1) קובע כי מירוץ ההתיישנות ייפתח רק במועד שבו חדל המעשה או המחדל, קרי בהתאם למועד התגבשותה של התביעה החוזרת האחרונה. דהיינו, יש לראות את התביעות החוזרות כחוסות תחת</w:t>
      </w:r>
      <w:r>
        <w:rPr>
          <w:rFonts w:ascii="Century" w:hAnsi="Century" w:cs="Miriam" w:hint="cs"/>
          <w:b/>
          <w:spacing w:val="0"/>
          <w:szCs w:val="24"/>
          <w:rtl/>
        </w:rPr>
        <w:t xml:space="preserve"> עילה</w:t>
      </w:r>
      <w:r w:rsidRPr="008245C8">
        <w:rPr>
          <w:rFonts w:ascii="Century" w:hAnsi="Century" w:cs="Miriam" w:hint="cs"/>
          <w:b/>
          <w:spacing w:val="0"/>
          <w:szCs w:val="24"/>
          <w:rtl/>
        </w:rPr>
        <w:t xml:space="preserve"> מתארכת</w:t>
      </w:r>
      <w:r>
        <w:rPr>
          <w:rFonts w:ascii="Century" w:hAnsi="Century" w:hint="cs"/>
          <w:rtl/>
        </w:rPr>
        <w:t xml:space="preserve"> שבה יש להחיל הסדר של </w:t>
      </w:r>
      <w:r w:rsidRPr="008245C8">
        <w:rPr>
          <w:rFonts w:ascii="Century" w:hAnsi="Century" w:cs="Miriam" w:hint="cs"/>
          <w:b/>
          <w:spacing w:val="0"/>
          <w:szCs w:val="24"/>
          <w:rtl/>
        </w:rPr>
        <w:t>דחיסה לפנים</w:t>
      </w:r>
      <w:r>
        <w:rPr>
          <w:rFonts w:ascii="Century" w:hAnsi="Century" w:hint="cs"/>
          <w:rtl/>
        </w:rPr>
        <w:t xml:space="preserve">. לעומת זאת, לגבי עוולות שהנזק הוא יסוד מיסודותיהן, סעיף 89(2) קובע כי יש לראות את התביעות החוזרות כחלק </w:t>
      </w:r>
      <w:r w:rsidRPr="001B3AD7">
        <w:rPr>
          <w:rFonts w:ascii="Century" w:hAnsi="Century" w:cs="Miriam" w:hint="cs"/>
          <w:b/>
          <w:spacing w:val="0"/>
          <w:szCs w:val="24"/>
          <w:rtl/>
        </w:rPr>
        <w:t>מעילה מתחדשת</w:t>
      </w:r>
      <w:r>
        <w:rPr>
          <w:rFonts w:ascii="Century" w:hAnsi="Century" w:hint="cs"/>
          <w:rtl/>
        </w:rPr>
        <w:t>. דהיינו, יש להשקיף על כל תביעה חוזרת כתביעה עצמאית המתיישנת במועדה, שלגביה ניתן לתבוע, ככלל, שבע שנים אחורה (</w:t>
      </w:r>
      <w:r w:rsidRPr="001B3AD7">
        <w:rPr>
          <w:rFonts w:ascii="Century" w:hAnsi="Century" w:cs="Miriam" w:hint="cs"/>
          <w:b/>
          <w:spacing w:val="0"/>
          <w:szCs w:val="24"/>
          <w:rtl/>
        </w:rPr>
        <w:t>גלעד</w:t>
      </w:r>
      <w:r>
        <w:rPr>
          <w:rFonts w:ascii="Century" w:hAnsi="Century" w:hint="cs"/>
          <w:rtl/>
        </w:rPr>
        <w:t xml:space="preserve">, עמ' 221; להרחבה בעניין זה, לרבות התייחסות לדין הרצוי, ראו שם בעמ' 230-217; כן ראו אצל </w:t>
      </w:r>
      <w:r w:rsidRPr="001B3AD7">
        <w:rPr>
          <w:rFonts w:ascii="Century" w:hAnsi="Century" w:cs="Miriam" w:hint="cs"/>
          <w:b/>
          <w:spacing w:val="0"/>
          <w:szCs w:val="24"/>
          <w:rtl/>
        </w:rPr>
        <w:t>חבקין</w:t>
      </w:r>
      <w:r>
        <w:rPr>
          <w:rFonts w:ascii="Century" w:hAnsi="Century" w:hint="cs"/>
          <w:rtl/>
        </w:rPr>
        <w:t xml:space="preserve">, עמ' 455-450). עם זאת, יש לציין כי גם תחת סעיף 89(2) לפקודה, מקום שבו הנזק אינו ניתן לחלוקה ולא ניתן לקבוע איזה חלק מהנזק נגרם </w:t>
      </w:r>
      <w:r>
        <w:rPr>
          <w:rFonts w:ascii="FrankRuehl" w:hAnsi="FrankRuehl"/>
          <w:color w:val="000000"/>
          <w:sz w:val="28"/>
          <w:rtl/>
        </w:rPr>
        <w:t xml:space="preserve">במהלך תקופת ההתיישנות ואיזה </w:t>
      </w:r>
      <w:r>
        <w:rPr>
          <w:rFonts w:ascii="FrankRuehl" w:hAnsi="FrankRuehl" w:hint="cs"/>
          <w:color w:val="000000"/>
          <w:sz w:val="28"/>
          <w:rtl/>
        </w:rPr>
        <w:t>לפניה</w:t>
      </w:r>
      <w:r>
        <w:rPr>
          <w:rFonts w:ascii="FrankRuehl" w:hAnsi="FrankRuehl"/>
          <w:color w:val="000000"/>
          <w:sz w:val="28"/>
          <w:rtl/>
        </w:rPr>
        <w:t xml:space="preserve">, </w:t>
      </w:r>
      <w:r>
        <w:rPr>
          <w:rFonts w:ascii="FrankRuehl" w:hAnsi="FrankRuehl" w:hint="cs"/>
          <w:color w:val="000000"/>
          <w:sz w:val="28"/>
          <w:rtl/>
        </w:rPr>
        <w:t xml:space="preserve">ככלל תידחה </w:t>
      </w:r>
      <w:r>
        <w:rPr>
          <w:rFonts w:ascii="FrankRuehl" w:hAnsi="FrankRuehl"/>
          <w:color w:val="000000"/>
          <w:sz w:val="28"/>
          <w:rtl/>
        </w:rPr>
        <w:t>טענת ההתיישנות במלואה וניתן יהיה לתבוע בגין הנזק כולו</w:t>
      </w:r>
      <w:r>
        <w:rPr>
          <w:rFonts w:ascii="FrankRuehl" w:hAnsi="FrankRuehl" w:hint="cs"/>
          <w:color w:val="000000"/>
          <w:sz w:val="28"/>
          <w:rtl/>
        </w:rPr>
        <w:t xml:space="preserve"> (עניין </w:t>
      </w:r>
      <w:r w:rsidRPr="00385ECA">
        <w:rPr>
          <w:rFonts w:ascii="Century" w:hAnsi="Century" w:cs="Miriam" w:hint="cs"/>
          <w:b/>
          <w:spacing w:val="0"/>
          <w:szCs w:val="24"/>
          <w:rtl/>
        </w:rPr>
        <w:t>כלפון</w:t>
      </w:r>
      <w:r>
        <w:rPr>
          <w:rFonts w:ascii="FrankRuehl" w:hAnsi="FrankRuehl" w:hint="cs"/>
          <w:color w:val="000000"/>
          <w:sz w:val="28"/>
          <w:rtl/>
        </w:rPr>
        <w:t xml:space="preserve">, פסקה 32 והאסמכתאות שם). תוצאה זו שקולה למעשה לסיווג העוולה כעוולה </w:t>
      </w:r>
      <w:r w:rsidRPr="00FA0B23">
        <w:rPr>
          <w:rFonts w:ascii="Century" w:hAnsi="Century" w:cs="Miriam" w:hint="cs"/>
          <w:b/>
          <w:spacing w:val="0"/>
          <w:szCs w:val="24"/>
          <w:rtl/>
        </w:rPr>
        <w:t>מתארכת</w:t>
      </w:r>
      <w:r>
        <w:rPr>
          <w:rFonts w:ascii="FrankRuehl" w:hAnsi="FrankRuehl" w:hint="cs"/>
          <w:color w:val="000000"/>
          <w:sz w:val="28"/>
          <w:rtl/>
        </w:rPr>
        <w:t xml:space="preserve"> תוך ביצוע "דחיסה לפנים" (</w:t>
      </w:r>
      <w:r w:rsidRPr="007F5EFE">
        <w:rPr>
          <w:rFonts w:ascii="Century" w:hAnsi="Century" w:cs="Miriam" w:hint="cs"/>
          <w:b/>
          <w:spacing w:val="0"/>
          <w:szCs w:val="24"/>
          <w:rtl/>
        </w:rPr>
        <w:t xml:space="preserve">גלעד </w:t>
      </w:r>
      <w:r w:rsidRPr="007F5EFE">
        <w:rPr>
          <w:rFonts w:ascii="Century" w:hAnsi="Century" w:cs="Miriam"/>
          <w:b/>
          <w:spacing w:val="0"/>
          <w:szCs w:val="24"/>
          <w:rtl/>
        </w:rPr>
        <w:t>–</w:t>
      </w:r>
      <w:r w:rsidRPr="007F5EFE">
        <w:rPr>
          <w:rFonts w:ascii="Century" w:hAnsi="Century" w:cs="Miriam" w:hint="cs"/>
          <w:b/>
          <w:spacing w:val="0"/>
          <w:szCs w:val="24"/>
          <w:rtl/>
        </w:rPr>
        <w:t xml:space="preserve"> הצעה לשינוי החוק</w:t>
      </w:r>
      <w:r>
        <w:rPr>
          <w:rFonts w:ascii="FrankRuehl" w:hAnsi="FrankRuehl" w:hint="cs"/>
          <w:color w:val="000000"/>
          <w:sz w:val="28"/>
          <w:rtl/>
        </w:rPr>
        <w:t xml:space="preserve">, עמ' 103; </w:t>
      </w:r>
      <w:r w:rsidRPr="007F5EFE">
        <w:rPr>
          <w:rFonts w:ascii="Century" w:hAnsi="Century" w:cs="Miriam" w:hint="cs"/>
          <w:b/>
          <w:spacing w:val="0"/>
          <w:szCs w:val="24"/>
          <w:rtl/>
        </w:rPr>
        <w:t>חבקין</w:t>
      </w:r>
      <w:r>
        <w:rPr>
          <w:rFonts w:ascii="FrankRuehl" w:hAnsi="FrankRuehl" w:hint="cs"/>
          <w:color w:val="000000"/>
          <w:sz w:val="28"/>
          <w:rtl/>
        </w:rPr>
        <w:t xml:space="preserve">, עמ' 455).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48</w:t>
      </w:r>
      <w:r w:rsidR="00B347E6">
        <w:rPr>
          <w:rFonts w:ascii="Century" w:hAnsi="Century" w:hint="cs"/>
          <w:rtl/>
        </w:rPr>
        <w:t>.</w:t>
      </w:r>
      <w:r w:rsidR="00B347E6">
        <w:rPr>
          <w:rFonts w:ascii="Century" w:hAnsi="Century"/>
          <w:rtl/>
        </w:rPr>
        <w:tab/>
      </w:r>
      <w:r w:rsidR="00B347E6">
        <w:rPr>
          <w:rFonts w:ascii="Century" w:hAnsi="Century" w:hint="cs"/>
          <w:rtl/>
        </w:rPr>
        <w:t>להבהרת הדברים, נסכם את האמור לעיל בתרשים:</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noProof/>
          <w:rtl/>
        </w:rPr>
        <mc:AlternateContent>
          <mc:Choice Requires="wpg">
            <w:drawing>
              <wp:anchor distT="0" distB="0" distL="114300" distR="114300" simplePos="0" relativeHeight="251661312" behindDoc="0" locked="0" layoutInCell="1" allowOverlap="1" wp14:anchorId="36F4C33D" wp14:editId="66F2C94F">
                <wp:simplePos x="0" y="0"/>
                <wp:positionH relativeFrom="column">
                  <wp:posOffset>-379730</wp:posOffset>
                </wp:positionH>
                <wp:positionV relativeFrom="paragraph">
                  <wp:posOffset>241300</wp:posOffset>
                </wp:positionV>
                <wp:extent cx="6106795" cy="4860290"/>
                <wp:effectExtent l="0" t="0" r="27305" b="16510"/>
                <wp:wrapTopAndBottom/>
                <wp:docPr id="2" name="קבוצה 2"/>
                <wp:cNvGraphicFramePr/>
                <a:graphic xmlns:a="http://schemas.openxmlformats.org/drawingml/2006/main">
                  <a:graphicData uri="http://schemas.microsoft.com/office/word/2010/wordprocessingGroup">
                    <wpg:wgp>
                      <wpg:cNvGrpSpPr/>
                      <wpg:grpSpPr>
                        <a:xfrm>
                          <a:off x="0" y="0"/>
                          <a:ext cx="6106795" cy="4860290"/>
                          <a:chOff x="0" y="0"/>
                          <a:chExt cx="6107220" cy="4860290"/>
                        </a:xfrm>
                      </wpg:grpSpPr>
                      <wps:wsp>
                        <wps:cNvPr id="3" name="מלבן מעוגל 3"/>
                        <wps:cNvSpPr/>
                        <wps:spPr>
                          <a:xfrm>
                            <a:off x="3019425" y="0"/>
                            <a:ext cx="925620" cy="460005"/>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A3853" w:rsidRPr="00F91668" w:rsidRDefault="00AA3853" w:rsidP="00B347E6">
                              <w:pPr>
                                <w:spacing w:line="276" w:lineRule="auto"/>
                                <w:jc w:val="center"/>
                                <w:rPr>
                                  <w:sz w:val="6"/>
                                  <w:szCs w:val="14"/>
                                </w:rPr>
                              </w:pPr>
                              <w:r w:rsidRPr="00F91668">
                                <w:rPr>
                                  <w:rFonts w:hint="cs"/>
                                  <w:sz w:val="6"/>
                                  <w:szCs w:val="14"/>
                                  <w:rtl/>
                                </w:rPr>
                                <w:t>מעשה או מחדל המקים תביעות חוזרות</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4" name="מלבן מעוגל 4"/>
                        <wps:cNvSpPr/>
                        <wps:spPr>
                          <a:xfrm>
                            <a:off x="5181600" y="1038225"/>
                            <a:ext cx="925620" cy="460005"/>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A3853" w:rsidRPr="00F936CD" w:rsidRDefault="00AA3853" w:rsidP="00B347E6">
                              <w:pPr>
                                <w:spacing w:line="276" w:lineRule="auto"/>
                                <w:jc w:val="center"/>
                                <w:rPr>
                                  <w:sz w:val="8"/>
                                  <w:szCs w:val="16"/>
                                  <w:rtl/>
                                </w:rPr>
                              </w:pPr>
                              <w:r w:rsidRPr="00F936CD">
                                <w:rPr>
                                  <w:rFonts w:hint="cs"/>
                                  <w:sz w:val="8"/>
                                  <w:szCs w:val="16"/>
                                  <w:rtl/>
                                </w:rPr>
                                <w:t>התביעות שייכות לעילה אחת</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5" name="מלבן מעוגל 5"/>
                        <wps:cNvSpPr/>
                        <wps:spPr>
                          <a:xfrm>
                            <a:off x="5181600" y="1962150"/>
                            <a:ext cx="925195" cy="45974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AA3853" w:rsidRDefault="00AA3853" w:rsidP="00B347E6">
                              <w:pPr>
                                <w:spacing w:line="276" w:lineRule="auto"/>
                                <w:jc w:val="center"/>
                                <w:rPr>
                                  <w:sz w:val="4"/>
                                  <w:szCs w:val="12"/>
                                  <w:rtl/>
                                </w:rPr>
                              </w:pPr>
                              <w:r>
                                <w:rPr>
                                  <w:rFonts w:hint="cs"/>
                                  <w:sz w:val="4"/>
                                  <w:szCs w:val="12"/>
                                  <w:rtl/>
                                </w:rPr>
                                <w:t>התיישנות התביעות לפי התביעה הראשונה</w:t>
                              </w:r>
                            </w:p>
                            <w:p w:rsidR="00AA3853" w:rsidRPr="00767002" w:rsidRDefault="00AA3853" w:rsidP="00B347E6">
                              <w:pPr>
                                <w:spacing w:line="276" w:lineRule="auto"/>
                                <w:jc w:val="center"/>
                                <w:rPr>
                                  <w:sz w:val="4"/>
                                  <w:szCs w:val="12"/>
                                </w:rPr>
                              </w:pPr>
                              <w:r>
                                <w:rPr>
                                  <w:rFonts w:hint="cs"/>
                                  <w:sz w:val="4"/>
                                  <w:szCs w:val="12"/>
                                  <w:rtl/>
                                </w:rPr>
                                <w:t>("דחיסה לאחור")</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6" name="מלבן מעוגל 6"/>
                        <wps:cNvSpPr/>
                        <wps:spPr>
                          <a:xfrm>
                            <a:off x="2066925" y="1047750"/>
                            <a:ext cx="925195" cy="45974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A3853" w:rsidRPr="00F936CD" w:rsidRDefault="00AA3853" w:rsidP="00B347E6">
                              <w:pPr>
                                <w:spacing w:line="276" w:lineRule="auto"/>
                                <w:jc w:val="center"/>
                                <w:rPr>
                                  <w:sz w:val="8"/>
                                  <w:szCs w:val="16"/>
                                  <w:rtl/>
                                </w:rPr>
                              </w:pPr>
                              <w:r w:rsidRPr="00F936CD">
                                <w:rPr>
                                  <w:rFonts w:hint="cs"/>
                                  <w:sz w:val="8"/>
                                  <w:szCs w:val="16"/>
                                  <w:rtl/>
                                </w:rPr>
                                <w:t>התביעות שייכות לעילות נפרדות</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7" name="מלבן מעוגל 7"/>
                        <wps:cNvSpPr/>
                        <wps:spPr>
                          <a:xfrm>
                            <a:off x="3028950" y="1971675"/>
                            <a:ext cx="925620" cy="460005"/>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A3853" w:rsidRPr="00F936CD" w:rsidRDefault="00AA3853" w:rsidP="00B347E6">
                              <w:pPr>
                                <w:spacing w:line="276" w:lineRule="auto"/>
                                <w:jc w:val="center"/>
                                <w:rPr>
                                  <w:sz w:val="8"/>
                                  <w:szCs w:val="16"/>
                                </w:rPr>
                              </w:pPr>
                              <w:r w:rsidRPr="00F936CD">
                                <w:rPr>
                                  <w:rFonts w:hint="cs"/>
                                  <w:sz w:val="8"/>
                                  <w:szCs w:val="16"/>
                                  <w:rtl/>
                                </w:rPr>
                                <w:t>עילה מתחדשת</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8" name="מלבן מעוגל 8"/>
                        <wps:cNvSpPr/>
                        <wps:spPr>
                          <a:xfrm>
                            <a:off x="1133475" y="1981200"/>
                            <a:ext cx="925195" cy="45974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AA3853" w:rsidRPr="00F936CD" w:rsidRDefault="00AA3853" w:rsidP="00B347E6">
                              <w:pPr>
                                <w:spacing w:line="276" w:lineRule="auto"/>
                                <w:jc w:val="center"/>
                                <w:rPr>
                                  <w:sz w:val="8"/>
                                  <w:szCs w:val="16"/>
                                  <w:rtl/>
                                </w:rPr>
                              </w:pPr>
                              <w:r w:rsidRPr="00F936CD">
                                <w:rPr>
                                  <w:rFonts w:hint="cs"/>
                                  <w:sz w:val="8"/>
                                  <w:szCs w:val="16"/>
                                  <w:rtl/>
                                </w:rPr>
                                <w:t>עילה מתארכת (נמשכת)</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9" name="מלבן מעוגל 9"/>
                        <wps:cNvSpPr/>
                        <wps:spPr>
                          <a:xfrm>
                            <a:off x="1133475" y="2905125"/>
                            <a:ext cx="925620" cy="460005"/>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AA3853" w:rsidRDefault="00AA3853" w:rsidP="00B347E6">
                              <w:pPr>
                                <w:spacing w:line="276" w:lineRule="auto"/>
                                <w:jc w:val="center"/>
                                <w:rPr>
                                  <w:sz w:val="4"/>
                                  <w:szCs w:val="12"/>
                                  <w:rtl/>
                                </w:rPr>
                              </w:pPr>
                              <w:r>
                                <w:rPr>
                                  <w:rFonts w:hint="cs"/>
                                  <w:sz w:val="4"/>
                                  <w:szCs w:val="12"/>
                                  <w:rtl/>
                                </w:rPr>
                                <w:t>התיישנות התביעות לפי התביעה האחרונה</w:t>
                              </w:r>
                            </w:p>
                            <w:p w:rsidR="00AA3853" w:rsidRPr="00767002" w:rsidRDefault="00AA3853" w:rsidP="00B347E6">
                              <w:pPr>
                                <w:spacing w:line="276" w:lineRule="auto"/>
                                <w:jc w:val="center"/>
                                <w:rPr>
                                  <w:sz w:val="4"/>
                                  <w:szCs w:val="12"/>
                                </w:rPr>
                              </w:pPr>
                              <w:r>
                                <w:rPr>
                                  <w:rFonts w:hint="cs"/>
                                  <w:sz w:val="4"/>
                                  <w:szCs w:val="12"/>
                                  <w:rtl/>
                                </w:rPr>
                                <w:t>("דחיסה לפנים")</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10" name="מלבן מעוגל 10"/>
                        <wps:cNvSpPr/>
                        <wps:spPr>
                          <a:xfrm>
                            <a:off x="0" y="2914650"/>
                            <a:ext cx="925195" cy="459740"/>
                          </a:xfrm>
                          <a:prstGeom prst="roundRect">
                            <a:avLst/>
                          </a:prstGeom>
                          <a:ln w="12700">
                            <a:prstDash val="dash"/>
                          </a:ln>
                        </wps:spPr>
                        <wps:style>
                          <a:lnRef idx="2">
                            <a:schemeClr val="dk1"/>
                          </a:lnRef>
                          <a:fillRef idx="1">
                            <a:schemeClr val="lt1"/>
                          </a:fillRef>
                          <a:effectRef idx="0">
                            <a:schemeClr val="dk1"/>
                          </a:effectRef>
                          <a:fontRef idx="minor">
                            <a:schemeClr val="dk1"/>
                          </a:fontRef>
                        </wps:style>
                        <wps:txbx>
                          <w:txbxContent>
                            <w:p w:rsidR="00AA3853" w:rsidRDefault="00AA3853" w:rsidP="00B347E6">
                              <w:pPr>
                                <w:spacing w:line="276" w:lineRule="auto"/>
                                <w:jc w:val="center"/>
                                <w:rPr>
                                  <w:sz w:val="4"/>
                                  <w:szCs w:val="12"/>
                                  <w:rtl/>
                                </w:rPr>
                              </w:pPr>
                              <w:r>
                                <w:rPr>
                                  <w:rFonts w:hint="cs"/>
                                  <w:sz w:val="4"/>
                                  <w:szCs w:val="12"/>
                                  <w:rtl/>
                                </w:rPr>
                                <w:t xml:space="preserve">דחיסה לאחור / </w:t>
                              </w:r>
                            </w:p>
                            <w:p w:rsidR="00AA3853" w:rsidRPr="00767002" w:rsidRDefault="00AA3853" w:rsidP="00B347E6">
                              <w:pPr>
                                <w:spacing w:line="276" w:lineRule="auto"/>
                                <w:jc w:val="center"/>
                                <w:rPr>
                                  <w:sz w:val="4"/>
                                  <w:szCs w:val="12"/>
                                  <w:rtl/>
                                </w:rPr>
                              </w:pPr>
                              <w:r>
                                <w:rPr>
                                  <w:rFonts w:hint="cs"/>
                                  <w:sz w:val="4"/>
                                  <w:szCs w:val="12"/>
                                  <w:rtl/>
                                </w:rPr>
                                <w:t>דחיסה למועד ביניים</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11" name="מלבן מעוגל 11"/>
                        <wps:cNvSpPr/>
                        <wps:spPr>
                          <a:xfrm>
                            <a:off x="3038475" y="2895600"/>
                            <a:ext cx="925195" cy="45974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AA3853" w:rsidRPr="00767002" w:rsidRDefault="00AA3853" w:rsidP="00B347E6">
                              <w:pPr>
                                <w:spacing w:line="276" w:lineRule="auto"/>
                                <w:jc w:val="center"/>
                                <w:rPr>
                                  <w:sz w:val="4"/>
                                  <w:szCs w:val="12"/>
                                </w:rPr>
                              </w:pPr>
                              <w:r>
                                <w:rPr>
                                  <w:rFonts w:hint="cs"/>
                                  <w:sz w:val="4"/>
                                  <w:szCs w:val="12"/>
                                  <w:rtl/>
                                </w:rPr>
                                <w:t>כל תביעה חוזרת מהווה תביעה עצמאית שניתן לתבוע בגינה</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12" name="מלבן מעוגל 12"/>
                        <wps:cNvSpPr/>
                        <wps:spPr>
                          <a:xfrm>
                            <a:off x="1130843" y="3771482"/>
                            <a:ext cx="925195" cy="45974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AA3853" w:rsidRDefault="00AA3853" w:rsidP="00B347E6">
                              <w:pPr>
                                <w:spacing w:line="276" w:lineRule="auto"/>
                                <w:jc w:val="center"/>
                                <w:rPr>
                                  <w:sz w:val="4"/>
                                  <w:szCs w:val="12"/>
                                  <w:rtl/>
                                </w:rPr>
                              </w:pPr>
                              <w:r>
                                <w:rPr>
                                  <w:rFonts w:hint="cs"/>
                                  <w:sz w:val="4"/>
                                  <w:szCs w:val="12"/>
                                  <w:rtl/>
                                </w:rPr>
                                <w:t>תחולה:</w:t>
                              </w:r>
                            </w:p>
                            <w:p w:rsidR="00AA3853" w:rsidRDefault="00AA3853" w:rsidP="00B347E6">
                              <w:pPr>
                                <w:spacing w:line="276" w:lineRule="auto"/>
                                <w:jc w:val="center"/>
                                <w:rPr>
                                  <w:sz w:val="4"/>
                                  <w:szCs w:val="12"/>
                                  <w:rtl/>
                                </w:rPr>
                              </w:pPr>
                              <w:r>
                                <w:rPr>
                                  <w:rFonts w:hint="cs"/>
                                  <w:sz w:val="4"/>
                                  <w:szCs w:val="12"/>
                                  <w:rtl/>
                                </w:rPr>
                                <w:t xml:space="preserve">עוולות ללא נזק </w:t>
                              </w:r>
                            </w:p>
                            <w:p w:rsidR="00AA3853" w:rsidRPr="00767002" w:rsidRDefault="00AA3853" w:rsidP="00B347E6">
                              <w:pPr>
                                <w:spacing w:line="276" w:lineRule="auto"/>
                                <w:jc w:val="center"/>
                                <w:rPr>
                                  <w:sz w:val="4"/>
                                  <w:szCs w:val="12"/>
                                </w:rPr>
                              </w:pPr>
                              <w:r>
                                <w:rPr>
                                  <w:rFonts w:hint="cs"/>
                                  <w:sz w:val="4"/>
                                  <w:szCs w:val="12"/>
                                  <w:rtl/>
                                </w:rPr>
                                <w:t>(סעיף 89(1) לפקודה)</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13" name="מלבן מעוגל 13"/>
                        <wps:cNvSpPr/>
                        <wps:spPr>
                          <a:xfrm>
                            <a:off x="3038475" y="3762375"/>
                            <a:ext cx="925195" cy="45974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AA3853" w:rsidRDefault="00AA3853" w:rsidP="00B347E6">
                              <w:pPr>
                                <w:spacing w:line="276" w:lineRule="auto"/>
                                <w:jc w:val="center"/>
                                <w:rPr>
                                  <w:sz w:val="4"/>
                                  <w:szCs w:val="12"/>
                                  <w:rtl/>
                                </w:rPr>
                              </w:pPr>
                              <w:r>
                                <w:rPr>
                                  <w:rFonts w:hint="cs"/>
                                  <w:sz w:val="4"/>
                                  <w:szCs w:val="12"/>
                                  <w:rtl/>
                                </w:rPr>
                                <w:t>תחולה:</w:t>
                              </w:r>
                            </w:p>
                            <w:p w:rsidR="00AA3853" w:rsidRPr="00767002" w:rsidRDefault="00AA3853" w:rsidP="00B347E6">
                              <w:pPr>
                                <w:spacing w:line="276" w:lineRule="auto"/>
                                <w:jc w:val="center"/>
                                <w:rPr>
                                  <w:sz w:val="4"/>
                                  <w:szCs w:val="12"/>
                                </w:rPr>
                              </w:pPr>
                              <w:r>
                                <w:rPr>
                                  <w:rFonts w:hint="cs"/>
                                  <w:sz w:val="4"/>
                                  <w:szCs w:val="12"/>
                                  <w:rtl/>
                                </w:rPr>
                                <w:t>עוולות הדורשות נזק (סעיף 89(2) לפקודה)</w:t>
                              </w:r>
                            </w:p>
                          </w:txbxContent>
                        </wps:txbx>
                        <wps:bodyPr rot="0" spcFirstLastPara="0" vertOverflow="overflow" horzOverflow="overflow" vert="horz" wrap="square" numCol="1" spcCol="0" rtlCol="1" fromWordArt="0" anchor="ctr" anchorCtr="0" forceAA="0" compatLnSpc="1">
                          <a:prstTxWarp prst="textNoShape">
                            <a:avLst/>
                          </a:prstTxWarp>
                        </wps:bodyPr>
                      </wps:wsp>
                      <wps:wsp>
                        <wps:cNvPr id="14" name="מחבר ישר 14"/>
                        <wps:cNvCnPr/>
                        <wps:spPr>
                          <a:xfrm>
                            <a:off x="3943350" y="228600"/>
                            <a:ext cx="1710690" cy="44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מחבר חץ ישר 15"/>
                        <wps:cNvCnPr/>
                        <wps:spPr>
                          <a:xfrm>
                            <a:off x="5648325" y="1504950"/>
                            <a:ext cx="5443" cy="465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מחבר ישר 16"/>
                        <wps:cNvCnPr/>
                        <wps:spPr>
                          <a:xfrm flipH="1">
                            <a:off x="2990850" y="1266825"/>
                            <a:ext cx="504825" cy="25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מחבר חץ ישר 17"/>
                        <wps:cNvCnPr/>
                        <wps:spPr>
                          <a:xfrm flipH="1">
                            <a:off x="3495675" y="1266825"/>
                            <a:ext cx="2540" cy="699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מחבר ישר 18"/>
                        <wps:cNvCnPr/>
                        <wps:spPr>
                          <a:xfrm flipH="1">
                            <a:off x="1590675" y="1276350"/>
                            <a:ext cx="465364" cy="272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מחבר חץ ישר 19"/>
                        <wps:cNvCnPr/>
                        <wps:spPr>
                          <a:xfrm flipH="1">
                            <a:off x="1590675" y="1276350"/>
                            <a:ext cx="2540" cy="699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מחבר חץ ישר 20"/>
                        <wps:cNvCnPr/>
                        <wps:spPr>
                          <a:xfrm>
                            <a:off x="1590675" y="2438400"/>
                            <a:ext cx="5443" cy="465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מחבר חץ ישר 21"/>
                        <wps:cNvCnPr/>
                        <wps:spPr>
                          <a:xfrm>
                            <a:off x="3495675" y="2438400"/>
                            <a:ext cx="508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מחבר חץ ישר 22"/>
                        <wps:cNvCnPr/>
                        <wps:spPr>
                          <a:xfrm flipH="1">
                            <a:off x="466725" y="2209800"/>
                            <a:ext cx="2540" cy="699135"/>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3" name="מחבר ישר 23"/>
                        <wps:cNvCnPr/>
                        <wps:spPr>
                          <a:xfrm flipH="1">
                            <a:off x="466725" y="2209800"/>
                            <a:ext cx="653939" cy="2167"/>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4" name="מחבר חץ ישר 24"/>
                        <wps:cNvCnPr/>
                        <wps:spPr>
                          <a:xfrm>
                            <a:off x="3505200" y="3362325"/>
                            <a:ext cx="2167" cy="4091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מחבר חץ ישר 25"/>
                        <wps:cNvCnPr/>
                        <wps:spPr>
                          <a:xfrm>
                            <a:off x="1590675" y="3362325"/>
                            <a:ext cx="1905" cy="408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מחבר חץ ישר 26"/>
                        <wps:cNvCnPr/>
                        <wps:spPr>
                          <a:xfrm>
                            <a:off x="2533650" y="238125"/>
                            <a:ext cx="0" cy="807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מחבר ישר 27"/>
                        <wps:cNvCnPr/>
                        <wps:spPr>
                          <a:xfrm flipH="1">
                            <a:off x="3971925" y="3990975"/>
                            <a:ext cx="441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מחבר חץ ישר 28"/>
                        <wps:cNvCnPr/>
                        <wps:spPr>
                          <a:xfrm>
                            <a:off x="4410075" y="3990975"/>
                            <a:ext cx="1905" cy="408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מלבן מעוגל 29"/>
                        <wps:cNvSpPr/>
                        <wps:spPr>
                          <a:xfrm>
                            <a:off x="3952875" y="4400550"/>
                            <a:ext cx="925195" cy="45974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AA3853" w:rsidRDefault="00AA3853" w:rsidP="00B347E6">
                              <w:pPr>
                                <w:jc w:val="center"/>
                                <w:rPr>
                                  <w:sz w:val="4"/>
                                  <w:szCs w:val="12"/>
                                  <w:rtl/>
                                </w:rPr>
                              </w:pPr>
                              <w:r>
                                <w:rPr>
                                  <w:rFonts w:hint="cs"/>
                                  <w:sz w:val="4"/>
                                  <w:szCs w:val="12"/>
                                  <w:rtl/>
                                </w:rPr>
                                <w:t xml:space="preserve">חריג: אם הנזק של התביעות אינו ניתן להפרדה </w:t>
                              </w:r>
                              <w:r>
                                <w:rPr>
                                  <w:sz w:val="4"/>
                                  <w:szCs w:val="12"/>
                                  <w:rtl/>
                                </w:rPr>
                                <w:t>–</w:t>
                              </w:r>
                              <w:r>
                                <w:rPr>
                                  <w:rFonts w:hint="cs"/>
                                  <w:sz w:val="4"/>
                                  <w:szCs w:val="12"/>
                                  <w:rtl/>
                                </w:rPr>
                                <w:t xml:space="preserve"> יש לבצע</w:t>
                              </w:r>
                            </w:p>
                            <w:p w:rsidR="00AA3853" w:rsidRPr="00767002" w:rsidRDefault="00AA3853" w:rsidP="00B347E6">
                              <w:pPr>
                                <w:jc w:val="center"/>
                                <w:rPr>
                                  <w:sz w:val="4"/>
                                  <w:szCs w:val="12"/>
                                </w:rPr>
                              </w:pPr>
                              <w:r>
                                <w:rPr>
                                  <w:rFonts w:hint="cs"/>
                                  <w:sz w:val="4"/>
                                  <w:szCs w:val="12"/>
                                  <w:rtl/>
                                </w:rPr>
                                <w:t>"דחיסה לפנים"</w:t>
                              </w:r>
                            </w:p>
                          </w:txbxContent>
                        </wps:txbx>
                        <wps:bodyPr rot="0" spcFirstLastPara="0" vertOverflow="overflow" horzOverflow="overflow" vert="horz" wrap="square" numCol="1" spcCol="0" rtlCol="1" fromWordArt="0" anchor="ctr" anchorCtr="0" forceAA="0" compatLnSpc="1">
                          <a:prstTxWarp prst="textNoShape">
                            <a:avLst/>
                          </a:prstTxWarp>
                        </wps:bodyPr>
                      </wps:wsp>
                    </wpg:wgp>
                  </a:graphicData>
                </a:graphic>
              </wp:anchor>
            </w:drawing>
          </mc:Choice>
          <mc:Fallback>
            <w:pict>
              <v:group w14:anchorId="36F4C33D" id="קבוצה 2" o:spid="_x0000_s1026" style="position:absolute;left:0;text-align:left;margin-left:-29.9pt;margin-top:19pt;width:480.85pt;height:382.7pt;z-index:251661312" coordsize="61072,4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">
                <v:roundrect id="מלבן מעוגל 3" o:spid="_x0000_s1027" style="position:absolute;left:30194;width:9256;height:4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" fillcolor="white [3201]" strokecolor="black [3200]" strokeweight="1.5pt">
                  <v:stroke joinstyle="miter"/>
                  <v:textbox>
                    <w:txbxContent>
                      <w:p w:rsidR="00AA3853" w:rsidRPr="00F91668" w:rsidRDefault="00AA3853" w:rsidP="00B347E6">
                        <w:pPr>
                          <w:spacing w:line="276" w:lineRule="auto"/>
                          <w:jc w:val="center"/>
                          <w:rPr>
                            <w:sz w:val="6"/>
                            <w:szCs w:val="14"/>
                          </w:rPr>
                        </w:pPr>
                        <w:r w:rsidRPr="00F91668">
                          <w:rPr>
                            <w:rFonts w:hint="cs"/>
                            <w:sz w:val="6"/>
                            <w:szCs w:val="14"/>
                            <w:rtl/>
                          </w:rPr>
                          <w:t>מעשה או מחדל המקים תביעות חוזרות</w:t>
                        </w:r>
                      </w:p>
                    </w:txbxContent>
                  </v:textbox>
                </v:roundrect>
                <v:roundrect id="מלבן מעוגל 4" o:spid="_x0000_s1028" style="position:absolute;left:51816;top:10382;width:9256;height:4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" fillcolor="white [3201]" strokecolor="black [3200]" strokeweight="1.5pt">
                  <v:stroke joinstyle="miter"/>
                  <v:textbox>
                    <w:txbxContent>
                      <w:p w:rsidR="00AA3853" w:rsidRPr="00F936CD" w:rsidRDefault="00AA3853" w:rsidP="00B347E6">
                        <w:pPr>
                          <w:spacing w:line="276" w:lineRule="auto"/>
                          <w:jc w:val="center"/>
                          <w:rPr>
                            <w:sz w:val="8"/>
                            <w:szCs w:val="16"/>
                            <w:rtl/>
                          </w:rPr>
                        </w:pPr>
                        <w:r w:rsidRPr="00F936CD">
                          <w:rPr>
                            <w:rFonts w:hint="cs"/>
                            <w:sz w:val="8"/>
                            <w:szCs w:val="16"/>
                            <w:rtl/>
                          </w:rPr>
                          <w:t>התביעות שייכות לעילה אחת</w:t>
                        </w:r>
                      </w:p>
                    </w:txbxContent>
                  </v:textbox>
                </v:roundrect>
                <v:roundrect id="מלבן מעוגל 5" o:spid="_x0000_s1029" style="position:absolute;left:51816;top:19621;width:9251;height:4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okwwAAANoAAAAPAAAAZHJzL2Rvd25yZXYueG1sRI9Ba8JA&#10;FITvQv/D8gq96cZCi0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zx5KJMMAAADaAAAADwAA&#10;AAAAAAAAAAAAAAAHAgAAZHJzL2Rvd25yZXYueG1sUEsFBgAAAAADAAMAtwAAAPcCAAAAAA==&#10;" fillcolor="white [3201]" strokecolor="black [3200]" strokeweight="1pt">
                  <v:stroke joinstyle="miter"/>
                  <v:textbox>
                    <w:txbxContent>
                      <w:p w:rsidR="00AA3853" w:rsidRDefault="00AA3853" w:rsidP="00B347E6">
                        <w:pPr>
                          <w:spacing w:line="276" w:lineRule="auto"/>
                          <w:jc w:val="center"/>
                          <w:rPr>
                            <w:sz w:val="4"/>
                            <w:szCs w:val="12"/>
                            <w:rtl/>
                          </w:rPr>
                        </w:pPr>
                        <w:r>
                          <w:rPr>
                            <w:rFonts w:hint="cs"/>
                            <w:sz w:val="4"/>
                            <w:szCs w:val="12"/>
                            <w:rtl/>
                          </w:rPr>
                          <w:t>התיישנות התביעות לפי התביעה הראשונה</w:t>
                        </w:r>
                      </w:p>
                      <w:p w:rsidR="00AA3853" w:rsidRPr="00767002" w:rsidRDefault="00AA3853" w:rsidP="00B347E6">
                        <w:pPr>
                          <w:spacing w:line="276" w:lineRule="auto"/>
                          <w:jc w:val="center"/>
                          <w:rPr>
                            <w:sz w:val="4"/>
                            <w:szCs w:val="12"/>
                          </w:rPr>
                        </w:pPr>
                        <w:r>
                          <w:rPr>
                            <w:rFonts w:hint="cs"/>
                            <w:sz w:val="4"/>
                            <w:szCs w:val="12"/>
                            <w:rtl/>
                          </w:rPr>
                          <w:t>("דחיסה לאחור")</w:t>
                        </w:r>
                      </w:p>
                    </w:txbxContent>
                  </v:textbox>
                </v:roundrect>
                <v:roundrect id="מלבן מעוגל 6" o:spid="_x0000_s1030" style="position:absolute;left:20669;top:10477;width:9252;height:4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" fillcolor="white [3201]" strokecolor="black [3200]" strokeweight="1.5pt">
                  <v:stroke joinstyle="miter"/>
                  <v:textbox>
                    <w:txbxContent>
                      <w:p w:rsidR="00AA3853" w:rsidRPr="00F936CD" w:rsidRDefault="00AA3853" w:rsidP="00B347E6">
                        <w:pPr>
                          <w:spacing w:line="276" w:lineRule="auto"/>
                          <w:jc w:val="center"/>
                          <w:rPr>
                            <w:sz w:val="8"/>
                            <w:szCs w:val="16"/>
                            <w:rtl/>
                          </w:rPr>
                        </w:pPr>
                        <w:r w:rsidRPr="00F936CD">
                          <w:rPr>
                            <w:rFonts w:hint="cs"/>
                            <w:sz w:val="8"/>
                            <w:szCs w:val="16"/>
                            <w:rtl/>
                          </w:rPr>
                          <w:t>התביעות שייכות לעילות נפרדות</w:t>
                        </w:r>
                      </w:p>
                    </w:txbxContent>
                  </v:textbox>
                </v:roundrect>
                <v:roundrect id="מלבן מעוגל 7" o:spid="_x0000_s1031" style="position:absolute;left:30289;top:19716;width:9256;height:4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" fillcolor="white [3201]" strokecolor="black [3200]" strokeweight="1.5pt">
                  <v:stroke joinstyle="miter"/>
                  <v:textbox>
                    <w:txbxContent>
                      <w:p w:rsidR="00AA3853" w:rsidRPr="00F936CD" w:rsidRDefault="00AA3853" w:rsidP="00B347E6">
                        <w:pPr>
                          <w:spacing w:line="276" w:lineRule="auto"/>
                          <w:jc w:val="center"/>
                          <w:rPr>
                            <w:sz w:val="8"/>
                            <w:szCs w:val="16"/>
                          </w:rPr>
                        </w:pPr>
                        <w:r w:rsidRPr="00F936CD">
                          <w:rPr>
                            <w:rFonts w:hint="cs"/>
                            <w:sz w:val="8"/>
                            <w:szCs w:val="16"/>
                            <w:rtl/>
                          </w:rPr>
                          <w:t>עילה מתחדשת</w:t>
                        </w:r>
                      </w:p>
                    </w:txbxContent>
                  </v:textbox>
                </v:roundrect>
                <v:roundrect id="מלבן מעוגל 8" o:spid="_x0000_s1032" style="position:absolute;left:11334;top:19812;width:9252;height:4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" fillcolor="white [3201]" strokecolor="black [3200]" strokeweight="1.5pt">
                  <v:stroke joinstyle="miter"/>
                  <v:textbox>
                    <w:txbxContent>
                      <w:p w:rsidR="00AA3853" w:rsidRPr="00F936CD" w:rsidRDefault="00AA3853" w:rsidP="00B347E6">
                        <w:pPr>
                          <w:spacing w:line="276" w:lineRule="auto"/>
                          <w:jc w:val="center"/>
                          <w:rPr>
                            <w:sz w:val="8"/>
                            <w:szCs w:val="16"/>
                            <w:rtl/>
                          </w:rPr>
                        </w:pPr>
                        <w:r w:rsidRPr="00F936CD">
                          <w:rPr>
                            <w:rFonts w:hint="cs"/>
                            <w:sz w:val="8"/>
                            <w:szCs w:val="16"/>
                            <w:rtl/>
                          </w:rPr>
                          <w:t>עילה מתארכת (נמשכת)</w:t>
                        </w:r>
                      </w:p>
                    </w:txbxContent>
                  </v:textbox>
                </v:roundrect>
                <v:roundrect id="מלבן מעוגל 9" o:spid="_x0000_s1033" style="position:absolute;left:11334;top:29051;width:9256;height:4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rsidR="00AA3853" w:rsidRDefault="00AA3853" w:rsidP="00B347E6">
                        <w:pPr>
                          <w:spacing w:line="276" w:lineRule="auto"/>
                          <w:jc w:val="center"/>
                          <w:rPr>
                            <w:sz w:val="4"/>
                            <w:szCs w:val="12"/>
                            <w:rtl/>
                          </w:rPr>
                        </w:pPr>
                        <w:r>
                          <w:rPr>
                            <w:rFonts w:hint="cs"/>
                            <w:sz w:val="4"/>
                            <w:szCs w:val="12"/>
                            <w:rtl/>
                          </w:rPr>
                          <w:t>התיישנות התביעות לפי התביעה האחרונה</w:t>
                        </w:r>
                      </w:p>
                      <w:p w:rsidR="00AA3853" w:rsidRPr="00767002" w:rsidRDefault="00AA3853" w:rsidP="00B347E6">
                        <w:pPr>
                          <w:spacing w:line="276" w:lineRule="auto"/>
                          <w:jc w:val="center"/>
                          <w:rPr>
                            <w:sz w:val="4"/>
                            <w:szCs w:val="12"/>
                          </w:rPr>
                        </w:pPr>
                        <w:r>
                          <w:rPr>
                            <w:rFonts w:hint="cs"/>
                            <w:sz w:val="4"/>
                            <w:szCs w:val="12"/>
                            <w:rtl/>
                          </w:rPr>
                          <w:t>("דחיסה לפנים")</w:t>
                        </w:r>
                      </w:p>
                    </w:txbxContent>
                  </v:textbox>
                </v:roundrect>
                <v:roundrect id="מלבן מעוגל 10" o:spid="_x0000_s1034" style="position:absolute;top:29146;width:9251;height:4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" fillcolor="white [3201]" strokecolor="black [3200]" strokeweight="1pt">
                  <v:stroke dashstyle="dash" joinstyle="miter"/>
                  <v:textbox>
                    <w:txbxContent>
                      <w:p w:rsidR="00AA3853" w:rsidRDefault="00AA3853" w:rsidP="00B347E6">
                        <w:pPr>
                          <w:spacing w:line="276" w:lineRule="auto"/>
                          <w:jc w:val="center"/>
                          <w:rPr>
                            <w:sz w:val="4"/>
                            <w:szCs w:val="12"/>
                            <w:rtl/>
                          </w:rPr>
                        </w:pPr>
                        <w:r>
                          <w:rPr>
                            <w:rFonts w:hint="cs"/>
                            <w:sz w:val="4"/>
                            <w:szCs w:val="12"/>
                            <w:rtl/>
                          </w:rPr>
                          <w:t xml:space="preserve">דחיסה לאחור / </w:t>
                        </w:r>
                      </w:p>
                      <w:p w:rsidR="00AA3853" w:rsidRPr="00767002" w:rsidRDefault="00AA3853" w:rsidP="00B347E6">
                        <w:pPr>
                          <w:spacing w:line="276" w:lineRule="auto"/>
                          <w:jc w:val="center"/>
                          <w:rPr>
                            <w:sz w:val="4"/>
                            <w:szCs w:val="12"/>
                            <w:rtl/>
                          </w:rPr>
                        </w:pPr>
                        <w:r>
                          <w:rPr>
                            <w:rFonts w:hint="cs"/>
                            <w:sz w:val="4"/>
                            <w:szCs w:val="12"/>
                            <w:rtl/>
                          </w:rPr>
                          <w:t>דחיסה למועד ביניים</w:t>
                        </w:r>
                      </w:p>
                    </w:txbxContent>
                  </v:textbox>
                </v:roundrect>
                <v:roundrect id="מלבן מעוגל 11" o:spid="_x0000_s1035" style="position:absolute;left:30384;top:28956;width:9252;height:4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" fillcolor="white [3201]" strokecolor="black [3200]" strokeweight="1pt">
                  <v:stroke joinstyle="miter"/>
                  <v:textbox>
                    <w:txbxContent>
                      <w:p w:rsidR="00AA3853" w:rsidRPr="00767002" w:rsidRDefault="00AA3853" w:rsidP="00B347E6">
                        <w:pPr>
                          <w:spacing w:line="276" w:lineRule="auto"/>
                          <w:jc w:val="center"/>
                          <w:rPr>
                            <w:sz w:val="4"/>
                            <w:szCs w:val="12"/>
                          </w:rPr>
                        </w:pPr>
                        <w:r>
                          <w:rPr>
                            <w:rFonts w:hint="cs"/>
                            <w:sz w:val="4"/>
                            <w:szCs w:val="12"/>
                            <w:rtl/>
                          </w:rPr>
                          <w:t>כל תביעה חוזרת מהווה תביעה עצמאית שניתן לתבוע בגינה</w:t>
                        </w:r>
                      </w:p>
                    </w:txbxContent>
                  </v:textbox>
                </v:roundrect>
                <v:roundrect id="מלבן מעוגל 12" o:spid="_x0000_s1036" style="position:absolute;left:11308;top:37714;width:9252;height:4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" fillcolor="white [3201]" strokecolor="black [3200]" strokeweight="1pt">
                  <v:stroke joinstyle="miter"/>
                  <v:textbox>
                    <w:txbxContent>
                      <w:p w:rsidR="00AA3853" w:rsidRDefault="00AA3853" w:rsidP="00B347E6">
                        <w:pPr>
                          <w:spacing w:line="276" w:lineRule="auto"/>
                          <w:jc w:val="center"/>
                          <w:rPr>
                            <w:sz w:val="4"/>
                            <w:szCs w:val="12"/>
                            <w:rtl/>
                          </w:rPr>
                        </w:pPr>
                        <w:r>
                          <w:rPr>
                            <w:rFonts w:hint="cs"/>
                            <w:sz w:val="4"/>
                            <w:szCs w:val="12"/>
                            <w:rtl/>
                          </w:rPr>
                          <w:t>תחולה:</w:t>
                        </w:r>
                      </w:p>
                      <w:p w:rsidR="00AA3853" w:rsidRDefault="00AA3853" w:rsidP="00B347E6">
                        <w:pPr>
                          <w:spacing w:line="276" w:lineRule="auto"/>
                          <w:jc w:val="center"/>
                          <w:rPr>
                            <w:sz w:val="4"/>
                            <w:szCs w:val="12"/>
                            <w:rtl/>
                          </w:rPr>
                        </w:pPr>
                        <w:r>
                          <w:rPr>
                            <w:rFonts w:hint="cs"/>
                            <w:sz w:val="4"/>
                            <w:szCs w:val="12"/>
                            <w:rtl/>
                          </w:rPr>
                          <w:t xml:space="preserve">עוולות ללא נזק </w:t>
                        </w:r>
                      </w:p>
                      <w:p w:rsidR="00AA3853" w:rsidRPr="00767002" w:rsidRDefault="00AA3853" w:rsidP="00B347E6">
                        <w:pPr>
                          <w:spacing w:line="276" w:lineRule="auto"/>
                          <w:jc w:val="center"/>
                          <w:rPr>
                            <w:sz w:val="4"/>
                            <w:szCs w:val="12"/>
                          </w:rPr>
                        </w:pPr>
                        <w:r>
                          <w:rPr>
                            <w:rFonts w:hint="cs"/>
                            <w:sz w:val="4"/>
                            <w:szCs w:val="12"/>
                            <w:rtl/>
                          </w:rPr>
                          <w:t>(סעיף 89(1) לפקודה)</w:t>
                        </w:r>
                      </w:p>
                    </w:txbxContent>
                  </v:textbox>
                </v:roundrect>
                <v:roundrect id="מלבן מעוגל 13" o:spid="_x0000_s1037" style="position:absolute;left:30384;top:37623;width:9252;height:4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" fillcolor="white [3201]" strokecolor="black [3200]" strokeweight="1pt">
                  <v:stroke joinstyle="miter"/>
                  <v:textbox>
                    <w:txbxContent>
                      <w:p w:rsidR="00AA3853" w:rsidRDefault="00AA3853" w:rsidP="00B347E6">
                        <w:pPr>
                          <w:spacing w:line="276" w:lineRule="auto"/>
                          <w:jc w:val="center"/>
                          <w:rPr>
                            <w:sz w:val="4"/>
                            <w:szCs w:val="12"/>
                            <w:rtl/>
                          </w:rPr>
                        </w:pPr>
                        <w:r>
                          <w:rPr>
                            <w:rFonts w:hint="cs"/>
                            <w:sz w:val="4"/>
                            <w:szCs w:val="12"/>
                            <w:rtl/>
                          </w:rPr>
                          <w:t>תחולה:</w:t>
                        </w:r>
                      </w:p>
                      <w:p w:rsidR="00AA3853" w:rsidRPr="00767002" w:rsidRDefault="00AA3853" w:rsidP="00B347E6">
                        <w:pPr>
                          <w:spacing w:line="276" w:lineRule="auto"/>
                          <w:jc w:val="center"/>
                          <w:rPr>
                            <w:sz w:val="4"/>
                            <w:szCs w:val="12"/>
                          </w:rPr>
                        </w:pPr>
                        <w:r>
                          <w:rPr>
                            <w:rFonts w:hint="cs"/>
                            <w:sz w:val="4"/>
                            <w:szCs w:val="12"/>
                            <w:rtl/>
                          </w:rPr>
                          <w:t>עוולות הדורשות נזק (סעיף 89(2) לפקודה)</w:t>
                        </w:r>
                      </w:p>
                    </w:txbxContent>
                  </v:textbox>
                </v:roundrect>
                <v:line id="מחבר ישר 14" o:spid="_x0000_s1038" style="position:absolute;visibility:visible;mso-wrap-style:square" from="39433,2286" to="56540,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" strokecolor="#5b9bd5 [3204]" strokeweight=".5pt">
                  <v:stroke joinstyle="miter"/>
                </v:line>
                <v:shapetype id="_x0000_t32" coordsize="21600,21600" o:spt="32" o:oned="t" path="m,l21600,21600e" filled="f">
                  <v:path arrowok="t" fillok="f" o:connecttype="none"/>
                  <o:lock v:ext="edit" shapetype="t"/>
                </v:shapetype>
                <v:shape id="מחבר חץ ישר 15" o:spid="_x0000_s1039" type="#_x0000_t32" style="position:absolute;left:56483;top:15049;width:54;height:4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5b9bd5 [3204]" strokeweight=".5pt">
                  <v:stroke endarrow="block" joinstyle="miter"/>
                </v:shape>
                <v:line id="מחבר ישר 16" o:spid="_x0000_s1040" style="position:absolute;flip:x;visibility:visible;mso-wrap-style:square" from="29908,12668" to="34956,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" strokecolor="#5b9bd5 [3204]" strokeweight=".5pt">
                  <v:stroke joinstyle="miter"/>
                </v:line>
                <v:shape id="מחבר חץ ישר 17" o:spid="_x0000_s1041" type="#_x0000_t32" style="position:absolute;left:34956;top:12668;width:26;height:69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" strokecolor="#5b9bd5 [3204]" strokeweight=".5pt">
                  <v:stroke endarrow="block" joinstyle="miter"/>
                </v:shape>
                <v:line id="מחבר ישר 18" o:spid="_x0000_s1042" style="position:absolute;flip:x;visibility:visible;mso-wrap-style:square" from="15906,12763" to="20560,1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" strokecolor="#5b9bd5 [3204]" strokeweight=".5pt">
                  <v:stroke joinstyle="miter"/>
                </v:line>
                <v:shape id="מחבר חץ ישר 19" o:spid="_x0000_s1043" type="#_x0000_t32" style="position:absolute;left:15906;top:12763;width:26;height:69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strokecolor="#5b9bd5 [3204]" strokeweight=".5pt">
                  <v:stroke endarrow="block" joinstyle="miter"/>
                </v:shape>
                <v:shape id="מחבר חץ ישר 20" o:spid="_x0000_s1044" type="#_x0000_t32" style="position:absolute;left:15906;top:24384;width:55;height:4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" strokecolor="#5b9bd5 [3204]" strokeweight=".5pt">
                  <v:stroke endarrow="block" joinstyle="miter"/>
                </v:shape>
                <v:shape id="מחבר חץ ישר 21" o:spid="_x0000_s1045" type="#_x0000_t32" style="position:absolute;left:34956;top:24384;width:51;height:4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5b9bd5 [3204]" strokeweight=".5pt">
                  <v:stroke endarrow="block" joinstyle="miter"/>
                </v:shape>
                <v:shape id="מחבר חץ ישר 22" o:spid="_x0000_s1046" type="#_x0000_t32" style="position:absolute;left:4667;top:22098;width:25;height:69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" strokecolor="#5b9bd5 [3204]" strokeweight=".5pt">
                  <v:stroke dashstyle="dash" endarrow="block" joinstyle="miter"/>
                </v:shape>
                <v:line id="מחבר ישר 23" o:spid="_x0000_s1047" style="position:absolute;flip:x;visibility:visible;mso-wrap-style:square" from="4667,22098" to="11206,2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" strokecolor="#5b9bd5 [3204]" strokeweight=".5pt">
                  <v:stroke dashstyle="dash" joinstyle="miter"/>
                </v:line>
                <v:shape id="מחבר חץ ישר 24" o:spid="_x0000_s1048" type="#_x0000_t32" style="position:absolute;left:35052;top:33623;width:21;height:4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" strokecolor="#5b9bd5 [3204]" strokeweight=".5pt">
                  <v:stroke endarrow="block" joinstyle="miter"/>
                </v:shape>
                <v:shape id="מחבר חץ ישר 25" o:spid="_x0000_s1049" type="#_x0000_t32" style="position:absolute;left:15906;top:33623;width:19;height:4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5b9bd5 [3204]" strokeweight=".5pt">
                  <v:stroke endarrow="block" joinstyle="miter"/>
                </v:shape>
                <v:shape id="מחבר חץ ישר 26" o:spid="_x0000_s1050" type="#_x0000_t32" style="position:absolute;left:25336;top:2381;width:0;height:8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5b9bd5 [3204]" strokeweight=".5pt">
                  <v:stroke endarrow="block" joinstyle="miter"/>
                </v:shape>
                <v:line id="מחבר ישר 27" o:spid="_x0000_s1051" style="position:absolute;flip:x;visibility:visible;mso-wrap-style:square" from="39719,39909" to="44138,39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" strokecolor="#5b9bd5 [3204]" strokeweight=".5pt">
                  <v:stroke joinstyle="miter"/>
                </v:line>
                <v:shape id="מחבר חץ ישר 28" o:spid="_x0000_s1052" type="#_x0000_t32" style="position:absolute;left:44100;top:39909;width:19;height:4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5b9bd5 [3204]" strokeweight=".5pt">
                  <v:stroke endarrow="block" joinstyle="miter"/>
                </v:shape>
                <v:roundrect id="מלבן מעוגל 29" o:spid="_x0000_s1053" style="position:absolute;left:39528;top:44005;width:9252;height:4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" fillcolor="white [3201]" strokecolor="black [3200]" strokeweight="1pt">
                  <v:stroke joinstyle="miter"/>
                  <v:textbox>
                    <w:txbxContent>
                      <w:p w:rsidR="00AA3853" w:rsidRDefault="00AA3853" w:rsidP="00B347E6">
                        <w:pPr>
                          <w:jc w:val="center"/>
                          <w:rPr>
                            <w:sz w:val="4"/>
                            <w:szCs w:val="12"/>
                            <w:rtl/>
                          </w:rPr>
                        </w:pPr>
                        <w:r>
                          <w:rPr>
                            <w:rFonts w:hint="cs"/>
                            <w:sz w:val="4"/>
                            <w:szCs w:val="12"/>
                            <w:rtl/>
                          </w:rPr>
                          <w:t xml:space="preserve">חריג: אם הנזק של התביעות אינו ניתן להפרדה </w:t>
                        </w:r>
                        <w:r>
                          <w:rPr>
                            <w:sz w:val="4"/>
                            <w:szCs w:val="12"/>
                            <w:rtl/>
                          </w:rPr>
                          <w:t>–</w:t>
                        </w:r>
                        <w:r>
                          <w:rPr>
                            <w:rFonts w:hint="cs"/>
                            <w:sz w:val="4"/>
                            <w:szCs w:val="12"/>
                            <w:rtl/>
                          </w:rPr>
                          <w:t xml:space="preserve"> יש לבצע</w:t>
                        </w:r>
                      </w:p>
                      <w:p w:rsidR="00AA3853" w:rsidRPr="00767002" w:rsidRDefault="00AA3853" w:rsidP="00B347E6">
                        <w:pPr>
                          <w:jc w:val="center"/>
                          <w:rPr>
                            <w:sz w:val="4"/>
                            <w:szCs w:val="12"/>
                          </w:rPr>
                        </w:pPr>
                        <w:r>
                          <w:rPr>
                            <w:rFonts w:hint="cs"/>
                            <w:sz w:val="4"/>
                            <w:szCs w:val="12"/>
                            <w:rtl/>
                          </w:rPr>
                          <w:t>"דחיסה לפנים"</w:t>
                        </w:r>
                      </w:p>
                    </w:txbxContent>
                  </v:textbox>
                </v:roundrect>
                <w10:wrap type="topAndBottom"/>
              </v:group>
            </w:pict>
          </mc:Fallback>
        </mc:AlternateContent>
      </w:r>
      <w:r>
        <w:rPr>
          <w:rFonts w:ascii="Century" w:hAnsi="Century"/>
          <w:noProof/>
          <w:rtl/>
        </w:rPr>
        <mc:AlternateContent>
          <mc:Choice Requires="wps">
            <w:drawing>
              <wp:anchor distT="0" distB="0" distL="114300" distR="114300" simplePos="0" relativeHeight="251660288" behindDoc="0" locked="0" layoutInCell="1" allowOverlap="1" wp14:anchorId="0B21C6DA" wp14:editId="29D642EF">
                <wp:simplePos x="0" y="0"/>
                <wp:positionH relativeFrom="column">
                  <wp:posOffset>5276180</wp:posOffset>
                </wp:positionH>
                <wp:positionV relativeFrom="paragraph">
                  <wp:posOffset>477347</wp:posOffset>
                </wp:positionV>
                <wp:extent cx="0" cy="807997"/>
                <wp:effectExtent l="76200" t="0" r="57150" b="49530"/>
                <wp:wrapNone/>
                <wp:docPr id="30" name="מחבר חץ ישר 30"/>
                <wp:cNvGraphicFramePr/>
                <a:graphic xmlns:a="http://schemas.openxmlformats.org/drawingml/2006/main">
                  <a:graphicData uri="http://schemas.microsoft.com/office/word/2010/wordprocessingShape">
                    <wps:wsp>
                      <wps:cNvCnPr/>
                      <wps:spPr>
                        <a:xfrm>
                          <a:off x="0" y="0"/>
                          <a:ext cx="0" cy="807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3A8376" id="מחבר חץ ישר 30" o:spid="_x0000_s1026" type="#_x0000_t32" style="position:absolute;left:0;text-align:left;margin-left:415.45pt;margin-top:37.6pt;width:0;height:63.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" strokecolor="#5b9bd5 [3204]" strokeweight=".5pt">
                <v:stroke endarrow="block" joinstyle="miter"/>
              </v:shape>
            </w:pict>
          </mc:Fallback>
        </mc:AlternateContent>
      </w:r>
      <w:r>
        <w:rPr>
          <w:rFonts w:ascii="Century" w:hAnsi="Century"/>
          <w:noProof/>
          <w:rtl/>
        </w:rPr>
        <mc:AlternateContent>
          <mc:Choice Requires="wps">
            <w:drawing>
              <wp:anchor distT="0" distB="0" distL="114300" distR="114300" simplePos="0" relativeHeight="251659264" behindDoc="0" locked="0" layoutInCell="1" allowOverlap="1" wp14:anchorId="1BD284F9" wp14:editId="7643F622">
                <wp:simplePos x="0" y="0"/>
                <wp:positionH relativeFrom="column">
                  <wp:posOffset>2148840</wp:posOffset>
                </wp:positionH>
                <wp:positionV relativeFrom="paragraph">
                  <wp:posOffset>476850</wp:posOffset>
                </wp:positionV>
                <wp:extent cx="488788" cy="0"/>
                <wp:effectExtent l="0" t="0" r="26035" b="19050"/>
                <wp:wrapNone/>
                <wp:docPr id="31" name="מחבר ישר 31"/>
                <wp:cNvGraphicFramePr/>
                <a:graphic xmlns:a="http://schemas.openxmlformats.org/drawingml/2006/main">
                  <a:graphicData uri="http://schemas.microsoft.com/office/word/2010/wordprocessingShape">
                    <wps:wsp>
                      <wps:cNvCnPr/>
                      <wps:spPr>
                        <a:xfrm>
                          <a:off x="0" y="0"/>
                          <a:ext cx="4887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7A3B9" id="מחבר ישר 3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9.2pt,37.55pt" to="207.7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" strokecolor="#5b9bd5 [3204]" strokeweight=".5pt">
                <v:stroke joinstyle="miter"/>
              </v:line>
            </w:pict>
          </mc:Fallback>
        </mc:AlternateContent>
      </w:r>
    </w:p>
    <w:p w:rsidR="00B347E6" w:rsidRDefault="00B347E6" w:rsidP="00B347E6">
      <w:pPr>
        <w:pStyle w:val="Ruller41"/>
        <w:rPr>
          <w:rFonts w:ascii="Century" w:hAnsi="Century"/>
          <w:rtl/>
        </w:rPr>
      </w:pPr>
    </w:p>
    <w:p w:rsidR="00AA3853" w:rsidRDefault="00AA3853"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49</w:t>
      </w:r>
      <w:r w:rsidR="00B347E6">
        <w:rPr>
          <w:rFonts w:ascii="Century" w:hAnsi="Century" w:hint="cs"/>
          <w:rtl/>
        </w:rPr>
        <w:t>.</w:t>
      </w:r>
      <w:r w:rsidR="00B347E6">
        <w:rPr>
          <w:rFonts w:ascii="Century" w:hAnsi="Century" w:hint="cs"/>
          <w:rtl/>
        </w:rPr>
        <w:tab/>
        <w:t xml:space="preserve">עד כאן דברים במישור העקרוני והתיאורטי. ומה באשר לאופן סיווגה של תביעה חוזרת בגין פרסום לשון הרע? כפי שפתחנו ואמרנו, השאלה מהו המועד שבו נולדת עילת תביעה חוזרת בגין פרסום לשון הרע, אינה תמיד פשוטה להכרעה.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טול דוגמה שבה ראובן תולה בכיכר העיר מודעה ובה לשון הרע על שמעון. האם מדובר במעשה עוולתי חד פעמי שהתביעה בגינו תתיישן כעבור שבע שנים? או שמא מדובר בעוולה המתחדשת מדי יום, כך ששמעון יוכל לתבוע אחורנית שבע שנים כל עוד המודעה תלויה? שאלה נוספת היא האם המצב המתואר הוא "נמשך והולך" כאמור בסעיף 89(1) לפקודת הנזיקין, הקובע שמירוץ ההתיישנות ייפתח רק במועד שבו המודעה תוסר, שאז יוכל שמעון לתבוע בגין מלוא התקופה שבה היתה המודעה תלויה? (על כך שסעיף 89(1) לפקודה חל על תביעות לשון הרע, ראו אצל </w:t>
      </w:r>
      <w:r w:rsidRPr="004864F4">
        <w:rPr>
          <w:rFonts w:ascii="Century" w:hAnsi="Century" w:cs="Miriam" w:hint="cs"/>
          <w:b/>
          <w:spacing w:val="0"/>
          <w:szCs w:val="24"/>
          <w:rtl/>
        </w:rPr>
        <w:t>גלעד</w:t>
      </w:r>
      <w:r>
        <w:rPr>
          <w:rFonts w:ascii="Century" w:hAnsi="Century" w:hint="cs"/>
          <w:rtl/>
        </w:rPr>
        <w:t xml:space="preserve"> בעמ' 228-227; </w:t>
      </w:r>
      <w:r w:rsidRPr="004864F4">
        <w:rPr>
          <w:rFonts w:ascii="Century" w:hAnsi="Century" w:cs="Miriam" w:hint="cs"/>
          <w:b/>
          <w:spacing w:val="0"/>
          <w:szCs w:val="24"/>
          <w:rtl/>
        </w:rPr>
        <w:t>חבקין</w:t>
      </w:r>
      <w:r>
        <w:rPr>
          <w:rFonts w:ascii="Century" w:hAnsi="Century" w:hint="cs"/>
          <w:rtl/>
        </w:rPr>
        <w:t xml:space="preserve"> בעמ' 450). ומה הדין אילו ראובן ישוב ויתלה את המודעה המדוברת מדי שבוע? האם יש לראות את כלל התביעות החוזרות בגין המודעות שנתלו כשייכות לאותה עילת תביעה? או שמא מדובר בעילה מתחדשת שמכוחה יש להשקיף על כל </w:t>
      </w:r>
      <w:r w:rsidRPr="0020519F">
        <w:rPr>
          <w:rFonts w:ascii="Century" w:hAnsi="Century" w:hint="cs"/>
          <w:rtl/>
        </w:rPr>
        <w:t>תביעה חוזרת</w:t>
      </w:r>
      <w:r>
        <w:rPr>
          <w:rFonts w:ascii="Century" w:hAnsi="Century" w:hint="cs"/>
          <w:rtl/>
        </w:rPr>
        <w:t xml:space="preserve"> (כל מודעה שנתלתה)</w:t>
      </w:r>
      <w:r w:rsidRPr="0020519F">
        <w:rPr>
          <w:rFonts w:ascii="Century" w:hAnsi="Century" w:hint="cs"/>
          <w:rtl/>
        </w:rPr>
        <w:t xml:space="preserve"> באופן עצמאי? </w:t>
      </w:r>
    </w:p>
    <w:p w:rsidR="00B347E6" w:rsidRDefault="00B347E6" w:rsidP="00B347E6">
      <w:pPr>
        <w:pStyle w:val="Ruller41"/>
        <w:rPr>
          <w:rFonts w:ascii="Century" w:hAnsi="Century"/>
          <w:rtl/>
        </w:rPr>
      </w:pPr>
    </w:p>
    <w:p w:rsidR="00B347E6" w:rsidRPr="00363080" w:rsidRDefault="00B347E6" w:rsidP="00B347E6">
      <w:pPr>
        <w:pStyle w:val="Ruller41"/>
        <w:rPr>
          <w:rFonts w:ascii="Century" w:hAnsi="Century"/>
          <w:rtl/>
        </w:rPr>
      </w:pPr>
      <w:r>
        <w:rPr>
          <w:rFonts w:ascii="Century" w:hAnsi="Century"/>
          <w:rtl/>
        </w:rPr>
        <w:tab/>
      </w:r>
      <w:r>
        <w:rPr>
          <w:rFonts w:ascii="Century" w:hAnsi="Century" w:hint="cs"/>
          <w:rtl/>
        </w:rPr>
        <w:t xml:space="preserve">תרחישים דומים מובאים במחקרם ההשוואתי של </w:t>
      </w:r>
      <w:r w:rsidRPr="00363080">
        <w:rPr>
          <w:rFonts w:asciiTheme="majorBidi" w:hAnsiTheme="majorBidi" w:cstheme="majorBidi"/>
        </w:rPr>
        <w:t xml:space="preserve">Israel Gilead &amp; Bjarte Askeland, </w:t>
      </w:r>
      <w:r w:rsidRPr="00363080">
        <w:rPr>
          <w:rFonts w:asciiTheme="majorBidi" w:hAnsiTheme="majorBidi" w:cstheme="majorBidi"/>
          <w:i/>
          <w:iCs/>
        </w:rPr>
        <w:t>Analytical and Comparative Report</w:t>
      </w:r>
      <w:r w:rsidRPr="00363080">
        <w:rPr>
          <w:rFonts w:asciiTheme="majorBidi" w:hAnsiTheme="majorBidi" w:cstheme="majorBidi"/>
        </w:rPr>
        <w:t xml:space="preserve">, in </w:t>
      </w:r>
      <w:r w:rsidRPr="00363080">
        <w:rPr>
          <w:rFonts w:asciiTheme="majorBidi" w:hAnsiTheme="majorBidi" w:cstheme="majorBidi"/>
          <w:smallCaps/>
        </w:rPr>
        <w:t>Prescrip</w:t>
      </w:r>
      <w:r>
        <w:rPr>
          <w:rFonts w:asciiTheme="majorBidi" w:hAnsiTheme="majorBidi" w:cstheme="majorBidi"/>
          <w:smallCaps/>
        </w:rPr>
        <w:t>t</w:t>
      </w:r>
      <w:r w:rsidRPr="00363080">
        <w:rPr>
          <w:rFonts w:asciiTheme="majorBidi" w:hAnsiTheme="majorBidi" w:cstheme="majorBidi"/>
          <w:smallCaps/>
        </w:rPr>
        <w:t>ion In Tort Law: Analytical and Comparative Perspectives</w:t>
      </w:r>
      <w:r>
        <w:rPr>
          <w:rFonts w:asciiTheme="majorBidi" w:hAnsiTheme="majorBidi" w:cstheme="majorBidi"/>
          <w:smallCaps/>
        </w:rPr>
        <w:t xml:space="preserve"> 45 </w:t>
      </w:r>
      <w:r w:rsidRPr="009F364F">
        <w:rPr>
          <w:rFonts w:asciiTheme="majorBidi" w:hAnsiTheme="majorBidi" w:cstheme="majorBidi"/>
          <w:smallCaps/>
        </w:rPr>
        <w:t>(</w:t>
      </w:r>
      <w:r w:rsidRPr="009F364F">
        <w:rPr>
          <w:rFonts w:asciiTheme="majorBidi" w:hAnsiTheme="majorBidi" w:cstheme="majorBidi"/>
        </w:rPr>
        <w:t>I. Gilead &amp; B. Askeland eds.,</w:t>
      </w:r>
      <w:r>
        <w:rPr>
          <w:rFonts w:asciiTheme="majorBidi" w:hAnsiTheme="majorBidi" w:cstheme="majorBidi"/>
          <w:smallCaps/>
        </w:rPr>
        <w:t xml:space="preserve"> </w:t>
      </w:r>
      <w:r w:rsidRPr="009F364F">
        <w:rPr>
          <w:rFonts w:asciiTheme="majorBidi" w:hAnsiTheme="majorBidi" w:cstheme="majorBidi"/>
          <w:smallCaps/>
        </w:rPr>
        <w:t>2020)</w:t>
      </w:r>
      <w:r w:rsidRPr="009F364F">
        <w:rPr>
          <w:rFonts w:asciiTheme="majorBidi" w:hAnsiTheme="majorBidi" w:cstheme="majorBidi" w:hint="cs"/>
          <w:smallCaps/>
          <w:rtl/>
        </w:rPr>
        <w:t xml:space="preserve"> </w:t>
      </w:r>
      <w:r w:rsidRPr="009F364F">
        <w:rPr>
          <w:rFonts w:ascii="Century" w:hAnsi="Century" w:hint="cs"/>
          <w:rtl/>
        </w:rPr>
        <w:t xml:space="preserve">(להלן: </w:t>
      </w:r>
      <w:r w:rsidRPr="009F364F">
        <w:rPr>
          <w:rFonts w:asciiTheme="majorBidi" w:hAnsiTheme="majorBidi" w:cstheme="majorBidi"/>
        </w:rPr>
        <w:t>Gilead &amp; Askeland</w:t>
      </w:r>
      <w:r w:rsidRPr="009F364F">
        <w:rPr>
          <w:rFonts w:ascii="Century" w:hAnsi="Century" w:hint="cs"/>
          <w:rtl/>
        </w:rPr>
        <w:t xml:space="preserve">; כן ראו אצל </w:t>
      </w:r>
      <w:r w:rsidRPr="009F364F">
        <w:rPr>
          <w:rFonts w:ascii="Century" w:hAnsi="Century" w:cs="Miriam" w:hint="cs"/>
          <w:b/>
          <w:spacing w:val="0"/>
          <w:szCs w:val="24"/>
          <w:rtl/>
        </w:rPr>
        <w:t>גלעד</w:t>
      </w:r>
      <w:r w:rsidRPr="009F364F">
        <w:rPr>
          <w:rFonts w:ascii="Century" w:hAnsi="Century" w:hint="cs"/>
          <w:rtl/>
        </w:rPr>
        <w:t xml:space="preserve"> בעמ' 203 ה"ש 2</w:t>
      </w:r>
      <w:r w:rsidRPr="009F364F">
        <w:rPr>
          <w:rFonts w:asciiTheme="majorBidi" w:hAnsiTheme="majorBidi" w:cstheme="majorBidi" w:hint="cs"/>
          <w:smallCaps/>
          <w:rtl/>
        </w:rPr>
        <w:t xml:space="preserve">). </w:t>
      </w:r>
      <w:r w:rsidRPr="009F364F">
        <w:rPr>
          <w:rFonts w:ascii="Century" w:hAnsi="Century" w:hint="cs"/>
          <w:rtl/>
        </w:rPr>
        <w:t>בתרחיש א',</w:t>
      </w:r>
      <w:r>
        <w:rPr>
          <w:rFonts w:ascii="Century" w:hAnsi="Century" w:hint="cs"/>
          <w:rtl/>
        </w:rPr>
        <w:t xml:space="preserve"> ראובן מפרסם מדי שבוע, במשך חודש, כתבה על שמעון שיש בה משום לשון הרע, כאשר כל כתבה מופיעה בעיתון שונה ובנושא אחר. בתרחיש ב', במשך אותו פרק זמן, לוי מפרסם על יהודה כתבה מדי יומיים, באותו עיתון ובאותו נושא. מהמחקר עולה שברובן המכריע של המדינות, בשני התרחישים אין מדובר בעוולה נמשכת אלא בעוולות נפרדות, כך שכל תביעה בגין כל כתבה עומדת בפני עצמה.</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50</w:t>
      </w:r>
      <w:r w:rsidR="00B347E6">
        <w:rPr>
          <w:rFonts w:ascii="Century" w:hAnsi="Century" w:hint="cs"/>
          <w:rtl/>
        </w:rPr>
        <w:t>.</w:t>
      </w:r>
      <w:r w:rsidR="00B347E6">
        <w:rPr>
          <w:rFonts w:ascii="Century" w:hAnsi="Century"/>
          <w:rtl/>
        </w:rPr>
        <w:tab/>
      </w:r>
      <w:r w:rsidR="00B347E6">
        <w:rPr>
          <w:rFonts w:ascii="Century" w:hAnsi="Century" w:hint="cs"/>
          <w:rtl/>
        </w:rPr>
        <w:t xml:space="preserve">שני פרמטרים מרכזיים הוכרו בספרות ובפסיקה לצורך הבחנה בין עוולות נפרדות לעוולות נמשכות, והם: </w:t>
      </w:r>
      <w:r w:rsidR="00B347E6" w:rsidRPr="00907554">
        <w:rPr>
          <w:rFonts w:ascii="Century" w:hAnsi="Century" w:cs="Miriam" w:hint="cs"/>
          <w:b/>
          <w:spacing w:val="0"/>
          <w:szCs w:val="24"/>
          <w:rtl/>
        </w:rPr>
        <w:t>מידת ה</w:t>
      </w:r>
      <w:r w:rsidR="00B347E6">
        <w:rPr>
          <w:rFonts w:ascii="Century" w:hAnsi="Century" w:cs="Miriam" w:hint="cs"/>
          <w:b/>
          <w:spacing w:val="0"/>
          <w:szCs w:val="24"/>
          <w:rtl/>
        </w:rPr>
        <w:t>דמיון</w:t>
      </w:r>
      <w:r w:rsidR="00B347E6">
        <w:rPr>
          <w:rFonts w:ascii="Century" w:hAnsi="Century" w:hint="cs"/>
          <w:rtl/>
        </w:rPr>
        <w:t xml:space="preserve"> בין מאפייניה של התופעה העוולתית שחוזרת על עצמה, וכן </w:t>
      </w:r>
      <w:r w:rsidR="00B347E6" w:rsidRPr="00907554">
        <w:rPr>
          <w:rFonts w:ascii="Century" w:hAnsi="Century" w:cs="Miriam" w:hint="cs"/>
          <w:b/>
          <w:spacing w:val="0"/>
          <w:szCs w:val="24"/>
          <w:rtl/>
        </w:rPr>
        <w:t>רציפות החזרה</w:t>
      </w:r>
      <w:r w:rsidR="00B347E6">
        <w:rPr>
          <w:rFonts w:ascii="Century" w:hAnsi="Century" w:hint="cs"/>
          <w:rtl/>
        </w:rPr>
        <w:t xml:space="preserve"> של התופעה: </w:t>
      </w:r>
    </w:p>
    <w:p w:rsidR="00B347E6" w:rsidRDefault="00B347E6" w:rsidP="00B347E6">
      <w:pPr>
        <w:pStyle w:val="Ruller41"/>
        <w:rPr>
          <w:rFonts w:ascii="Century" w:hAnsi="Century"/>
          <w:rtl/>
        </w:rPr>
      </w:pPr>
    </w:p>
    <w:p w:rsidR="00B347E6" w:rsidRDefault="00B347E6" w:rsidP="00B347E6">
      <w:pPr>
        <w:pStyle w:val="Ruller5"/>
        <w:rPr>
          <w:rFonts w:ascii="Century" w:hAnsi="Century"/>
          <w:rtl/>
        </w:rPr>
      </w:pPr>
      <w:r w:rsidRPr="000B0C01">
        <w:rPr>
          <w:rFonts w:hint="cs"/>
          <w:rtl/>
        </w:rPr>
        <w:t>"</w:t>
      </w:r>
      <w:r w:rsidRPr="000B0C01">
        <w:rPr>
          <w:rtl/>
        </w:rPr>
        <w:t>תופעה</w:t>
      </w:r>
      <w:r w:rsidRPr="000B0C01">
        <w:t xml:space="preserve"> </w:t>
      </w:r>
      <w:r w:rsidRPr="000B0C01">
        <w:rPr>
          <w:rtl/>
        </w:rPr>
        <w:t>היא</w:t>
      </w:r>
      <w:r>
        <w:rPr>
          <w:rFonts w:hint="cs"/>
          <w:rtl/>
        </w:rPr>
        <w:t xml:space="preserve"> '</w:t>
      </w:r>
      <w:r w:rsidRPr="000B0C01">
        <w:rPr>
          <w:rtl/>
        </w:rPr>
        <w:t>נמשכ</w:t>
      </w:r>
      <w:r>
        <w:rPr>
          <w:rFonts w:hint="cs"/>
          <w:rtl/>
        </w:rPr>
        <w:t xml:space="preserve">ת' </w:t>
      </w:r>
      <w:r w:rsidRPr="000B0C01">
        <w:rPr>
          <w:rtl/>
        </w:rPr>
        <w:t>אם</w:t>
      </w:r>
      <w:r w:rsidRPr="000B0C01">
        <w:t xml:space="preserve"> </w:t>
      </w:r>
      <w:r w:rsidRPr="000B0C01">
        <w:rPr>
          <w:rtl/>
        </w:rPr>
        <w:t>מאפייניה</w:t>
      </w:r>
      <w:r w:rsidRPr="000B0C01">
        <w:rPr>
          <w:rFonts w:hint="cs"/>
          <w:rtl/>
        </w:rPr>
        <w:t xml:space="preserve"> </w:t>
      </w:r>
      <w:r w:rsidRPr="000B0C01">
        <w:rPr>
          <w:rtl/>
        </w:rPr>
        <w:t>המהותיים</w:t>
      </w:r>
      <w:r w:rsidRPr="000B0C01">
        <w:t xml:space="preserve"> </w:t>
      </w:r>
      <w:r w:rsidRPr="000B0C01">
        <w:rPr>
          <w:rtl/>
        </w:rPr>
        <w:t>חוזרים</w:t>
      </w:r>
      <w:r>
        <w:rPr>
          <w:rFonts w:hint="cs"/>
          <w:rtl/>
        </w:rPr>
        <w:t xml:space="preserve"> </w:t>
      </w:r>
      <w:r w:rsidRPr="000B0C01">
        <w:rPr>
          <w:rtl/>
        </w:rPr>
        <w:t>על</w:t>
      </w:r>
      <w:r w:rsidRPr="000B0C01">
        <w:t xml:space="preserve"> </w:t>
      </w:r>
      <w:r w:rsidRPr="000B0C01">
        <w:rPr>
          <w:rtl/>
        </w:rPr>
        <w:t>עצמם</w:t>
      </w:r>
      <w:r w:rsidRPr="000B0C01">
        <w:t xml:space="preserve"> </w:t>
      </w:r>
      <w:r w:rsidRPr="000B0C01">
        <w:rPr>
          <w:rtl/>
        </w:rPr>
        <w:t>ברציפות</w:t>
      </w:r>
      <w:r>
        <w:rPr>
          <w:rFonts w:hint="cs"/>
          <w:rtl/>
        </w:rPr>
        <w:t xml:space="preserve">. </w:t>
      </w:r>
      <w:r w:rsidRPr="000B0C01">
        <w:rPr>
          <w:rtl/>
        </w:rPr>
        <w:t>מעשה</w:t>
      </w:r>
      <w:r w:rsidRPr="000B0C01">
        <w:t xml:space="preserve"> </w:t>
      </w:r>
      <w:r w:rsidRPr="000B0C01">
        <w:rPr>
          <w:rtl/>
        </w:rPr>
        <w:t>או</w:t>
      </w:r>
      <w:r w:rsidRPr="000B0C01">
        <w:t xml:space="preserve"> </w:t>
      </w:r>
      <w:r w:rsidRPr="000B0C01">
        <w:rPr>
          <w:rtl/>
        </w:rPr>
        <w:t>מחדל</w:t>
      </w:r>
      <w:r>
        <w:rPr>
          <w:rFonts w:hint="cs"/>
          <w:rtl/>
        </w:rPr>
        <w:t xml:space="preserve"> (</w:t>
      </w:r>
      <w:r w:rsidRPr="000B0C01">
        <w:rPr>
          <w:rtl/>
        </w:rPr>
        <w:t>אשם</w:t>
      </w:r>
      <w:r>
        <w:rPr>
          <w:rFonts w:hint="cs"/>
          <w:rtl/>
        </w:rPr>
        <w:t xml:space="preserve">) </w:t>
      </w:r>
      <w:r w:rsidRPr="000B0C01">
        <w:rPr>
          <w:rtl/>
        </w:rPr>
        <w:t>ייחשב</w:t>
      </w:r>
      <w:r>
        <w:rPr>
          <w:rFonts w:hint="cs"/>
          <w:rtl/>
        </w:rPr>
        <w:t xml:space="preserve"> </w:t>
      </w:r>
      <w:r w:rsidRPr="000B0C01">
        <w:rPr>
          <w:rtl/>
        </w:rPr>
        <w:t>נמשך</w:t>
      </w:r>
      <w:r>
        <w:rPr>
          <w:rFonts w:hint="cs"/>
          <w:rtl/>
        </w:rPr>
        <w:t xml:space="preserve"> </w:t>
      </w:r>
      <w:r w:rsidRPr="000B0C01">
        <w:rPr>
          <w:rtl/>
        </w:rPr>
        <w:t>אם</w:t>
      </w:r>
      <w:r w:rsidRPr="000B0C01">
        <w:t xml:space="preserve"> </w:t>
      </w:r>
      <w:r w:rsidRPr="000B0C01">
        <w:rPr>
          <w:rtl/>
        </w:rPr>
        <w:t>וכל</w:t>
      </w:r>
      <w:r w:rsidRPr="000B0C01">
        <w:t xml:space="preserve"> </w:t>
      </w:r>
      <w:r w:rsidRPr="000B0C01">
        <w:rPr>
          <w:rtl/>
        </w:rPr>
        <w:t>עוד</w:t>
      </w:r>
      <w:r w:rsidRPr="000B0C01">
        <w:t xml:space="preserve"> </w:t>
      </w:r>
      <w:r w:rsidRPr="000B0C01">
        <w:rPr>
          <w:rtl/>
        </w:rPr>
        <w:t>הוא</w:t>
      </w:r>
      <w:r w:rsidRPr="000B0C01">
        <w:t xml:space="preserve"> </w:t>
      </w:r>
      <w:r w:rsidRPr="000B0C01">
        <w:rPr>
          <w:rtl/>
        </w:rPr>
        <w:t>מקיים</w:t>
      </w:r>
      <w:r w:rsidRPr="000B0C01">
        <w:rPr>
          <w:rFonts w:hint="cs"/>
          <w:rtl/>
        </w:rPr>
        <w:t xml:space="preserve"> </w:t>
      </w:r>
      <w:r w:rsidRPr="000B0C01">
        <w:rPr>
          <w:rtl/>
        </w:rPr>
        <w:t>את</w:t>
      </w:r>
      <w:r w:rsidRPr="000B0C01">
        <w:t xml:space="preserve"> </w:t>
      </w:r>
      <w:r w:rsidRPr="000B0C01">
        <w:rPr>
          <w:rtl/>
        </w:rPr>
        <w:t>תכונות</w:t>
      </w:r>
      <w:r w:rsidRPr="000B0C01">
        <w:t xml:space="preserve"> </w:t>
      </w:r>
      <w:r w:rsidRPr="000E2456">
        <w:rPr>
          <w:rFonts w:ascii="Century" w:hAnsi="Century" w:cs="Miriam"/>
          <w:b/>
          <w:spacing w:val="0"/>
          <w:szCs w:val="24"/>
          <w:rtl/>
        </w:rPr>
        <w:t>החזרה</w:t>
      </w:r>
      <w:r>
        <w:rPr>
          <w:rFonts w:hint="cs"/>
          <w:rtl/>
        </w:rPr>
        <w:t xml:space="preserve"> (</w:t>
      </w:r>
      <w:r w:rsidRPr="000B0C01">
        <w:rPr>
          <w:rtl/>
        </w:rPr>
        <w:t>זהות</w:t>
      </w:r>
      <w:r w:rsidRPr="000B0C01">
        <w:t xml:space="preserve"> </w:t>
      </w:r>
      <w:r w:rsidRPr="000B0C01">
        <w:rPr>
          <w:rtl/>
        </w:rPr>
        <w:t>מהותית</w:t>
      </w:r>
      <w:r>
        <w:rPr>
          <w:rFonts w:hint="cs"/>
          <w:rtl/>
        </w:rPr>
        <w:t xml:space="preserve"> ב</w:t>
      </w:r>
      <w:r w:rsidRPr="000B0C01">
        <w:rPr>
          <w:rtl/>
        </w:rPr>
        <w:t>ין</w:t>
      </w:r>
      <w:r w:rsidRPr="000B0C01">
        <w:t xml:space="preserve"> </w:t>
      </w:r>
      <w:r w:rsidRPr="000B0C01">
        <w:rPr>
          <w:rtl/>
        </w:rPr>
        <w:t>מאפייני</w:t>
      </w:r>
      <w:r w:rsidRPr="000B0C01">
        <w:t xml:space="preserve"> </w:t>
      </w:r>
      <w:r w:rsidRPr="000B0C01">
        <w:rPr>
          <w:rtl/>
        </w:rPr>
        <w:t>האשם</w:t>
      </w:r>
      <w:r w:rsidRPr="000B0C01">
        <w:t xml:space="preserve"> </w:t>
      </w:r>
      <w:r w:rsidRPr="000B0C01">
        <w:rPr>
          <w:rtl/>
        </w:rPr>
        <w:t>שמתרחשים</w:t>
      </w:r>
      <w:r w:rsidRPr="000B0C01">
        <w:t xml:space="preserve"> </w:t>
      </w:r>
      <w:r w:rsidRPr="000B0C01">
        <w:rPr>
          <w:rtl/>
        </w:rPr>
        <w:t>ביחידת</w:t>
      </w:r>
      <w:r w:rsidRPr="000B0C01">
        <w:t xml:space="preserve"> </w:t>
      </w:r>
      <w:r w:rsidRPr="000B0C01">
        <w:rPr>
          <w:rtl/>
        </w:rPr>
        <w:t>זמן</w:t>
      </w:r>
      <w:r w:rsidRPr="000B0C01">
        <w:t xml:space="preserve"> </w:t>
      </w:r>
      <w:r w:rsidRPr="000B0C01">
        <w:rPr>
          <w:rtl/>
        </w:rPr>
        <w:t>מוקדמת</w:t>
      </w:r>
      <w:r>
        <w:rPr>
          <w:rFonts w:hint="cs"/>
          <w:rtl/>
        </w:rPr>
        <w:t xml:space="preserve"> </w:t>
      </w:r>
      <w:r w:rsidRPr="000B0C01">
        <w:rPr>
          <w:rtl/>
        </w:rPr>
        <w:t>לבין</w:t>
      </w:r>
      <w:r w:rsidRPr="000B0C01">
        <w:t xml:space="preserve"> </w:t>
      </w:r>
      <w:r w:rsidRPr="000B0C01">
        <w:rPr>
          <w:rtl/>
        </w:rPr>
        <w:t>מאפייני</w:t>
      </w:r>
      <w:r w:rsidRPr="000B0C01">
        <w:rPr>
          <w:rFonts w:hint="cs"/>
          <w:rtl/>
        </w:rPr>
        <w:t xml:space="preserve"> </w:t>
      </w:r>
      <w:r w:rsidRPr="000B0C01">
        <w:rPr>
          <w:rtl/>
        </w:rPr>
        <w:t>האשם</w:t>
      </w:r>
      <w:r w:rsidRPr="000B0C01">
        <w:t xml:space="preserve"> </w:t>
      </w:r>
      <w:r w:rsidRPr="000B0C01">
        <w:rPr>
          <w:rtl/>
        </w:rPr>
        <w:t>שמתרחשים</w:t>
      </w:r>
      <w:r w:rsidRPr="000B0C01">
        <w:t xml:space="preserve"> </w:t>
      </w:r>
      <w:r w:rsidRPr="000B0C01">
        <w:rPr>
          <w:rtl/>
        </w:rPr>
        <w:t>ביחידת</w:t>
      </w:r>
      <w:r w:rsidRPr="000B0C01">
        <w:t xml:space="preserve"> </w:t>
      </w:r>
      <w:r w:rsidRPr="000B0C01">
        <w:rPr>
          <w:rtl/>
        </w:rPr>
        <w:t>זמן</w:t>
      </w:r>
      <w:r w:rsidRPr="000B0C01">
        <w:t xml:space="preserve"> </w:t>
      </w:r>
      <w:r w:rsidRPr="000B0C01">
        <w:rPr>
          <w:rtl/>
        </w:rPr>
        <w:t>מאוחרת</w:t>
      </w:r>
      <w:r>
        <w:rPr>
          <w:rFonts w:hint="cs"/>
          <w:rtl/>
        </w:rPr>
        <w:t xml:space="preserve"> </w:t>
      </w:r>
      <w:r w:rsidRPr="000B0C01">
        <w:rPr>
          <w:rtl/>
        </w:rPr>
        <w:t>לה</w:t>
      </w:r>
      <w:r>
        <w:rPr>
          <w:rFonts w:hint="cs"/>
          <w:rtl/>
        </w:rPr>
        <w:t xml:space="preserve">) </w:t>
      </w:r>
      <w:r w:rsidRPr="000E2456">
        <w:rPr>
          <w:rFonts w:ascii="Century" w:hAnsi="Century" w:cs="Miriam"/>
          <w:b/>
          <w:spacing w:val="0"/>
          <w:szCs w:val="24"/>
          <w:rtl/>
        </w:rPr>
        <w:t>והרציפות</w:t>
      </w:r>
      <w:r>
        <w:rPr>
          <w:rFonts w:hint="cs"/>
          <w:rtl/>
        </w:rPr>
        <w:t xml:space="preserve"> (</w:t>
      </w:r>
      <w:r w:rsidRPr="000B0C01">
        <w:rPr>
          <w:rtl/>
        </w:rPr>
        <w:t>גילויי</w:t>
      </w:r>
      <w:r w:rsidRPr="000B0C01">
        <w:t xml:space="preserve"> </w:t>
      </w:r>
      <w:r w:rsidRPr="000B0C01">
        <w:rPr>
          <w:rtl/>
        </w:rPr>
        <w:t>האשם</w:t>
      </w:r>
      <w:r w:rsidRPr="000B0C01">
        <w:t xml:space="preserve"> </w:t>
      </w:r>
      <w:r w:rsidRPr="000B0C01">
        <w:rPr>
          <w:rtl/>
        </w:rPr>
        <w:t>צריכים</w:t>
      </w:r>
      <w:r w:rsidRPr="000B0C01">
        <w:t xml:space="preserve"> </w:t>
      </w:r>
      <w:r w:rsidRPr="000B0C01">
        <w:rPr>
          <w:rtl/>
        </w:rPr>
        <w:t>להיות</w:t>
      </w:r>
      <w:r w:rsidRPr="000B0C01">
        <w:t xml:space="preserve"> </w:t>
      </w:r>
      <w:r w:rsidRPr="000B0C01">
        <w:rPr>
          <w:rtl/>
        </w:rPr>
        <w:t>תכופים</w:t>
      </w:r>
      <w:r w:rsidRPr="000B0C01">
        <w:t xml:space="preserve"> </w:t>
      </w:r>
      <w:r w:rsidRPr="000B0C01">
        <w:rPr>
          <w:rtl/>
        </w:rPr>
        <w:t>דיים</w:t>
      </w:r>
      <w:r>
        <w:rPr>
          <w:rFonts w:hint="cs"/>
          <w:rtl/>
        </w:rPr>
        <w:t xml:space="preserve"> </w:t>
      </w:r>
      <w:r w:rsidRPr="000B0C01">
        <w:rPr>
          <w:rtl/>
        </w:rPr>
        <w:t>כדי</w:t>
      </w:r>
      <w:r w:rsidRPr="000B0C01">
        <w:t xml:space="preserve"> </w:t>
      </w:r>
      <w:r w:rsidRPr="000B0C01">
        <w:rPr>
          <w:rtl/>
        </w:rPr>
        <w:t>להיחשב</w:t>
      </w:r>
      <w:r w:rsidRPr="000B0C01">
        <w:t xml:space="preserve"> </w:t>
      </w:r>
      <w:r w:rsidRPr="000B0C01">
        <w:rPr>
          <w:rtl/>
        </w:rPr>
        <w:t>לאשם</w:t>
      </w:r>
      <w:r w:rsidRPr="000B0C01">
        <w:t xml:space="preserve"> </w:t>
      </w:r>
      <w:r w:rsidRPr="000B0C01">
        <w:rPr>
          <w:rtl/>
        </w:rPr>
        <w:t>אחד</w:t>
      </w:r>
      <w:r w:rsidRPr="000B0C01">
        <w:t xml:space="preserve"> </w:t>
      </w:r>
      <w:r w:rsidRPr="000B0C01">
        <w:rPr>
          <w:rtl/>
        </w:rPr>
        <w:t>ולא</w:t>
      </w:r>
      <w:r w:rsidRPr="000B0C01">
        <w:t xml:space="preserve"> </w:t>
      </w:r>
      <w:r w:rsidRPr="000B0C01">
        <w:rPr>
          <w:rtl/>
        </w:rPr>
        <w:t>לאשמים</w:t>
      </w:r>
      <w:r w:rsidRPr="000B0C01">
        <w:t xml:space="preserve"> </w:t>
      </w:r>
      <w:r w:rsidRPr="000B0C01">
        <w:rPr>
          <w:rtl/>
        </w:rPr>
        <w:t>נפרדים</w:t>
      </w:r>
      <w:r>
        <w:rPr>
          <w:rFonts w:hint="cs"/>
          <w:rtl/>
        </w:rPr>
        <w:t xml:space="preserve">). </w:t>
      </w:r>
      <w:r w:rsidRPr="000B0C01">
        <w:rPr>
          <w:rtl/>
        </w:rPr>
        <w:t>השאלה</w:t>
      </w:r>
      <w:r>
        <w:rPr>
          <w:rFonts w:hint="cs"/>
          <w:rtl/>
        </w:rPr>
        <w:t xml:space="preserve"> </w:t>
      </w:r>
      <w:r w:rsidRPr="000B0C01">
        <w:rPr>
          <w:rtl/>
        </w:rPr>
        <w:t>אימתי</w:t>
      </w:r>
      <w:r w:rsidRPr="000B0C01">
        <w:t xml:space="preserve"> </w:t>
      </w:r>
      <w:r w:rsidRPr="000B0C01">
        <w:rPr>
          <w:rtl/>
        </w:rPr>
        <w:t>מתקיימים</w:t>
      </w:r>
      <w:r w:rsidRPr="000B0C01">
        <w:t xml:space="preserve"> </w:t>
      </w:r>
      <w:r w:rsidRPr="000B0C01">
        <w:rPr>
          <w:rtl/>
        </w:rPr>
        <w:t>תנאים</w:t>
      </w:r>
      <w:r w:rsidRPr="000B0C01">
        <w:t xml:space="preserve"> </w:t>
      </w:r>
      <w:r>
        <w:rPr>
          <w:rtl/>
        </w:rPr>
        <w:t>אל</w:t>
      </w:r>
      <w:r>
        <w:rPr>
          <w:rFonts w:hint="cs"/>
          <w:rtl/>
        </w:rPr>
        <w:t xml:space="preserve">ה </w:t>
      </w:r>
      <w:r>
        <w:rPr>
          <w:rtl/>
        </w:rPr>
        <w:t>–</w:t>
      </w:r>
      <w:r>
        <w:rPr>
          <w:rFonts w:hint="cs"/>
          <w:rtl/>
        </w:rPr>
        <w:t xml:space="preserve"> </w:t>
      </w:r>
      <w:r w:rsidRPr="000B0C01">
        <w:rPr>
          <w:rtl/>
        </w:rPr>
        <w:t>חזרה</w:t>
      </w:r>
      <w:r>
        <w:rPr>
          <w:rFonts w:hint="cs"/>
          <w:rtl/>
        </w:rPr>
        <w:t xml:space="preserve"> ו</w:t>
      </w:r>
      <w:r w:rsidRPr="000B0C01">
        <w:rPr>
          <w:rtl/>
        </w:rPr>
        <w:t>רציפות</w:t>
      </w:r>
      <w:r>
        <w:rPr>
          <w:rFonts w:hint="cs"/>
          <w:rtl/>
        </w:rPr>
        <w:t xml:space="preserve"> </w:t>
      </w:r>
      <w:r>
        <w:rPr>
          <w:rtl/>
        </w:rPr>
        <w:t>–</w:t>
      </w:r>
      <w:r>
        <w:rPr>
          <w:rFonts w:hint="cs"/>
          <w:rtl/>
        </w:rPr>
        <w:t xml:space="preserve"> </w:t>
      </w:r>
      <w:r w:rsidRPr="000B0C01">
        <w:rPr>
          <w:rtl/>
        </w:rPr>
        <w:t>היא</w:t>
      </w:r>
      <w:r>
        <w:rPr>
          <w:rFonts w:hint="cs"/>
          <w:rtl/>
        </w:rPr>
        <w:t xml:space="preserve"> </w:t>
      </w:r>
      <w:r w:rsidRPr="000B0C01">
        <w:rPr>
          <w:rtl/>
        </w:rPr>
        <w:t>שאלה</w:t>
      </w:r>
      <w:r w:rsidRPr="000B0C01">
        <w:t xml:space="preserve"> </w:t>
      </w:r>
      <w:r w:rsidRPr="000B0C01">
        <w:rPr>
          <w:rtl/>
        </w:rPr>
        <w:t>נורמטיבית</w:t>
      </w:r>
      <w:r w:rsidRPr="000B0C01">
        <w:t xml:space="preserve"> </w:t>
      </w:r>
      <w:r w:rsidRPr="000B0C01">
        <w:rPr>
          <w:rtl/>
        </w:rPr>
        <w:t>הנתונה</w:t>
      </w:r>
      <w:r w:rsidRPr="000B0C01">
        <w:t xml:space="preserve"> </w:t>
      </w:r>
      <w:r w:rsidRPr="000B0C01">
        <w:rPr>
          <w:rtl/>
        </w:rPr>
        <w:t>לשיקול</w:t>
      </w:r>
      <w:r w:rsidRPr="000B0C01">
        <w:t xml:space="preserve"> </w:t>
      </w:r>
      <w:r w:rsidRPr="000B0C01">
        <w:rPr>
          <w:rtl/>
        </w:rPr>
        <w:t>דעת</w:t>
      </w:r>
      <w:r w:rsidRPr="000B0C01">
        <w:t xml:space="preserve"> </w:t>
      </w:r>
      <w:r w:rsidRPr="000B0C01">
        <w:rPr>
          <w:rtl/>
        </w:rPr>
        <w:t>בית</w:t>
      </w:r>
      <w:r w:rsidRPr="000B0C01">
        <w:t xml:space="preserve"> </w:t>
      </w:r>
      <w:r w:rsidRPr="000B0C01">
        <w:rPr>
          <w:rtl/>
        </w:rPr>
        <w:t>המשפט</w:t>
      </w:r>
      <w:r>
        <w:rPr>
          <w:rFonts w:hint="cs"/>
          <w:rtl/>
        </w:rPr>
        <w:t xml:space="preserve"> </w:t>
      </w:r>
      <w:r w:rsidRPr="000B0C01">
        <w:rPr>
          <w:rtl/>
        </w:rPr>
        <w:t>כתלות</w:t>
      </w:r>
      <w:r w:rsidRPr="000B0C01">
        <w:t xml:space="preserve"> </w:t>
      </w:r>
      <w:r w:rsidRPr="000B0C01">
        <w:rPr>
          <w:rtl/>
        </w:rPr>
        <w:t>בעובדות</w:t>
      </w:r>
      <w:r w:rsidRPr="000B0C01">
        <w:t xml:space="preserve"> </w:t>
      </w:r>
      <w:r w:rsidRPr="000B0C01">
        <w:rPr>
          <w:rtl/>
        </w:rPr>
        <w:t>המקרה</w:t>
      </w:r>
      <w:r>
        <w:rPr>
          <w:rFonts w:hint="cs"/>
          <w:rtl/>
        </w:rPr>
        <w:t>" (</w:t>
      </w:r>
      <w:r w:rsidRPr="00FC596C">
        <w:rPr>
          <w:rFonts w:ascii="Century" w:hAnsi="Century" w:cs="Miriam" w:hint="cs"/>
          <w:b/>
          <w:spacing w:val="0"/>
          <w:szCs w:val="24"/>
          <w:rtl/>
        </w:rPr>
        <w:t>חבקין</w:t>
      </w:r>
      <w:r>
        <w:rPr>
          <w:rFonts w:hint="cs"/>
          <w:rtl/>
        </w:rPr>
        <w:t xml:space="preserve"> בעמ' 453, ההדגשות במקור; </w:t>
      </w:r>
      <w:r w:rsidRPr="00FC596C">
        <w:rPr>
          <w:rFonts w:hint="cs"/>
          <w:rtl/>
        </w:rPr>
        <w:t>דברים אלה צ</w:t>
      </w:r>
      <w:r>
        <w:rPr>
          <w:rFonts w:hint="cs"/>
          <w:rtl/>
        </w:rPr>
        <w:t xml:space="preserve">וטטו על ידי המשנה לנשיאה </w:t>
      </w:r>
      <w:r w:rsidRPr="00FC596C">
        <w:rPr>
          <w:rFonts w:ascii="Century" w:hAnsi="Century" w:cs="Miriam" w:hint="cs"/>
          <w:b/>
          <w:spacing w:val="0"/>
          <w:szCs w:val="24"/>
          <w:rtl/>
        </w:rPr>
        <w:t>רובינשטיין</w:t>
      </w:r>
      <w:r>
        <w:rPr>
          <w:rFonts w:ascii="Century" w:hAnsi="Century" w:cs="Miriam" w:hint="cs"/>
          <w:b/>
          <w:spacing w:val="0"/>
          <w:szCs w:val="24"/>
          <w:rtl/>
        </w:rPr>
        <w:t xml:space="preserve"> </w:t>
      </w:r>
      <w:r w:rsidRPr="00FC596C">
        <w:rPr>
          <w:rFonts w:ascii="Century" w:hAnsi="Century" w:hint="cs"/>
          <w:rtl/>
        </w:rPr>
        <w:t>ב</w:t>
      </w:r>
      <w:r w:rsidRPr="00FC596C">
        <w:rPr>
          <w:rFonts w:ascii="Century" w:hAnsi="Century"/>
          <w:rtl/>
        </w:rPr>
        <w:t>רע</w:t>
      </w:r>
      <w:r>
        <w:rPr>
          <w:rFonts w:ascii="Century" w:hAnsi="Century" w:hint="cs"/>
          <w:rtl/>
        </w:rPr>
        <w:t>"</w:t>
      </w:r>
      <w:r w:rsidRPr="00FC596C">
        <w:rPr>
          <w:rFonts w:ascii="Century" w:hAnsi="Century"/>
          <w:rtl/>
        </w:rPr>
        <w:t>א 4892/15</w:t>
      </w:r>
      <w:r>
        <w:rPr>
          <w:rFonts w:ascii="Century" w:hAnsi="Century" w:cs="Miriam" w:hint="cs"/>
          <w:b/>
          <w:spacing w:val="0"/>
          <w:szCs w:val="24"/>
          <w:rtl/>
        </w:rPr>
        <w:t xml:space="preserve"> </w:t>
      </w:r>
      <w:r w:rsidRPr="00FC596C">
        <w:rPr>
          <w:rFonts w:ascii="Century" w:hAnsi="Century" w:cs="Miriam"/>
          <w:b/>
          <w:spacing w:val="0"/>
          <w:szCs w:val="24"/>
          <w:rtl/>
        </w:rPr>
        <w:t>המועצה הדתית עכו נ' עזבון המנוח פליקס חכון ז"ל</w:t>
      </w:r>
      <w:r>
        <w:rPr>
          <w:rFonts w:ascii="Century" w:hAnsi="Century" w:hint="cs"/>
          <w:rtl/>
        </w:rPr>
        <w:t xml:space="preserve">, פסקה ז (16.8.2015)). </w:t>
      </w:r>
    </w:p>
    <w:p w:rsidR="00B347E6" w:rsidRDefault="00B347E6" w:rsidP="00B347E6">
      <w:pPr>
        <w:pStyle w:val="Ruller5"/>
        <w:rPr>
          <w:rFonts w:ascii="Century" w:hAnsi="Century"/>
          <w:rtl/>
        </w:rPr>
      </w:pPr>
    </w:p>
    <w:p w:rsidR="00B347E6" w:rsidRDefault="00B347E6" w:rsidP="00B347E6">
      <w:pPr>
        <w:pStyle w:val="Ruller5"/>
        <w:rPr>
          <w:rFonts w:ascii="Century" w:hAnsi="Century"/>
          <w:rtl/>
        </w:rPr>
      </w:pPr>
    </w:p>
    <w:p w:rsidR="00B347E6" w:rsidRDefault="00B347E6" w:rsidP="00B347E6">
      <w:pPr>
        <w:pStyle w:val="Ruller41"/>
        <w:rPr>
          <w:rtl/>
        </w:rPr>
      </w:pPr>
      <w:r>
        <w:rPr>
          <w:rtl/>
        </w:rPr>
        <w:tab/>
      </w:r>
      <w:r>
        <w:rPr>
          <w:rFonts w:hint="cs"/>
          <w:rtl/>
        </w:rPr>
        <w:t xml:space="preserve">אכן, "אם תופעה ביחידת-זמן אחת </w:t>
      </w:r>
      <w:r w:rsidRPr="00962EEE">
        <w:rPr>
          <w:rFonts w:ascii="Century" w:hAnsi="Century" w:cs="Miriam" w:hint="cs"/>
          <w:b/>
          <w:spacing w:val="0"/>
          <w:szCs w:val="24"/>
          <w:rtl/>
        </w:rPr>
        <w:t>שונה באורח מהותי</w:t>
      </w:r>
      <w:r w:rsidRPr="00962EEE">
        <w:rPr>
          <w:rFonts w:hint="cs"/>
          <w:rtl/>
        </w:rPr>
        <w:t xml:space="preserve"> </w:t>
      </w:r>
      <w:r>
        <w:rPr>
          <w:rFonts w:hint="cs"/>
          <w:rtl/>
        </w:rPr>
        <w:t xml:space="preserve">מזו שביחידת-זמן אחרת, הרי שלא מתקיימת תכונת החזרה [...], </w:t>
      </w:r>
      <w:r w:rsidRPr="00962EEE">
        <w:rPr>
          <w:rFonts w:ascii="Century" w:hAnsi="Century" w:cs="Miriam" w:hint="cs"/>
          <w:b/>
          <w:spacing w:val="0"/>
          <w:szCs w:val="24"/>
          <w:rtl/>
        </w:rPr>
        <w:t xml:space="preserve">[ו]בהעדר רציפות </w:t>
      </w:r>
      <w:r>
        <w:rPr>
          <w:rFonts w:hint="cs"/>
          <w:rtl/>
        </w:rPr>
        <w:t>מאבדת התופעה החוזרת על עצמה את אחידותה והופכת מתופעה נמשכת אחת לשורת תופעות זהות על-פני ציר הזמן" (</w:t>
      </w:r>
      <w:r w:rsidRPr="00405ABF">
        <w:rPr>
          <w:rFonts w:cs="Miriam" w:hint="cs"/>
          <w:b/>
          <w:spacing w:val="0"/>
          <w:szCs w:val="24"/>
          <w:rtl/>
        </w:rPr>
        <w:t xml:space="preserve">גלעד </w:t>
      </w:r>
      <w:r w:rsidRPr="00405ABF">
        <w:rPr>
          <w:rFonts w:cs="Miriam"/>
          <w:b/>
          <w:spacing w:val="0"/>
          <w:szCs w:val="24"/>
          <w:rtl/>
        </w:rPr>
        <w:t>–</w:t>
      </w:r>
      <w:r w:rsidRPr="00405ABF">
        <w:rPr>
          <w:rFonts w:cs="Miriam" w:hint="cs"/>
          <w:b/>
          <w:spacing w:val="0"/>
          <w:szCs w:val="24"/>
          <w:rtl/>
        </w:rPr>
        <w:t xml:space="preserve"> הצעה לשינוי החוק</w:t>
      </w:r>
      <w:r>
        <w:rPr>
          <w:rFonts w:hint="cs"/>
          <w:rtl/>
        </w:rPr>
        <w:t xml:space="preserve"> בעמ' 96 (ההדגשות הוספו </w:t>
      </w:r>
      <w:r>
        <w:rPr>
          <w:rtl/>
        </w:rPr>
        <w:t>–</w:t>
      </w:r>
      <w:r>
        <w:rPr>
          <w:rFonts w:hint="cs"/>
          <w:rtl/>
        </w:rPr>
        <w:t xml:space="preserve"> י"ע); כן ראו אצל </w:t>
      </w:r>
      <w:r w:rsidRPr="00405ABF">
        <w:rPr>
          <w:rFonts w:cs="Miriam" w:hint="cs"/>
          <w:b/>
          <w:spacing w:val="0"/>
          <w:szCs w:val="24"/>
          <w:rtl/>
        </w:rPr>
        <w:t>גלעד</w:t>
      </w:r>
      <w:r>
        <w:rPr>
          <w:rFonts w:hint="cs"/>
          <w:rtl/>
        </w:rPr>
        <w:t xml:space="preserve"> בעמ' 203 ה"ש 2).</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51</w:t>
      </w:r>
      <w:r w:rsidR="00B347E6">
        <w:rPr>
          <w:rFonts w:ascii="Century" w:hAnsi="Century" w:hint="cs"/>
          <w:rtl/>
        </w:rPr>
        <w:t>.</w:t>
      </w:r>
      <w:r w:rsidR="00B347E6">
        <w:rPr>
          <w:rFonts w:ascii="Century" w:hAnsi="Century" w:hint="cs"/>
          <w:rtl/>
        </w:rPr>
        <w:tab/>
        <w:t>פרמטרים אלו שנועדו להבחין באופן כללי בין עוולות נפרדות לעוולה נמשכת, כוחם יפה בהקשר הספציפי של סיווג שורת פרסומים הכוללים לשון הרע. כאמור, בראש ובראשונה יש לבחון אם מתקיימת "זהות מהותית"</w:t>
      </w:r>
      <w:r w:rsidR="00B347E6">
        <w:rPr>
          <w:rFonts w:ascii="Century" w:hAnsi="Century" w:cs="Miriam" w:hint="cs"/>
          <w:b/>
          <w:spacing w:val="0"/>
          <w:szCs w:val="24"/>
          <w:rtl/>
        </w:rPr>
        <w:t xml:space="preserve"> </w:t>
      </w:r>
      <w:r w:rsidR="00B347E6" w:rsidRPr="000E2456">
        <w:rPr>
          <w:rFonts w:ascii="Century" w:hAnsi="Century" w:hint="cs"/>
          <w:rtl/>
        </w:rPr>
        <w:t>בין</w:t>
      </w:r>
      <w:r w:rsidR="00B347E6">
        <w:rPr>
          <w:rFonts w:ascii="Century" w:hAnsi="Century" w:hint="cs"/>
          <w:rtl/>
        </w:rPr>
        <w:t xml:space="preserve"> הפרסומים. במסגרת בחינה זו יש ליתן את הדעת הן על מאפייניו הפנימיים של הפרסום (תוכן הפרסום) הן על מאפייניו החיצוניים (אופן הפרסום </w:t>
      </w:r>
      <w:r w:rsidR="00B347E6">
        <w:rPr>
          <w:rFonts w:ascii="Century" w:hAnsi="Century"/>
          <w:rtl/>
        </w:rPr>
        <w:t>–</w:t>
      </w:r>
      <w:r w:rsidR="00B347E6">
        <w:rPr>
          <w:rFonts w:ascii="Century" w:hAnsi="Century" w:hint="cs"/>
          <w:rtl/>
        </w:rPr>
        <w:t xml:space="preserve"> ובכלל זה מתכונתו, הפלטפורמה והמדיום שבהם פורסם). לצד זאת, יש כאמור לבחון אם נתקיימה "רציפות" בין הפרסומים, קרי מהו משך הזמן שחלף בין פרסום לפרסום. כפי שהוסבר, שני תנאים אלה </w:t>
      </w:r>
      <w:r w:rsidR="00B347E6">
        <w:rPr>
          <w:rFonts w:ascii="Century" w:hAnsi="Century"/>
          <w:rtl/>
        </w:rPr>
        <w:t>–</w:t>
      </w:r>
      <w:r w:rsidR="00B347E6">
        <w:rPr>
          <w:rFonts w:ascii="Century" w:hAnsi="Century" w:hint="cs"/>
          <w:rtl/>
        </w:rPr>
        <w:t xml:space="preserve"> דרישת הזהות המהותית ודרישת הרציפות </w:t>
      </w:r>
      <w:r w:rsidR="00B347E6">
        <w:rPr>
          <w:rFonts w:ascii="Century" w:hAnsi="Century"/>
          <w:rtl/>
        </w:rPr>
        <w:t>–</w:t>
      </w:r>
      <w:r w:rsidR="00B347E6">
        <w:rPr>
          <w:rFonts w:ascii="Century" w:hAnsi="Century" w:hint="cs"/>
          <w:rtl/>
        </w:rPr>
        <w:t xml:space="preserve"> הם תנאים </w:t>
      </w:r>
      <w:r w:rsidR="00B347E6" w:rsidRPr="00907554">
        <w:rPr>
          <w:rFonts w:ascii="Century" w:hAnsi="Century" w:cs="Miriam" w:hint="cs"/>
          <w:b/>
          <w:spacing w:val="0"/>
          <w:szCs w:val="24"/>
          <w:rtl/>
        </w:rPr>
        <w:t>מצטברים</w:t>
      </w:r>
      <w:r w:rsidR="00B347E6">
        <w:rPr>
          <w:rFonts w:ascii="Century" w:hAnsi="Century" w:hint="cs"/>
          <w:rtl/>
        </w:rPr>
        <w:t>.</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אין לכחד כי הניסיון להתוות כללים ברורים שיקבעו מתי צבר פרסומים מגבש עוולות נפרדות ומתי יש לראותם כחלק מעוולה אחת </w:t>
      </w:r>
      <w:r>
        <w:rPr>
          <w:rFonts w:ascii="Century" w:hAnsi="Century"/>
          <w:rtl/>
        </w:rPr>
        <w:t>–</w:t>
      </w:r>
      <w:r>
        <w:rPr>
          <w:rFonts w:ascii="Century" w:hAnsi="Century" w:hint="cs"/>
          <w:rtl/>
        </w:rPr>
        <w:t xml:space="preserve"> מעורר קושי רב (למורכבות השאלה אם </w:t>
      </w:r>
      <w:r>
        <w:rPr>
          <w:rFonts w:hint="cs"/>
          <w:sz w:val="28"/>
          <w:rtl/>
        </w:rPr>
        <w:t xml:space="preserve">ראוי לסווג עוולה כ"עוולה נמשכת" (אם כ"עוולה מתחדשת" ואם כ"עוולה מתארכת") מקום שבו מדובר בפרסום לשון הרע באינטרנט, ראו דברי השופט </w:t>
      </w:r>
      <w:r w:rsidRPr="007E1E4C">
        <w:rPr>
          <w:rFonts w:ascii="Century" w:hAnsi="Century" w:cs="Miriam" w:hint="eastAsia"/>
          <w:b/>
          <w:spacing w:val="0"/>
          <w:szCs w:val="24"/>
          <w:rtl/>
        </w:rPr>
        <w:t>צ</w:t>
      </w:r>
      <w:r w:rsidRPr="007E1E4C">
        <w:rPr>
          <w:rFonts w:ascii="Century" w:hAnsi="Century" w:cs="Miriam"/>
          <w:b/>
          <w:spacing w:val="0"/>
          <w:szCs w:val="24"/>
          <w:rtl/>
        </w:rPr>
        <w:t xml:space="preserve">' </w:t>
      </w:r>
      <w:r w:rsidRPr="007E1E4C">
        <w:rPr>
          <w:rFonts w:ascii="Century" w:hAnsi="Century" w:cs="Miriam" w:hint="eastAsia"/>
          <w:b/>
          <w:spacing w:val="0"/>
          <w:szCs w:val="24"/>
          <w:rtl/>
        </w:rPr>
        <w:t>זילברטל</w:t>
      </w:r>
      <w:r>
        <w:rPr>
          <w:rFonts w:hint="cs"/>
          <w:sz w:val="28"/>
          <w:rtl/>
        </w:rPr>
        <w:t xml:space="preserve"> ברע"א 4673/15 </w:t>
      </w:r>
      <w:r w:rsidRPr="007E1E4C">
        <w:rPr>
          <w:rFonts w:ascii="Century" w:hAnsi="Century" w:cs="Miriam" w:hint="eastAsia"/>
          <w:b/>
          <w:spacing w:val="0"/>
          <w:szCs w:val="24"/>
          <w:rtl/>
        </w:rPr>
        <w:t>בר</w:t>
      </w:r>
      <w:r w:rsidRPr="007E1E4C">
        <w:rPr>
          <w:rFonts w:ascii="Century" w:hAnsi="Century" w:cs="Miriam"/>
          <w:b/>
          <w:spacing w:val="0"/>
          <w:szCs w:val="24"/>
          <w:rtl/>
        </w:rPr>
        <w:t xml:space="preserve"> נוי נ' </w:t>
      </w:r>
      <w:r w:rsidRPr="007E1E4C">
        <w:rPr>
          <w:rFonts w:ascii="Century" w:hAnsi="Century" w:cs="Miriam" w:hint="eastAsia"/>
          <w:b/>
          <w:spacing w:val="0"/>
          <w:szCs w:val="24"/>
          <w:rtl/>
        </w:rPr>
        <w:t>סביר</w:t>
      </w:r>
      <w:r>
        <w:rPr>
          <w:rFonts w:hint="cs"/>
          <w:sz w:val="28"/>
          <w:rtl/>
        </w:rPr>
        <w:t>,</w:t>
      </w:r>
      <w:r w:rsidRPr="00704B4C">
        <w:rPr>
          <w:rFonts w:hint="cs"/>
          <w:sz w:val="28"/>
          <w:rtl/>
        </w:rPr>
        <w:t xml:space="preserve"> </w:t>
      </w:r>
      <w:r>
        <w:rPr>
          <w:rFonts w:hint="cs"/>
          <w:sz w:val="28"/>
          <w:rtl/>
        </w:rPr>
        <w:t>פסקה 8 (8.3.2016)).</w:t>
      </w:r>
      <w:r>
        <w:rPr>
          <w:rFonts w:ascii="Century" w:hAnsi="Century" w:hint="cs"/>
          <w:rtl/>
        </w:rPr>
        <w:t xml:space="preserve"> כפי שציינו </w:t>
      </w:r>
      <w:r w:rsidRPr="009F364F">
        <w:rPr>
          <w:rFonts w:asciiTheme="majorBidi" w:hAnsiTheme="majorBidi" w:cstheme="majorBidi"/>
        </w:rPr>
        <w:t>Gilead &amp; Askeland</w:t>
      </w:r>
      <w:r>
        <w:rPr>
          <w:rFonts w:ascii="Century" w:hAnsi="Century" w:hint="cs"/>
          <w:rtl/>
        </w:rPr>
        <w:t xml:space="preserve">, כל ניסיון לספק אמות מידה ברורות לגבי מידת הדמיון והתדירות שתהפוך שורה של פרסומים עוקבים לעוולה נמשכת אחת </w:t>
      </w:r>
      <w:r>
        <w:rPr>
          <w:rFonts w:ascii="Century" w:hAnsi="Century"/>
          <w:rtl/>
        </w:rPr>
        <w:t>–</w:t>
      </w:r>
      <w:r>
        <w:rPr>
          <w:rFonts w:ascii="Century" w:hAnsi="Century" w:hint="cs"/>
          <w:rtl/>
        </w:rPr>
        <w:t xml:space="preserve"> צפוי להיכשל, שכן הדבר תלוי בנסיבותיו של כל מקרה (שם, עמ' 45). לעתים ההכרעה תיפול לפי משקלו של פרמטר אחד, ולעתים משקלו של פרמטר אחר הוא שיכריע. יש שמרכז הכובד יימצא בהבדלים בתוכנם של הפרסומים או בפלטפורמות השונות שבאמצעותן פורסמו, ויש שהרציפות הכרונולוגית תכריע את הכף. אכן, הדבר לעולם תלוי נסיבות.</w:t>
      </w:r>
    </w:p>
    <w:p w:rsidR="00B347E6" w:rsidRDefault="00B347E6" w:rsidP="00B347E6">
      <w:pPr>
        <w:pStyle w:val="Ruller41"/>
        <w:rPr>
          <w:rFonts w:ascii="Century" w:hAnsi="Century"/>
          <w:rtl/>
        </w:rPr>
      </w:pPr>
    </w:p>
    <w:p w:rsidR="00B347E6" w:rsidRDefault="00B347E6" w:rsidP="00374BCF">
      <w:pPr>
        <w:pStyle w:val="Ruller41"/>
        <w:rPr>
          <w:rFonts w:ascii="Century" w:hAnsi="Century"/>
          <w:rtl/>
        </w:rPr>
      </w:pPr>
      <w:r>
        <w:rPr>
          <w:rFonts w:ascii="Century" w:hAnsi="Century"/>
          <w:rtl/>
        </w:rPr>
        <w:tab/>
      </w:r>
      <w:r>
        <w:rPr>
          <w:rFonts w:ascii="Century" w:hAnsi="Century" w:hint="cs"/>
          <w:rtl/>
        </w:rPr>
        <w:t>מובן כי ככל שמדובר בפרסומים זהים בתוכנם שנעשו ברציפות באותו המדיום, הנטיה תהיה לראותם כשייכים לעילה אחת (דוגמה לכך היא קדימון ("</w:t>
      </w:r>
      <w:r w:rsidRPr="0020519F">
        <w:rPr>
          <w:rFonts w:ascii="Century" w:hAnsi="Century" w:hint="cs"/>
          <w:rtl/>
        </w:rPr>
        <w:t>פרומו</w:t>
      </w:r>
      <w:r>
        <w:rPr>
          <w:rFonts w:ascii="Century" w:hAnsi="Century" w:hint="cs"/>
          <w:rtl/>
        </w:rPr>
        <w:t>")</w:t>
      </w:r>
      <w:r w:rsidRPr="0020519F">
        <w:rPr>
          <w:rFonts w:ascii="Century" w:hAnsi="Century" w:hint="cs"/>
          <w:rtl/>
        </w:rPr>
        <w:t xml:space="preserve"> </w:t>
      </w:r>
      <w:r>
        <w:rPr>
          <w:rFonts w:ascii="Century" w:hAnsi="Century" w:hint="cs"/>
          <w:rtl/>
        </w:rPr>
        <w:t>של תכנית טלוויזיה המשודר במשך מספר ימים ברציפות, בדומה ל</w:t>
      </w:r>
      <w:r w:rsidRPr="0020519F">
        <w:rPr>
          <w:rFonts w:ascii="Century" w:hAnsi="Century" w:hint="cs"/>
          <w:rtl/>
        </w:rPr>
        <w:t xml:space="preserve">מקרה </w:t>
      </w:r>
      <w:r>
        <w:rPr>
          <w:rFonts w:ascii="Century" w:hAnsi="Century" w:hint="cs"/>
          <w:rtl/>
        </w:rPr>
        <w:t>ש</w:t>
      </w:r>
      <w:r w:rsidRPr="0020519F">
        <w:rPr>
          <w:rFonts w:ascii="Century" w:hAnsi="Century" w:hint="cs"/>
          <w:rtl/>
        </w:rPr>
        <w:t>נדון</w:t>
      </w:r>
      <w:r>
        <w:rPr>
          <w:rFonts w:ascii="Century" w:hAnsi="Century" w:hint="cs"/>
          <w:rtl/>
        </w:rPr>
        <w:t xml:space="preserve"> בפרשת סרן ר'</w:t>
      </w:r>
      <w:r w:rsidRPr="0020519F">
        <w:rPr>
          <w:rFonts w:ascii="Century" w:hAnsi="Century" w:hint="cs"/>
          <w:rtl/>
        </w:rPr>
        <w:t xml:space="preserve"> </w:t>
      </w:r>
      <w:r>
        <w:rPr>
          <w:rFonts w:ascii="Century" w:hAnsi="Century" w:hint="cs"/>
          <w:rtl/>
        </w:rPr>
        <w:t>ב</w:t>
      </w:r>
      <w:r w:rsidRPr="0020519F">
        <w:rPr>
          <w:rFonts w:ascii="Century" w:hAnsi="Century"/>
          <w:rtl/>
        </w:rPr>
        <w:t>ע</w:t>
      </w:r>
      <w:r>
        <w:rPr>
          <w:rFonts w:ascii="Century" w:hAnsi="Century" w:hint="cs"/>
          <w:rtl/>
        </w:rPr>
        <w:t xml:space="preserve">ניין </w:t>
      </w:r>
      <w:r w:rsidRPr="007E1E4C">
        <w:rPr>
          <w:rFonts w:ascii="Century" w:hAnsi="Century" w:cs="Miriam" w:hint="eastAsia"/>
          <w:b/>
          <w:spacing w:val="0"/>
          <w:szCs w:val="24"/>
          <w:rtl/>
        </w:rPr>
        <w:t>דיין</w:t>
      </w:r>
      <w:r>
        <w:rPr>
          <w:rFonts w:ascii="Century" w:hAnsi="Century" w:hint="cs"/>
          <w:rtl/>
        </w:rPr>
        <w:t xml:space="preserve"> </w:t>
      </w:r>
      <w:r w:rsidRPr="0020519F">
        <w:rPr>
          <w:rFonts w:ascii="Century" w:hAnsi="Century" w:hint="cs"/>
          <w:rtl/>
        </w:rPr>
        <w:t xml:space="preserve">(ראו שם בפסקה 125), ובהמשך בדנ"א </w:t>
      </w:r>
      <w:r w:rsidRPr="0020519F">
        <w:rPr>
          <w:rFonts w:ascii="Century" w:hAnsi="Century"/>
          <w:rtl/>
        </w:rPr>
        <w:t xml:space="preserve">2121/12 </w:t>
      </w:r>
      <w:r w:rsidRPr="0020519F">
        <w:rPr>
          <w:rFonts w:ascii="Century" w:hAnsi="Century" w:cs="Miriam"/>
          <w:b/>
          <w:spacing w:val="0"/>
          <w:szCs w:val="24"/>
          <w:rtl/>
        </w:rPr>
        <w:t>פלוני נ' דיין אור</w:t>
      </w:r>
      <w:r w:rsidRPr="009F364F">
        <w:rPr>
          <w:rFonts w:ascii="Century" w:hAnsi="Century" w:cs="Miriam"/>
          <w:b/>
          <w:spacing w:val="0"/>
          <w:szCs w:val="24"/>
          <w:rtl/>
        </w:rPr>
        <w:t>בך</w:t>
      </w:r>
      <w:r w:rsidRPr="009F364F">
        <w:rPr>
          <w:rFonts w:ascii="Century" w:hAnsi="Century"/>
          <w:rtl/>
        </w:rPr>
        <w:t>, פ</w:t>
      </w:r>
      <w:r w:rsidRPr="009F364F">
        <w:rPr>
          <w:rFonts w:ascii="Century" w:hAnsi="Century" w:hint="cs"/>
          <w:rtl/>
        </w:rPr>
        <w:t>"</w:t>
      </w:r>
      <w:r w:rsidRPr="009F364F">
        <w:rPr>
          <w:rFonts w:ascii="Century" w:hAnsi="Century"/>
          <w:rtl/>
        </w:rPr>
        <w:t>ד סז(1) 667</w:t>
      </w:r>
      <w:r w:rsidRPr="009F364F">
        <w:rPr>
          <w:rFonts w:ascii="Century" w:hAnsi="Century" w:hint="cs"/>
          <w:rtl/>
        </w:rPr>
        <w:t xml:space="preserve"> (2014)</w:t>
      </w:r>
      <w:r>
        <w:rPr>
          <w:rFonts w:ascii="Century" w:hAnsi="Century" w:hint="cs"/>
          <w:rtl/>
        </w:rPr>
        <w:t xml:space="preserve"> (להלן: </w:t>
      </w:r>
      <w:r w:rsidRPr="00CB3AE4">
        <w:rPr>
          <w:rFonts w:ascii="Century" w:hAnsi="Century" w:hint="cs"/>
          <w:rtl/>
        </w:rPr>
        <w:t>דנ"א</w:t>
      </w:r>
      <w:r w:rsidRPr="00CB3AE4">
        <w:rPr>
          <w:rFonts w:ascii="Century" w:hAnsi="Century" w:cs="Miriam" w:hint="cs"/>
          <w:b/>
          <w:spacing w:val="0"/>
          <w:szCs w:val="24"/>
          <w:rtl/>
        </w:rPr>
        <w:t xml:space="preserve"> דיין</w:t>
      </w:r>
      <w:r>
        <w:rPr>
          <w:rFonts w:ascii="Century" w:hAnsi="Century" w:hint="cs"/>
          <w:rtl/>
        </w:rPr>
        <w:t>)</w:t>
      </w:r>
      <w:r w:rsidRPr="009F364F">
        <w:rPr>
          <w:rFonts w:ascii="Century" w:hAnsi="Century" w:hint="cs"/>
          <w:rtl/>
        </w:rPr>
        <w:t>).</w:t>
      </w:r>
      <w:r>
        <w:rPr>
          <w:rFonts w:ascii="Century" w:hAnsi="Century" w:hint="cs"/>
          <w:rtl/>
        </w:rPr>
        <w:t xml:space="preserve"> </w:t>
      </w:r>
      <w:r w:rsidRPr="00885002">
        <w:rPr>
          <w:rFonts w:ascii="Century" w:hAnsi="Century" w:hint="cs"/>
          <w:rtl/>
        </w:rPr>
        <w:t>מנגד, ככ</w:t>
      </w:r>
      <w:r>
        <w:rPr>
          <w:rFonts w:ascii="Century" w:hAnsi="Century" w:hint="cs"/>
          <w:rtl/>
        </w:rPr>
        <w:t xml:space="preserve">ל שמשך הזמן שחלף בין הפרסומים ארוך יותר, ככל שקיים שוני בתוכנם של הפרסומים, וככל שמדובר בפרסומים שנעשו בפלטפורמות שונות </w:t>
      </w:r>
      <w:r w:rsidRPr="004B2179">
        <w:rPr>
          <w:rFonts w:ascii="Century" w:hAnsi="Century" w:hint="cs"/>
          <w:rtl/>
        </w:rPr>
        <w:t xml:space="preserve">ופנו לקהלים שונים </w:t>
      </w:r>
      <w:r w:rsidRPr="004B2179">
        <w:rPr>
          <w:rFonts w:ascii="Century" w:hAnsi="Century"/>
          <w:rtl/>
        </w:rPr>
        <w:t>–</w:t>
      </w:r>
      <w:r w:rsidRPr="004B2179">
        <w:rPr>
          <w:rFonts w:ascii="Century" w:hAnsi="Century" w:hint="cs"/>
          <w:rtl/>
        </w:rPr>
        <w:t xml:space="preserve"> כך תתחזק הנטייה לראות את הפרסומים השונים כמגבשים עילות תביעה נפרדות</w:t>
      </w:r>
      <w:r w:rsidR="00374BCF" w:rsidRPr="004B2179">
        <w:rPr>
          <w:rFonts w:ascii="Century" w:hAnsi="Century" w:hint="cs"/>
          <w:rtl/>
        </w:rPr>
        <w:t xml:space="preserve"> (ראו והשוו, מן העת האחרונה, רע"א 2855/20 </w:t>
      </w:r>
      <w:r w:rsidR="00374BCF" w:rsidRPr="004B2179">
        <w:rPr>
          <w:rFonts w:ascii="Century" w:hAnsi="Century" w:cs="Miriam" w:hint="eastAsia"/>
          <w:b/>
          <w:spacing w:val="0"/>
          <w:szCs w:val="24"/>
          <w:rtl/>
        </w:rPr>
        <w:t>פלונית</w:t>
      </w:r>
      <w:r w:rsidR="00374BCF" w:rsidRPr="004B2179">
        <w:rPr>
          <w:rFonts w:ascii="Century" w:hAnsi="Century" w:cs="Miriam"/>
          <w:b/>
          <w:spacing w:val="0"/>
          <w:szCs w:val="24"/>
          <w:rtl/>
        </w:rPr>
        <w:t xml:space="preserve"> </w:t>
      </w:r>
      <w:r w:rsidR="00374BCF" w:rsidRPr="004B2179">
        <w:rPr>
          <w:rFonts w:ascii="Century" w:hAnsi="Century" w:cs="Miriam" w:hint="eastAsia"/>
          <w:b/>
          <w:spacing w:val="0"/>
          <w:szCs w:val="24"/>
          <w:rtl/>
        </w:rPr>
        <w:t>נ</w:t>
      </w:r>
      <w:r w:rsidR="00374BCF" w:rsidRPr="004B2179">
        <w:rPr>
          <w:rFonts w:ascii="Century" w:hAnsi="Century" w:cs="Miriam"/>
          <w:b/>
          <w:spacing w:val="0"/>
          <w:szCs w:val="24"/>
          <w:rtl/>
        </w:rPr>
        <w:t xml:space="preserve">' </w:t>
      </w:r>
      <w:r w:rsidR="00374BCF" w:rsidRPr="004B2179">
        <w:rPr>
          <w:rFonts w:ascii="Century" w:hAnsi="Century" w:cs="Miriam" w:hint="eastAsia"/>
          <w:b/>
          <w:spacing w:val="0"/>
          <w:szCs w:val="24"/>
          <w:rtl/>
        </w:rPr>
        <w:t>פלוני</w:t>
      </w:r>
      <w:r w:rsidR="00374BCF" w:rsidRPr="004B2179">
        <w:rPr>
          <w:rFonts w:ascii="Century" w:hAnsi="Century" w:hint="cs"/>
          <w:rtl/>
        </w:rPr>
        <w:t xml:space="preserve">, פסקאות 82-80 (6.10.2022) (להלן: עניין </w:t>
      </w:r>
      <w:r w:rsidR="00374BCF" w:rsidRPr="004B2179">
        <w:rPr>
          <w:rFonts w:ascii="Century" w:hAnsi="Century" w:cs="Miriam" w:hint="eastAsia"/>
          <w:b/>
          <w:spacing w:val="0"/>
          <w:szCs w:val="24"/>
          <w:rtl/>
        </w:rPr>
        <w:t>פלונית</w:t>
      </w:r>
      <w:r w:rsidR="00374BCF" w:rsidRPr="004B2179">
        <w:rPr>
          <w:rFonts w:ascii="Century" w:hAnsi="Century" w:hint="cs"/>
          <w:rtl/>
        </w:rPr>
        <w:t>), שם נסב הדיון על פרשנות המונח "אותה לשון הרע" שבסעיף 7א לחוק, שעניינו בפסיקת פיצויים ללא הוכחת נזק בגין פרסום לשון הרע)</w:t>
      </w:r>
      <w:r w:rsidRPr="004B2179">
        <w:rPr>
          <w:rFonts w:ascii="Century" w:hAnsi="Century" w:hint="cs"/>
          <w:rtl/>
        </w:rPr>
        <w:t>. מטבע הדברים, ככל שהפרמטרים השונים מושכים לכיוונים מנוגדים, כך הופכת ההכרעה למורכבת יותר.</w:t>
      </w:r>
      <w:r>
        <w:rPr>
          <w:rFonts w:ascii="Century" w:hAnsi="Century" w:hint="cs"/>
          <w:rtl/>
        </w:rPr>
        <w:t xml:space="preserve">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52</w:t>
      </w:r>
      <w:r w:rsidR="00B347E6">
        <w:rPr>
          <w:rFonts w:ascii="Century" w:hAnsi="Century" w:hint="cs"/>
          <w:rtl/>
        </w:rPr>
        <w:t>.</w:t>
      </w:r>
      <w:r w:rsidR="00B347E6">
        <w:rPr>
          <w:rFonts w:ascii="Century" w:hAnsi="Century" w:hint="cs"/>
          <w:rtl/>
        </w:rPr>
        <w:tab/>
        <w:t xml:space="preserve">בחינת נסיבותיו של המקרה שלפנינו באספקלריה של האמור לעיל, מובילה למסקנה כי  תביעתו של המשיב היא תביעה עצמאית העומדת על רגליה שלה. לפי התשתית העובדתית שנקבעה בפסק דינו של בית המשפט המחוזי, אמנם היה רצף של הקרנות של סרטו של המערער בתקופה שבסמוך לאחר הקרנתו הראשונה בשנת 2002. ברם, בהמשך דעך היקף ההקרנות עד כדי הקרנות בודדות מעת לעת, ולא הוצגה "ולו ראייה בודדת" באשר לרציפות ההקרנות (פסקאות 103, 107 לפסק הדין). בנסיבות אלו, דומני כי על פי כל אמת מידה, אין לכרוך תחת אותה עילה את ההקרנות מושא התביעה שבוצעו בשנים 2012-2010 עם ההקרנות שנערכו </w:t>
      </w:r>
      <w:r w:rsidR="00B347E6" w:rsidRPr="005D7F94">
        <w:rPr>
          <w:rFonts w:ascii="Century" w:hAnsi="Century" w:cs="Miriam" w:hint="cs"/>
          <w:b/>
          <w:spacing w:val="0"/>
          <w:szCs w:val="24"/>
          <w:rtl/>
        </w:rPr>
        <w:t>מספר שנים</w:t>
      </w:r>
      <w:r w:rsidR="00B347E6">
        <w:rPr>
          <w:rFonts w:ascii="Century" w:hAnsi="Century" w:hint="cs"/>
          <w:rtl/>
        </w:rPr>
        <w:t xml:space="preserve"> קודם לכן. </w:t>
      </w:r>
    </w:p>
    <w:p w:rsidR="00B347E6" w:rsidRDefault="00B347E6" w:rsidP="00B347E6">
      <w:pPr>
        <w:pStyle w:val="Ruller41"/>
        <w:rPr>
          <w:rFonts w:ascii="Century" w:hAnsi="Century"/>
          <w:rtl/>
        </w:rPr>
      </w:pPr>
    </w:p>
    <w:p w:rsidR="00B347E6" w:rsidRDefault="00B347E6" w:rsidP="00B347E6">
      <w:pPr>
        <w:pStyle w:val="Ruller41"/>
        <w:rPr>
          <w:rFonts w:ascii="Century" w:hAnsi="Century"/>
        </w:rPr>
      </w:pPr>
      <w:r>
        <w:rPr>
          <w:rFonts w:ascii="Century" w:hAnsi="Century"/>
          <w:rtl/>
        </w:rPr>
        <w:tab/>
      </w:r>
      <w:r>
        <w:rPr>
          <w:rFonts w:ascii="Century" w:hAnsi="Century" w:hint="cs"/>
          <w:rtl/>
        </w:rPr>
        <w:t xml:space="preserve">אדגים את הדברים בעזרת דוגמה הלקוחה מתחום קרוב </w:t>
      </w:r>
      <w:r>
        <w:rPr>
          <w:rFonts w:ascii="Century" w:hAnsi="Century"/>
          <w:rtl/>
        </w:rPr>
        <w:t>–</w:t>
      </w:r>
      <w:r>
        <w:rPr>
          <w:rFonts w:ascii="Century" w:hAnsi="Century" w:hint="cs"/>
          <w:rtl/>
        </w:rPr>
        <w:t xml:space="preserve"> דיני הגנת הפרטיות. טול דוגמה שבה פלוני מפיץ צילומי עירום של אלמונית, באופן הנכנס בבירור תחת "פגיעה בפרטיות" לפי סעיף 2 לחוק הגנת הפרטיות, התשמ"א-1981 </w:t>
      </w:r>
      <w:r w:rsidRPr="009F364F">
        <w:rPr>
          <w:rFonts w:ascii="Century" w:hAnsi="Century" w:hint="cs"/>
          <w:rtl/>
        </w:rPr>
        <w:t xml:space="preserve">(להלן: </w:t>
      </w:r>
      <w:r w:rsidRPr="009F364F">
        <w:rPr>
          <w:rFonts w:ascii="Century" w:hAnsi="Century" w:cs="Miriam" w:hint="cs"/>
          <w:b/>
          <w:spacing w:val="0"/>
          <w:szCs w:val="24"/>
          <w:rtl/>
        </w:rPr>
        <w:t>חוק הגנת הפרטיות</w:t>
      </w:r>
      <w:r w:rsidRPr="009F364F">
        <w:rPr>
          <w:rFonts w:ascii="Century" w:hAnsi="Century" w:hint="cs"/>
          <w:rtl/>
        </w:rPr>
        <w:t>). כעבור עשר שנים, שב פלוני ומפיץ את אותן תמונות ממש. ב</w:t>
      </w:r>
      <w:r>
        <w:rPr>
          <w:rFonts w:ascii="Century" w:hAnsi="Century" w:hint="cs"/>
          <w:rtl/>
        </w:rPr>
        <w:t xml:space="preserve">נסיבות אלו, ברי כי אין בזהות התמונות שהופצו כדי לשלול לידתה של עילת תביעה חדשה, וקשה להלום קביעה שלפיה תביעתה של אלמונית בגין הפרסום החוזר תתיישן (על הקירבה בין פגיעה בפרטיות לפגיעה בשמו הטוב של אדם, ראו הפרשה שנדונה בע"א 8954/11 </w:t>
      </w:r>
      <w:r w:rsidRPr="00284D7A">
        <w:rPr>
          <w:rFonts w:ascii="Century" w:hAnsi="Century" w:cs="Miriam" w:hint="cs"/>
          <w:b/>
          <w:spacing w:val="0"/>
          <w:szCs w:val="24"/>
          <w:rtl/>
        </w:rPr>
        <w:t>פלוני נ' פלונית</w:t>
      </w:r>
      <w:r>
        <w:rPr>
          <w:rFonts w:ascii="Century" w:hAnsi="Century" w:hint="cs"/>
          <w:rtl/>
        </w:rPr>
        <w:t xml:space="preserve"> (24.4.2014) </w:t>
      </w:r>
      <w:r w:rsidRPr="009F364F">
        <w:rPr>
          <w:rFonts w:ascii="Century" w:hAnsi="Century" w:hint="cs"/>
          <w:rtl/>
        </w:rPr>
        <w:t xml:space="preserve">(להלן: עניין </w:t>
      </w:r>
      <w:r w:rsidRPr="009F364F">
        <w:rPr>
          <w:rFonts w:ascii="Century" w:hAnsi="Century" w:cs="Miriam" w:hint="cs"/>
          <w:b/>
          <w:spacing w:val="0"/>
          <w:szCs w:val="24"/>
          <w:rtl/>
        </w:rPr>
        <w:t>פלוני</w:t>
      </w:r>
      <w:r w:rsidRPr="009F364F">
        <w:rPr>
          <w:rFonts w:ascii="Century" w:hAnsi="Century" w:hint="cs"/>
          <w:rtl/>
        </w:rPr>
        <w:t>); עוד על היחס שבין הגנה על ערך הפרטיו</w:t>
      </w:r>
      <w:r>
        <w:rPr>
          <w:rFonts w:ascii="Century" w:hAnsi="Century" w:hint="cs"/>
          <w:rtl/>
        </w:rPr>
        <w:t xml:space="preserve">ת לבין חוק איסור לשון הרע, ראו בהרחבה אצל תמר גדרון "פרסום מידע פרטי: בחינה יישומית של הזכות לפרטיות במבט השוואתי" </w:t>
      </w:r>
      <w:r w:rsidRPr="008D3FCF">
        <w:rPr>
          <w:rFonts w:ascii="Century" w:hAnsi="Century" w:cs="Miriam" w:hint="cs"/>
          <w:b/>
          <w:spacing w:val="0"/>
          <w:szCs w:val="24"/>
          <w:rtl/>
        </w:rPr>
        <w:t>עלי משפט</w:t>
      </w:r>
      <w:r w:rsidRPr="008D3FCF">
        <w:rPr>
          <w:rFonts w:ascii="Century" w:hAnsi="Century" w:hint="cs"/>
          <w:rtl/>
        </w:rPr>
        <w:t xml:space="preserve"> </w:t>
      </w:r>
      <w:r>
        <w:rPr>
          <w:rFonts w:ascii="Century" w:hAnsi="Century" w:hint="cs"/>
          <w:rtl/>
        </w:rPr>
        <w:t xml:space="preserve">ח 133, 214-188 (2010); כן ראו </w:t>
      </w:r>
      <w:r w:rsidRPr="00FE4FDC">
        <w:rPr>
          <w:rFonts w:ascii="Century" w:hAnsi="Century" w:cs="Miriam" w:hint="cs"/>
          <w:b/>
          <w:spacing w:val="0"/>
          <w:szCs w:val="24"/>
          <w:rtl/>
        </w:rPr>
        <w:t>גנאים, קרמניצר ושנור</w:t>
      </w:r>
      <w:r>
        <w:rPr>
          <w:rFonts w:ascii="Century" w:hAnsi="Century" w:hint="cs"/>
          <w:rtl/>
        </w:rPr>
        <w:t xml:space="preserve">, עמ' 43-39). בדומה, אם ראובן הסיג את גבולו של שמעון, וכעבור מספר שנים שב והסיג את גבולו באותו האופן, ברי כי שתי הסגות הגבול מקימות עילות נפרדות. בדוגמאות מעין אלה, הפרמטר של חלוף הזמן הוא בעל משקל כה רב, עד שיש בו כדי לשלול את האפשרות לסווג את המעשה (הפצת התמונות או הסגת הגבול) כחלק מעוולה נמשכת שתחילתה עשר שנים קודם לכן. </w:t>
      </w:r>
    </w:p>
    <w:p w:rsidR="00B347E6" w:rsidRDefault="00B347E6" w:rsidP="00B347E6">
      <w:pPr>
        <w:pStyle w:val="Ruller41"/>
        <w:rPr>
          <w:rFonts w:ascii="Century" w:hAnsi="Century"/>
        </w:rPr>
      </w:pPr>
    </w:p>
    <w:p w:rsidR="00B347E6" w:rsidRDefault="00B347E6" w:rsidP="00374BCF">
      <w:pPr>
        <w:pStyle w:val="Ruller41"/>
        <w:rPr>
          <w:rFonts w:ascii="Century" w:hAnsi="Century"/>
        </w:rPr>
      </w:pPr>
      <w:r>
        <w:rPr>
          <w:rFonts w:ascii="Century" w:hAnsi="Century"/>
        </w:rPr>
        <w:tab/>
      </w:r>
      <w:r>
        <w:rPr>
          <w:rFonts w:ascii="Century" w:hAnsi="Century" w:hint="cs"/>
          <w:rtl/>
        </w:rPr>
        <w:t xml:space="preserve">כך גם בענייננו. בשונה ממצב שבו סרט מוקרן באופן רציף (כגון הצגה יומית או שבועית), כאשר חלפו </w:t>
      </w:r>
      <w:r w:rsidRPr="00171F7E">
        <w:rPr>
          <w:rFonts w:ascii="Century" w:hAnsi="Century" w:cs="Miriam" w:hint="cs"/>
          <w:b/>
          <w:spacing w:val="0"/>
          <w:szCs w:val="24"/>
          <w:rtl/>
        </w:rPr>
        <w:t>שנים</w:t>
      </w:r>
      <w:r>
        <w:rPr>
          <w:rFonts w:ascii="Century" w:hAnsi="Century" w:hint="cs"/>
          <w:rtl/>
        </w:rPr>
        <w:t xml:space="preserve"> בין הקרנה להקרנה, תנאי הרציפות כלל לא מתקיים ואין בסיס לטענה כי מדובר בחלק </w:t>
      </w:r>
      <w:r w:rsidRPr="001154E9">
        <w:rPr>
          <w:rFonts w:ascii="Century" w:hAnsi="Century" w:hint="cs"/>
          <w:rtl/>
        </w:rPr>
        <w:t xml:space="preserve">מעוולה </w:t>
      </w:r>
      <w:r w:rsidRPr="004B2179">
        <w:rPr>
          <w:rFonts w:ascii="Century" w:hAnsi="Century" w:hint="cs"/>
          <w:rtl/>
        </w:rPr>
        <w:t>נמשכת</w:t>
      </w:r>
      <w:r w:rsidR="00374BCF" w:rsidRPr="004B2179">
        <w:rPr>
          <w:rFonts w:ascii="Century" w:hAnsi="Century" w:hint="cs"/>
          <w:rtl/>
        </w:rPr>
        <w:t xml:space="preserve"> (השוו לעניין </w:t>
      </w:r>
      <w:r w:rsidR="00374BCF" w:rsidRPr="004B2179">
        <w:rPr>
          <w:rFonts w:ascii="Century" w:hAnsi="Century" w:cs="Miriam" w:hint="eastAsia"/>
          <w:b/>
          <w:spacing w:val="0"/>
          <w:szCs w:val="24"/>
          <w:rtl/>
        </w:rPr>
        <w:t>פלונית</w:t>
      </w:r>
      <w:r w:rsidR="00374BCF" w:rsidRPr="004B2179">
        <w:rPr>
          <w:rFonts w:ascii="Century" w:hAnsi="Century" w:hint="cs"/>
          <w:rtl/>
        </w:rPr>
        <w:t xml:space="preserve">, שם חלפה </w:t>
      </w:r>
      <w:r w:rsidR="00374BCF" w:rsidRPr="004B2179">
        <w:rPr>
          <w:rFonts w:ascii="Century" w:hAnsi="Century" w:cs="Miriam" w:hint="eastAsia"/>
          <w:b/>
          <w:spacing w:val="0"/>
          <w:szCs w:val="24"/>
          <w:rtl/>
        </w:rPr>
        <w:t>כשנה</w:t>
      </w:r>
      <w:r w:rsidR="00374BCF" w:rsidRPr="004B2179">
        <w:rPr>
          <w:rFonts w:ascii="Century" w:hAnsi="Century" w:hint="cs"/>
          <w:rtl/>
        </w:rPr>
        <w:t xml:space="preserve"> בין הפרסום הראשון לשני, ונקבע כי אין מדובר ב"אותה לשון הרע" לצורך פסיקת פיצוי מכוח סעיף 7א לחוק (שם בפסקאות 81, 91 לפסק דינו של השופט </w:t>
      </w:r>
      <w:r w:rsidR="00374BCF" w:rsidRPr="004B2179">
        <w:rPr>
          <w:rFonts w:ascii="Century" w:hAnsi="Century" w:cs="Miriam" w:hint="eastAsia"/>
          <w:b/>
          <w:spacing w:val="0"/>
          <w:szCs w:val="24"/>
          <w:rtl/>
        </w:rPr>
        <w:t>סולברג</w:t>
      </w:r>
      <w:r w:rsidR="00374BCF" w:rsidRPr="004B2179">
        <w:rPr>
          <w:rFonts w:ascii="Century" w:hAnsi="Century" w:hint="cs"/>
          <w:rtl/>
        </w:rPr>
        <w:t xml:space="preserve">; פסקאות 25, 41 לפסק דינה של השופטת </w:t>
      </w:r>
      <w:r w:rsidR="00374BCF" w:rsidRPr="004B2179">
        <w:rPr>
          <w:rFonts w:ascii="Century" w:hAnsi="Century" w:cs="Miriam" w:hint="eastAsia"/>
          <w:b/>
          <w:spacing w:val="0"/>
          <w:szCs w:val="24"/>
          <w:rtl/>
        </w:rPr>
        <w:t>ברק</w:t>
      </w:r>
      <w:r w:rsidR="00374BCF" w:rsidRPr="004B2179">
        <w:rPr>
          <w:rFonts w:ascii="Century" w:hAnsi="Century" w:cs="Miriam"/>
          <w:b/>
          <w:spacing w:val="0"/>
          <w:szCs w:val="24"/>
          <w:rtl/>
        </w:rPr>
        <w:t>-</w:t>
      </w:r>
      <w:r w:rsidR="00374BCF" w:rsidRPr="004B2179">
        <w:rPr>
          <w:rFonts w:ascii="Century" w:hAnsi="Century" w:cs="Miriam" w:hint="eastAsia"/>
          <w:b/>
          <w:spacing w:val="0"/>
          <w:szCs w:val="24"/>
          <w:rtl/>
        </w:rPr>
        <w:t>ארז</w:t>
      </w:r>
      <w:r w:rsidR="00374BCF" w:rsidRPr="004B2179">
        <w:rPr>
          <w:rFonts w:ascii="Century" w:hAnsi="Century" w:hint="cs"/>
          <w:rtl/>
        </w:rPr>
        <w:t>))</w:t>
      </w:r>
      <w:r w:rsidRPr="004B2179">
        <w:rPr>
          <w:rFonts w:ascii="Century" w:hAnsi="Century" w:hint="cs"/>
          <w:rtl/>
        </w:rPr>
        <w:t>. אכן</w:t>
      </w:r>
      <w:r w:rsidRPr="001154E9">
        <w:rPr>
          <w:rFonts w:ascii="Century" w:hAnsi="Century" w:hint="cs"/>
          <w:rtl/>
        </w:rPr>
        <w:t>, תוצאה זו מתחייבת על פי השכל הישר, שהרי קשה להלום כי ביצוע עוולה פעם אחת, יקנה למעוול "רישיון" לשוב ולבצעה כעבור מספר שנים ולהסתתר מאחורי טענת התיישנות. ברי כי לא לשם כך נועדו דיני ההתיישנות.</w:t>
      </w:r>
      <w:r w:rsidRPr="001154E9">
        <w:rPr>
          <w:rFonts w:ascii="Century" w:hAnsi="Century"/>
        </w:rPr>
        <w:t xml:space="preserve"> </w:t>
      </w:r>
      <w:r w:rsidRPr="001154E9">
        <w:rPr>
          <w:rFonts w:ascii="Century" w:hAnsi="Century" w:hint="cs"/>
          <w:rtl/>
        </w:rPr>
        <w:t>די בכך כדי לדחות את טענת המערער כי עילת תביעתו של המשיב נולדה בשנת 2002 והתיישנה בשנת 2009.</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53</w:t>
      </w:r>
      <w:r w:rsidR="00B347E6">
        <w:rPr>
          <w:rFonts w:ascii="Century" w:hAnsi="Century" w:hint="cs"/>
          <w:rtl/>
        </w:rPr>
        <w:t>.</w:t>
      </w:r>
      <w:r w:rsidR="00B347E6">
        <w:rPr>
          <w:rFonts w:ascii="Century" w:hAnsi="Century"/>
          <w:rtl/>
        </w:rPr>
        <w:tab/>
      </w:r>
      <w:r w:rsidR="00B347E6">
        <w:rPr>
          <w:rFonts w:ascii="Century" w:hAnsi="Century" w:hint="cs"/>
          <w:rtl/>
        </w:rPr>
        <w:t xml:space="preserve">זאת ועוד. ברוח הערתו של בית המשפט המחוזי, אף אילו היה מקום להשקיף על כלל ההקרנות כעל כרוכות זו בזו כך שהתביעה מושא הערעור דנן היתה בגדר "תביעה חוזרת", לא היה בכך כדי לשנות מהתוצאה. ראשית, בהתאם לשלב הראשון במודל שהוצג לעיל, ברי כי אין מדובר בתביעות החוסות כולן תחת עילה אחת מצומצמת שנולדה בשנת 2002, שהרי אין מדובר בתביעות הצומחות בעקבות אירוע חד פעמי, אלא בתביעות בגין אירועים נפרדים שהתרחשו בפער זמנים של מספר שנים. בהמשך לכך, בהתאם לשלב השני, אם נראה בפרסומים השונים משום עילה </w:t>
      </w:r>
      <w:r w:rsidR="00B347E6" w:rsidRPr="006344FB">
        <w:rPr>
          <w:rFonts w:ascii="Century" w:hAnsi="Century" w:cs="Miriam" w:hint="cs"/>
          <w:b/>
          <w:spacing w:val="0"/>
          <w:szCs w:val="24"/>
          <w:rtl/>
        </w:rPr>
        <w:t>מתחדשת</w:t>
      </w:r>
      <w:r w:rsidR="00B347E6">
        <w:rPr>
          <w:rFonts w:ascii="Century" w:hAnsi="Century" w:hint="cs"/>
          <w:rtl/>
        </w:rPr>
        <w:t xml:space="preserve">, אזי התביעה בגין ההקרנות המאוחרות עומדת בפני עצמה ומתיישנת רק בחלוף שבע שנים; ואם נראה בפרסומים השונים משום עילה </w:t>
      </w:r>
      <w:r w:rsidR="00B347E6" w:rsidRPr="006344FB">
        <w:rPr>
          <w:rFonts w:ascii="Century" w:hAnsi="Century" w:cs="Miriam" w:hint="cs"/>
          <w:b/>
          <w:spacing w:val="0"/>
          <w:szCs w:val="24"/>
          <w:rtl/>
        </w:rPr>
        <w:t>מתארכת</w:t>
      </w:r>
      <w:r w:rsidR="00B347E6">
        <w:rPr>
          <w:rFonts w:ascii="Century" w:hAnsi="Century" w:hint="cs"/>
          <w:rtl/>
        </w:rPr>
        <w:t xml:space="preserve">, אזי בהתאם לשלב השלישי, יש לבצע "דחיסה לפנים" בהתאם להוראת סעיף 89(1) לפקודת הנזיקין (ראו גם תמר גדרון "מפת תיירות הדיבה העולמית ודיני לשון הרע בישראל" </w:t>
      </w:r>
      <w:r w:rsidR="00B347E6" w:rsidRPr="002D4C51">
        <w:rPr>
          <w:rFonts w:ascii="Century" w:hAnsi="Century" w:cs="Miriam" w:hint="cs"/>
          <w:b/>
          <w:spacing w:val="0"/>
          <w:szCs w:val="24"/>
          <w:rtl/>
        </w:rPr>
        <w:t>המשפט</w:t>
      </w:r>
      <w:r w:rsidR="00B347E6">
        <w:rPr>
          <w:rFonts w:ascii="Century" w:hAnsi="Century" w:hint="cs"/>
          <w:rtl/>
        </w:rPr>
        <w:t xml:space="preserve"> טו 385, 462 ה"ש 295 (2010)). יוצא, שבין כך ובין כך, תביעתו של המשיב שהוגשה בתוך תקופת שבע השנים </w:t>
      </w:r>
      <w:r w:rsidR="00B347E6">
        <w:rPr>
          <w:rFonts w:ascii="Century" w:hAnsi="Century"/>
          <w:rtl/>
        </w:rPr>
        <w:t>–</w:t>
      </w:r>
      <w:r w:rsidR="00B347E6">
        <w:rPr>
          <w:rFonts w:ascii="Century" w:hAnsi="Century" w:hint="cs"/>
          <w:rtl/>
        </w:rPr>
        <w:t xml:space="preserve"> לא התיישנה.</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54</w:t>
      </w:r>
      <w:r w:rsidR="00B347E6">
        <w:rPr>
          <w:rFonts w:ascii="Century" w:hAnsi="Century" w:hint="cs"/>
          <w:rtl/>
        </w:rPr>
        <w:t>.</w:t>
      </w:r>
      <w:r w:rsidR="00B347E6">
        <w:rPr>
          <w:rFonts w:ascii="Century" w:hAnsi="Century" w:hint="cs"/>
          <w:rtl/>
        </w:rPr>
        <w:tab/>
        <w:t>הנה כי כן, יש להבחין בין הקרנת הסרט בראשית דרכו בשנת 2002 ובסמוך לכך, לבין ארבע ההקרנות מושא התביעה שנערכו בשנים 2012-2010 בסינמטק ובמוסדות הנוספים. הקרנות אלו הקימו למשיב עילת תביעה נפרדת, ומשעה שתביעתו הוגשה בשנת 2016, בטרם חלפו שבע שנים ממועד לידת עילת התביעה, הרי שתביעתו זו לא התיישנה.</w:t>
      </w:r>
    </w:p>
    <w:p w:rsidR="00B347E6" w:rsidRDefault="00B347E6" w:rsidP="00B347E6">
      <w:pPr>
        <w:pStyle w:val="Ruller41"/>
        <w:rPr>
          <w:rFonts w:ascii="Century" w:hAnsi="Century"/>
          <w:rtl/>
        </w:rPr>
      </w:pPr>
    </w:p>
    <w:p w:rsidR="00B347E6" w:rsidRPr="00CA2D16" w:rsidRDefault="00B347E6" w:rsidP="00B347E6">
      <w:pPr>
        <w:pStyle w:val="Ruller41"/>
        <w:rPr>
          <w:rFonts w:ascii="Century" w:hAnsi="Century" w:cs="Miriam"/>
          <w:b/>
          <w:spacing w:val="0"/>
          <w:szCs w:val="24"/>
          <w:rtl/>
        </w:rPr>
      </w:pPr>
      <w:r w:rsidRPr="00CA2D16">
        <w:rPr>
          <w:rFonts w:ascii="Century" w:hAnsi="Century" w:cs="Miriam" w:hint="cs"/>
          <w:b/>
          <w:spacing w:val="0"/>
          <w:szCs w:val="24"/>
          <w:rtl/>
        </w:rPr>
        <w:t>העלאת הסרט לאתר</w:t>
      </w:r>
      <w:r w:rsidRPr="00CA2D16">
        <w:rPr>
          <w:rFonts w:ascii="Century" w:hAnsi="Century" w:cs="Miriam" w:hint="cs"/>
          <w:bCs/>
          <w:spacing w:val="0"/>
          <w:szCs w:val="24"/>
          <w:rtl/>
        </w:rPr>
        <w:t xml:space="preserve"> </w:t>
      </w:r>
      <w:r w:rsidRPr="00CA2D16">
        <w:rPr>
          <w:rFonts w:ascii="Century" w:hAnsi="Century" w:cs="Miriam"/>
          <w:bCs/>
          <w:spacing w:val="0"/>
          <w:szCs w:val="24"/>
        </w:rPr>
        <w:t>YouTube</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55</w:t>
      </w:r>
      <w:r w:rsidR="00B347E6">
        <w:rPr>
          <w:rFonts w:ascii="Century" w:hAnsi="Century" w:hint="cs"/>
          <w:rtl/>
        </w:rPr>
        <w:t>.</w:t>
      </w:r>
      <w:r w:rsidR="00B347E6">
        <w:rPr>
          <w:rFonts w:ascii="Century" w:hAnsi="Century" w:hint="cs"/>
          <w:rtl/>
        </w:rPr>
        <w:tab/>
        <w:t xml:space="preserve">אין חולק כי פרסום תוכן במרשתת מהווה "פרסום" לצורך חוק איסור לשון הרע. נקודת מוצא זו ברורה מאליה ואינה בגדר חידוש, ואפנה לדבריי </w:t>
      </w:r>
      <w:r w:rsidR="00B347E6" w:rsidRPr="004563E4">
        <w:rPr>
          <w:rFonts w:ascii="Century" w:hAnsi="Century" w:hint="cs"/>
          <w:rtl/>
        </w:rPr>
        <w:t>ב</w:t>
      </w:r>
      <w:hyperlink w:history="1">
        <w:r w:rsidR="00B347E6" w:rsidRPr="004563E4">
          <w:rPr>
            <w:rFonts w:ascii="Century" w:hAnsi="Century"/>
            <w:rtl/>
          </w:rPr>
          <w:t>רע"א 1688/18</w:t>
        </w:r>
      </w:hyperlink>
      <w:r w:rsidR="00B347E6" w:rsidRPr="004563E4">
        <w:rPr>
          <w:rFonts w:ascii="Century" w:hAnsi="Century" w:hint="cs"/>
          <w:rtl/>
        </w:rPr>
        <w:t xml:space="preserve"> </w:t>
      </w:r>
      <w:r w:rsidR="00B347E6" w:rsidRPr="004563E4">
        <w:rPr>
          <w:rFonts w:ascii="Century" w:hAnsi="Century" w:cs="Miriam" w:hint="cs"/>
          <w:b/>
          <w:spacing w:val="0"/>
          <w:szCs w:val="24"/>
          <w:rtl/>
        </w:rPr>
        <w:t>סרנה נ' נתניהו</w:t>
      </w:r>
      <w:r w:rsidR="00B347E6" w:rsidRPr="004563E4">
        <w:rPr>
          <w:rFonts w:ascii="Century" w:hAnsi="Century" w:hint="cs"/>
          <w:rtl/>
        </w:rPr>
        <w:t xml:space="preserve"> (15.4.2018)</w:t>
      </w:r>
      <w:r w:rsidR="00B347E6">
        <w:rPr>
          <w:rFonts w:ascii="Century" w:hAnsi="Century" w:hint="cs"/>
          <w:rtl/>
        </w:rPr>
        <w:t>, שם ציינתי כי הפסיקה הרווחת מכפיפה פרסומים במרשתת לאיסורי לשון הרע. עוד התייחסתי באותה פרשה לתחולתם של דיני לשון הרע על פרסומים ברשת החברתית "פייסבוק":</w:t>
      </w:r>
    </w:p>
    <w:p w:rsidR="00B347E6" w:rsidRDefault="00B347E6" w:rsidP="00B347E6">
      <w:pPr>
        <w:pStyle w:val="Ruller41"/>
        <w:rPr>
          <w:rFonts w:ascii="Century" w:hAnsi="Century"/>
          <w:rtl/>
        </w:rPr>
      </w:pPr>
    </w:p>
    <w:p w:rsidR="00B347E6" w:rsidRDefault="00B347E6" w:rsidP="00B347E6">
      <w:pPr>
        <w:pStyle w:val="Ruller5"/>
        <w:rPr>
          <w:rFonts w:ascii="Century" w:hAnsi="Century"/>
          <w:rtl/>
        </w:rPr>
      </w:pPr>
      <w:r>
        <w:rPr>
          <w:rFonts w:hint="cs"/>
          <w:rtl/>
        </w:rPr>
        <w:t xml:space="preserve">"[...] </w:t>
      </w:r>
      <w:r w:rsidRPr="00027C72">
        <w:rPr>
          <w:rtl/>
        </w:rPr>
        <w:t>מתן חסינות לפרסום בפייסבוק מפני איסור לשון הרע, משקפת גישה רומנטית</w:t>
      </w:r>
      <w:r>
        <w:rPr>
          <w:rFonts w:hint="cs"/>
          <w:rtl/>
        </w:rPr>
        <w:t>-</w:t>
      </w:r>
      <w:r w:rsidRPr="00027C72">
        <w:rPr>
          <w:rtl/>
        </w:rPr>
        <w:t xml:space="preserve">משהו כלפי כיכר השוק הוירטואלית על ההמולה השוררת בה, ריחותיה וצבעיה. קבלת גישתו של בא כוח המבקש לגבי זירת הפייסבוק משמעה התרה מוחלטת של הרסן, ובמקום שכיכר השוק תוצף באלף פרחים של חופש הביטוי, עלול דווקא הניחוח הכבד של מי השופכין שעלו על גדותיהם להשתלט על השיח. איסור לשון הרע, על מכלול החסינויות וההגנות שבו, תוך יישומו המושכל והתאמתו לעידן המודרני – כולל ההתחשבות בטיב הפרסום ובזירת הפרסום בבחינת </w:t>
      </w:r>
      <w:r>
        <w:rPr>
          <w:rFonts w:hint="cs"/>
          <w:rtl/>
        </w:rPr>
        <w:t>'</w:t>
      </w:r>
      <w:r w:rsidRPr="00027C72">
        <w:rPr>
          <w:rtl/>
        </w:rPr>
        <w:t>המדיום הוא המסר</w:t>
      </w:r>
      <w:r>
        <w:rPr>
          <w:rFonts w:hint="cs"/>
          <w:rtl/>
        </w:rPr>
        <w:t>'</w:t>
      </w:r>
      <w:r w:rsidRPr="00027C72">
        <w:rPr>
          <w:rtl/>
        </w:rPr>
        <w:t xml:space="preserve"> – יש בו כדי לאזן בין מוכרי הפרחים בכיכר השוק לבין אחרים, שמרכולתם גסה ודברי הבלע והכזב שלהם מבקשים למלא את החלל</w:t>
      </w:r>
      <w:r>
        <w:rPr>
          <w:rFonts w:hint="cs"/>
          <w:rtl/>
        </w:rPr>
        <w:t>" (שם, פסקה 4).</w:t>
      </w:r>
    </w:p>
    <w:p w:rsidR="00B347E6" w:rsidRDefault="00B347E6" w:rsidP="00B347E6">
      <w:pPr>
        <w:pStyle w:val="Ruller5"/>
        <w:rPr>
          <w:rFonts w:ascii="Century" w:hAnsi="Century"/>
          <w:rtl/>
        </w:rPr>
      </w:pPr>
    </w:p>
    <w:p w:rsidR="00B347E6" w:rsidRDefault="00B347E6" w:rsidP="00B347E6">
      <w:pPr>
        <w:pStyle w:val="Ruller5"/>
        <w:rPr>
          <w:rFonts w:ascii="Century" w:hAnsi="Century"/>
          <w:rtl/>
        </w:rPr>
      </w:pPr>
      <w:r>
        <w:rPr>
          <w:rFonts w:ascii="Century" w:hAnsi="Century"/>
          <w:rtl/>
        </w:rPr>
        <w:t xml:space="preserve"> </w:t>
      </w:r>
    </w:p>
    <w:p w:rsidR="00B347E6" w:rsidRDefault="00B347E6" w:rsidP="00B347E6">
      <w:pPr>
        <w:pStyle w:val="Ruller41"/>
        <w:rPr>
          <w:rFonts w:ascii="Century" w:hAnsi="Century"/>
          <w:rtl/>
        </w:rPr>
      </w:pPr>
      <w:r>
        <w:rPr>
          <w:rFonts w:ascii="Century" w:hAnsi="Century"/>
          <w:rtl/>
        </w:rPr>
        <w:tab/>
      </w:r>
      <w:r>
        <w:rPr>
          <w:rFonts w:ascii="Century" w:hAnsi="Century" w:hint="cs"/>
          <w:rtl/>
        </w:rPr>
        <w:t>דברים אלה יפים במידה רבה גם לגבי פרסומים בפלטפורמות נוספות כגון יוטיוב, טיקטוק ואחרות, וברי כי העלאת סרטון שיש בו משום לשון הרע, עשויה להוביל להטלת אחריות על המפרסם מכוח הוראות חוק איסור לשון הרע. על כך כאמור אין מחלוקת במישור העקרוני, אף לא בין הצדדים לערעור שלפנינו.</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56</w:t>
      </w:r>
      <w:r w:rsidR="00B347E6">
        <w:rPr>
          <w:rFonts w:ascii="Century" w:hAnsi="Century" w:hint="cs"/>
          <w:rtl/>
        </w:rPr>
        <w:t>.</w:t>
      </w:r>
      <w:r w:rsidR="00B347E6">
        <w:rPr>
          <w:rFonts w:ascii="Century" w:hAnsi="Century" w:hint="cs"/>
          <w:rtl/>
        </w:rPr>
        <w:tab/>
        <w:t xml:space="preserve">במקרה שלפנינו בית המשפט המחוזי הטיל אחריות על המערער בגין פרסום הסרט באתר יוטיוב, לאחר שדחה את טענתו כי אין להטיל עליו אחריות משעה שהעלאת הסרט נעשתה שלא בידיעתו ושלא באמצעותו. לעניין זה, נקבע כי אין להבחין בין הקרנות הסרט בסינמטק ובמוסדות שבוצעו </w:t>
      </w:r>
      <w:r w:rsidR="00B347E6" w:rsidRPr="004C1037">
        <w:rPr>
          <w:rFonts w:ascii="Century" w:hAnsi="Century" w:cs="Miriam" w:hint="cs"/>
          <w:b/>
          <w:spacing w:val="0"/>
          <w:szCs w:val="24"/>
          <w:rtl/>
        </w:rPr>
        <w:t>בהסכמתו</w:t>
      </w:r>
      <w:r w:rsidR="00B347E6">
        <w:rPr>
          <w:rFonts w:ascii="Century" w:hAnsi="Century" w:hint="cs"/>
          <w:rtl/>
        </w:rPr>
        <w:t xml:space="preserve"> של המערער, לבין צפייה בסרט באמצעות האתר המהווה ספריית סרטים רחבת היקף, ומשעה שהמערער </w:t>
      </w:r>
      <w:r w:rsidR="00B347E6" w:rsidRPr="0096649A">
        <w:rPr>
          <w:rFonts w:ascii="Century" w:hAnsi="Century" w:cs="Miriam" w:hint="cs"/>
          <w:b/>
          <w:spacing w:val="0"/>
          <w:szCs w:val="24"/>
          <w:rtl/>
        </w:rPr>
        <w:t>בחר</w:t>
      </w:r>
      <w:r w:rsidR="00B347E6">
        <w:rPr>
          <w:rFonts w:ascii="Century" w:hAnsi="Century" w:hint="cs"/>
          <w:rtl/>
        </w:rPr>
        <w:t xml:space="preserve"> שהסרט יופץ לציבור, אזי "מדובר בפעולה מוגמרת של פרסום בהיקף אשר אינו תחום או מוגדר, אלא עד כמה [שהמערער] היה בוחר להגבילו או לתחום אותו". בית המשפט הוסיף כי המערער</w:t>
      </w:r>
      <w:r w:rsidR="00B347E6" w:rsidRPr="004E3AC0">
        <w:rPr>
          <w:rFonts w:ascii="Century" w:hAnsi="Century" w:hint="cs"/>
          <w:rtl/>
        </w:rPr>
        <w:t xml:space="preserve"> ידע, </w:t>
      </w:r>
      <w:r w:rsidR="00B347E6">
        <w:rPr>
          <w:rFonts w:ascii="Century" w:hAnsi="Century" w:hint="cs"/>
          <w:rtl/>
        </w:rPr>
        <w:t xml:space="preserve">או </w:t>
      </w:r>
      <w:r w:rsidR="00B347E6" w:rsidRPr="004E3AC0">
        <w:rPr>
          <w:rFonts w:ascii="Century" w:hAnsi="Century" w:hint="cs"/>
          <w:rtl/>
        </w:rPr>
        <w:t>לכל הפחות היה עליו לדעת,</w:t>
      </w:r>
      <w:r w:rsidR="00B347E6">
        <w:rPr>
          <w:rFonts w:ascii="Century" w:hAnsi="Century" w:hint="cs"/>
          <w:rtl/>
        </w:rPr>
        <w:t xml:space="preserve"> כי הפצת הסרט המקורי עשויה להביאו לידיעת כלל הציבור, וזאת "ללא קשר לנמען מדויק או אמצעי פרטני בו נעשה שימוש לצורך המשך הפצת הסרט"; וכי בהתאם להלכה הפסוקה, אין צורך שמבצע העוולה יצפה את </w:t>
      </w:r>
      <w:r w:rsidR="00B347E6" w:rsidRPr="00FF68F2">
        <w:rPr>
          <w:rFonts w:ascii="Century" w:hAnsi="Century" w:hint="cs"/>
          <w:rtl/>
        </w:rPr>
        <w:t>כלל פרטי הליך גרימת הנזק, אלא די בכך שצפה מראש את הנזקים הכלליים</w:t>
      </w:r>
      <w:r w:rsidR="00B347E6">
        <w:rPr>
          <w:rFonts w:ascii="Century" w:hAnsi="Century" w:hint="cs"/>
          <w:rtl/>
        </w:rPr>
        <w:t>" (פסקה 213 לפסק דינו, ההדגשות לעיל במקור).</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57</w:t>
      </w:r>
      <w:r w:rsidR="00B347E6">
        <w:rPr>
          <w:rFonts w:ascii="Century" w:hAnsi="Century" w:hint="cs"/>
          <w:rtl/>
        </w:rPr>
        <w:t>.</w:t>
      </w:r>
      <w:r w:rsidR="00B347E6">
        <w:rPr>
          <w:rFonts w:ascii="Century" w:hAnsi="Century" w:hint="cs"/>
          <w:rtl/>
        </w:rPr>
        <w:tab/>
        <w:t xml:space="preserve">הנה כי כן, בית המשפט המחוזי גזר גזירה שווה בין הקרנות הסרט שנערכו בשנים 2012-2010 בסינמטק ובמוסדות הנוספים, לבין פרסום הסרט באמצעות העלאתו ליוטיוב, וקבע כי כשם שיש להטיל אחריות על המערער בגין הראשונות, כך יש להטיל עליו אחריות בגין האחרונה. אלא שלטעמי, הנמקתו של בית המשפט מדוע יש לערוך </w:t>
      </w:r>
      <w:r w:rsidR="00B347E6" w:rsidRPr="00354333">
        <w:rPr>
          <w:rFonts w:ascii="Century" w:hAnsi="Century" w:cs="Miriam" w:hint="cs"/>
          <w:b/>
          <w:spacing w:val="0"/>
          <w:szCs w:val="24"/>
          <w:rtl/>
        </w:rPr>
        <w:t>גזירה שווה</w:t>
      </w:r>
      <w:r w:rsidR="00B347E6" w:rsidRPr="00354333">
        <w:rPr>
          <w:rFonts w:ascii="Century" w:hAnsi="Century" w:hint="cs"/>
          <w:rtl/>
        </w:rPr>
        <w:t xml:space="preserve"> </w:t>
      </w:r>
      <w:r w:rsidR="00B347E6">
        <w:rPr>
          <w:rFonts w:ascii="Century" w:hAnsi="Century" w:hint="cs"/>
          <w:rtl/>
        </w:rPr>
        <w:t>בין הפרסומים השונים, ובכלל זה הנמקתו לגבי הצפי</w:t>
      </w:r>
      <w:r w:rsidR="00B347E6">
        <w:rPr>
          <w:rFonts w:ascii="FrankRuehl" w:hAnsi="FrankRuehl"/>
          <w:rtl/>
        </w:rPr>
        <w:t>וּ</w:t>
      </w:r>
      <w:r w:rsidR="00B347E6">
        <w:rPr>
          <w:rFonts w:ascii="Century" w:hAnsi="Century" w:hint="cs"/>
          <w:rtl/>
        </w:rPr>
        <w:t xml:space="preserve">ת שיש לייחס למערער, היא הנותנת מדוע יש </w:t>
      </w:r>
      <w:r w:rsidR="00B347E6" w:rsidRPr="0072551F">
        <w:rPr>
          <w:rFonts w:ascii="Century" w:hAnsi="Century" w:cs="Miriam" w:hint="cs"/>
          <w:b/>
          <w:spacing w:val="0"/>
          <w:szCs w:val="24"/>
          <w:rtl/>
        </w:rPr>
        <w:t>להבחין</w:t>
      </w:r>
      <w:r w:rsidR="00B347E6">
        <w:rPr>
          <w:rFonts w:ascii="Century" w:hAnsi="Century" w:hint="cs"/>
          <w:rtl/>
        </w:rPr>
        <w:t xml:space="preserve"> בין ההקרנות האמורות לבין העלאת הסרט לאתר. אסביר.</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58</w:t>
      </w:r>
      <w:r w:rsidR="00B347E6">
        <w:rPr>
          <w:rFonts w:ascii="Century" w:hAnsi="Century" w:hint="cs"/>
          <w:rtl/>
        </w:rPr>
        <w:t>.</w:t>
      </w:r>
      <w:r w:rsidR="00B347E6">
        <w:rPr>
          <w:rFonts w:ascii="Century" w:hAnsi="Century" w:hint="cs"/>
          <w:rtl/>
        </w:rPr>
        <w:tab/>
        <w:t>תחילה למישור העובדתי. עיון בחומר הראיות, לצד קריאה זהירה של פסק דינו של בית משפט קמא, מלמדים על הבחנה עובדתית בין הקרנות הסרט לבין העלאתו ליוטיוב, וזאת בהיבט של מעורבותו (או אי-מעורבותו) של המערער. וכך העיד המערער בתצהיר שהגיש לבית המשפט המחוזי:</w:t>
      </w:r>
    </w:p>
    <w:p w:rsidR="00B347E6" w:rsidRDefault="00B347E6" w:rsidP="00B347E6">
      <w:pPr>
        <w:pStyle w:val="Ruller41"/>
        <w:rPr>
          <w:rFonts w:ascii="Century" w:hAnsi="Century"/>
          <w:rtl/>
        </w:rPr>
      </w:pPr>
    </w:p>
    <w:p w:rsidR="00B347E6" w:rsidRDefault="00B347E6" w:rsidP="00B347E6">
      <w:pPr>
        <w:pStyle w:val="Ruller5"/>
        <w:rPr>
          <w:rtl/>
        </w:rPr>
      </w:pPr>
      <w:r>
        <w:rPr>
          <w:rFonts w:hint="cs"/>
          <w:rtl/>
        </w:rPr>
        <w:t>"רק שלוש תחנות טלוויזיה - הטלוויזיה הפלסטינית, הקטלונית והלבנונית - רכשו את הסרט ממני, ולמיטב ידיעתי כל אחת מהן הציגה אותו פעמים אחדות. מאוחר יותר ובמועד לא ידוע לי, אנשים שאיני מכיר, העלו חלקים של הסרט ליוטיוב. אני מצהיר שלא נתתי את הסכמתי למאן דהוא להעלות את הסרט ליוטיוב ו/או לכל פלטפורמה אינטרנטית אחרת וברור כי אין לי שליטה על פרסומים אלה" (סעיף 59 לתצהירו).</w:t>
      </w:r>
    </w:p>
    <w:p w:rsidR="00B347E6" w:rsidRDefault="00B347E6" w:rsidP="00B347E6">
      <w:pPr>
        <w:pStyle w:val="Ruller5"/>
        <w:rPr>
          <w:rtl/>
        </w:rPr>
      </w:pPr>
    </w:p>
    <w:p w:rsidR="00B347E6" w:rsidRDefault="00B347E6" w:rsidP="00B347E6">
      <w:pPr>
        <w:pStyle w:val="Ruller5"/>
        <w:rPr>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על הבהרה זו חזר המערער בסיכומיו בבית המשפט המחוזי (בפסקה 79) ולפני כן גם בחקירתו הנגדית, ולא למותר לציין כי המערער לא אותגר בחקירתו הנגדית על גרסתו זו (פרוטוקול, עמ' 100, 106-105). הנה כי כן, בכל הנוגע להעלאת הסרט ליוטיוב, המערער ראה לנכון להבהיר, ולשוב ולהבהיר, כי לא היתה לו נגיעה לכך וכי הדבר נעשה מבלי שנתקבלה הסכמתו.</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יוער, כי אל מול הבהרות אלה איננו מוצאים הבהרה דומה של המערער בנוגע לארבע ההקרנות של הסרט בסינמטק ובמוסדות הנוספים, ובית המשפט המחוזי קבע כאמור כי הקרנות אלו נעשו </w:t>
      </w:r>
      <w:r w:rsidRPr="00B144D1">
        <w:rPr>
          <w:rFonts w:ascii="Century" w:hAnsi="Century" w:cs="Miriam" w:hint="cs"/>
          <w:b/>
          <w:spacing w:val="0"/>
          <w:szCs w:val="24"/>
          <w:rtl/>
        </w:rPr>
        <w:t>בהסכמת</w:t>
      </w:r>
      <w:r>
        <w:rPr>
          <w:rFonts w:ascii="Century" w:hAnsi="Century" w:hint="cs"/>
          <w:rtl/>
        </w:rPr>
        <w:t xml:space="preserve"> המערער. בקביעה עובדתית זו של בית המשפט המחוזי אין מקום להתערב. אכן, חזקה על המערער כי אילו הקרנות הסרט היו נערכות שלא על דעתו, היה מבהיר זאת ברחל בתך הקטנה, כפי שראה לנכון לעשות לגבי העלאת הסרט ליוטיוב. עם זאת, בכל הנוגע להעלאת הסרט ליוטיוב, גרסת המערער כי לא היתה לו נגיעה לכך לא נסתרה, ואף לא נעשה ניסיון של ממש מצד המשיב לסתור אותה, ובדין נזהר בית המשפט המחוזי מלייחס למערער מעורבות בהעלאת הסרט ליוטיוב. משכך, נקודת המוצא העובדתית בערעור דנן היא כי העלאת הסרט ליוטיוב נעשתה על ידי צד שלישי, ללא ידיעת המערער ומבלי שנתקבלה הסכמתו, וזאת בהתאם לתשתית הראייתית שהונחה בבית המשפט המחוזי.</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59</w:t>
      </w:r>
      <w:r w:rsidR="00B347E6" w:rsidRPr="00107F96">
        <w:rPr>
          <w:rFonts w:ascii="Century" w:hAnsi="Century" w:hint="cs"/>
          <w:rtl/>
        </w:rPr>
        <w:t>.</w:t>
      </w:r>
      <w:r w:rsidR="00B347E6" w:rsidRPr="00107F96">
        <w:rPr>
          <w:rFonts w:ascii="Century" w:hAnsi="Century" w:hint="cs"/>
          <w:rtl/>
        </w:rPr>
        <w:tab/>
        <w:t>ומכאן למישור המשפטי.</w:t>
      </w:r>
      <w:r w:rsidR="00B347E6">
        <w:rPr>
          <w:rFonts w:ascii="Century" w:hAnsi="Century" w:hint="cs"/>
          <w:rtl/>
        </w:rPr>
        <w:t xml:space="preserve"> ככלל, "האחראי העיקרי לפרסום הוא המפרסם: היינו, מי שגרם בעצמו לעשיית ה'פרסום'" (</w:t>
      </w:r>
      <w:r w:rsidR="00B347E6" w:rsidRPr="0077291B">
        <w:rPr>
          <w:rFonts w:ascii="Century" w:hAnsi="Century" w:cs="Miriam" w:hint="cs"/>
          <w:b/>
          <w:spacing w:val="0"/>
          <w:szCs w:val="24"/>
          <w:rtl/>
        </w:rPr>
        <w:t>שנהר</w:t>
      </w:r>
      <w:r w:rsidR="00B347E6">
        <w:rPr>
          <w:rFonts w:ascii="Century" w:hAnsi="Century" w:hint="cs"/>
          <w:rtl/>
        </w:rPr>
        <w:t xml:space="preserve">, עמ' 96). עם זאת, מלבד המפרסם הישיר, הדין מרחיב את מעגל האחראים הפוטנציאליים ומאפשר הטלת אחריות על גורמים נוספים. </w:t>
      </w:r>
    </w:p>
    <w:p w:rsidR="00B347E6" w:rsidRDefault="00B347E6" w:rsidP="00B347E6">
      <w:pPr>
        <w:pStyle w:val="Ruller41"/>
        <w:rPr>
          <w:rFonts w:ascii="Century" w:hAnsi="Century"/>
          <w:rtl/>
        </w:rPr>
      </w:pPr>
    </w:p>
    <w:p w:rsidR="00B347E6" w:rsidRDefault="00B347E6" w:rsidP="00B347E6">
      <w:pPr>
        <w:pStyle w:val="Ruller41"/>
        <w:rPr>
          <w:rFonts w:ascii="Times New Roman" w:hAnsi="Times New Roman" w:cs="Times New Roman"/>
          <w:color w:val="000000"/>
          <w:spacing w:val="0"/>
          <w:sz w:val="20"/>
          <w:szCs w:val="20"/>
          <w:rtl/>
        </w:rPr>
      </w:pPr>
      <w:r>
        <w:rPr>
          <w:rFonts w:ascii="Century" w:hAnsi="Century"/>
          <w:rtl/>
        </w:rPr>
        <w:tab/>
      </w:r>
      <w:r>
        <w:rPr>
          <w:rFonts w:ascii="Century" w:hAnsi="Century" w:hint="cs"/>
          <w:rtl/>
        </w:rPr>
        <w:t xml:space="preserve">הרחבה ראשונה נעשית מכוח הדין הכללי, בהיות פרסום לשון הרע עוולה אזרחית הכפופה להוראות בפקודת הנזיקין (סעיף 7 לחוק איסור לשון הרע). משכך, לצד המפרסם הישיר עשויים לשאת באחריות המעוולים במשותף, ובכללם המשתף עצמו, המסייע, המצווה, המפתה, המרשה </w:t>
      </w:r>
      <w:r w:rsidRPr="00464BBE">
        <w:rPr>
          <w:rFonts w:ascii="Century" w:hAnsi="Century" w:hint="cs"/>
          <w:rtl/>
        </w:rPr>
        <w:t xml:space="preserve">והמאשרר את המעשה הרלוונטי (סעיפים 12-11 לפקודת הנזיקין; </w:t>
      </w:r>
      <w:r w:rsidRPr="00F23213">
        <w:rPr>
          <w:rFonts w:ascii="Century" w:hAnsi="Century" w:cs="Miriam" w:hint="cs"/>
          <w:b/>
          <w:spacing w:val="0"/>
          <w:szCs w:val="24"/>
          <w:rtl/>
        </w:rPr>
        <w:t>שנהר</w:t>
      </w:r>
      <w:r>
        <w:rPr>
          <w:rFonts w:ascii="Century" w:hAnsi="Century" w:hint="cs"/>
          <w:rtl/>
        </w:rPr>
        <w:t>, שם)</w:t>
      </w:r>
      <w:r w:rsidRPr="00464BBE">
        <w:rPr>
          <w:rFonts w:ascii="Century" w:hAnsi="Century" w:hint="cs"/>
          <w:rtl/>
        </w:rPr>
        <w:t>. כפי שציינתי לאחרונה</w:t>
      </w:r>
      <w:r>
        <w:rPr>
          <w:rFonts w:ascii="Century" w:hAnsi="Century" w:hint="cs"/>
          <w:rtl/>
        </w:rPr>
        <w:t xml:space="preserve"> בהקשר זה</w:t>
      </w:r>
      <w:r w:rsidRPr="00464BBE">
        <w:rPr>
          <w:rFonts w:ascii="Century" w:hAnsi="Century" w:hint="cs"/>
          <w:rtl/>
        </w:rPr>
        <w:t>, "</w:t>
      </w:r>
      <w:r w:rsidRPr="00464BBE">
        <w:rPr>
          <w:rFonts w:ascii="Century" w:hAnsi="Century"/>
          <w:rtl/>
        </w:rPr>
        <w:t>הפקודה מכירה אפוא בשורה של פעולות שנעשות בזיקה לעוולה, בעטיין יימצא מבצען כמי שחב עליהן </w:t>
      </w:r>
      <w:r w:rsidRPr="00464BBE">
        <w:rPr>
          <w:rFonts w:ascii="Century" w:hAnsi="Century"/>
          <w:shd w:val="clear" w:color="auto" w:fill="FFFFFF"/>
          <w:rtl/>
        </w:rPr>
        <w:t xml:space="preserve">כשם שחב עליהן המעוול העיקרי, ותוטל עליו </w:t>
      </w:r>
      <w:r w:rsidRPr="005A3B30">
        <w:rPr>
          <w:rFonts w:ascii="Century" w:hAnsi="Century"/>
          <w:shd w:val="clear" w:color="auto" w:fill="FFFFFF"/>
          <w:rtl/>
        </w:rPr>
        <w:t>אחריות ישירה ואישי</w:t>
      </w:r>
      <w:r w:rsidRPr="005A3B30">
        <w:rPr>
          <w:rFonts w:ascii="Century" w:hAnsi="Century" w:hint="cs"/>
          <w:shd w:val="clear" w:color="auto" w:fill="FFFFFF"/>
          <w:rtl/>
        </w:rPr>
        <w:t>ת</w:t>
      </w:r>
      <w:r w:rsidRPr="00464BBE">
        <w:rPr>
          <w:rFonts w:ascii="Century" w:hAnsi="Century" w:hint="cs"/>
          <w:shd w:val="clear" w:color="auto" w:fill="FFFFFF"/>
          <w:rtl/>
        </w:rPr>
        <w:t xml:space="preserve">" </w:t>
      </w:r>
      <w:r w:rsidRPr="00464BBE">
        <w:rPr>
          <w:rFonts w:ascii="Century" w:hAnsi="Century" w:hint="cs"/>
          <w:rtl/>
        </w:rPr>
        <w:t>(</w:t>
      </w:r>
      <w:r w:rsidRPr="00464BBE">
        <w:rPr>
          <w:rFonts w:ascii="Century" w:hAnsi="Century"/>
          <w:rtl/>
        </w:rPr>
        <w:t>ע</w:t>
      </w:r>
      <w:r w:rsidRPr="00464BBE">
        <w:rPr>
          <w:rFonts w:ascii="Century" w:hAnsi="Century" w:hint="cs"/>
          <w:rtl/>
        </w:rPr>
        <w:t>"</w:t>
      </w:r>
      <w:r w:rsidRPr="00464BBE">
        <w:rPr>
          <w:rFonts w:ascii="Century" w:hAnsi="Century"/>
          <w:rtl/>
        </w:rPr>
        <w:t xml:space="preserve">א 2362/19 </w:t>
      </w:r>
      <w:r w:rsidRPr="00464BBE">
        <w:rPr>
          <w:rFonts w:ascii="Century" w:hAnsi="Century" w:cs="Miriam"/>
          <w:b/>
          <w:spacing w:val="0"/>
          <w:szCs w:val="24"/>
          <w:rtl/>
        </w:rPr>
        <w:t>פלונים נ' הרשות הפלסטינית</w:t>
      </w:r>
      <w:r w:rsidRPr="00464BBE">
        <w:rPr>
          <w:rFonts w:ascii="Century" w:hAnsi="Century" w:hint="cs"/>
          <w:rtl/>
        </w:rPr>
        <w:t>, פסקה 11 (10.4.2022)).</w:t>
      </w:r>
    </w:p>
    <w:p w:rsidR="00B347E6" w:rsidRPr="005A3B30" w:rsidRDefault="00B347E6" w:rsidP="00B347E6">
      <w:pPr>
        <w:pStyle w:val="Ruller41"/>
        <w:rPr>
          <w:rtl/>
        </w:rPr>
      </w:pPr>
    </w:p>
    <w:p w:rsidR="00B347E6" w:rsidRDefault="00B347E6" w:rsidP="00B347E6">
      <w:pPr>
        <w:pStyle w:val="Ruller41"/>
        <w:rPr>
          <w:rFonts w:ascii="Century" w:hAnsi="Century"/>
          <w:rtl/>
        </w:rPr>
      </w:pPr>
      <w:r w:rsidRPr="005A3B30">
        <w:rPr>
          <w:rFonts w:ascii="Century" w:hAnsi="Century"/>
          <w:rtl/>
        </w:rPr>
        <w:tab/>
      </w:r>
      <w:r w:rsidRPr="005A3B30">
        <w:rPr>
          <w:rFonts w:ascii="Century" w:hAnsi="Century" w:hint="cs"/>
          <w:rtl/>
        </w:rPr>
        <w:t>הרחבה נוספת</w:t>
      </w:r>
      <w:r>
        <w:rPr>
          <w:rFonts w:ascii="Century" w:hAnsi="Century" w:hint="cs"/>
          <w:rtl/>
        </w:rPr>
        <w:t xml:space="preserve"> של מעגל האחראים הפוטנציאליים נעשית מכוח הדין הספציפי, קרי מכוח הוראות חוק איסור לשון הרע גופו. כך, סעיף 11 לחוק מתייחס למצבים שבהם פורסמה לשון הרע </w:t>
      </w:r>
      <w:r w:rsidRPr="00B36150">
        <w:rPr>
          <w:rFonts w:ascii="Century" w:hAnsi="Century" w:cs="Miriam" w:hint="cs"/>
          <w:b/>
          <w:spacing w:val="0"/>
          <w:szCs w:val="24"/>
          <w:rtl/>
        </w:rPr>
        <w:t>באמצעי תקשורת</w:t>
      </w:r>
      <w:r w:rsidRPr="008B7EE5">
        <w:rPr>
          <w:rFonts w:ascii="Century" w:hAnsi="Century" w:hint="cs"/>
          <w:rtl/>
        </w:rPr>
        <w:t>, שאז ישאו באחריות "</w:t>
      </w:r>
      <w:r w:rsidRPr="008B7EE5">
        <w:rPr>
          <w:rFonts w:ascii="Century" w:hAnsi="Century"/>
          <w:shd w:val="clear" w:color="auto" w:fill="FFFFFF"/>
          <w:rtl/>
        </w:rPr>
        <w:t>האדם שהביא את דבר לשון הרע לאמצעי התקשורת וגרם בכך לפרסומו, עורך אמצעי התקשורת ומי שהחליט בפועל על הפרסום, ובאחריות אזרחית ישא גם האחראי לאמצעי התקשור</w:t>
      </w:r>
      <w:r w:rsidRPr="008B7EE5">
        <w:rPr>
          <w:rFonts w:ascii="Century" w:hAnsi="Century" w:hint="cs"/>
          <w:shd w:val="clear" w:color="auto" w:fill="FFFFFF"/>
          <w:rtl/>
        </w:rPr>
        <w:t>ת"</w:t>
      </w:r>
      <w:r>
        <w:rPr>
          <w:rFonts w:ascii="Century" w:hAnsi="Century" w:hint="cs"/>
          <w:shd w:val="clear" w:color="auto" w:fill="FFFFFF"/>
          <w:rtl/>
        </w:rPr>
        <w:t xml:space="preserve">. יש לציין כי המונח </w:t>
      </w:r>
      <w:r w:rsidRPr="00B36150">
        <w:rPr>
          <w:rFonts w:ascii="Century" w:hAnsi="Century" w:hint="cs"/>
          <w:shd w:val="clear" w:color="auto" w:fill="FFFFFF"/>
          <w:rtl/>
        </w:rPr>
        <w:t>"</w:t>
      </w:r>
      <w:r w:rsidRPr="00513F1E">
        <w:rPr>
          <w:rFonts w:ascii="Century" w:hAnsi="Century" w:cs="Miriam" w:hint="cs"/>
          <w:b/>
          <w:spacing w:val="0"/>
          <w:szCs w:val="24"/>
          <w:shd w:val="clear" w:color="auto" w:fill="FFFFFF"/>
          <w:rtl/>
        </w:rPr>
        <w:t>אמצעי תקשורת</w:t>
      </w:r>
      <w:r w:rsidRPr="00B36150">
        <w:rPr>
          <w:rFonts w:ascii="Century" w:hAnsi="Century" w:hint="cs"/>
          <w:shd w:val="clear" w:color="auto" w:fill="FFFFFF"/>
          <w:rtl/>
        </w:rPr>
        <w:t>"</w:t>
      </w:r>
      <w:r>
        <w:rPr>
          <w:rFonts w:ascii="Century" w:hAnsi="Century" w:hint="cs"/>
          <w:shd w:val="clear" w:color="auto" w:fill="FFFFFF"/>
          <w:rtl/>
        </w:rPr>
        <w:t xml:space="preserve"> מוגדר בסעיף 11(ג) </w:t>
      </w:r>
      <w:r>
        <w:rPr>
          <w:rFonts w:ascii="Century" w:hAnsi="Century" w:hint="cs"/>
          <w:rtl/>
        </w:rPr>
        <w:t>לחוק בתור "</w:t>
      </w:r>
      <w:r w:rsidRPr="00513F1E">
        <w:rPr>
          <w:rFonts w:ascii="Century" w:hAnsi="Century" w:cs="Miriam" w:hint="cs"/>
          <w:b/>
          <w:spacing w:val="0"/>
          <w:szCs w:val="24"/>
          <w:rtl/>
        </w:rPr>
        <w:t>עתון וכן שידורי רדיו וטלויזיה הניתנים לציבור</w:t>
      </w:r>
      <w:r>
        <w:rPr>
          <w:rFonts w:ascii="Century" w:hAnsi="Century" w:hint="cs"/>
          <w:rtl/>
        </w:rPr>
        <w:t xml:space="preserve">", ולאורך השנים הוגשו מספר הצעות חוק שביקשו להרחיב את תחולת ההגדרה, כך שתחול גם על המרחב הווירטואלי הכולל את </w:t>
      </w:r>
      <w:r w:rsidRPr="00E61FB8">
        <w:rPr>
          <w:rFonts w:ascii="Century" w:hAnsi="Century" w:hint="cs"/>
          <w:rtl/>
        </w:rPr>
        <w:t xml:space="preserve">אתרי האינטרנט והרשתות החברתיות </w:t>
      </w:r>
      <w:r>
        <w:rPr>
          <w:rFonts w:ascii="Century" w:hAnsi="Century" w:hint="cs"/>
          <w:rtl/>
        </w:rPr>
        <w:t>(</w:t>
      </w:r>
      <w:r w:rsidRPr="00E61FB8">
        <w:rPr>
          <w:rFonts w:ascii="Century" w:hAnsi="Century"/>
          <w:rtl/>
        </w:rPr>
        <w:t xml:space="preserve">הצעת חוק איסור לשון הרע (תיקון – </w:t>
      </w:r>
      <w:r>
        <w:rPr>
          <w:rFonts w:ascii="Century" w:hAnsi="Century" w:hint="cs"/>
          <w:rtl/>
        </w:rPr>
        <w:t xml:space="preserve">פרסום </w:t>
      </w:r>
      <w:r w:rsidRPr="00E61FB8">
        <w:rPr>
          <w:rFonts w:ascii="Century" w:hAnsi="Century"/>
          <w:rtl/>
        </w:rPr>
        <w:t>לשון הרע ברשת האינטרנט), התשע"ה-2015; הצעת חוק איסור לשון הרע</w:t>
      </w:r>
      <w:r w:rsidRPr="00E61FB8">
        <w:rPr>
          <w:rFonts w:ascii="Century" w:hAnsi="Century" w:hint="cs"/>
          <w:rtl/>
        </w:rPr>
        <w:t xml:space="preserve"> </w:t>
      </w:r>
      <w:r w:rsidRPr="00E61FB8">
        <w:rPr>
          <w:rFonts w:ascii="Century" w:hAnsi="Century"/>
          <w:rtl/>
        </w:rPr>
        <w:t xml:space="preserve">(תיקון – </w:t>
      </w:r>
      <w:r>
        <w:rPr>
          <w:rFonts w:ascii="Century" w:hAnsi="Century" w:hint="cs"/>
          <w:rtl/>
        </w:rPr>
        <w:t>פרסום</w:t>
      </w:r>
      <w:r w:rsidRPr="00E61FB8">
        <w:rPr>
          <w:rFonts w:ascii="Century" w:hAnsi="Century"/>
          <w:rtl/>
        </w:rPr>
        <w:t xml:space="preserve"> לשון הרע ברשת האינטרנט)</w:t>
      </w:r>
      <w:r w:rsidRPr="00E61FB8">
        <w:rPr>
          <w:rFonts w:ascii="Century" w:hAnsi="Century" w:hint="cs"/>
          <w:rtl/>
        </w:rPr>
        <w:t>,</w:t>
      </w:r>
      <w:r w:rsidRPr="00E61FB8">
        <w:rPr>
          <w:rFonts w:ascii="Century" w:hAnsi="Century"/>
          <w:rtl/>
        </w:rPr>
        <w:t xml:space="preserve"> התשפ"א-2020).</w:t>
      </w:r>
      <w:r w:rsidRPr="00E61FB8">
        <w:rPr>
          <w:rFonts w:ascii="Century" w:hAnsi="Century" w:hint="cs"/>
          <w:rtl/>
        </w:rPr>
        <w:t xml:space="preserve"> </w:t>
      </w:r>
      <w:r>
        <w:rPr>
          <w:rFonts w:ascii="Century" w:hAnsi="Century" w:hint="cs"/>
          <w:rtl/>
        </w:rPr>
        <w:t>הצעות חוק אלה לא הבשילו לכדי דבר חקיקה.</w:t>
      </w:r>
    </w:p>
    <w:p w:rsidR="00B347E6" w:rsidRDefault="00B347E6" w:rsidP="00B347E6">
      <w:pPr>
        <w:pStyle w:val="Ruller41"/>
        <w:rPr>
          <w:rFonts w:ascii="Century" w:hAnsi="Century"/>
          <w:rtl/>
        </w:rPr>
      </w:pPr>
    </w:p>
    <w:p w:rsidR="00B347E6" w:rsidRPr="00E61FB8" w:rsidRDefault="00B347E6" w:rsidP="00B347E6">
      <w:pPr>
        <w:pStyle w:val="Ruller41"/>
        <w:rPr>
          <w:rFonts w:ascii="Century" w:hAnsi="Century"/>
          <w:rtl/>
        </w:rPr>
      </w:pPr>
      <w:r>
        <w:rPr>
          <w:rFonts w:ascii="Century" w:hAnsi="Century"/>
          <w:rtl/>
        </w:rPr>
        <w:tab/>
      </w:r>
      <w:r w:rsidRPr="00E61FB8">
        <w:rPr>
          <w:rFonts w:ascii="Century" w:hAnsi="Century" w:hint="cs"/>
          <w:rtl/>
        </w:rPr>
        <w:t xml:space="preserve">הרחבה </w:t>
      </w:r>
      <w:r>
        <w:rPr>
          <w:rFonts w:ascii="Century" w:hAnsi="Century" w:hint="cs"/>
          <w:rtl/>
        </w:rPr>
        <w:t xml:space="preserve">שניה מכוח חוק איסור לשון הרע מצויה בסעיף 12 לחוק, </w:t>
      </w:r>
      <w:r w:rsidRPr="00E61FB8">
        <w:rPr>
          <w:rFonts w:ascii="Century" w:hAnsi="Century" w:hint="cs"/>
          <w:rtl/>
        </w:rPr>
        <w:t xml:space="preserve">שעניינו לשון הרע שפורסמה </w:t>
      </w:r>
      <w:r w:rsidRPr="00B36150">
        <w:rPr>
          <w:rFonts w:ascii="Century" w:hAnsi="Century" w:cs="Miriam" w:hint="cs"/>
          <w:b/>
          <w:spacing w:val="0"/>
          <w:szCs w:val="24"/>
          <w:rtl/>
        </w:rPr>
        <w:t>בדפוס</w:t>
      </w:r>
      <w:r>
        <w:rPr>
          <w:rFonts w:ascii="Century" w:hAnsi="Century" w:hint="cs"/>
          <w:rtl/>
        </w:rPr>
        <w:t>.</w:t>
      </w:r>
      <w:r w:rsidRPr="00E61FB8">
        <w:rPr>
          <w:rFonts w:ascii="Century" w:hAnsi="Century" w:hint="cs"/>
          <w:rtl/>
        </w:rPr>
        <w:t xml:space="preserve"> </w:t>
      </w:r>
      <w:r>
        <w:rPr>
          <w:rFonts w:ascii="Century" w:hAnsi="Century" w:hint="cs"/>
          <w:rtl/>
        </w:rPr>
        <w:t>לגבי פרסומים מסוג זה,</w:t>
      </w:r>
      <w:r w:rsidRPr="00E61FB8">
        <w:rPr>
          <w:rFonts w:ascii="Century" w:hAnsi="Century" w:hint="cs"/>
          <w:rtl/>
        </w:rPr>
        <w:t xml:space="preserve"> עשויים לשאת באחריות גם מחזיק בית הדפוס ומי שמוכר את הפרסום או מפי</w:t>
      </w:r>
      <w:r>
        <w:rPr>
          <w:rFonts w:ascii="Century" w:hAnsi="Century" w:hint="cs"/>
          <w:rtl/>
        </w:rPr>
        <w:t>צ</w:t>
      </w:r>
      <w:r w:rsidRPr="00E61FB8">
        <w:rPr>
          <w:rFonts w:ascii="Century" w:hAnsi="Century" w:hint="cs"/>
          <w:rtl/>
        </w:rPr>
        <w:t>ו, ובלבד ש</w:t>
      </w:r>
      <w:r>
        <w:rPr>
          <w:rFonts w:ascii="Century" w:hAnsi="Century" w:hint="cs"/>
          <w:rtl/>
        </w:rPr>
        <w:t xml:space="preserve">הללו </w:t>
      </w:r>
      <w:r w:rsidRPr="00E61FB8">
        <w:rPr>
          <w:rFonts w:ascii="Century" w:hAnsi="Century" w:hint="cs"/>
          <w:rtl/>
        </w:rPr>
        <w:t>ידעו או צריכים היו לדעת שהפרסום מכיל לשון הרע</w:t>
      </w:r>
      <w:r>
        <w:rPr>
          <w:rFonts w:ascii="Century" w:hAnsi="Century" w:hint="cs"/>
          <w:rtl/>
        </w:rPr>
        <w:t xml:space="preserve"> (ראו עוד אצל </w:t>
      </w:r>
      <w:r w:rsidRPr="00B36150">
        <w:rPr>
          <w:rFonts w:ascii="Century" w:hAnsi="Century" w:cs="Miriam" w:hint="cs"/>
          <w:b/>
          <w:spacing w:val="0"/>
          <w:szCs w:val="24"/>
          <w:rtl/>
        </w:rPr>
        <w:t>שנהר</w:t>
      </w:r>
      <w:r>
        <w:rPr>
          <w:rFonts w:ascii="Century" w:hAnsi="Century" w:hint="cs"/>
          <w:rtl/>
        </w:rPr>
        <w:t xml:space="preserve">, עמ' 107-98; </w:t>
      </w:r>
      <w:r w:rsidRPr="00FF68F2">
        <w:rPr>
          <w:rFonts w:ascii="Century" w:hAnsi="Century" w:cs="Miriam" w:hint="cs"/>
          <w:b/>
          <w:spacing w:val="0"/>
          <w:szCs w:val="24"/>
          <w:rtl/>
        </w:rPr>
        <w:t>גנאים, קרמניצר ושנור</w:t>
      </w:r>
      <w:r w:rsidRPr="00FF68F2">
        <w:rPr>
          <w:rFonts w:ascii="Century" w:hAnsi="Century" w:hint="cs"/>
          <w:rtl/>
        </w:rPr>
        <w:t>, עמ'</w:t>
      </w:r>
      <w:r>
        <w:rPr>
          <w:rFonts w:ascii="Century" w:hAnsi="Century" w:hint="cs"/>
          <w:rtl/>
        </w:rPr>
        <w:t xml:space="preserve"> 282-279, 288-287).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60</w:t>
      </w:r>
      <w:r w:rsidR="00B347E6">
        <w:rPr>
          <w:rFonts w:ascii="Century" w:hAnsi="Century" w:hint="cs"/>
          <w:rtl/>
        </w:rPr>
        <w:t>.</w:t>
      </w:r>
      <w:r w:rsidR="00B347E6">
        <w:rPr>
          <w:rFonts w:ascii="Century" w:hAnsi="Century"/>
          <w:rtl/>
        </w:rPr>
        <w:tab/>
      </w:r>
      <w:r w:rsidR="00B347E6">
        <w:rPr>
          <w:rFonts w:ascii="Century" w:hAnsi="Century" w:hint="cs"/>
          <w:rtl/>
        </w:rPr>
        <w:t>החלת דיני לשון הרע על פרסומים במרחב האינטרנטי מעוררת שורה ארוכה של שאלות במגוון של היבטים, אם לגבי עצם האפשרות להטיל אחריות, אם לגבי זהות הגורמים שניתן להטיל עליהם אחריות, אם באשר לאפשרות לחשוף זהותם של גולשים, אם במישור הסעד המתאים ואם לגבי סוגיות דיוניות כגון התיישנות. קצרה היריעה מלפרט את שלל הסוגיות ומלאזכר ולו מקצת מהכתיבה הענפה הקיימת בתחום. נישמר אפוא מפני הרחבת היריעה שלא לצורך, ונתמקד בעיקר הצריך לענייננו.</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במסגרת הפרק לעיל, דנו בשאלה אימתי פרסום חוזר מגבש עילת תביעה נפרדת ועצמאית לצורך דיני ההתיישנות, ואימתי יש לכרוך אותו כחלק מעילת התביעה שצמחה בעקבות הפרסום המקורי. עמדנו על כך שככל שמדובר בפרסומים זהים בתוכנם שנעשו ברציפות באותו המדיום, הנטיה תהיה לראותם כשייכים לעילה אחת; ו</w:t>
      </w:r>
      <w:r w:rsidRPr="00885002">
        <w:rPr>
          <w:rFonts w:ascii="Century" w:hAnsi="Century" w:hint="cs"/>
          <w:rtl/>
        </w:rPr>
        <w:t>מנגד, ככ</w:t>
      </w:r>
      <w:r>
        <w:rPr>
          <w:rFonts w:ascii="Century" w:hAnsi="Century" w:hint="cs"/>
          <w:rtl/>
        </w:rPr>
        <w:t xml:space="preserve">ל שמשך הזמן שחלף בין הפרסומים ארוך יותר, ככל שקיים שוני בתוכנם של הפרסומים, וככל שמדובר בפרסומים שנעשו בפלטפורמות שונות ופנו לקהלים שונים </w:t>
      </w:r>
      <w:r>
        <w:rPr>
          <w:rFonts w:ascii="Century" w:hAnsi="Century"/>
          <w:rtl/>
        </w:rPr>
        <w:t>–</w:t>
      </w:r>
      <w:r>
        <w:rPr>
          <w:rFonts w:ascii="Century" w:hAnsi="Century" w:hint="cs"/>
          <w:rtl/>
        </w:rPr>
        <w:t xml:space="preserve"> כך תתחזק הנטייה לראות את הפרסומים השונים כמגבשים עילות תביעה נפרדות. עוד עמדנו על הקושי להתוות אמות מידה ברורות שתקבענה מתי צבר פרסומים מגבש עוולות נפרדות ומתי יש לראותם כחלק מעוולה אחת, ועל כך שההכרעה לעולם תהא תלויית נסיבות.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דברים אלה רלוונטיים כמובן גם ביחס לפרסומים חוזרים באינטרנט, ובכלל זה העלאת סרטונים ליוטיוב. נזכיר את הדוגמה שהבאנו לעיל מתחום הגנת הפרטיות: אם פלוני תלה תמונת עירום של אלמונית על לוח המודעות או שלח סרטון שלה בווטסאפ, וכעבור שנים שב ופרסם את תמונתה באינטרנט או העלה את הסרטון ליוטיוב, ברי כי הפרסום המאוחר באינטרנט עומד בפני עצמו ומקים לאלמונית עילת תביעה עצמאית. בדומה, אם ראובן הקרין סרט בבית הקולנוע שיש בו משום לשון הרע על שמעון, וכעבור מספר שנים שב ופרסם את הסרט באינטרנט, ככלל תקום לשמעון עילת תביעה עצמאית בגין הפרסום החוזר באינטרנט. אכן, בראי דיוננו לעיל בפרק הקודם, הדברים הם בבחינת קל וחומר </w:t>
      </w:r>
      <w:r>
        <w:rPr>
          <w:rFonts w:ascii="Century" w:hAnsi="Century"/>
          <w:rtl/>
        </w:rPr>
        <w:t>–</w:t>
      </w:r>
      <w:r>
        <w:rPr>
          <w:rFonts w:ascii="Century" w:hAnsi="Century" w:hint="cs"/>
          <w:rtl/>
        </w:rPr>
        <w:t xml:space="preserve"> שהרי אם פרסום חוזר </w:t>
      </w:r>
      <w:r w:rsidRPr="002C04ED">
        <w:rPr>
          <w:rFonts w:ascii="Century" w:hAnsi="Century" w:cs="Miriam" w:hint="cs"/>
          <w:b/>
          <w:spacing w:val="0"/>
          <w:szCs w:val="24"/>
          <w:rtl/>
        </w:rPr>
        <w:t>באותה פלטפורמה</w:t>
      </w:r>
      <w:r>
        <w:rPr>
          <w:rFonts w:ascii="Century" w:hAnsi="Century" w:hint="cs"/>
          <w:rtl/>
        </w:rPr>
        <w:t xml:space="preserve"> (כמו הקרנה בסינמטק) יכול להקים עילת תביעה עצמאית, קל וחומר שפרסום </w:t>
      </w:r>
      <w:r w:rsidRPr="002C04ED">
        <w:rPr>
          <w:rFonts w:ascii="Century" w:hAnsi="Century" w:cs="Miriam" w:hint="cs"/>
          <w:b/>
          <w:spacing w:val="0"/>
          <w:szCs w:val="24"/>
          <w:rtl/>
        </w:rPr>
        <w:t>בפלטפורמה חדשה</w:t>
      </w:r>
      <w:r>
        <w:rPr>
          <w:rFonts w:ascii="Century" w:hAnsi="Century" w:hint="cs"/>
          <w:rtl/>
        </w:rPr>
        <w:t xml:space="preserve"> (כגון העלאת הסרט ליוטיוב) יכול לעשות כן.</w:t>
      </w:r>
    </w:p>
    <w:p w:rsidR="00B347E6" w:rsidRDefault="00B347E6" w:rsidP="00B347E6">
      <w:pPr>
        <w:pStyle w:val="Ruller41"/>
        <w:rPr>
          <w:rFonts w:ascii="Century" w:hAnsi="Century"/>
          <w:rtl/>
        </w:rPr>
      </w:pPr>
    </w:p>
    <w:p w:rsidR="00B347E6" w:rsidRPr="00760869" w:rsidRDefault="00B347E6" w:rsidP="00B347E6">
      <w:pPr>
        <w:pStyle w:val="Ruller41"/>
        <w:rPr>
          <w:rFonts w:ascii="Century" w:hAnsi="Century"/>
          <w:rtl/>
        </w:rPr>
      </w:pPr>
      <w:r>
        <w:rPr>
          <w:rFonts w:ascii="Century" w:hAnsi="Century"/>
          <w:rtl/>
        </w:rPr>
        <w:tab/>
      </w:r>
      <w:r w:rsidRPr="00760869">
        <w:rPr>
          <w:rFonts w:ascii="Century" w:hAnsi="Century" w:hint="cs"/>
          <w:rtl/>
        </w:rPr>
        <w:t xml:space="preserve">עד כאן דומה כי הדברים מובנים מאליהם ואינם טעונים הרחבה יתרה, שהרי ברי כי פרסום לשון הרע בפלטפורמה מסוג אחד, אין בה כדי להקנות </w:t>
      </w:r>
      <w:r w:rsidRPr="00C45049">
        <w:rPr>
          <w:rFonts w:ascii="Century" w:hAnsi="Century" w:cs="Miriam" w:hint="cs"/>
          <w:b/>
          <w:spacing w:val="0"/>
          <w:szCs w:val="24"/>
          <w:rtl/>
        </w:rPr>
        <w:t>חסינות</w:t>
      </w:r>
      <w:r w:rsidRPr="00C45049">
        <w:rPr>
          <w:rFonts w:ascii="Century" w:hAnsi="Century" w:hint="cs"/>
          <w:rtl/>
        </w:rPr>
        <w:t xml:space="preserve"> </w:t>
      </w:r>
      <w:r>
        <w:rPr>
          <w:rFonts w:ascii="Century" w:hAnsi="Century" w:hint="cs"/>
          <w:rtl/>
        </w:rPr>
        <w:t xml:space="preserve">למפרסם </w:t>
      </w:r>
      <w:r w:rsidRPr="00760869">
        <w:rPr>
          <w:rFonts w:ascii="Century" w:hAnsi="Century" w:hint="cs"/>
          <w:rtl/>
        </w:rPr>
        <w:t xml:space="preserve">מפני תביעות בגין פרסום חוזר </w:t>
      </w:r>
      <w:r>
        <w:rPr>
          <w:rFonts w:ascii="Century" w:hAnsi="Century" w:hint="cs"/>
          <w:rtl/>
        </w:rPr>
        <w:t xml:space="preserve">שביצע </w:t>
      </w:r>
      <w:r w:rsidRPr="00760869">
        <w:rPr>
          <w:rFonts w:ascii="Century" w:hAnsi="Century" w:hint="cs"/>
          <w:rtl/>
        </w:rPr>
        <w:t>בפלטפורמה מסוג שני.</w:t>
      </w:r>
      <w:r>
        <w:rPr>
          <w:rFonts w:ascii="Century" w:hAnsi="Century" w:hint="cs"/>
          <w:rtl/>
        </w:rPr>
        <w:t xml:space="preserve"> הדברים מתחברים במישרין לאמור לעיל בפרק הקודם, שהרי קשה להלום שמעוול שפרסם סרטון הכולל לשון הרע, יהיה חשוף להטלת אחריות רק בגין הפרסום המקורי, ויזכה ב"רישיון" להוסיף ולהפיץ את הסרטון כאוות נפשו בכל פלטפורמה אחרת שיבחר בשנים שלאחר מכן.</w:t>
      </w:r>
    </w:p>
    <w:p w:rsidR="00B347E6" w:rsidRPr="002520CC" w:rsidRDefault="00B347E6" w:rsidP="00B347E6">
      <w:pPr>
        <w:pStyle w:val="Ruller41"/>
        <w:rPr>
          <w:rFonts w:ascii="Century" w:hAnsi="Century"/>
          <w:strike/>
          <w:rtl/>
        </w:rPr>
      </w:pPr>
    </w:p>
    <w:p w:rsidR="00B347E6" w:rsidRPr="00A4222A" w:rsidRDefault="008D6D79" w:rsidP="00B347E6">
      <w:pPr>
        <w:pStyle w:val="Ruller41"/>
        <w:rPr>
          <w:rFonts w:ascii="Century" w:hAnsi="Century"/>
          <w:rtl/>
        </w:rPr>
      </w:pPr>
      <w:r>
        <w:rPr>
          <w:rFonts w:ascii="Century" w:hAnsi="Century" w:hint="cs"/>
          <w:rtl/>
        </w:rPr>
        <w:t>61</w:t>
      </w:r>
      <w:r w:rsidR="00B347E6">
        <w:rPr>
          <w:rFonts w:ascii="Century" w:hAnsi="Century" w:hint="cs"/>
          <w:rtl/>
        </w:rPr>
        <w:t>.</w:t>
      </w:r>
      <w:r w:rsidR="00B347E6">
        <w:rPr>
          <w:rFonts w:ascii="Century" w:hAnsi="Century"/>
          <w:rtl/>
        </w:rPr>
        <w:tab/>
      </w:r>
      <w:r w:rsidR="00B347E6">
        <w:rPr>
          <w:rFonts w:ascii="Century" w:hAnsi="Century" w:hint="cs"/>
          <w:rtl/>
        </w:rPr>
        <w:t xml:space="preserve">הקושי במקרה שלפנינו נובע מכך שבשונה מהמצב הטיפוסי שבו </w:t>
      </w:r>
      <w:r w:rsidR="00B347E6" w:rsidRPr="002520CC">
        <w:rPr>
          <w:rFonts w:ascii="Century" w:hAnsi="Century" w:cs="Miriam" w:hint="cs"/>
          <w:b/>
          <w:spacing w:val="0"/>
          <w:szCs w:val="24"/>
          <w:rtl/>
        </w:rPr>
        <w:t>ראובן</w:t>
      </w:r>
      <w:r w:rsidR="00B347E6">
        <w:rPr>
          <w:rFonts w:ascii="Century" w:hAnsi="Century" w:hint="cs"/>
          <w:rtl/>
        </w:rPr>
        <w:t xml:space="preserve"> פרסם לשון הרע בפלטפורמה א' ובהמשך </w:t>
      </w:r>
      <w:r w:rsidR="00B347E6" w:rsidRPr="002520CC">
        <w:rPr>
          <w:rFonts w:ascii="Century" w:hAnsi="Century" w:cs="Miriam" w:hint="cs"/>
          <w:b/>
          <w:spacing w:val="0"/>
          <w:szCs w:val="24"/>
          <w:rtl/>
        </w:rPr>
        <w:t>ראובן</w:t>
      </w:r>
      <w:r w:rsidR="00B347E6">
        <w:rPr>
          <w:rFonts w:ascii="Century" w:hAnsi="Century" w:hint="cs"/>
          <w:rtl/>
        </w:rPr>
        <w:t xml:space="preserve"> שב ופרסם את הלשון הרע באינטרנט, במקרה שלפנינו אין זהות בין המפרסמים. במילים אחרות, הקושי להטיל אחריות על המערער בגין העלאת הסרט ליוטיוב אינו נובע מהגדרת רוחב עילת התביעה ומחסום ההתיישנות, אלא מהעדר אחריות של המערער לגבי עצם הפרסום ביוטיוב. אסביר.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אילו במקרה שלפנינו היה זה </w:t>
      </w:r>
      <w:r w:rsidRPr="00760869">
        <w:rPr>
          <w:rFonts w:ascii="Century" w:hAnsi="Century" w:cs="Miriam" w:hint="cs"/>
          <w:b/>
          <w:spacing w:val="0"/>
          <w:szCs w:val="24"/>
          <w:rtl/>
        </w:rPr>
        <w:t>המערער</w:t>
      </w:r>
      <w:r>
        <w:rPr>
          <w:rFonts w:ascii="Century" w:hAnsi="Century" w:hint="cs"/>
          <w:rtl/>
        </w:rPr>
        <w:t xml:space="preserve"> שהיה מעלה את סרטו לאתר יוטיוב, נקל היה לקבוע כי העלאת הסרט מקימה למשיב עילת תביעה עצמאית נגד המערער. כאמור, הדברים הם בבחינת קל וחומר, שהרי אם הקרנה "רגילה" של הסרט מספר שנים לאחר הקרנותיו הקודמות הקימה למשיב עילת תביעה חדשה נגד המערער (כמפורט לעיל), ברי כי פרסום הסרט בפלטפורמה חדשה מספר שנים לאחר הקרנותיו הקודמות מקים אף הוא עילת תביעה חדשה. אך מה הדין כאשר לא המפרסם המקורי הוא שמבצע את הפרסום החוזר, אלא צד שלישי הוא שעושה זאת על דעת עצמו? האם ניתן להטיל אחריות על המפרסם המקורי בגין פרסום חוזר שביצע צד שלישי?</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62</w:t>
      </w:r>
      <w:r w:rsidR="00B347E6">
        <w:rPr>
          <w:rFonts w:ascii="Century" w:hAnsi="Century" w:hint="cs"/>
          <w:rtl/>
        </w:rPr>
        <w:t>.</w:t>
      </w:r>
      <w:r w:rsidR="00B347E6">
        <w:rPr>
          <w:rFonts w:ascii="Century" w:hAnsi="Century" w:hint="cs"/>
          <w:rtl/>
        </w:rPr>
        <w:tab/>
        <w:t>התשובה לשאלה זו טמונה במעגל האחראים הפוטנציאליים שמוכרים בדין, ובהבחנה בין שאלת האחריות לשאלת הנזק. אסביר.</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sidRPr="003F78D6">
        <w:rPr>
          <w:rFonts w:ascii="Century" w:hAnsi="Century"/>
          <w:rtl/>
        </w:rPr>
        <w:tab/>
      </w:r>
      <w:r w:rsidRPr="003F78D6">
        <w:rPr>
          <w:rFonts w:ascii="Century" w:hAnsi="Century" w:hint="cs"/>
          <w:rtl/>
        </w:rPr>
        <w:t xml:space="preserve">"העקרון הרגיל הינו כי אדם אחראי למעשיו, ואין הוא אחראי למעשי הזולת" </w:t>
      </w:r>
      <w:r>
        <w:rPr>
          <w:rFonts w:ascii="Century" w:hAnsi="Century" w:hint="cs"/>
          <w:rtl/>
        </w:rPr>
        <w:t xml:space="preserve">(יצחק אנגלרד, אהרן ברק ומישאל חשין </w:t>
      </w:r>
      <w:r w:rsidRPr="003F78D6">
        <w:rPr>
          <w:rFonts w:ascii="Century" w:hAnsi="Century" w:cs="Miriam" w:hint="cs"/>
          <w:b/>
          <w:spacing w:val="0"/>
          <w:szCs w:val="24"/>
          <w:rtl/>
        </w:rPr>
        <w:t xml:space="preserve">דיני הנזיקין </w:t>
      </w:r>
      <w:r w:rsidRPr="003F78D6">
        <w:rPr>
          <w:rFonts w:ascii="Century" w:hAnsi="Century" w:cs="Miriam"/>
          <w:b/>
          <w:spacing w:val="0"/>
          <w:szCs w:val="24"/>
          <w:rtl/>
        </w:rPr>
        <w:t>–</w:t>
      </w:r>
      <w:r w:rsidRPr="003F78D6">
        <w:rPr>
          <w:rFonts w:ascii="Century" w:hAnsi="Century" w:cs="Miriam" w:hint="cs"/>
          <w:b/>
          <w:spacing w:val="0"/>
          <w:szCs w:val="24"/>
          <w:rtl/>
        </w:rPr>
        <w:t xml:space="preserve"> תורת הנזיקין הכללית</w:t>
      </w:r>
      <w:r>
        <w:rPr>
          <w:rFonts w:ascii="Century" w:hAnsi="Century" w:hint="cs"/>
          <w:rtl/>
        </w:rPr>
        <w:t xml:space="preserve"> 435 (ג' טדסקי עורך, מהדורה שניה מתוקנת ומעודכנת, 1977). נקודת המוצא היא אפוא ש"המפרסם הישיר" של לשון הרע הוא שאחראי לפרסום, והטלת אחריות על גורמים אחרים או נוספים צריכה להיעשות מכוח הוראה שבדין (ראו </w:t>
      </w:r>
      <w:r w:rsidRPr="00FB44A2">
        <w:rPr>
          <w:rFonts w:ascii="Century" w:hAnsi="Century" w:cs="Miriam" w:hint="cs"/>
          <w:b/>
          <w:spacing w:val="0"/>
          <w:szCs w:val="24"/>
          <w:rtl/>
        </w:rPr>
        <w:t>גנאים, קרמניצר ושנור</w:t>
      </w:r>
      <w:r>
        <w:rPr>
          <w:rFonts w:ascii="Century" w:hAnsi="Century" w:hint="cs"/>
          <w:rtl/>
        </w:rPr>
        <w:t xml:space="preserve"> בעמ' 279 לגבי האחראים לפרסום). אכן, לא בכדי פירטנו לעיל את הוראות הדין המרחיבות את מעגל האחריות בגין פרסום לשון הרע. כפי שהוסבר, על מנת לקבוע כי פלוני ביצע עוולה של לשון הרע עליו להיות האדם האחראי לפעולת "הפרסום", ולחלופין להיות מעוול במשותף מכוח סעיף 12 לפקודת הנזיקין או להימנות עם הגורמים המנויים בסעיפים 12-11 לחוק איסור לשון הרע.</w:t>
      </w:r>
    </w:p>
    <w:p w:rsidR="00B347E6" w:rsidRDefault="00B347E6" w:rsidP="00B347E6">
      <w:pPr>
        <w:pStyle w:val="Ruller41"/>
        <w:rPr>
          <w:rFonts w:ascii="Century" w:hAnsi="Century"/>
          <w:rtl/>
        </w:rPr>
      </w:pPr>
    </w:p>
    <w:p w:rsidR="00B347E6" w:rsidRDefault="00B347E6" w:rsidP="008D6D79">
      <w:pPr>
        <w:pStyle w:val="Ruller41"/>
        <w:rPr>
          <w:rFonts w:ascii="Century" w:hAnsi="Century"/>
          <w:rtl/>
        </w:rPr>
      </w:pPr>
      <w:r>
        <w:rPr>
          <w:rFonts w:ascii="Century" w:hAnsi="Century" w:hint="cs"/>
          <w:rtl/>
        </w:rPr>
        <w:t xml:space="preserve"> </w:t>
      </w:r>
      <w:r w:rsidR="008D6D79">
        <w:rPr>
          <w:rFonts w:ascii="Century" w:hAnsi="Century" w:hint="cs"/>
          <w:rtl/>
        </w:rPr>
        <w:t>63</w:t>
      </w:r>
      <w:r>
        <w:rPr>
          <w:rFonts w:ascii="Century" w:hAnsi="Century" w:hint="cs"/>
          <w:rtl/>
        </w:rPr>
        <w:t>.</w:t>
      </w:r>
      <w:r>
        <w:rPr>
          <w:rFonts w:ascii="Century" w:hAnsi="Century" w:hint="cs"/>
          <w:rtl/>
        </w:rPr>
        <w:tab/>
        <w:t>בכל הנוגע לשאלה מיהו "המפרסם" של הסרט ביוטיוב, ברי כי האדם שהעלה את הסרט לאתר הוא בגדר "מפרסם". האם יש בסיס לקביעה כי המערער גם הוא בגדר "מפרסם" של הסרט ביוטיוב, ול</w:t>
      </w:r>
      <w:r>
        <w:rPr>
          <w:rFonts w:ascii="FrankRuehl" w:hAnsi="FrankRuehl"/>
          <w:rtl/>
        </w:rPr>
        <w:t>וּ</w:t>
      </w:r>
      <w:r>
        <w:rPr>
          <w:rFonts w:ascii="Century" w:hAnsi="Century" w:hint="cs"/>
          <w:rtl/>
        </w:rPr>
        <w:t xml:space="preserve"> בשל העובדה שהוא האדם שפרסם את הסרט המקורי שהוקרן בעבר? לנוכח נקודת המוצא העובדתית במקרה דנן, ולפיה העלאת הסרט ליוטיוב נעשתה שלא על דעת המערער ושלא בהסכמתו, התשובה לשאלה זו שלילית. הטעם הפשוט לכך הוא שבנסיבות אלו המערער לא נכנס באף אחת מן המשבצות המאפשרות להטיל עליו אחריות בשל העלאת הסרט, לא המשבצות שבחוק איסור לשון </w:t>
      </w:r>
      <w:r w:rsidRPr="00B048C9">
        <w:rPr>
          <w:rFonts w:ascii="Century" w:hAnsi="Century" w:hint="cs"/>
          <w:rtl/>
        </w:rPr>
        <w:t xml:space="preserve">הרע ולא החלופות שבפקודת הנזיקין. [במאמר מוסגר: בכך טמון שוני בין העלאת הסרט ליוטיוב שנעשתה ללא ידיעת המערער, לעומת ההקרנות של הסרט בסינמטק ובמוסדות הנוספים, שלגביהן נקבע כי נערכו </w:t>
      </w:r>
      <w:r w:rsidRPr="00B048C9">
        <w:rPr>
          <w:rFonts w:ascii="Century" w:hAnsi="Century" w:cs="Miriam" w:hint="cs"/>
          <w:b/>
          <w:spacing w:val="0"/>
          <w:szCs w:val="24"/>
          <w:rtl/>
        </w:rPr>
        <w:t>בהסכמת</w:t>
      </w:r>
      <w:r w:rsidRPr="00B048C9">
        <w:rPr>
          <w:rFonts w:ascii="Century" w:hAnsi="Century" w:hint="cs"/>
          <w:rtl/>
        </w:rPr>
        <w:t xml:space="preserve"> המערער. על פני הדברים, הסכמה זו מצד המערער עשויה </w:t>
      </w:r>
      <w:r>
        <w:rPr>
          <w:rFonts w:ascii="Century" w:hAnsi="Century" w:hint="cs"/>
          <w:rtl/>
        </w:rPr>
        <w:t xml:space="preserve">לכאורה </w:t>
      </w:r>
      <w:r w:rsidRPr="00B048C9">
        <w:rPr>
          <w:rFonts w:ascii="Century" w:hAnsi="Century" w:hint="cs"/>
          <w:rtl/>
        </w:rPr>
        <w:t xml:space="preserve">להכניסו גם תחת חלופת ה"מרשה" שבסעיף 12 לפקודת הנזיקין. משעה שלא נטען להטלת אחריות מכוח חלופה זו, ובהינתן שממילא מצאנו כי יש להטיל על המערער אחריות בגין הקרנות אלו, איני רואה </w:t>
      </w:r>
      <w:r w:rsidRPr="00DE70CB">
        <w:rPr>
          <w:rFonts w:ascii="Century" w:hAnsi="Century" w:hint="cs"/>
          <w:rtl/>
        </w:rPr>
        <w:t xml:space="preserve">להידרש </w:t>
      </w:r>
      <w:r w:rsidRPr="005E61F9">
        <w:rPr>
          <w:rStyle w:val="af0"/>
          <w:rFonts w:ascii="Century" w:hAnsi="Century" w:hint="eastAsia"/>
          <w:i w:val="0"/>
          <w:iCs w:val="0"/>
          <w:rtl/>
        </w:rPr>
        <w:t>לכך</w:t>
      </w:r>
      <w:r w:rsidRPr="00DE70CB">
        <w:rPr>
          <w:rFonts w:ascii="Century" w:hAnsi="Century" w:hint="cs"/>
          <w:rtl/>
        </w:rPr>
        <w:t xml:space="preserve">]. </w:t>
      </w:r>
    </w:p>
    <w:p w:rsidR="00B347E6" w:rsidRDefault="00B347E6" w:rsidP="00B347E6">
      <w:pPr>
        <w:pStyle w:val="Ruller41"/>
        <w:rPr>
          <w:rFonts w:ascii="Century" w:hAnsi="Century"/>
          <w:rtl/>
        </w:rPr>
      </w:pPr>
    </w:p>
    <w:p w:rsidR="00B347E6" w:rsidRDefault="00B347E6" w:rsidP="00DE70CB">
      <w:pPr>
        <w:pStyle w:val="Ruller41"/>
        <w:rPr>
          <w:rFonts w:ascii="Century" w:hAnsi="Century"/>
          <w:rtl/>
        </w:rPr>
      </w:pPr>
      <w:r>
        <w:rPr>
          <w:rFonts w:ascii="Century" w:hAnsi="Century"/>
          <w:rtl/>
        </w:rPr>
        <w:tab/>
      </w:r>
      <w:r>
        <w:rPr>
          <w:rFonts w:ascii="Century" w:hAnsi="Century" w:hint="cs"/>
          <w:rtl/>
        </w:rPr>
        <w:t xml:space="preserve">הניסיון להטיל על אדם אחריות בגין פרסום </w:t>
      </w:r>
      <w:r w:rsidRPr="00DE3D2B">
        <w:rPr>
          <w:rFonts w:ascii="Century" w:hAnsi="Century" w:hint="cs"/>
          <w:rtl/>
        </w:rPr>
        <w:t>שנעשה שלא בשליטתו, ללא</w:t>
      </w:r>
      <w:r>
        <w:rPr>
          <w:rFonts w:ascii="Century" w:hAnsi="Century" w:hint="cs"/>
          <w:rtl/>
        </w:rPr>
        <w:t xml:space="preserve"> ידיעתו וללא הסכמתו, משל היה מעין מעוול-במשותף-שלא-מדעת, הוא ניסיון מוקשה; והמסקנה כי לא ניתן לעשות כן מתיישבת, שמא מתחייבת, גם על פי השכ</w:t>
      </w:r>
      <w:r w:rsidR="00DE70CB">
        <w:rPr>
          <w:rFonts w:ascii="Century" w:hAnsi="Century" w:hint="cs"/>
          <w:rtl/>
        </w:rPr>
        <w:t>ל</w:t>
      </w:r>
      <w:r>
        <w:rPr>
          <w:rFonts w:ascii="Century" w:hAnsi="Century" w:hint="cs"/>
          <w:rtl/>
        </w:rPr>
        <w:t xml:space="preserve"> הישר. טול דוגמה שבה ראובן תלה למשך יום אחד מודעה משמיצה נגד שמעון בחצר הקמפוס באוניברסיטה. אין חולק כי בכך ביצע ראובן </w:t>
      </w:r>
      <w:r w:rsidRPr="00605EEB">
        <w:rPr>
          <w:rFonts w:ascii="Century" w:hAnsi="Century" w:cs="Miriam" w:hint="cs"/>
          <w:b/>
          <w:spacing w:val="0"/>
          <w:szCs w:val="24"/>
          <w:rtl/>
        </w:rPr>
        <w:t>עוולה אחת</w:t>
      </w:r>
      <w:r>
        <w:rPr>
          <w:rFonts w:ascii="Century" w:hAnsi="Century" w:hint="cs"/>
          <w:rtl/>
        </w:rPr>
        <w:t xml:space="preserve"> של פרסום לשון הרע, וזאת ללא תלות בכמות האנשים שייחשפו למודעה במהלך היום (הגם שמקום הפרסום וכמות האנשים שנחשפו למודעה צפויים להשפיע על גובה הנזק </w:t>
      </w:r>
      <w:r>
        <w:rPr>
          <w:rFonts w:ascii="Century" w:hAnsi="Century"/>
          <w:rtl/>
        </w:rPr>
        <w:t>–</w:t>
      </w:r>
      <w:r>
        <w:rPr>
          <w:rFonts w:ascii="Century" w:hAnsi="Century" w:hint="cs"/>
          <w:rtl/>
        </w:rPr>
        <w:t xml:space="preserve"> ועל כך להלן). כעת נניח כי לוי העתיק את המודעה שפרסם ראובן, וכעבור שנה הלך ותלה אותה בלוח המודעות בקמפוס של אוניברסיטה אחרת, כל זאת ללא ידיעתו של ראובן וללא הסכמתו. האם ניתן לראות את ראובן כמי שביצע עוולה של פרסום לשון הרע בגין הפרסום החוזר שביצע לוי? התשובה הברורה והמתבקשת היא שלילית. אכן, קשה להלום כי כל אימת שפלוני יפרסם לשון הרע, הוא ישא בעתיד באחריות מוחלטת לכל פרסום חוזר שיבצע </w:t>
      </w:r>
      <w:r w:rsidRPr="00B500C2">
        <w:rPr>
          <w:rFonts w:ascii="Century" w:hAnsi="Century" w:hint="cs"/>
          <w:rtl/>
        </w:rPr>
        <w:t>אדם אחר</w:t>
      </w:r>
      <w:r w:rsidRPr="00F223B2">
        <w:rPr>
          <w:rFonts w:ascii="Century" w:hAnsi="Century" w:cs="Miriam" w:hint="cs"/>
          <w:b/>
          <w:spacing w:val="0"/>
          <w:szCs w:val="24"/>
          <w:rtl/>
        </w:rPr>
        <w:t xml:space="preserve"> </w:t>
      </w:r>
      <w:r w:rsidRPr="00B500C2">
        <w:rPr>
          <w:rFonts w:ascii="Century" w:hAnsi="Century" w:hint="cs"/>
          <w:rtl/>
        </w:rPr>
        <w:t>ללא ידיעתו וללא הסכמתו</w:t>
      </w:r>
      <w:r>
        <w:rPr>
          <w:rFonts w:ascii="Century" w:hAnsi="Century" w:hint="cs"/>
          <w:rtl/>
        </w:rPr>
        <w:t>. באספקלריה של דיני ההתיישנות, הדברים אף מתחדדים ומקבלים משנה תוקף, שכן קשה להלום שכל פרסום חוזר שיבוצע על ידי צד שלישי יהיה בבחינת "החייאה" של עילת התביעה נגד המפרסם המקורי. מציאות שכזו היתה מובילה לכך שהמפרסם המקורי יהיה חשוף לנצח לתביעות בגין פרסום שביצע בעבר, כל אימת שמאן דהו יבחר לבצע פרסום חוזר של הדברים. תוצאה שכזו אינה עולה בקנה אחד עם הרציונאלים והתכליות של דיני ההתיישנות, ואף לא עם עקרונות יסוד של הטלת אחריות בנזיקין.</w:t>
      </w:r>
    </w:p>
    <w:p w:rsidR="00B347E6" w:rsidRDefault="00B347E6" w:rsidP="00B347E6">
      <w:pPr>
        <w:pStyle w:val="Ruller41"/>
        <w:rPr>
          <w:rFonts w:ascii="Century" w:hAnsi="Century"/>
          <w:rtl/>
        </w:rPr>
      </w:pPr>
    </w:p>
    <w:p w:rsidR="00B347E6" w:rsidRPr="000A5816" w:rsidRDefault="008D6D79" w:rsidP="00B347E6">
      <w:pPr>
        <w:pStyle w:val="Ruller41"/>
        <w:rPr>
          <w:rFonts w:ascii="Century" w:hAnsi="Century"/>
          <w:rtl/>
        </w:rPr>
      </w:pPr>
      <w:r>
        <w:rPr>
          <w:rFonts w:ascii="Century" w:hAnsi="Century" w:hint="cs"/>
          <w:rtl/>
        </w:rPr>
        <w:t>64</w:t>
      </w:r>
      <w:r w:rsidR="00B347E6">
        <w:rPr>
          <w:rFonts w:ascii="Century" w:hAnsi="Century" w:hint="cs"/>
          <w:rtl/>
        </w:rPr>
        <w:t>.</w:t>
      </w:r>
      <w:r w:rsidR="00B347E6">
        <w:rPr>
          <w:rFonts w:ascii="Century" w:hAnsi="Century" w:hint="cs"/>
          <w:rtl/>
        </w:rPr>
        <w:tab/>
        <w:t xml:space="preserve">סוגיה בעלת קווי דמיון (לצד קווי שוני) נדונה בפסק הדין ברע"א 1239/19 </w:t>
      </w:r>
      <w:r w:rsidR="00B347E6" w:rsidRPr="002C1B8A">
        <w:rPr>
          <w:rFonts w:ascii="Century" w:hAnsi="Century" w:cs="Miriam"/>
          <w:b/>
          <w:spacing w:val="0"/>
          <w:szCs w:val="24"/>
          <w:rtl/>
        </w:rPr>
        <w:t>שאול נ' חברת ניידלי תקשורת בע"מ</w:t>
      </w:r>
      <w:r w:rsidR="00B347E6">
        <w:rPr>
          <w:rFonts w:ascii="Century" w:hAnsi="Century" w:hint="cs"/>
          <w:rtl/>
        </w:rPr>
        <w:t xml:space="preserve"> </w:t>
      </w:r>
      <w:r w:rsidR="00B347E6" w:rsidRPr="002C1B8A">
        <w:rPr>
          <w:rFonts w:ascii="Century" w:hAnsi="Century" w:hint="cs"/>
          <w:rtl/>
        </w:rPr>
        <w:t>(8.1.2020)</w:t>
      </w:r>
      <w:r w:rsidR="00B347E6">
        <w:rPr>
          <w:rFonts w:ascii="Century" w:hAnsi="Century" w:hint="cs"/>
          <w:rtl/>
        </w:rPr>
        <w:t xml:space="preserve"> (להלן: עניין </w:t>
      </w:r>
      <w:r w:rsidR="00B347E6" w:rsidRPr="00C4759F">
        <w:rPr>
          <w:rFonts w:ascii="Century" w:hAnsi="Century" w:cs="Miriam" w:hint="cs"/>
          <w:b/>
          <w:spacing w:val="0"/>
          <w:szCs w:val="24"/>
          <w:rtl/>
        </w:rPr>
        <w:t>שאול</w:t>
      </w:r>
      <w:r w:rsidR="00B347E6">
        <w:rPr>
          <w:rFonts w:ascii="Century" w:hAnsi="Century" w:hint="cs"/>
          <w:rtl/>
        </w:rPr>
        <w:t>). פסק דין זה נסב על פרסומים ברשת החברתית פייסבוק, ועסק בהבחנה בין פעולה של "שיתוף" של פוסט (</w:t>
      </w:r>
      <w:r w:rsidR="00B347E6" w:rsidRPr="0040414D">
        <w:rPr>
          <w:rFonts w:asciiTheme="majorBidi" w:hAnsiTheme="majorBidi" w:cstheme="majorBidi"/>
        </w:rPr>
        <w:t>Share</w:t>
      </w:r>
      <w:r w:rsidR="00B347E6">
        <w:rPr>
          <w:rFonts w:ascii="Century" w:hAnsi="Century" w:hint="cs"/>
          <w:rtl/>
        </w:rPr>
        <w:t>) לבין פעולה של "לייק" (</w:t>
      </w:r>
      <w:r w:rsidR="00B347E6" w:rsidRPr="0040414D">
        <w:rPr>
          <w:rFonts w:asciiTheme="majorBidi" w:hAnsiTheme="majorBidi" w:cstheme="majorBidi"/>
        </w:rPr>
        <w:t>Like</w:t>
      </w:r>
      <w:r w:rsidR="00B347E6">
        <w:rPr>
          <w:rFonts w:ascii="Century" w:hAnsi="Century" w:hint="cs"/>
          <w:rtl/>
        </w:rPr>
        <w:t xml:space="preserve">). בתמצית, נקודת המוצא בפסק הדין היתה כי פרסום חוזר, קרי חזרה על דברים שפורסמו קודם לכן, מהווה "פרסום" ואינו חסין מתחולתם של דיני לשון הרע. כפי שהוסבר, חוק איסור לשון הרע מקנה הגנה למי שביצע פרסום חוזר רק </w:t>
      </w:r>
      <w:r w:rsidR="00B347E6" w:rsidRPr="004C267A">
        <w:rPr>
          <w:rFonts w:ascii="Century" w:hAnsi="Century" w:cs="Miriam" w:hint="cs"/>
          <w:b/>
          <w:spacing w:val="0"/>
          <w:szCs w:val="24"/>
          <w:rtl/>
        </w:rPr>
        <w:t>בנסיבות ספציפיות</w:t>
      </w:r>
      <w:r w:rsidR="00B347E6">
        <w:rPr>
          <w:rFonts w:ascii="Century" w:hAnsi="Century" w:hint="cs"/>
          <w:rtl/>
        </w:rPr>
        <w:t xml:space="preserve"> שבהן הפרסום המקורי היה אף הוא חסין מפני תביעה (ראו ההגנה שבסעיף 11(13) לחוק). בנוסף, במישור </w:t>
      </w:r>
      <w:r w:rsidR="00B347E6" w:rsidRPr="0077291B">
        <w:rPr>
          <w:rFonts w:ascii="Century" w:hAnsi="Century" w:cs="Miriam" w:hint="cs"/>
          <w:b/>
          <w:spacing w:val="0"/>
          <w:szCs w:val="24"/>
          <w:rtl/>
        </w:rPr>
        <w:t>הסעד</w:t>
      </w:r>
      <w:r w:rsidR="00B347E6">
        <w:rPr>
          <w:rFonts w:ascii="Century" w:hAnsi="Century" w:hint="cs"/>
          <w:rtl/>
        </w:rPr>
        <w:t xml:space="preserve">, חוק איסור לשון הרע מאפשר </w:t>
      </w:r>
      <w:r w:rsidR="00B347E6" w:rsidRPr="0077291B">
        <w:rPr>
          <w:rFonts w:ascii="Century" w:hAnsi="Century" w:hint="cs"/>
          <w:rtl/>
        </w:rPr>
        <w:t>ל</w:t>
      </w:r>
      <w:r w:rsidR="00B347E6">
        <w:rPr>
          <w:rFonts w:ascii="Century" w:hAnsi="Century" w:hint="cs"/>
          <w:rtl/>
        </w:rPr>
        <w:t>שקול לטובת המפרסם את העובדה ש</w:t>
      </w:r>
      <w:r w:rsidR="00B347E6" w:rsidRPr="0077291B">
        <w:rPr>
          <w:rFonts w:ascii="Century" w:hAnsi="Century" w:hint="cs"/>
          <w:rtl/>
        </w:rPr>
        <w:t>לשון הרע "</w:t>
      </w:r>
      <w:r w:rsidR="00B347E6" w:rsidRPr="000A5816">
        <w:rPr>
          <w:rFonts w:ascii="Century" w:hAnsi="Century"/>
          <w:rtl/>
        </w:rPr>
        <w:t>לא היתה אלא חזרה על מה שכבר נאמר</w:t>
      </w:r>
      <w:r w:rsidR="00B347E6" w:rsidRPr="0077291B">
        <w:rPr>
          <w:rFonts w:ascii="Century" w:hAnsi="Century" w:hint="cs"/>
          <w:rtl/>
        </w:rPr>
        <w:t>" (סעיף 19(1) לחוק). ללמדך</w:t>
      </w:r>
      <w:r w:rsidR="00B347E6">
        <w:rPr>
          <w:rFonts w:ascii="Century" w:hAnsi="Century" w:hint="cs"/>
          <w:rtl/>
        </w:rPr>
        <w:t xml:space="preserve">, שפרסום חוזר כשלעצמו אינו חסין ויש לראותו כ"פרסום" לצורך הוראות החוק (עניין </w:t>
      </w:r>
      <w:r w:rsidR="00B347E6" w:rsidRPr="0003405F">
        <w:rPr>
          <w:rFonts w:ascii="Century" w:hAnsi="Century" w:cs="Miriam" w:hint="cs"/>
          <w:b/>
          <w:spacing w:val="0"/>
          <w:szCs w:val="24"/>
          <w:rtl/>
        </w:rPr>
        <w:t>שאול</w:t>
      </w:r>
      <w:r w:rsidR="00B347E6">
        <w:rPr>
          <w:rFonts w:ascii="Century" w:hAnsi="Century" w:hint="cs"/>
          <w:rtl/>
        </w:rPr>
        <w:t xml:space="preserve">, פסקה 44; כן ראו ע"א 348/85 </w:t>
      </w:r>
      <w:r w:rsidR="00B347E6" w:rsidRPr="009337E7">
        <w:rPr>
          <w:rFonts w:ascii="Century" w:hAnsi="Century" w:cs="Miriam" w:hint="cs"/>
          <w:b/>
          <w:spacing w:val="0"/>
          <w:szCs w:val="24"/>
          <w:rtl/>
        </w:rPr>
        <w:t>בן ציון נ' הוצאת מודיעין בע"מ</w:t>
      </w:r>
      <w:r w:rsidR="00B347E6">
        <w:rPr>
          <w:rFonts w:ascii="Century" w:hAnsi="Century" w:hint="cs"/>
          <w:rtl/>
        </w:rPr>
        <w:t xml:space="preserve">, פ"ד מב(1) 797, 801 (1988); </w:t>
      </w:r>
      <w:r w:rsidR="00B347E6" w:rsidRPr="0077291B">
        <w:rPr>
          <w:rFonts w:ascii="Century" w:hAnsi="Century" w:cs="Miriam" w:hint="cs"/>
          <w:b/>
          <w:spacing w:val="0"/>
          <w:szCs w:val="24"/>
          <w:rtl/>
        </w:rPr>
        <w:t>שנהר</w:t>
      </w:r>
      <w:r w:rsidR="00B347E6">
        <w:rPr>
          <w:rFonts w:ascii="Century" w:hAnsi="Century" w:hint="cs"/>
          <w:rtl/>
        </w:rPr>
        <w:t xml:space="preserve">, עמ' 382). </w:t>
      </w:r>
    </w:p>
    <w:p w:rsidR="00B347E6" w:rsidRDefault="00B347E6" w:rsidP="00B347E6">
      <w:pPr>
        <w:pStyle w:val="Ruller41"/>
        <w:rPr>
          <w:rFonts w:ascii="Century" w:hAnsi="Century"/>
          <w:rtl/>
        </w:rPr>
      </w:pPr>
    </w:p>
    <w:p w:rsidR="00B347E6" w:rsidRPr="00EE6D2C" w:rsidRDefault="00B347E6" w:rsidP="00B347E6">
      <w:pPr>
        <w:pStyle w:val="Ruller41"/>
        <w:rPr>
          <w:rFonts w:ascii="Century" w:hAnsi="Century"/>
          <w:color w:val="FF0000"/>
          <w:rtl/>
        </w:rPr>
      </w:pPr>
      <w:r>
        <w:rPr>
          <w:rFonts w:ascii="Century" w:hAnsi="Century"/>
          <w:rtl/>
        </w:rPr>
        <w:tab/>
      </w:r>
      <w:r>
        <w:rPr>
          <w:rFonts w:ascii="Century" w:hAnsi="Century" w:hint="cs"/>
          <w:rtl/>
        </w:rPr>
        <w:t xml:space="preserve">לגופה של סוגיה, בעניין </w:t>
      </w:r>
      <w:r w:rsidRPr="00C4759F">
        <w:rPr>
          <w:rFonts w:ascii="Century" w:hAnsi="Century" w:cs="Miriam" w:hint="cs"/>
          <w:b/>
          <w:spacing w:val="0"/>
          <w:szCs w:val="24"/>
          <w:rtl/>
        </w:rPr>
        <w:t>שאול</w:t>
      </w:r>
      <w:r>
        <w:rPr>
          <w:rFonts w:ascii="Century" w:hAnsi="Century" w:hint="cs"/>
          <w:rtl/>
        </w:rPr>
        <w:t xml:space="preserve"> נקבע כי להבדיל מפעולה של "לייק", פעולת "שיתוף" יוצרת </w:t>
      </w:r>
      <w:r w:rsidRPr="007061A5">
        <w:rPr>
          <w:rFonts w:ascii="Century" w:hAnsi="Century" w:cs="Miriam" w:hint="cs"/>
          <w:b/>
          <w:spacing w:val="0"/>
          <w:szCs w:val="24"/>
          <w:rtl/>
        </w:rPr>
        <w:t>מעין עותק</w:t>
      </w:r>
      <w:r>
        <w:rPr>
          <w:rFonts w:ascii="Century" w:hAnsi="Century" w:hint="cs"/>
          <w:rtl/>
        </w:rPr>
        <w:t xml:space="preserve"> של הפרסום המקורי ומהווה פעולה של חזרה על הפרסום החושפת אותו למשתמשים נוספים, וניתן להטיל בגינה אחריות </w:t>
      </w:r>
      <w:r w:rsidRPr="007061A5">
        <w:rPr>
          <w:rFonts w:ascii="Century" w:hAnsi="Century" w:cs="Miriam" w:hint="cs"/>
          <w:b/>
          <w:spacing w:val="0"/>
          <w:szCs w:val="24"/>
          <w:rtl/>
        </w:rPr>
        <w:t>על המשתף</w:t>
      </w:r>
      <w:r>
        <w:rPr>
          <w:rFonts w:ascii="Century" w:hAnsi="Century" w:hint="cs"/>
          <w:rtl/>
        </w:rPr>
        <w:t>, קרי על מי שביצע את הפרסום החוזר</w:t>
      </w:r>
      <w:r w:rsidRPr="007061A5">
        <w:rPr>
          <w:rFonts w:ascii="Century" w:hAnsi="Century" w:hint="cs"/>
          <w:rtl/>
        </w:rPr>
        <w:t xml:space="preserve"> </w:t>
      </w:r>
      <w:r>
        <w:rPr>
          <w:rFonts w:ascii="Century" w:hAnsi="Century" w:hint="cs"/>
          <w:rtl/>
        </w:rPr>
        <w:t xml:space="preserve">(שם, פסקאות 45, 47 לפסק דינה של השופטת </w:t>
      </w:r>
      <w:r w:rsidRPr="00B669D5">
        <w:rPr>
          <w:rFonts w:ascii="Century" w:hAnsi="Century" w:cs="Miriam" w:hint="cs"/>
          <w:b/>
          <w:spacing w:val="0"/>
          <w:szCs w:val="24"/>
          <w:rtl/>
        </w:rPr>
        <w:t>ברק-ארז</w:t>
      </w:r>
      <w:r>
        <w:rPr>
          <w:rFonts w:ascii="Century" w:hAnsi="Century" w:hint="cs"/>
          <w:rtl/>
        </w:rPr>
        <w:t xml:space="preserve">). כן ראו דבריה של השופטת </w:t>
      </w:r>
      <w:r w:rsidRPr="00B669D5">
        <w:rPr>
          <w:rFonts w:ascii="Century" w:hAnsi="Century" w:cs="Miriam" w:hint="cs"/>
          <w:b/>
          <w:spacing w:val="0"/>
          <w:szCs w:val="24"/>
          <w:rtl/>
        </w:rPr>
        <w:t>וילנר</w:t>
      </w:r>
      <w:r>
        <w:rPr>
          <w:rFonts w:ascii="Century" w:hAnsi="Century" w:hint="cs"/>
          <w:rtl/>
        </w:rPr>
        <w:t>, שציינה כי "</w:t>
      </w:r>
      <w:r w:rsidRPr="00100BE7">
        <w:rPr>
          <w:rFonts w:ascii="Century" w:hAnsi="Century"/>
          <w:rtl/>
        </w:rPr>
        <w:t xml:space="preserve">פעולת השיתוף נועדה, הלכה למעשה, </w:t>
      </w:r>
      <w:r w:rsidRPr="007061A5">
        <w:rPr>
          <w:rFonts w:ascii="Century" w:hAnsi="Century" w:cs="Miriam"/>
          <w:b/>
          <w:spacing w:val="0"/>
          <w:szCs w:val="24"/>
          <w:rtl/>
        </w:rPr>
        <w:t>לפרסם</w:t>
      </w:r>
      <w:r w:rsidRPr="00100BE7">
        <w:rPr>
          <w:rFonts w:ascii="Century" w:hAnsi="Century"/>
          <w:rtl/>
        </w:rPr>
        <w:t xml:space="preserve"> את התוכן המשותף לקהלים חדשים ושונים</w:t>
      </w:r>
      <w:r>
        <w:rPr>
          <w:rFonts w:ascii="Century" w:hAnsi="Century" w:hint="cs"/>
          <w:rtl/>
        </w:rPr>
        <w:t xml:space="preserve">" (שם בפסקה 1 לפסק דינה, ההדגשה הוספה </w:t>
      </w:r>
      <w:r>
        <w:rPr>
          <w:rFonts w:ascii="Century" w:hAnsi="Century"/>
          <w:rtl/>
        </w:rPr>
        <w:t>–</w:t>
      </w:r>
      <w:r>
        <w:rPr>
          <w:rFonts w:ascii="Century" w:hAnsi="Century" w:hint="cs"/>
          <w:rtl/>
        </w:rPr>
        <w:t xml:space="preserve"> י"ע). ואכן, באותו מקרה נדחה ערעורם של זוג המשתפים והוטלה עליהם אחריות בגין שיתוף פוסט פוגעני.</w:t>
      </w:r>
    </w:p>
    <w:p w:rsidR="00B347E6" w:rsidRDefault="00B347E6" w:rsidP="00B347E6">
      <w:pPr>
        <w:pStyle w:val="Ruller41"/>
        <w:rPr>
          <w:rFonts w:ascii="Century" w:hAnsi="Century"/>
          <w:rtl/>
        </w:rPr>
      </w:pPr>
    </w:p>
    <w:p w:rsidR="00B347E6" w:rsidRDefault="008D6D79" w:rsidP="00B347E6">
      <w:pPr>
        <w:pStyle w:val="Ruller41"/>
        <w:rPr>
          <w:rtl/>
        </w:rPr>
      </w:pPr>
      <w:r>
        <w:rPr>
          <w:rFonts w:ascii="Century" w:hAnsi="Century" w:hint="cs"/>
          <w:rtl/>
        </w:rPr>
        <w:t>65</w:t>
      </w:r>
      <w:r w:rsidR="00B347E6">
        <w:rPr>
          <w:rFonts w:ascii="Century" w:hAnsi="Century" w:hint="cs"/>
          <w:rtl/>
        </w:rPr>
        <w:t>.</w:t>
      </w:r>
      <w:r w:rsidR="00B347E6">
        <w:rPr>
          <w:rFonts w:ascii="Century" w:hAnsi="Century"/>
          <w:rtl/>
        </w:rPr>
        <w:tab/>
      </w:r>
      <w:r w:rsidR="00B347E6">
        <w:rPr>
          <w:rFonts w:ascii="Century" w:hAnsi="Century" w:hint="cs"/>
          <w:rtl/>
        </w:rPr>
        <w:t xml:space="preserve">בהקשר זה ראוי להתעכב על הערת אגב של השופטת </w:t>
      </w:r>
      <w:r w:rsidR="00B347E6" w:rsidRPr="008875DB">
        <w:rPr>
          <w:rFonts w:ascii="Century" w:hAnsi="Century" w:cs="Miriam" w:hint="cs"/>
          <w:b/>
          <w:spacing w:val="0"/>
          <w:szCs w:val="24"/>
          <w:rtl/>
        </w:rPr>
        <w:t>ברק-ארז</w:t>
      </w:r>
      <w:r w:rsidR="00B347E6">
        <w:rPr>
          <w:rFonts w:ascii="Century" w:hAnsi="Century" w:hint="cs"/>
          <w:rtl/>
        </w:rPr>
        <w:t xml:space="preserve"> בעניין </w:t>
      </w:r>
      <w:r w:rsidR="00B347E6" w:rsidRPr="007061A5">
        <w:rPr>
          <w:rFonts w:ascii="Century" w:hAnsi="Century" w:cs="Miriam" w:hint="cs"/>
          <w:b/>
          <w:spacing w:val="0"/>
          <w:szCs w:val="24"/>
          <w:rtl/>
        </w:rPr>
        <w:t>שאול</w:t>
      </w:r>
      <w:r w:rsidR="00B347E6">
        <w:rPr>
          <w:rFonts w:ascii="Century" w:hAnsi="Century" w:hint="cs"/>
          <w:rtl/>
        </w:rPr>
        <w:t>, שבה ציינה כי "</w:t>
      </w:r>
      <w:r w:rsidR="00B347E6">
        <w:rPr>
          <w:rFonts w:hint="cs"/>
          <w:rtl/>
        </w:rPr>
        <w:t xml:space="preserve">במקרה הרגיל ובהיעדר נסיבות חריגות (למשל כאשר המפרסם המקורי הוא אנונימי או בלתי ניתן לאיתור), ברירת המחדל היא כי התביעה תוגש קודם כל נגד </w:t>
      </w:r>
      <w:r w:rsidR="00B347E6" w:rsidRPr="00C4759F">
        <w:rPr>
          <w:rFonts w:ascii="Century" w:hAnsi="Century" w:cs="Miriam" w:hint="cs"/>
          <w:b/>
          <w:spacing w:val="0"/>
          <w:szCs w:val="24"/>
          <w:rtl/>
        </w:rPr>
        <w:t>המפרסם המקורי</w:t>
      </w:r>
      <w:r w:rsidR="00B347E6">
        <w:rPr>
          <w:rFonts w:hint="cs"/>
          <w:rtl/>
        </w:rPr>
        <w:t xml:space="preserve">, בהיותו זה ש'חולל' את הפגיעה בשם הטוב" (שם בפסקה 49, ההדגשה הוספה </w:t>
      </w:r>
      <w:r w:rsidR="00B347E6">
        <w:rPr>
          <w:rtl/>
        </w:rPr>
        <w:t>–</w:t>
      </w:r>
      <w:r w:rsidR="00B347E6">
        <w:rPr>
          <w:rFonts w:hint="cs"/>
          <w:rtl/>
        </w:rPr>
        <w:t xml:space="preserve"> י"ע). לכאורה, מכאן ניתן היה להסיק כי כל אימת שניתן להגיש תביעה נגד המפרסם המקורי </w:t>
      </w:r>
      <w:r w:rsidR="00B347E6">
        <w:rPr>
          <w:rtl/>
        </w:rPr>
        <w:t>–</w:t>
      </w:r>
      <w:r w:rsidR="00B347E6">
        <w:rPr>
          <w:rFonts w:hint="cs"/>
          <w:rtl/>
        </w:rPr>
        <w:t xml:space="preserve"> אזי הוא, ולא המשתף, ישמש ככתובת ראשונה גם עבור תביעות בגין כל פרסום חוזר באשר הוא. </w:t>
      </w:r>
    </w:p>
    <w:p w:rsidR="00B347E6" w:rsidRDefault="00B347E6" w:rsidP="00B347E6">
      <w:pPr>
        <w:pStyle w:val="Ruller41"/>
        <w:rPr>
          <w:rtl/>
        </w:rPr>
      </w:pPr>
    </w:p>
    <w:p w:rsidR="00B347E6" w:rsidRDefault="00B347E6" w:rsidP="00B347E6">
      <w:pPr>
        <w:pStyle w:val="Ruller41"/>
        <w:rPr>
          <w:rFonts w:ascii="Century" w:hAnsi="Century"/>
          <w:rtl/>
        </w:rPr>
      </w:pPr>
      <w:r>
        <w:rPr>
          <w:rtl/>
        </w:rPr>
        <w:tab/>
      </w:r>
      <w:r>
        <w:rPr>
          <w:rFonts w:hint="cs"/>
          <w:rtl/>
        </w:rPr>
        <w:t>ולא היא.</w:t>
      </w:r>
      <w:r>
        <w:rPr>
          <w:rFonts w:ascii="Century" w:hAnsi="Century" w:hint="cs"/>
          <w:rtl/>
        </w:rPr>
        <w:t xml:space="preserve"> ראשית, מעניין להיווכח כי הנסיבות בעניין </w:t>
      </w:r>
      <w:r w:rsidRPr="00C341E6">
        <w:rPr>
          <w:rFonts w:ascii="Century" w:hAnsi="Century" w:cs="Miriam" w:hint="cs"/>
          <w:b/>
          <w:spacing w:val="0"/>
          <w:szCs w:val="24"/>
          <w:rtl/>
        </w:rPr>
        <w:t>שאול</w:t>
      </w:r>
      <w:r>
        <w:rPr>
          <w:rFonts w:ascii="Century" w:hAnsi="Century" w:hint="cs"/>
          <w:rtl/>
        </w:rPr>
        <w:t xml:space="preserve"> היו במידה רבה תמונת ראי לנסיבות המקרה שלפנינו. כך, בעוד שבמקרה שלפנינו זהותו של המפרסם המקורי ידועה (המערער) וזהותו של המפרסם החוזר שהעלה את הסרט ליוטיוב אינה ידועה, בעניין </w:t>
      </w:r>
      <w:r w:rsidRPr="00C341E6">
        <w:rPr>
          <w:rFonts w:ascii="Century" w:hAnsi="Century" w:cs="Miriam" w:hint="cs"/>
          <w:b/>
          <w:spacing w:val="0"/>
          <w:szCs w:val="24"/>
          <w:rtl/>
        </w:rPr>
        <w:t>שאול</w:t>
      </w:r>
      <w:r>
        <w:rPr>
          <w:rFonts w:ascii="Century" w:hAnsi="Century" w:hint="cs"/>
          <w:rtl/>
        </w:rPr>
        <w:t xml:space="preserve"> המצב היה הפוך: זהותו של המפרסם המקורי נותרה עלומה (שכן הפוסט המקורי פורסם בדף פייסבוק שזהות מנהליו לא היתה ידועה), ואילו זהותו של המשתף היתה ידועה.</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בפסק דינה עמדה השופטת </w:t>
      </w:r>
      <w:r w:rsidRPr="00EF3410">
        <w:rPr>
          <w:rFonts w:ascii="Century" w:hAnsi="Century" w:cs="Miriam" w:hint="cs"/>
          <w:b/>
          <w:spacing w:val="0"/>
          <w:szCs w:val="24"/>
          <w:rtl/>
        </w:rPr>
        <w:t>ברק-ארז</w:t>
      </w:r>
      <w:r>
        <w:rPr>
          <w:rFonts w:ascii="Century" w:hAnsi="Century" w:hint="cs"/>
          <w:rtl/>
        </w:rPr>
        <w:t xml:space="preserve"> על חששות שונים שעלולים להתעורר כאשר מוגשת תביעה נגד "משתף", ובכלל זה החשש מפני תופעה של "תביעה בררנית", שבה תביעות תוגשנה בכוונה נגד משתפים חלשים שכוח התביעה נגדם עשוי להיות משמעותי יותר; חשש מפני הגשת תביעות השתקה; חשש מפני הצפת בתי המשפט בתביעות סרק; ועוד. חששות אלה הם שעמדו בבסיס הערתה של השופטת </w:t>
      </w:r>
      <w:r w:rsidRPr="00EF3410">
        <w:rPr>
          <w:rFonts w:ascii="Century" w:hAnsi="Century" w:cs="Miriam" w:hint="cs"/>
          <w:b/>
          <w:spacing w:val="0"/>
          <w:szCs w:val="24"/>
          <w:rtl/>
        </w:rPr>
        <w:t>ברק-ארז</w:t>
      </w:r>
      <w:r>
        <w:rPr>
          <w:rFonts w:ascii="Century" w:hAnsi="Century" w:hint="cs"/>
          <w:rtl/>
        </w:rPr>
        <w:t xml:space="preserve"> כי ברירת המחדל היא הגשת תביעה בראש ובראשונה נגד המפרסם המקורי. ודוק: פשט הדברים הוא שברירת מחדל זו עניינה בהגשת תביעה נגד המפרסם המקורי </w:t>
      </w:r>
      <w:r w:rsidRPr="00872058">
        <w:rPr>
          <w:rFonts w:ascii="Century" w:hAnsi="Century" w:cs="Miriam" w:hint="cs"/>
          <w:b/>
          <w:spacing w:val="0"/>
          <w:szCs w:val="24"/>
          <w:rtl/>
        </w:rPr>
        <w:t>בגין הפרסום המקורי</w:t>
      </w:r>
      <w:r>
        <w:rPr>
          <w:rFonts w:ascii="Century" w:hAnsi="Century" w:hint="cs"/>
          <w:rtl/>
        </w:rPr>
        <w:t xml:space="preserve">. בהקשר זה הבהירה השופטת </w:t>
      </w:r>
      <w:r w:rsidRPr="00872058">
        <w:rPr>
          <w:rFonts w:ascii="Century" w:hAnsi="Century" w:cs="Miriam" w:hint="cs"/>
          <w:b/>
          <w:spacing w:val="0"/>
          <w:szCs w:val="24"/>
          <w:rtl/>
        </w:rPr>
        <w:t>ברק-ארז</w:t>
      </w:r>
      <w:r>
        <w:rPr>
          <w:rFonts w:ascii="Century" w:hAnsi="Century" w:hint="cs"/>
          <w:rtl/>
        </w:rPr>
        <w:t xml:space="preserve"> כי "המפרסם המקורי הוא זה שבכוחו להסיר באופן מיידי את הפרסום </w:t>
      </w:r>
      <w:r>
        <w:rPr>
          <w:rFonts w:ascii="Century" w:hAnsi="Century"/>
          <w:rtl/>
        </w:rPr>
        <w:t>–</w:t>
      </w:r>
      <w:r>
        <w:rPr>
          <w:rFonts w:ascii="Century" w:hAnsi="Century" w:hint="cs"/>
          <w:rtl/>
        </w:rPr>
        <w:t xml:space="preserve"> שכן המשתף יכול רק למחוק את השיתוף מטעמו, מבלי שהדבר ישפיע על הפרסום המקורי. לעומת זאת, אם המפרסם המקורי מוחק את הפוסט המעוול, הוא יוסר אוטומטית גם מהחשבונות של המשתמשים המשתפים אותו [...]" (שם, פסקה 49). רוצה לומר, שתביעה נגד </w:t>
      </w:r>
      <w:r w:rsidRPr="005C24C8">
        <w:rPr>
          <w:rFonts w:ascii="Century" w:hAnsi="Century" w:cs="Miriam" w:hint="cs"/>
          <w:b/>
          <w:spacing w:val="0"/>
          <w:szCs w:val="24"/>
          <w:rtl/>
        </w:rPr>
        <w:t>המפרסם המקורי</w:t>
      </w:r>
      <w:r>
        <w:rPr>
          <w:rFonts w:ascii="Century" w:hAnsi="Century" w:hint="cs"/>
          <w:rtl/>
        </w:rPr>
        <w:t xml:space="preserve"> בגין </w:t>
      </w:r>
      <w:r w:rsidRPr="005C24C8">
        <w:rPr>
          <w:rFonts w:ascii="Century" w:hAnsi="Century" w:cs="Miriam" w:hint="cs"/>
          <w:b/>
          <w:spacing w:val="0"/>
          <w:szCs w:val="24"/>
          <w:rtl/>
        </w:rPr>
        <w:t>הפרסום המקורי</w:t>
      </w:r>
      <w:r>
        <w:rPr>
          <w:rFonts w:ascii="Century" w:hAnsi="Century" w:hint="cs"/>
          <w:rtl/>
        </w:rPr>
        <w:t xml:space="preserve"> תחסוך את הצורך בהגשת תביעות נגד המשתפים בגין הפרסומים החוזרים, שכן המפרסם המקורי מחזיק בכוח (הטכני) להביא גם למחיקתם בפועל של השיתופים.</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66</w:t>
      </w:r>
      <w:r w:rsidR="00B347E6">
        <w:rPr>
          <w:rFonts w:ascii="Century" w:hAnsi="Century" w:hint="cs"/>
          <w:rtl/>
        </w:rPr>
        <w:t>.</w:t>
      </w:r>
      <w:r w:rsidR="00B347E6">
        <w:rPr>
          <w:rFonts w:ascii="Century" w:hAnsi="Century"/>
          <w:rtl/>
        </w:rPr>
        <w:tab/>
      </w:r>
      <w:r w:rsidR="00B347E6">
        <w:rPr>
          <w:rFonts w:ascii="Century" w:hAnsi="Century" w:hint="cs"/>
          <w:rtl/>
        </w:rPr>
        <w:t xml:space="preserve">בקיצור, מפסק הדין בעניין </w:t>
      </w:r>
      <w:r w:rsidR="00B347E6" w:rsidRPr="007F31D7">
        <w:rPr>
          <w:rFonts w:ascii="Century" w:hAnsi="Century" w:cs="Miriam" w:hint="cs"/>
          <w:b/>
          <w:spacing w:val="0"/>
          <w:szCs w:val="24"/>
          <w:rtl/>
        </w:rPr>
        <w:t>שאול</w:t>
      </w:r>
      <w:r w:rsidR="00B347E6">
        <w:rPr>
          <w:rFonts w:ascii="Century" w:hAnsi="Century" w:hint="cs"/>
          <w:rtl/>
        </w:rPr>
        <w:t xml:space="preserve"> ניתן ללמוד כי "פרסום חוזר" מהווה "פרסום", במובן זה שמי שמבצע פרסום חוזר דינו כ"מפרסם" לצורך תחולת חוק איסור לשון הרע; כי בהקשר של פרסום פוסטים בפייסבוק, כאשר ניתן להגיש תביעה נגד </w:t>
      </w:r>
      <w:r w:rsidR="00B347E6" w:rsidRPr="00BA17C6">
        <w:rPr>
          <w:rFonts w:ascii="Century" w:hAnsi="Century" w:cs="Miriam" w:hint="cs"/>
          <w:b/>
          <w:spacing w:val="0"/>
          <w:szCs w:val="24"/>
          <w:rtl/>
        </w:rPr>
        <w:t>המפרסם המקורי</w:t>
      </w:r>
      <w:r w:rsidR="00B347E6">
        <w:rPr>
          <w:rFonts w:ascii="Century" w:hAnsi="Century" w:hint="cs"/>
          <w:rtl/>
        </w:rPr>
        <w:t xml:space="preserve"> בגין </w:t>
      </w:r>
      <w:r w:rsidR="00B347E6" w:rsidRPr="00BA17C6">
        <w:rPr>
          <w:rFonts w:ascii="Century" w:hAnsi="Century" w:cs="Miriam" w:hint="cs"/>
          <w:b/>
          <w:spacing w:val="0"/>
          <w:szCs w:val="24"/>
          <w:rtl/>
        </w:rPr>
        <w:t>הפרסום המקורי</w:t>
      </w:r>
      <w:r w:rsidR="00B347E6">
        <w:rPr>
          <w:rFonts w:ascii="Century" w:hAnsi="Century" w:hint="cs"/>
          <w:rtl/>
        </w:rPr>
        <w:t xml:space="preserve">, דרך זו עדיפה על פני הגשת תביעה נגד </w:t>
      </w:r>
      <w:r w:rsidR="00B347E6" w:rsidRPr="00BA17C6">
        <w:rPr>
          <w:rFonts w:ascii="Century" w:hAnsi="Century" w:cs="Miriam" w:hint="cs"/>
          <w:b/>
          <w:spacing w:val="0"/>
          <w:szCs w:val="24"/>
          <w:rtl/>
        </w:rPr>
        <w:t>המשתף</w:t>
      </w:r>
      <w:r w:rsidR="00B347E6">
        <w:rPr>
          <w:rFonts w:ascii="Century" w:hAnsi="Century" w:hint="cs"/>
          <w:rtl/>
        </w:rPr>
        <w:t xml:space="preserve"> בגין </w:t>
      </w:r>
      <w:r w:rsidR="00B347E6" w:rsidRPr="00BA17C6">
        <w:rPr>
          <w:rFonts w:ascii="Century" w:hAnsi="Century" w:cs="Miriam" w:hint="cs"/>
          <w:b/>
          <w:spacing w:val="0"/>
          <w:szCs w:val="24"/>
          <w:rtl/>
        </w:rPr>
        <w:t>הפרסום החוזר</w:t>
      </w:r>
      <w:r w:rsidR="00B347E6">
        <w:rPr>
          <w:rFonts w:ascii="Century" w:hAnsi="Century" w:hint="cs"/>
          <w:rtl/>
        </w:rPr>
        <w:t xml:space="preserve">; ובהקשר זה ניתן להגיש תביעה נגד </w:t>
      </w:r>
      <w:r w:rsidR="00B347E6" w:rsidRPr="00C4759F">
        <w:rPr>
          <w:rFonts w:ascii="Century" w:hAnsi="Century" w:cs="Miriam" w:hint="cs"/>
          <w:b/>
          <w:spacing w:val="0"/>
          <w:szCs w:val="24"/>
          <w:rtl/>
        </w:rPr>
        <w:t>המשתף</w:t>
      </w:r>
      <w:r w:rsidR="00B347E6">
        <w:rPr>
          <w:rFonts w:ascii="Century" w:hAnsi="Century" w:hint="cs"/>
          <w:rtl/>
        </w:rPr>
        <w:t xml:space="preserve"> בגין </w:t>
      </w:r>
      <w:r w:rsidR="00B347E6" w:rsidRPr="00C4759F">
        <w:rPr>
          <w:rFonts w:ascii="Century" w:hAnsi="Century" w:cs="Miriam" w:hint="cs"/>
          <w:b/>
          <w:spacing w:val="0"/>
          <w:szCs w:val="24"/>
          <w:rtl/>
        </w:rPr>
        <w:t>הפרסום החוזר</w:t>
      </w:r>
      <w:r w:rsidR="00B347E6">
        <w:rPr>
          <w:rFonts w:ascii="Century" w:hAnsi="Century" w:hint="cs"/>
          <w:rtl/>
        </w:rPr>
        <w:t xml:space="preserve"> (השיתוף) שביצע, לבטח במצבים שבהם זהותו של המפרסם המקורי אינה ידועה (לדיון בעקבות פסק הדין ראו מיכל לביא "שיתוף לשון הרע ברשתות חברתיות </w:t>
      </w:r>
      <w:r w:rsidR="00B347E6">
        <w:rPr>
          <w:rFonts w:ascii="Century" w:hAnsi="Century"/>
          <w:rtl/>
        </w:rPr>
        <w:t>–</w:t>
      </w:r>
      <w:r w:rsidR="00B347E6">
        <w:rPr>
          <w:rFonts w:ascii="Century" w:hAnsi="Century" w:hint="cs"/>
          <w:rtl/>
        </w:rPr>
        <w:t xml:space="preserve"> בעקבות ע"א 1239/19 שאול נ' נידיילי תקשורת בע"מ (8.1.2020)" </w:t>
      </w:r>
      <w:r w:rsidR="00B347E6" w:rsidRPr="002C1B8A">
        <w:rPr>
          <w:rFonts w:ascii="Century" w:hAnsi="Century" w:cs="Miriam" w:hint="cs"/>
          <w:b/>
          <w:spacing w:val="0"/>
          <w:szCs w:val="24"/>
          <w:rtl/>
        </w:rPr>
        <w:t>משפטים על אתר</w:t>
      </w:r>
      <w:r w:rsidR="00B347E6">
        <w:rPr>
          <w:rFonts w:ascii="Century" w:hAnsi="Century" w:hint="cs"/>
          <w:rtl/>
        </w:rPr>
        <w:t xml:space="preserve"> טו (התש"ף), שם מציעה המחברת מודל של אחריות שיורית ביחס למשתף).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מכל מקום, והחשוב לענייננו, שאין להסיק מפסק הדין אפשרות להטיל אחריות על </w:t>
      </w:r>
      <w:r w:rsidRPr="003814BC">
        <w:rPr>
          <w:rFonts w:ascii="Century" w:hAnsi="Century" w:cs="Miriam" w:hint="cs"/>
          <w:b/>
          <w:spacing w:val="0"/>
          <w:szCs w:val="24"/>
          <w:rtl/>
        </w:rPr>
        <w:t>המפרסם המקורי</w:t>
      </w:r>
      <w:r>
        <w:rPr>
          <w:rFonts w:ascii="Century" w:hAnsi="Century" w:hint="cs"/>
          <w:rtl/>
        </w:rPr>
        <w:t xml:space="preserve"> בגין </w:t>
      </w:r>
      <w:r w:rsidRPr="003814BC">
        <w:rPr>
          <w:rFonts w:ascii="Century" w:hAnsi="Century" w:cs="Miriam" w:hint="cs"/>
          <w:b/>
          <w:spacing w:val="0"/>
          <w:szCs w:val="24"/>
          <w:rtl/>
        </w:rPr>
        <w:t>פרסום חוזר</w:t>
      </w:r>
      <w:r>
        <w:rPr>
          <w:rFonts w:ascii="Century" w:hAnsi="Century" w:hint="cs"/>
          <w:rtl/>
        </w:rPr>
        <w:t xml:space="preserve"> שביצע </w:t>
      </w:r>
      <w:r w:rsidRPr="003814BC">
        <w:rPr>
          <w:rFonts w:ascii="Century" w:hAnsi="Century" w:cs="Miriam" w:hint="cs"/>
          <w:b/>
          <w:spacing w:val="0"/>
          <w:szCs w:val="24"/>
          <w:rtl/>
        </w:rPr>
        <w:t>צד שלישי</w:t>
      </w:r>
      <w:r>
        <w:rPr>
          <w:rFonts w:ascii="Century" w:hAnsi="Century" w:hint="cs"/>
          <w:rtl/>
        </w:rPr>
        <w:t xml:space="preserve"> ללא ידיעת המפרסם המקורי וללא הסכמתו. אכן, "דיני הנזיקין בישראל אינם תומכים באופן עקרוני בהטלת אחריות למעשים שעשה אדם בלא שידע או בלא שהיה יכול לדעת עליהם" (</w:t>
      </w:r>
      <w:r w:rsidRPr="005C24C8">
        <w:rPr>
          <w:rFonts w:ascii="Century" w:hAnsi="Century" w:cs="Miriam" w:hint="cs"/>
          <w:b/>
          <w:spacing w:val="0"/>
          <w:szCs w:val="24"/>
          <w:rtl/>
        </w:rPr>
        <w:t>גנאים, קרמניצר ושנור</w:t>
      </w:r>
      <w:r>
        <w:rPr>
          <w:rFonts w:ascii="Century" w:hAnsi="Century" w:hint="cs"/>
          <w:rtl/>
        </w:rPr>
        <w:t xml:space="preserve">, עמ' 201). כך לגבי אחריותו של אדם למעשים </w:t>
      </w:r>
      <w:r w:rsidRPr="00150355">
        <w:rPr>
          <w:rFonts w:ascii="Century" w:hAnsi="Century" w:hint="cs"/>
          <w:rtl/>
        </w:rPr>
        <w:t>שהוא עצמו ביצע</w:t>
      </w:r>
      <w:r>
        <w:rPr>
          <w:rFonts w:ascii="Century" w:hAnsi="Century" w:hint="cs"/>
          <w:rtl/>
        </w:rPr>
        <w:t xml:space="preserve">, ועל אחת כמה וכמה לגבי מעשים שצד שלישי ביצע ללא ידיעתו וללא הסכמתו.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67</w:t>
      </w:r>
      <w:r w:rsidR="00B347E6">
        <w:rPr>
          <w:rFonts w:ascii="Century" w:hAnsi="Century" w:hint="cs"/>
          <w:rtl/>
        </w:rPr>
        <w:t>.</w:t>
      </w:r>
      <w:r w:rsidR="00B347E6">
        <w:rPr>
          <w:rFonts w:ascii="Century" w:hAnsi="Century" w:hint="cs"/>
          <w:rtl/>
        </w:rPr>
        <w:tab/>
        <w:t>ומכאן להבחנה בין שאלת האחריות לשאלת הנזק. במסגרת הדיון בפסק דינו של בית המשפט המחוזי לגבי יסוד ה"פרסום" שבעוולת לשון הרע, בית המשפט נימק את החלטתו להטיל אחריות על המערער בגין העלאת הסרט ליוטיוב באופן הבא:</w:t>
      </w:r>
    </w:p>
    <w:p w:rsidR="00B347E6" w:rsidRDefault="00B347E6" w:rsidP="00B347E6">
      <w:pPr>
        <w:pStyle w:val="Ruller41"/>
        <w:rPr>
          <w:rFonts w:ascii="Century" w:hAnsi="Century"/>
          <w:rtl/>
        </w:rPr>
      </w:pPr>
    </w:p>
    <w:p w:rsidR="00B347E6" w:rsidRDefault="00B347E6" w:rsidP="00B347E6">
      <w:pPr>
        <w:pStyle w:val="Ruller5"/>
        <w:rPr>
          <w:rtl/>
        </w:rPr>
      </w:pPr>
      <w:r>
        <w:rPr>
          <w:rFonts w:hint="cs"/>
          <w:rtl/>
        </w:rPr>
        <w:t xml:space="preserve">"מהמועד בו </w:t>
      </w:r>
      <w:r w:rsidRPr="00FF7584">
        <w:rPr>
          <w:rFonts w:ascii="Century" w:hAnsi="Century" w:cs="Miriam" w:hint="cs"/>
          <w:b/>
          <w:spacing w:val="0"/>
          <w:szCs w:val="24"/>
          <w:rtl/>
        </w:rPr>
        <w:t>בחר</w:t>
      </w:r>
      <w:r>
        <w:rPr>
          <w:rFonts w:hint="cs"/>
          <w:rtl/>
        </w:rPr>
        <w:t xml:space="preserve"> [המערער] כי הסרט אותו הפיק וערך </w:t>
      </w:r>
      <w:r>
        <w:rPr>
          <w:rtl/>
        </w:rPr>
        <w:t>–</w:t>
      </w:r>
      <w:r>
        <w:rPr>
          <w:rFonts w:hint="cs"/>
          <w:rtl/>
        </w:rPr>
        <w:t xml:space="preserve"> יופץ לציבור, מדובר בפעולה מוגמרת של פרסום בהיקף אשר אינו תחום או מוגדר, </w:t>
      </w:r>
      <w:r w:rsidRPr="00043FCA">
        <w:rPr>
          <w:rFonts w:hint="cs"/>
          <w:rtl/>
        </w:rPr>
        <w:t xml:space="preserve">אלא עד כמה שהנתבע עצמו היה </w:t>
      </w:r>
      <w:r>
        <w:rPr>
          <w:rFonts w:hint="cs"/>
          <w:rtl/>
        </w:rPr>
        <w:t xml:space="preserve">בוחר להגבילו או לתחום אותו. </w:t>
      </w:r>
    </w:p>
    <w:p w:rsidR="00B347E6" w:rsidRDefault="00B347E6" w:rsidP="00B347E6">
      <w:pPr>
        <w:pStyle w:val="Ruller5"/>
        <w:rPr>
          <w:rtl/>
        </w:rPr>
      </w:pPr>
      <w:r>
        <w:rPr>
          <w:rFonts w:hint="cs"/>
          <w:rtl/>
        </w:rPr>
        <w:t xml:space="preserve">[המערער] ידע, </w:t>
      </w:r>
      <w:r w:rsidRPr="00043FCA">
        <w:rPr>
          <w:rFonts w:hint="cs"/>
          <w:rtl/>
        </w:rPr>
        <w:t xml:space="preserve">או לכל הפחות יכול היה לדעת, </w:t>
      </w:r>
      <w:r>
        <w:rPr>
          <w:rFonts w:hint="cs"/>
          <w:rtl/>
        </w:rPr>
        <w:t>כי מעשה</w:t>
      </w:r>
      <w:r w:rsidRPr="00043FCA">
        <w:rPr>
          <w:rFonts w:hint="cs"/>
          <w:rtl/>
        </w:rPr>
        <w:t xml:space="preserve"> ההפצה </w:t>
      </w:r>
      <w:r>
        <w:rPr>
          <w:rFonts w:hint="cs"/>
          <w:rtl/>
        </w:rPr>
        <w:t xml:space="preserve">המקורי </w:t>
      </w:r>
      <w:r w:rsidRPr="00043FCA">
        <w:rPr>
          <w:rFonts w:hint="cs"/>
          <w:rtl/>
        </w:rPr>
        <w:t xml:space="preserve">של הסרט </w:t>
      </w:r>
      <w:r>
        <w:rPr>
          <w:rFonts w:hint="cs"/>
          <w:rtl/>
        </w:rPr>
        <w:t xml:space="preserve">יכול ויביא </w:t>
      </w:r>
      <w:r w:rsidRPr="00043FCA">
        <w:rPr>
          <w:rFonts w:hint="cs"/>
          <w:rtl/>
        </w:rPr>
        <w:t xml:space="preserve">את המידע </w:t>
      </w:r>
      <w:r>
        <w:rPr>
          <w:rFonts w:hint="cs"/>
          <w:rtl/>
        </w:rPr>
        <w:t xml:space="preserve">הכלול בו לכלל הציבור, וללא קשר לנמען מדויק או אמצעי פרטני בו נעשה שימוש לצורך המשך הפצת הסרט. למעלה מכך, מתוך עדותו של הנתבע עצמו עלה כי היה מעונין בהפצתו של הסרט ללא מגבלה. </w:t>
      </w:r>
    </w:p>
    <w:p w:rsidR="00B347E6" w:rsidRDefault="00B347E6" w:rsidP="00B347E6">
      <w:pPr>
        <w:pStyle w:val="Ruller5"/>
        <w:rPr>
          <w:rtl/>
        </w:rPr>
      </w:pPr>
      <w:r>
        <w:rPr>
          <w:rFonts w:hint="cs"/>
          <w:rtl/>
        </w:rPr>
        <w:t xml:space="preserve">לעניין זה שבו ושנו בתי המשפט, כי אין צורך כי מבצע העוולה יצפה את כלל פרטי הליך גרימת הנזק, ודי בכך שצפה מראש את הקווים הכלליים" </w:t>
      </w:r>
    </w:p>
    <w:p w:rsidR="00B347E6" w:rsidRDefault="00B347E6" w:rsidP="00B347E6">
      <w:pPr>
        <w:pStyle w:val="Ruller5"/>
        <w:rPr>
          <w:rtl/>
        </w:rPr>
      </w:pPr>
      <w:r>
        <w:rPr>
          <w:rFonts w:hint="cs"/>
          <w:rtl/>
        </w:rPr>
        <w:t>(פסקה 213, ההדגשה במקור).</w:t>
      </w:r>
    </w:p>
    <w:p w:rsidR="00B347E6" w:rsidRDefault="00B347E6" w:rsidP="00B347E6">
      <w:pPr>
        <w:pStyle w:val="Ruller5"/>
        <w:rPr>
          <w:rtl/>
        </w:rPr>
      </w:pPr>
    </w:p>
    <w:p w:rsidR="00AA3853" w:rsidRDefault="00AA3853" w:rsidP="00B347E6">
      <w:pPr>
        <w:pStyle w:val="Ruller5"/>
        <w:rPr>
          <w:rtl/>
        </w:rPr>
      </w:pPr>
    </w:p>
    <w:p w:rsidR="00B347E6" w:rsidRDefault="00B347E6" w:rsidP="00B347E6">
      <w:pPr>
        <w:pStyle w:val="Ruller41"/>
        <w:rPr>
          <w:rFonts w:ascii="Arial" w:hAnsi="Arial"/>
          <w:rtl/>
        </w:rPr>
      </w:pPr>
      <w:r>
        <w:rPr>
          <w:rFonts w:ascii="Arial" w:hAnsi="Arial"/>
          <w:rtl/>
        </w:rPr>
        <w:tab/>
      </w:r>
      <w:r>
        <w:rPr>
          <w:rFonts w:ascii="Arial" w:hAnsi="Arial" w:hint="cs"/>
          <w:rtl/>
        </w:rPr>
        <w:t>כפי שיוסבר להלן, הנמקה זו טומנת בחובה קושי שכן יש בה משום עירוב תחומין בין שאלת האחריות לשאלת הנזק. אסביר.</w:t>
      </w:r>
    </w:p>
    <w:p w:rsidR="00B347E6" w:rsidRDefault="00B347E6" w:rsidP="00B347E6">
      <w:pPr>
        <w:pStyle w:val="Ruller41"/>
        <w:rPr>
          <w:rFonts w:ascii="Arial" w:hAnsi="Arial"/>
          <w:rtl/>
        </w:rPr>
      </w:pPr>
    </w:p>
    <w:p w:rsidR="00B347E6" w:rsidRDefault="008D6D79" w:rsidP="00B347E6">
      <w:pPr>
        <w:pStyle w:val="Ruller41"/>
        <w:rPr>
          <w:rFonts w:ascii="Arial" w:hAnsi="Arial"/>
          <w:rtl/>
        </w:rPr>
      </w:pPr>
      <w:r>
        <w:rPr>
          <w:rFonts w:ascii="Arial" w:hAnsi="Arial" w:hint="cs"/>
          <w:rtl/>
        </w:rPr>
        <w:t>68</w:t>
      </w:r>
      <w:r w:rsidR="00B347E6">
        <w:rPr>
          <w:rFonts w:ascii="Arial" w:hAnsi="Arial" w:hint="cs"/>
          <w:rtl/>
        </w:rPr>
        <w:t>.</w:t>
      </w:r>
      <w:r w:rsidR="00B347E6">
        <w:rPr>
          <w:rFonts w:ascii="Arial" w:hAnsi="Arial"/>
          <w:rtl/>
        </w:rPr>
        <w:tab/>
      </w:r>
      <w:r w:rsidR="00B347E6">
        <w:rPr>
          <w:rFonts w:ascii="Arial" w:hAnsi="Arial" w:hint="cs"/>
          <w:rtl/>
        </w:rPr>
        <w:t xml:space="preserve">אין חולק כי במסגרת דיון בתביעה בגין פרסום לשון הרע, יש ליתן את הדעת על הפורום או הפלטפורמה או המדיום שבהם הפרסום נעשה ועל מאפייניהם השונים. חשיבות מאפייניו של המדיום יכול שתבוא לידי ביטוי במספר היבטים. היבט אחד עניינו בזיקה שבין </w:t>
      </w:r>
      <w:r w:rsidR="00B347E6">
        <w:rPr>
          <w:rFonts w:ascii="Century" w:hAnsi="Century" w:hint="cs"/>
          <w:rtl/>
        </w:rPr>
        <w:t>אופיו של הפורום שבו בוצע הפרסום לבין האופן שבו ייתפש הפרסום בעיני הקורא והצופה</w:t>
      </w:r>
      <w:r w:rsidR="00B347E6">
        <w:rPr>
          <w:rFonts w:ascii="Arial" w:hAnsi="Arial" w:hint="cs"/>
          <w:rtl/>
        </w:rPr>
        <w:t>:</w:t>
      </w:r>
    </w:p>
    <w:p w:rsidR="00B347E6" w:rsidRDefault="00B347E6" w:rsidP="00B347E6">
      <w:pPr>
        <w:pStyle w:val="Ruller41"/>
        <w:rPr>
          <w:rFonts w:ascii="Arial" w:hAnsi="Arial"/>
          <w:rtl/>
        </w:rPr>
      </w:pPr>
    </w:p>
    <w:p w:rsidR="00B347E6" w:rsidRDefault="00B347E6" w:rsidP="00AA3853">
      <w:pPr>
        <w:pStyle w:val="Ruller5"/>
        <w:rPr>
          <w:rtl/>
        </w:rPr>
      </w:pPr>
      <w:r>
        <w:rPr>
          <w:rFonts w:hint="cs"/>
          <w:rtl/>
        </w:rPr>
        <w:t xml:space="preserve">"עם זאת, עשוי להינתן משקל שונה לביטוי המובע בפורומים שונים. כך, בעולם הממשי אין </w:t>
      </w:r>
      <w:r w:rsidRPr="00C4759F">
        <w:rPr>
          <w:rFonts w:ascii="Century" w:hAnsi="Century" w:cs="Miriam" w:hint="cs"/>
          <w:b/>
          <w:spacing w:val="0"/>
          <w:szCs w:val="24"/>
          <w:rtl/>
        </w:rPr>
        <w:t>מידת הפגיעה</w:t>
      </w:r>
      <w:r>
        <w:rPr>
          <w:rFonts w:hint="cs"/>
          <w:rtl/>
        </w:rPr>
        <w:t xml:space="preserve"> הנגרמת מאמירה הנאמרת על ידי אוהד במדרש כדורגל זהה </w:t>
      </w:r>
      <w:r w:rsidRPr="00C4759F">
        <w:rPr>
          <w:rFonts w:ascii="Century" w:hAnsi="Century" w:cs="Miriam" w:hint="cs"/>
          <w:b/>
          <w:spacing w:val="0"/>
          <w:szCs w:val="24"/>
          <w:rtl/>
        </w:rPr>
        <w:t>למידת הפגיעה</w:t>
      </w:r>
      <w:r>
        <w:rPr>
          <w:rFonts w:hint="cs"/>
          <w:rtl/>
        </w:rPr>
        <w:t xml:space="preserve"> שתיגרם מאותו ביטוי אם יופיע בעיתון או בספר. הוא הדין בעולם הווירטואלי: </w:t>
      </w:r>
      <w:r w:rsidRPr="00C4759F">
        <w:rPr>
          <w:rFonts w:ascii="Century" w:hAnsi="Century" w:cs="Miriam" w:hint="cs"/>
          <w:b/>
          <w:spacing w:val="0"/>
          <w:szCs w:val="24"/>
          <w:rtl/>
        </w:rPr>
        <w:t>מידת הפגיעה</w:t>
      </w:r>
      <w:r>
        <w:rPr>
          <w:rFonts w:hint="cs"/>
          <w:rtl/>
        </w:rPr>
        <w:t xml:space="preserve"> שתיגרם מאמירה בטקסט שנראה כמו מאמר אקדמי מלומד ברשת, עשויה להיות גדולה הרבה יותר </w:t>
      </w:r>
      <w:r w:rsidRPr="00C4759F">
        <w:rPr>
          <w:rFonts w:ascii="Century" w:hAnsi="Century" w:cs="Miriam" w:hint="cs"/>
          <w:b/>
          <w:spacing w:val="0"/>
          <w:szCs w:val="24"/>
          <w:rtl/>
        </w:rPr>
        <w:t>ממידת הפגיעה</w:t>
      </w:r>
      <w:r>
        <w:rPr>
          <w:rFonts w:hint="cs"/>
          <w:rtl/>
        </w:rPr>
        <w:t xml:space="preserve"> שתיגרם מאותה אמירה אם תיכלל בציוץ או בטוקבק על כתבה" (</w:t>
      </w:r>
      <w:r w:rsidRPr="00FF0EC4">
        <w:rPr>
          <w:rFonts w:ascii="Century" w:hAnsi="Century" w:cs="Miriam" w:hint="cs"/>
          <w:b/>
          <w:spacing w:val="0"/>
          <w:szCs w:val="24"/>
          <w:rtl/>
        </w:rPr>
        <w:t>גנאים, קרמניצר ושנור</w:t>
      </w:r>
      <w:r>
        <w:rPr>
          <w:rFonts w:ascii="Century" w:hAnsi="Century" w:cs="Miriam" w:hint="cs"/>
          <w:b/>
          <w:spacing w:val="0"/>
          <w:szCs w:val="24"/>
          <w:rtl/>
        </w:rPr>
        <w:t xml:space="preserve"> </w:t>
      </w:r>
      <w:r>
        <w:rPr>
          <w:rFonts w:hint="cs"/>
          <w:rtl/>
        </w:rPr>
        <w:t xml:space="preserve">בעמ' 256, ההדגשות הוספו </w:t>
      </w:r>
      <w:r>
        <w:rPr>
          <w:rtl/>
        </w:rPr>
        <w:t>–</w:t>
      </w:r>
      <w:r>
        <w:rPr>
          <w:rFonts w:hint="cs"/>
          <w:rtl/>
        </w:rPr>
        <w:t xml:space="preserve"> י"ע).</w:t>
      </w:r>
    </w:p>
    <w:p w:rsidR="00AA3853" w:rsidRDefault="00AA3853" w:rsidP="00AA3853">
      <w:pPr>
        <w:pStyle w:val="Ruller5"/>
        <w:rPr>
          <w:rtl/>
        </w:rPr>
      </w:pPr>
    </w:p>
    <w:p w:rsidR="00AA3853" w:rsidRDefault="00AA3853" w:rsidP="00AA3853">
      <w:pPr>
        <w:pStyle w:val="Ruller5"/>
        <w:rPr>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היבט נוסף, מרכזי לא פחות, הוא </w:t>
      </w:r>
      <w:r w:rsidRPr="00724262">
        <w:rPr>
          <w:rFonts w:ascii="Century" w:hAnsi="Century" w:hint="cs"/>
          <w:rtl/>
        </w:rPr>
        <w:t xml:space="preserve">מידת </w:t>
      </w:r>
      <w:r w:rsidRPr="00724262">
        <w:rPr>
          <w:rFonts w:ascii="Century" w:hAnsi="Century" w:cs="Miriam" w:hint="cs"/>
          <w:b/>
          <w:spacing w:val="0"/>
          <w:szCs w:val="24"/>
          <w:rtl/>
        </w:rPr>
        <w:t>ה</w:t>
      </w:r>
      <w:r w:rsidRPr="00FF0EC4">
        <w:rPr>
          <w:rFonts w:ascii="Century" w:hAnsi="Century" w:cs="Miriam" w:hint="cs"/>
          <w:b/>
          <w:spacing w:val="0"/>
          <w:szCs w:val="24"/>
          <w:rtl/>
        </w:rPr>
        <w:t xml:space="preserve">נגישות </w:t>
      </w:r>
      <w:r w:rsidRPr="00724262">
        <w:rPr>
          <w:rFonts w:ascii="Century" w:hAnsi="Century" w:hint="cs"/>
          <w:rtl/>
        </w:rPr>
        <w:t xml:space="preserve">של הפרסום </w:t>
      </w:r>
      <w:r w:rsidRPr="00FF0EC4">
        <w:rPr>
          <w:rFonts w:ascii="Century" w:hAnsi="Century" w:cs="Miriam" w:hint="cs"/>
          <w:b/>
          <w:spacing w:val="0"/>
          <w:szCs w:val="24"/>
          <w:rtl/>
        </w:rPr>
        <w:t>והיק</w:t>
      </w:r>
      <w:r>
        <w:rPr>
          <w:rFonts w:ascii="Century" w:hAnsi="Century" w:cs="Miriam" w:hint="cs"/>
          <w:b/>
          <w:spacing w:val="0"/>
          <w:szCs w:val="24"/>
          <w:rtl/>
        </w:rPr>
        <w:t xml:space="preserve">ף החשיפה </w:t>
      </w:r>
      <w:r w:rsidRPr="00724262">
        <w:rPr>
          <w:rFonts w:ascii="Century" w:hAnsi="Century" w:hint="cs"/>
          <w:rtl/>
        </w:rPr>
        <w:t>שלו</w:t>
      </w:r>
      <w:r>
        <w:rPr>
          <w:rFonts w:ascii="Century" w:hAnsi="Century" w:hint="cs"/>
          <w:rtl/>
        </w:rPr>
        <w:t xml:space="preserve">. לדוגמה, ברי כי קיים הבדל בין מודעה משמיצה שנתלתה בחדר מדרגות של בניין מגורים לעומת מודעה שנתלתה בכיכר העיר. בדומה, יש שוני ברור בין פרסום טור פוגעני במקומון נידח לפרסומו באחד מהעיתונים הנפוצים. ודוק: היבטים אלה לגבי מאפייניו של המדיום שבו בוצע הפרסום, עניינם </w:t>
      </w:r>
      <w:r w:rsidRPr="00FF0EC4">
        <w:rPr>
          <w:rFonts w:ascii="Century" w:hAnsi="Century" w:cs="Miriam" w:hint="cs"/>
          <w:b/>
          <w:spacing w:val="0"/>
          <w:szCs w:val="24"/>
          <w:rtl/>
        </w:rPr>
        <w:t>במידת הפגיעה</w:t>
      </w:r>
      <w:r>
        <w:rPr>
          <w:rFonts w:ascii="Century" w:hAnsi="Century" w:hint="cs"/>
          <w:rtl/>
        </w:rPr>
        <w:t xml:space="preserve"> שעלול הפרסום הדיבתי להסב לנפגע. רוצה לומר, שבבוא בית המשפט להידרש </w:t>
      </w:r>
      <w:r w:rsidRPr="00822417">
        <w:rPr>
          <w:rFonts w:ascii="Century" w:hAnsi="Century" w:cs="Miriam" w:hint="cs"/>
          <w:b/>
          <w:spacing w:val="0"/>
          <w:szCs w:val="24"/>
          <w:rtl/>
        </w:rPr>
        <w:t>לעוצמת הפגיעה</w:t>
      </w:r>
      <w:r w:rsidRPr="00822417">
        <w:rPr>
          <w:rFonts w:ascii="Century" w:hAnsi="Century" w:hint="cs"/>
          <w:rtl/>
        </w:rPr>
        <w:t xml:space="preserve"> </w:t>
      </w:r>
      <w:r>
        <w:rPr>
          <w:rFonts w:ascii="Century" w:hAnsi="Century" w:hint="cs"/>
          <w:rtl/>
        </w:rPr>
        <w:t>שהסב</w:t>
      </w:r>
      <w:r w:rsidRPr="00822417">
        <w:rPr>
          <w:rFonts w:ascii="Century" w:hAnsi="Century" w:hint="cs"/>
          <w:rtl/>
        </w:rPr>
        <w:t xml:space="preserve"> הפרסום </w:t>
      </w:r>
      <w:r>
        <w:rPr>
          <w:rFonts w:ascii="Century" w:hAnsi="Century" w:hint="cs"/>
          <w:rtl/>
        </w:rPr>
        <w:t>לנפגע</w:t>
      </w:r>
      <w:r w:rsidRPr="00CE4107">
        <w:rPr>
          <w:rFonts w:ascii="Century" w:hAnsi="Century" w:hint="cs"/>
          <w:rtl/>
        </w:rPr>
        <w:t xml:space="preserve"> ולשיעור הפיצוי </w:t>
      </w:r>
      <w:r>
        <w:rPr>
          <w:rFonts w:ascii="Century" w:hAnsi="Century" w:hint="cs"/>
          <w:rtl/>
        </w:rPr>
        <w:t xml:space="preserve">שיש לפסוק לטובתו, על בית המשפט ליתן דעתו על הפלטפורמה שבה בוצע הפרסום, ובמסגרת זו להתחשב בכמות האנשים שנחשפו וצפויים היו להיחשף </w:t>
      </w:r>
      <w:r w:rsidRPr="00CE4107">
        <w:rPr>
          <w:rFonts w:ascii="Century" w:hAnsi="Century" w:hint="cs"/>
          <w:rtl/>
        </w:rPr>
        <w:t>לפרסום</w:t>
      </w:r>
      <w:r>
        <w:rPr>
          <w:rFonts w:ascii="Century" w:hAnsi="Century" w:hint="cs"/>
          <w:rtl/>
        </w:rPr>
        <w:t xml:space="preserve"> בפלטפורמה זו. אכן, "תפוצת הפרסום אמנם איננה רלבנטית לשאלת האחריות, אך היא מהווה שיקול חשוב בקביעת גובה הפיצויים" (</w:t>
      </w:r>
      <w:r w:rsidRPr="006907A6">
        <w:rPr>
          <w:rFonts w:ascii="Century" w:hAnsi="Century" w:cs="Miriam" w:hint="cs"/>
          <w:b/>
          <w:spacing w:val="0"/>
          <w:szCs w:val="24"/>
          <w:rtl/>
        </w:rPr>
        <w:t>שנהר</w:t>
      </w:r>
      <w:r>
        <w:rPr>
          <w:rFonts w:ascii="Century" w:hAnsi="Century" w:hint="cs"/>
          <w:rtl/>
        </w:rPr>
        <w:t xml:space="preserve">, עמ' 384; וראו גם אצל </w:t>
      </w:r>
      <w:r w:rsidRPr="00FF0EC4">
        <w:rPr>
          <w:rFonts w:ascii="Century" w:hAnsi="Century" w:cs="Miriam" w:hint="cs"/>
          <w:b/>
          <w:spacing w:val="0"/>
          <w:szCs w:val="24"/>
          <w:rtl/>
        </w:rPr>
        <w:t>גנאים, קרמניצר ושנור</w:t>
      </w:r>
      <w:r>
        <w:rPr>
          <w:rFonts w:ascii="Century" w:hAnsi="Century" w:hint="cs"/>
          <w:rtl/>
        </w:rPr>
        <w:t xml:space="preserve"> בעמ' 447 ה"ש 168, הסבורים כי יש לשקול את נגישות הפרסום במרחב המקוון כשיקול בקביעת גובה </w:t>
      </w:r>
      <w:r w:rsidRPr="004B2179">
        <w:rPr>
          <w:rFonts w:ascii="Century" w:hAnsi="Century" w:hint="cs"/>
          <w:rtl/>
        </w:rPr>
        <w:t>הפיצוי</w:t>
      </w:r>
      <w:r w:rsidR="00374BCF" w:rsidRPr="004B2179">
        <w:rPr>
          <w:rFonts w:ascii="Century" w:hAnsi="Century" w:hint="cs"/>
          <w:rtl/>
        </w:rPr>
        <w:t xml:space="preserve">; כן ראו בעניין </w:t>
      </w:r>
      <w:r w:rsidR="00374BCF" w:rsidRPr="004B2179">
        <w:rPr>
          <w:rFonts w:ascii="Century" w:hAnsi="Century" w:cs="Miriam" w:hint="eastAsia"/>
          <w:b/>
          <w:spacing w:val="0"/>
          <w:szCs w:val="24"/>
          <w:rtl/>
        </w:rPr>
        <w:t>פלונית</w:t>
      </w:r>
      <w:r w:rsidR="00374BCF" w:rsidRPr="004B2179">
        <w:rPr>
          <w:rFonts w:ascii="Century" w:hAnsi="Century" w:hint="cs"/>
          <w:rtl/>
        </w:rPr>
        <w:t xml:space="preserve">, פסקה 82 לפסק דינו של השופט </w:t>
      </w:r>
      <w:r w:rsidR="00374BCF" w:rsidRPr="004B2179">
        <w:rPr>
          <w:rFonts w:ascii="Century" w:hAnsi="Century" w:cs="Miriam" w:hint="eastAsia"/>
          <w:b/>
          <w:spacing w:val="0"/>
          <w:szCs w:val="24"/>
          <w:rtl/>
        </w:rPr>
        <w:t>סולברג</w:t>
      </w:r>
      <w:r w:rsidR="00374BCF" w:rsidRPr="004B2179">
        <w:rPr>
          <w:rFonts w:ascii="Century" w:hAnsi="Century" w:hint="cs"/>
          <w:rtl/>
        </w:rPr>
        <w:t xml:space="preserve">, פסקה 19 לפסק דינה של השופטת </w:t>
      </w:r>
      <w:r w:rsidR="00374BCF" w:rsidRPr="004B2179">
        <w:rPr>
          <w:rFonts w:ascii="Century" w:hAnsi="Century" w:cs="Miriam" w:hint="eastAsia"/>
          <w:b/>
          <w:spacing w:val="0"/>
          <w:szCs w:val="24"/>
          <w:rtl/>
        </w:rPr>
        <w:t>וילנר</w:t>
      </w:r>
      <w:r w:rsidRPr="004B2179">
        <w:rPr>
          <w:rFonts w:ascii="Century" w:hAnsi="Century" w:hint="cs"/>
          <w:rtl/>
        </w:rPr>
        <w:t>).</w:t>
      </w:r>
      <w:r>
        <w:rPr>
          <w:rFonts w:ascii="Century" w:hAnsi="Century" w:hint="cs"/>
          <w:rtl/>
        </w:rPr>
        <w:t xml:space="preserve">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69</w:t>
      </w:r>
      <w:r w:rsidR="00B347E6">
        <w:rPr>
          <w:rFonts w:ascii="Century" w:hAnsi="Century" w:hint="cs"/>
          <w:rtl/>
        </w:rPr>
        <w:t>.</w:t>
      </w:r>
      <w:r w:rsidR="00B347E6">
        <w:rPr>
          <w:rFonts w:ascii="Century" w:hAnsi="Century"/>
          <w:rtl/>
        </w:rPr>
        <w:tab/>
      </w:r>
      <w:r w:rsidR="00B347E6">
        <w:rPr>
          <w:rFonts w:ascii="Century" w:hAnsi="Century" w:hint="cs"/>
          <w:rtl/>
        </w:rPr>
        <w:t xml:space="preserve">באספקלריה זו של </w:t>
      </w:r>
      <w:r w:rsidR="00B347E6" w:rsidRPr="00021515">
        <w:rPr>
          <w:rFonts w:ascii="Century" w:hAnsi="Century" w:cs="Miriam" w:hint="cs"/>
          <w:b/>
          <w:spacing w:val="0"/>
          <w:szCs w:val="24"/>
          <w:rtl/>
        </w:rPr>
        <w:t>מידת הפגיעה</w:t>
      </w:r>
      <w:r w:rsidR="00B347E6">
        <w:rPr>
          <w:rFonts w:ascii="Century" w:hAnsi="Century" w:hint="cs"/>
          <w:rtl/>
        </w:rPr>
        <w:t xml:space="preserve">, ניתן להבין מדוע הפנה בית המשפט המחוזי להלכה שלפיה אין צורך שמבצע העוולה יצפה את כלל פרטי הליך גרימת הנזק (דנ"א 7794/98 </w:t>
      </w:r>
      <w:r w:rsidR="00B347E6" w:rsidRPr="006266A8">
        <w:rPr>
          <w:rFonts w:ascii="Century" w:hAnsi="Century" w:cs="Miriam" w:hint="cs"/>
          <w:b/>
          <w:spacing w:val="0"/>
          <w:szCs w:val="24"/>
          <w:rtl/>
        </w:rPr>
        <w:t>משה נ' קליפורד</w:t>
      </w:r>
      <w:r w:rsidR="00B347E6">
        <w:rPr>
          <w:rFonts w:ascii="Century" w:hAnsi="Century" w:hint="cs"/>
          <w:rtl/>
        </w:rPr>
        <w:t xml:space="preserve">, פ"ד נז(4) 721, 755-754 (2003)). ברם, יש להבחין בין </w:t>
      </w:r>
      <w:r w:rsidR="00B347E6" w:rsidRPr="000B5DC3">
        <w:rPr>
          <w:rFonts w:ascii="Century" w:hAnsi="Century" w:cs="Miriam" w:hint="cs"/>
          <w:b/>
          <w:spacing w:val="0"/>
          <w:szCs w:val="24"/>
          <w:rtl/>
        </w:rPr>
        <w:t>צפיות הנזק</w:t>
      </w:r>
      <w:r w:rsidR="00B347E6">
        <w:rPr>
          <w:rFonts w:ascii="Century" w:hAnsi="Century" w:hint="cs"/>
          <w:rtl/>
        </w:rPr>
        <w:t xml:space="preserve"> </w:t>
      </w:r>
      <w:r w:rsidR="00B347E6">
        <w:rPr>
          <w:rFonts w:ascii="Century" w:hAnsi="Century"/>
          <w:rtl/>
        </w:rPr>
        <w:t>–</w:t>
      </w:r>
      <w:r w:rsidR="00B347E6">
        <w:rPr>
          <w:rFonts w:ascii="Century" w:hAnsi="Century" w:hint="cs"/>
          <w:rtl/>
        </w:rPr>
        <w:t xml:space="preserve"> במובן זה שאין המפרסם נדרש לצפות את מידת הפגיעה בעקבות הפרסום, לבין </w:t>
      </w:r>
      <w:r w:rsidR="00B347E6" w:rsidRPr="000B5DC3">
        <w:rPr>
          <w:rFonts w:ascii="Century" w:hAnsi="Century" w:cs="Miriam" w:hint="cs"/>
          <w:b/>
          <w:spacing w:val="0"/>
          <w:szCs w:val="24"/>
          <w:rtl/>
        </w:rPr>
        <w:t>אחריותו</w:t>
      </w:r>
      <w:r w:rsidR="00B347E6">
        <w:rPr>
          <w:rFonts w:ascii="Century" w:hAnsi="Century" w:hint="cs"/>
          <w:rtl/>
        </w:rPr>
        <w:t xml:space="preserve"> של המפרסם בגין פרסומים שבוצעו על ידי אחרים. לכן, לדוגמה, ראובן שתלה מודעה משמיצה נגד שמעון בקמפוס האוניברסיטה, לא יוכל להישמע בטענה כי לא צפה את האפשרות שהמודעה תזכה לחשיפה רבה. ברם, אין פירוש הדבר כי יש לראות את ראובן כמי </w:t>
      </w:r>
      <w:r w:rsidR="00B347E6" w:rsidRPr="00AD1672">
        <w:rPr>
          <w:rFonts w:ascii="Century" w:hAnsi="Century" w:cs="Miriam" w:hint="cs"/>
          <w:b/>
          <w:spacing w:val="0"/>
          <w:szCs w:val="24"/>
          <w:rtl/>
        </w:rPr>
        <w:t xml:space="preserve">שביצע </w:t>
      </w:r>
      <w:r w:rsidR="00B347E6">
        <w:rPr>
          <w:rFonts w:ascii="Century" w:hAnsi="Century" w:cs="Miriam" w:hint="cs"/>
          <w:b/>
          <w:spacing w:val="0"/>
          <w:szCs w:val="24"/>
          <w:rtl/>
        </w:rPr>
        <w:t xml:space="preserve">בעצמו </w:t>
      </w:r>
      <w:r w:rsidR="00B347E6" w:rsidRPr="00AD1672">
        <w:rPr>
          <w:rFonts w:ascii="Century" w:hAnsi="Century" w:cs="Miriam" w:hint="cs"/>
          <w:b/>
          <w:spacing w:val="0"/>
          <w:szCs w:val="24"/>
          <w:rtl/>
        </w:rPr>
        <w:t>עוולה</w:t>
      </w:r>
      <w:r w:rsidR="00B347E6">
        <w:rPr>
          <w:rFonts w:ascii="Century" w:hAnsi="Century" w:hint="cs"/>
          <w:rtl/>
        </w:rPr>
        <w:t xml:space="preserve"> </w:t>
      </w:r>
      <w:r w:rsidR="00B347E6" w:rsidRPr="00AD1672">
        <w:rPr>
          <w:rFonts w:ascii="Century" w:hAnsi="Century" w:cs="Miriam" w:hint="cs"/>
          <w:b/>
          <w:spacing w:val="0"/>
          <w:szCs w:val="24"/>
          <w:rtl/>
        </w:rPr>
        <w:t>נפרדת</w:t>
      </w:r>
      <w:r w:rsidR="00B347E6">
        <w:rPr>
          <w:rFonts w:ascii="Century" w:hAnsi="Century" w:hint="cs"/>
          <w:rtl/>
        </w:rPr>
        <w:t xml:space="preserve"> של פרסום לשון הרע במצב שבו לוי העתיק את המודעה ופרסם אותה במקום אחר. במילים אחרות, ראובן הוא "המפרסם" של המודעה שהוא תלה בעצמו בקמפוס, ועליו לצפות את פוטנציאל החשיפה של "הפרסום" שביצע; אך אין הוא בגדר "מפרסם" של המודעה המועתקת שתלה לוי, ואין לראותו כמי שביצע עוולה נפרדת של "פרסום לשון הרע" בגין המודעה שתלה לוי. בדומה, פלוני שפרסם פוסט פוגעני בפייסבוק צריך אמנם לצפות את האפשרות שרבים ייחשפו לפוסט, לרבות בדרך של שיתופו על ידי אחרים. עם זאת, לא ניתן לראותו כמי שביצע בעצמו פרסום נוסף, מקום שבו היה זה צד שלישי שבחר לשתף את הפוסט עם אחרים (וראו גם דברי השופטת </w:t>
      </w:r>
      <w:r w:rsidR="00B347E6" w:rsidRPr="002B61D6">
        <w:rPr>
          <w:rFonts w:ascii="Century" w:hAnsi="Century" w:cs="Miriam" w:hint="cs"/>
          <w:b/>
          <w:spacing w:val="0"/>
          <w:szCs w:val="24"/>
          <w:rtl/>
        </w:rPr>
        <w:t>וילנר</w:t>
      </w:r>
      <w:r w:rsidR="00B347E6">
        <w:rPr>
          <w:rFonts w:ascii="Century" w:hAnsi="Century" w:hint="cs"/>
          <w:rtl/>
        </w:rPr>
        <w:t xml:space="preserve"> בעניין </w:t>
      </w:r>
      <w:r w:rsidR="00B347E6" w:rsidRPr="002B61D6">
        <w:rPr>
          <w:rFonts w:ascii="Century" w:hAnsi="Century" w:cs="Miriam" w:hint="cs"/>
          <w:b/>
          <w:spacing w:val="0"/>
          <w:szCs w:val="24"/>
          <w:rtl/>
        </w:rPr>
        <w:t>שאול</w:t>
      </w:r>
      <w:r w:rsidR="00B347E6">
        <w:rPr>
          <w:rFonts w:ascii="Century" w:hAnsi="Century" w:hint="cs"/>
          <w:rtl/>
        </w:rPr>
        <w:t xml:space="preserve">, שהעירה כי ככלל יש מקום להתחשב במאפיינים הייחודיים של פרסומים ברשתות החברתיות, בין היתר בעת קביעת </w:t>
      </w:r>
      <w:r w:rsidR="00B347E6" w:rsidRPr="00C4759F">
        <w:rPr>
          <w:rFonts w:ascii="Century" w:hAnsi="Century" w:cs="Miriam" w:hint="cs"/>
          <w:b/>
          <w:spacing w:val="0"/>
          <w:szCs w:val="24"/>
          <w:rtl/>
        </w:rPr>
        <w:t>שיעור הנזק</w:t>
      </w:r>
      <w:r w:rsidR="00B347E6">
        <w:rPr>
          <w:rFonts w:ascii="Century" w:hAnsi="Century" w:hint="cs"/>
          <w:rtl/>
        </w:rPr>
        <w:t xml:space="preserve"> (שם, פסקה 6 לפסק דינה)).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70</w:t>
      </w:r>
      <w:r w:rsidR="00B347E6">
        <w:rPr>
          <w:rFonts w:ascii="Century" w:hAnsi="Century" w:hint="cs"/>
          <w:rtl/>
        </w:rPr>
        <w:t>.</w:t>
      </w:r>
      <w:r w:rsidR="00B347E6">
        <w:rPr>
          <w:rFonts w:ascii="Century" w:hAnsi="Century"/>
          <w:rtl/>
        </w:rPr>
        <w:tab/>
      </w:r>
      <w:r w:rsidR="00B347E6">
        <w:rPr>
          <w:rFonts w:ascii="Century" w:hAnsi="Century" w:hint="cs"/>
          <w:rtl/>
        </w:rPr>
        <w:t xml:space="preserve">ודוק: ההבחנה בין צפיות הנזק לבין השאלה אם הנתבע ביצע עוולה אחת של לשון הרע או מספר עוולות, אינה הבחנה של מה בכך. מדובר בהבחנה יסודית שעשויה להיות בעלת השלכות במספר מישורים, לרבות בשאלת שיעור הפיצוי שבו עשוי הנתבע לחוב; האפשרות לחייבו ביחד ולחוד עם גורמים נוספים האחראים לחלק מהפרסומים; וכן ביחס לשאלות דיוניות שונות, כגון סוגיית ההתיישנות שכבר הזכרנו לעיל. מירוץ ההתיישנות כלפי המפרסם המקורי, לא מתחיל מחדש כלפיו כאשר צד ג' חזר ופרסם את הדברים ללא הסכמתו. הדברים נכונים במיוחד לגבי המרחב הקיברנטי, שהרי מן המפורסמות הוא ש"האינטרנט לא שוכח" </w:t>
      </w:r>
      <w:r w:rsidR="00B347E6" w:rsidRPr="00100BE7">
        <w:rPr>
          <w:rtl/>
        </w:rPr>
        <w:t>(</w:t>
      </w:r>
      <w:r w:rsidR="00B347E6" w:rsidRPr="00100BE7">
        <w:rPr>
          <w:rFonts w:ascii="Century" w:hAnsi="Century"/>
          <w:rtl/>
        </w:rPr>
        <w:t xml:space="preserve">מיכל </w:t>
      </w:r>
      <w:r w:rsidR="00B347E6" w:rsidRPr="007E1E4C">
        <w:rPr>
          <w:rFonts w:ascii="Century" w:hAnsi="Century" w:hint="eastAsia"/>
          <w:rtl/>
        </w:rPr>
        <w:t>לביא</w:t>
      </w:r>
      <w:r w:rsidR="00B347E6" w:rsidRPr="007E1E4C">
        <w:rPr>
          <w:rFonts w:ascii="Century" w:hAnsi="Century"/>
          <w:rtl/>
        </w:rPr>
        <w:t xml:space="preserve"> "</w:t>
      </w:r>
      <w:r w:rsidR="00B347E6" w:rsidRPr="007E1E4C">
        <w:rPr>
          <w:rFonts w:ascii="Century" w:hAnsi="Century" w:hint="eastAsia"/>
          <w:rtl/>
        </w:rPr>
        <w:t>ביוש</w:t>
      </w:r>
      <w:r w:rsidR="00B347E6" w:rsidRPr="007E1E4C">
        <w:rPr>
          <w:rFonts w:ascii="Century" w:hAnsi="Century"/>
          <w:rtl/>
        </w:rPr>
        <w:t xml:space="preserve"> </w:t>
      </w:r>
      <w:r w:rsidR="00B347E6" w:rsidRPr="007E1E4C">
        <w:rPr>
          <w:rFonts w:ascii="Century" w:hAnsi="Century" w:hint="eastAsia"/>
          <w:rtl/>
        </w:rPr>
        <w:t>לנצח</w:t>
      </w:r>
      <w:r w:rsidR="00B347E6" w:rsidRPr="007E1E4C">
        <w:rPr>
          <w:rFonts w:ascii="Century" w:hAnsi="Century"/>
          <w:rtl/>
        </w:rPr>
        <w:t>?</w:t>
      </w:r>
      <w:r w:rsidR="00B347E6" w:rsidRPr="009A63C1">
        <w:rPr>
          <w:rFonts w:ascii="Century" w:hAnsi="Century"/>
          <w:rtl/>
        </w:rPr>
        <w:t xml:space="preserve">" </w:t>
      </w:r>
      <w:r w:rsidR="00B347E6" w:rsidRPr="007E1E4C">
        <w:rPr>
          <w:rFonts w:ascii="Century" w:hAnsi="Century" w:cs="Miriam" w:hint="eastAsia"/>
          <w:b/>
          <w:spacing w:val="0"/>
          <w:szCs w:val="24"/>
          <w:rtl/>
        </w:rPr>
        <w:t>משפטים</w:t>
      </w:r>
      <w:r w:rsidR="00B347E6" w:rsidRPr="00100BE7">
        <w:rPr>
          <w:rFonts w:ascii="Century" w:hAnsi="Century"/>
          <w:rtl/>
        </w:rPr>
        <w:t xml:space="preserve"> מט 439,</w:t>
      </w:r>
      <w:r w:rsidR="00B347E6" w:rsidRPr="00100BE7">
        <w:rPr>
          <w:rtl/>
        </w:rPr>
        <w:t xml:space="preserve"> 466-464 (2019)</w:t>
      </w:r>
      <w:r w:rsidR="00B347E6">
        <w:rPr>
          <w:rFonts w:hint="cs"/>
          <w:sz w:val="28"/>
          <w:rtl/>
        </w:rPr>
        <w:t xml:space="preserve">; על "הזכות להישכח" ראו, בין היתר, בג"ץ 5870/14 </w:t>
      </w:r>
      <w:r w:rsidR="00B347E6" w:rsidRPr="007E1E4C">
        <w:rPr>
          <w:rFonts w:ascii="Century" w:hAnsi="Century" w:cs="Miriam" w:hint="eastAsia"/>
          <w:b/>
          <w:spacing w:val="0"/>
          <w:szCs w:val="24"/>
          <w:rtl/>
        </w:rPr>
        <w:t>חשבים</w:t>
      </w:r>
      <w:r w:rsidR="00B347E6" w:rsidRPr="007E1E4C">
        <w:rPr>
          <w:rFonts w:ascii="Century" w:hAnsi="Century" w:cs="Miriam"/>
          <w:b/>
          <w:spacing w:val="0"/>
          <w:szCs w:val="24"/>
          <w:rtl/>
        </w:rPr>
        <w:t xml:space="preserve"> ה.פ.ס. </w:t>
      </w:r>
      <w:r w:rsidR="00B347E6" w:rsidRPr="007E1E4C">
        <w:rPr>
          <w:rFonts w:ascii="Century" w:hAnsi="Century" w:cs="Miriam" w:hint="eastAsia"/>
          <w:b/>
          <w:spacing w:val="0"/>
          <w:szCs w:val="24"/>
          <w:rtl/>
        </w:rPr>
        <w:t>מידע</w:t>
      </w:r>
      <w:r w:rsidR="00B347E6" w:rsidRPr="007E1E4C">
        <w:rPr>
          <w:rFonts w:ascii="Century" w:hAnsi="Century" w:cs="Miriam"/>
          <w:b/>
          <w:spacing w:val="0"/>
          <w:szCs w:val="24"/>
          <w:rtl/>
        </w:rPr>
        <w:t xml:space="preserve"> </w:t>
      </w:r>
      <w:r w:rsidR="00B347E6" w:rsidRPr="007E1E4C">
        <w:rPr>
          <w:rFonts w:ascii="Century" w:hAnsi="Century" w:cs="Miriam" w:hint="eastAsia"/>
          <w:b/>
          <w:spacing w:val="0"/>
          <w:szCs w:val="24"/>
          <w:rtl/>
        </w:rPr>
        <w:t>עסקי</w:t>
      </w:r>
      <w:r w:rsidR="00B347E6" w:rsidRPr="007E1E4C">
        <w:rPr>
          <w:rFonts w:ascii="Century" w:hAnsi="Century" w:cs="Miriam"/>
          <w:b/>
          <w:spacing w:val="0"/>
          <w:szCs w:val="24"/>
          <w:rtl/>
        </w:rPr>
        <w:t xml:space="preserve"> </w:t>
      </w:r>
      <w:r w:rsidR="00B347E6" w:rsidRPr="007E1E4C">
        <w:rPr>
          <w:rFonts w:ascii="Century" w:hAnsi="Century" w:cs="Miriam" w:hint="eastAsia"/>
          <w:b/>
          <w:spacing w:val="0"/>
          <w:szCs w:val="24"/>
          <w:rtl/>
        </w:rPr>
        <w:t>בע</w:t>
      </w:r>
      <w:r w:rsidR="00B347E6" w:rsidRPr="007E1E4C">
        <w:rPr>
          <w:rFonts w:ascii="Century" w:hAnsi="Century" w:cs="Miriam"/>
          <w:b/>
          <w:spacing w:val="0"/>
          <w:szCs w:val="24"/>
          <w:rtl/>
        </w:rPr>
        <w:t xml:space="preserve">"מ </w:t>
      </w:r>
      <w:r w:rsidR="00B347E6" w:rsidRPr="007E1E4C">
        <w:rPr>
          <w:rFonts w:ascii="Century" w:hAnsi="Century" w:cs="Miriam" w:hint="eastAsia"/>
          <w:b/>
          <w:spacing w:val="0"/>
          <w:szCs w:val="24"/>
          <w:rtl/>
        </w:rPr>
        <w:t>נ</w:t>
      </w:r>
      <w:r w:rsidR="00B347E6" w:rsidRPr="007E1E4C">
        <w:rPr>
          <w:rFonts w:ascii="Century" w:hAnsi="Century" w:cs="Miriam"/>
          <w:b/>
          <w:spacing w:val="0"/>
          <w:szCs w:val="24"/>
          <w:rtl/>
        </w:rPr>
        <w:t xml:space="preserve">' </w:t>
      </w:r>
      <w:r w:rsidR="00B347E6" w:rsidRPr="007E1E4C">
        <w:rPr>
          <w:rFonts w:ascii="Century" w:hAnsi="Century" w:cs="Miriam" w:hint="eastAsia"/>
          <w:b/>
          <w:spacing w:val="0"/>
          <w:szCs w:val="24"/>
          <w:rtl/>
        </w:rPr>
        <w:t>הנהלת</w:t>
      </w:r>
      <w:r w:rsidR="00B347E6" w:rsidRPr="007E1E4C">
        <w:rPr>
          <w:rFonts w:ascii="Century" w:hAnsi="Century" w:cs="Miriam"/>
          <w:b/>
          <w:spacing w:val="0"/>
          <w:szCs w:val="24"/>
          <w:rtl/>
        </w:rPr>
        <w:t xml:space="preserve"> </w:t>
      </w:r>
      <w:r w:rsidR="00B347E6" w:rsidRPr="007E1E4C">
        <w:rPr>
          <w:rFonts w:ascii="Century" w:hAnsi="Century" w:cs="Miriam" w:hint="eastAsia"/>
          <w:b/>
          <w:spacing w:val="0"/>
          <w:szCs w:val="24"/>
          <w:rtl/>
        </w:rPr>
        <w:t>בתי</w:t>
      </w:r>
      <w:r w:rsidR="00B347E6" w:rsidRPr="007E1E4C">
        <w:rPr>
          <w:rFonts w:ascii="Century" w:hAnsi="Century" w:cs="Miriam"/>
          <w:b/>
          <w:spacing w:val="0"/>
          <w:szCs w:val="24"/>
          <w:rtl/>
        </w:rPr>
        <w:t xml:space="preserve"> </w:t>
      </w:r>
      <w:r w:rsidR="00B347E6" w:rsidRPr="007E1E4C">
        <w:rPr>
          <w:rFonts w:ascii="Century" w:hAnsi="Century" w:cs="Miriam" w:hint="eastAsia"/>
          <w:b/>
          <w:spacing w:val="0"/>
          <w:szCs w:val="24"/>
          <w:rtl/>
        </w:rPr>
        <w:t>משפט</w:t>
      </w:r>
      <w:r w:rsidR="00B347E6">
        <w:rPr>
          <w:rFonts w:hint="cs"/>
          <w:sz w:val="28"/>
          <w:rtl/>
        </w:rPr>
        <w:t xml:space="preserve"> (12.11.2015)). </w:t>
      </w:r>
      <w:r w:rsidR="00B347E6">
        <w:rPr>
          <w:rFonts w:hint="cs"/>
          <w:rtl/>
        </w:rPr>
        <w:t xml:space="preserve">לדידי, קשה להלום כי כל אימת שפלוני ישתף פרסום מסוים, יהא בכך כדי לפתוח שוב את מירוץ ההתיישנות כלפי המפרסם המקורי, שעה שהדבר לא נעשה בהסכמתו (והשוו </w:t>
      </w:r>
      <w:r w:rsidR="00B347E6">
        <w:rPr>
          <w:rFonts w:hint="cs"/>
          <w:sz w:val="28"/>
          <w:rtl/>
        </w:rPr>
        <w:t xml:space="preserve">אלעד </w:t>
      </w:r>
      <w:r w:rsidR="00B347E6" w:rsidRPr="007E1E4C">
        <w:rPr>
          <w:rFonts w:ascii="Century" w:hAnsi="Century"/>
          <w:rtl/>
        </w:rPr>
        <w:t xml:space="preserve">פלד "מניין תקופת ההתיישנות בתביעות </w:t>
      </w:r>
      <w:r w:rsidR="00B347E6" w:rsidRPr="007E1E4C">
        <w:rPr>
          <w:rFonts w:ascii="Century" w:hAnsi="Century" w:hint="eastAsia"/>
          <w:rtl/>
        </w:rPr>
        <w:t>בגין</w:t>
      </w:r>
      <w:r w:rsidR="00B347E6" w:rsidRPr="009A63C1">
        <w:rPr>
          <w:rFonts w:hint="cs"/>
          <w:sz w:val="28"/>
          <w:rtl/>
        </w:rPr>
        <w:t xml:space="preserve"> </w:t>
      </w:r>
      <w:r w:rsidR="00B347E6">
        <w:rPr>
          <w:rFonts w:hint="cs"/>
          <w:sz w:val="28"/>
          <w:rtl/>
        </w:rPr>
        <w:t xml:space="preserve">עוולות מקוונות" </w:t>
      </w:r>
      <w:r w:rsidR="00B347E6" w:rsidRPr="005E53F8">
        <w:rPr>
          <w:rFonts w:ascii="Century" w:hAnsi="Century" w:cs="Miriam" w:hint="cs"/>
          <w:b/>
          <w:spacing w:val="0"/>
          <w:szCs w:val="24"/>
          <w:rtl/>
        </w:rPr>
        <w:t>חוקים</w:t>
      </w:r>
      <w:r w:rsidR="00B347E6">
        <w:rPr>
          <w:rFonts w:hint="cs"/>
          <w:sz w:val="28"/>
          <w:rtl/>
        </w:rPr>
        <w:t xml:space="preserve"> ד 57 (2012)).</w:t>
      </w:r>
      <w:r w:rsidR="00B347E6">
        <w:rPr>
          <w:rFonts w:hint="cs"/>
          <w:rtl/>
        </w:rPr>
        <w:t xml:space="preserve">  </w:t>
      </w:r>
    </w:p>
    <w:p w:rsidR="00B347E6" w:rsidRDefault="00B347E6" w:rsidP="00B347E6">
      <w:pPr>
        <w:pStyle w:val="Ruller41"/>
        <w:rPr>
          <w:rFonts w:ascii="Century" w:hAnsi="Century"/>
          <w:rtl/>
        </w:rPr>
      </w:pPr>
    </w:p>
    <w:p w:rsidR="00B347E6" w:rsidRDefault="008D6D79" w:rsidP="00DE70CB">
      <w:pPr>
        <w:pStyle w:val="Ruller41"/>
        <w:rPr>
          <w:rFonts w:ascii="Century" w:hAnsi="Century"/>
          <w:rtl/>
        </w:rPr>
      </w:pPr>
      <w:r>
        <w:rPr>
          <w:rFonts w:ascii="Century" w:hAnsi="Century" w:hint="cs"/>
          <w:rtl/>
        </w:rPr>
        <w:t>71</w:t>
      </w:r>
      <w:r w:rsidR="00B347E6">
        <w:rPr>
          <w:rFonts w:ascii="Century" w:hAnsi="Century" w:hint="cs"/>
          <w:rtl/>
        </w:rPr>
        <w:t>.</w:t>
      </w:r>
      <w:r w:rsidR="00B347E6">
        <w:rPr>
          <w:rFonts w:ascii="Century" w:hAnsi="Century" w:hint="cs"/>
          <w:rtl/>
        </w:rPr>
        <w:tab/>
        <w:t xml:space="preserve">על רקע האמור, נקל להבין מדוע העובדה שהמערער פרסם בשעתו את הסרט באקרנים, לא הופכת אותו למי שביצע את "פרסום" הסרט ביוטיוב; ומדוע העובדה שהמערער לא נדרש לצפות את כלל פרטי הליך גרימת הנזק, אין בכוחה כדי להפוך אותו למי שביצע עוולה נפרדת של פרסום לשון הרע ככל שמדובר בפרסום חוזר שנעשה שלא בידיעתו וללא הסכמתו. לפיכך, לא ניתן לקבל את הקביעה שהעלאת סרטו של המערער ליוטיוב, שנעשתה על ידי צד שלישי ללא ידיעתו של המערער וללא הסכמתו, היא בגדר "פרסום" שביצע המערער. עם זאת, בבחירתו של המערער לפרסם את סרטו באקרנים, היה עליו לצפות את האפשרות שהסרט ייחשף בפני רבים. צפיות זו לגבי </w:t>
      </w:r>
      <w:r w:rsidR="00B347E6" w:rsidRPr="006F7C2F">
        <w:rPr>
          <w:rFonts w:ascii="Century" w:hAnsi="Century" w:cs="Miriam" w:hint="cs"/>
          <w:b/>
          <w:spacing w:val="0"/>
          <w:szCs w:val="24"/>
          <w:rtl/>
        </w:rPr>
        <w:t>מידת הפגיעה</w:t>
      </w:r>
      <w:r w:rsidR="00B347E6">
        <w:rPr>
          <w:rFonts w:ascii="Century" w:hAnsi="Century" w:hint="cs"/>
          <w:rtl/>
        </w:rPr>
        <w:t xml:space="preserve"> במשיב, מקומה להילקח בחשבון במסגרת הדיון בסעד שיש לפסוק בגין ביצוע העוולה של פרסום לשון הרע, ובפרט בעת קביעת שיעור הפיצוי שיש להשית על המעוול בשל כך. אל פרק זה של הדיון בערעור נעבור כעת.</w:t>
      </w:r>
    </w:p>
    <w:p w:rsidR="00B347E6" w:rsidRDefault="00B347E6" w:rsidP="00B347E6">
      <w:pPr>
        <w:pStyle w:val="Ruller41"/>
        <w:rPr>
          <w:rFonts w:ascii="Century" w:hAnsi="Century"/>
          <w:rtl/>
        </w:rPr>
      </w:pPr>
    </w:p>
    <w:p w:rsidR="00B347E6" w:rsidRPr="00410D65" w:rsidRDefault="00B347E6" w:rsidP="00B347E6">
      <w:pPr>
        <w:pStyle w:val="Ruller41"/>
        <w:rPr>
          <w:rFonts w:ascii="Century" w:hAnsi="Century" w:cs="Miriam"/>
          <w:b/>
          <w:spacing w:val="0"/>
          <w:szCs w:val="24"/>
          <w:rtl/>
        </w:rPr>
      </w:pPr>
      <w:r w:rsidRPr="00410D65">
        <w:rPr>
          <w:rFonts w:ascii="Century" w:hAnsi="Century" w:cs="Miriam" w:hint="cs"/>
          <w:b/>
          <w:spacing w:val="0"/>
          <w:szCs w:val="24"/>
          <w:rtl/>
        </w:rPr>
        <w:t>הסעד</w:t>
      </w:r>
      <w:r>
        <w:rPr>
          <w:rFonts w:ascii="Century" w:hAnsi="Century" w:cs="Miriam" w:hint="cs"/>
          <w:b/>
          <w:spacing w:val="0"/>
          <w:szCs w:val="24"/>
          <w:rtl/>
        </w:rPr>
        <w:t>ים</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72</w:t>
      </w:r>
      <w:r w:rsidR="00B347E6">
        <w:rPr>
          <w:rFonts w:ascii="Century" w:hAnsi="Century" w:hint="cs"/>
          <w:rtl/>
        </w:rPr>
        <w:t>.</w:t>
      </w:r>
      <w:r w:rsidR="00B347E6">
        <w:rPr>
          <w:rFonts w:ascii="Century" w:hAnsi="Century" w:hint="cs"/>
          <w:rtl/>
        </w:rPr>
        <w:tab/>
        <w:t xml:space="preserve">בית המשפט המחוזי השית על המערער פיצוי למשיב בסך של 175,000 </w:t>
      </w:r>
      <w:r w:rsidR="00B347E6">
        <w:rPr>
          <w:rFonts w:ascii="Century" w:hAnsi="Century" w:hint="eastAsia"/>
          <w:rtl/>
        </w:rPr>
        <w:t>₪</w:t>
      </w:r>
      <w:r w:rsidR="00B347E6">
        <w:rPr>
          <w:rFonts w:ascii="Century" w:hAnsi="Century" w:hint="cs"/>
          <w:rtl/>
        </w:rPr>
        <w:t xml:space="preserve">. בנוסף לכך, ניתן צו האוסר על </w:t>
      </w:r>
      <w:r w:rsidR="00B347E6" w:rsidRPr="004761D6">
        <w:rPr>
          <w:rFonts w:ascii="Century" w:hAnsi="Century" w:hint="cs"/>
          <w:rtl/>
        </w:rPr>
        <w:t>הקרנת הסרט והפצתו בישראל, וכן ניתן צו להחרמת עותקי הסרט הנמצאים בישראל, ככל שהמערער מודע למקום הימצאותם. לעומת זאת, בית המשפט נמנע ממתן צו המופנה לאתר יוטיוב, מן הטעם שהיה על המשיב להקדים פניה לאתר או לנקוט ביחס לכך את הצעדים המתבקשים בהתאם להוראות הדין.</w:t>
      </w:r>
      <w:r w:rsidR="00B347E6">
        <w:rPr>
          <w:rFonts w:ascii="Century" w:hAnsi="Century" w:hint="cs"/>
          <w:rtl/>
        </w:rPr>
        <w:t xml:space="preserve">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73</w:t>
      </w:r>
      <w:r w:rsidR="00B347E6">
        <w:rPr>
          <w:rFonts w:ascii="Century" w:hAnsi="Century" w:hint="cs"/>
          <w:rtl/>
        </w:rPr>
        <w:t>.</w:t>
      </w:r>
      <w:r w:rsidR="00B347E6">
        <w:rPr>
          <w:rFonts w:ascii="Century" w:hAnsi="Century" w:hint="cs"/>
          <w:rtl/>
        </w:rPr>
        <w:tab/>
        <w:t>למרבה ההפתעה, כתב הערעור מטעם המערער לא כולל פרק של טענות המכוונות נגד הסעדים שנפסקו. תחת זאת, המערער הסתפק בטענה המוחה על כך שבית המשפט המחוזי לא הסתפק בהוראה למחוק מן הסרט את השניות שבהן מופיע המשיב, אלא הורה לאסור על הקרנת הסרט ("גזר על השמדת הסרט כולו", כלשון המערער).</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74</w:t>
      </w:r>
      <w:r w:rsidR="00B347E6">
        <w:rPr>
          <w:rFonts w:ascii="Century" w:hAnsi="Century" w:hint="cs"/>
          <w:rtl/>
        </w:rPr>
        <w:t>.</w:t>
      </w:r>
      <w:r w:rsidR="00B347E6">
        <w:rPr>
          <w:rFonts w:ascii="Century" w:hAnsi="Century" w:hint="cs"/>
          <w:rtl/>
        </w:rPr>
        <w:tab/>
        <w:t xml:space="preserve">כבית המשפט המחוזי, נידרש </w:t>
      </w:r>
      <w:r w:rsidR="00B347E6" w:rsidRPr="002B5682">
        <w:rPr>
          <w:rFonts w:ascii="Century" w:hAnsi="Century" w:cs="Miriam" w:hint="cs"/>
          <w:b/>
          <w:spacing w:val="0"/>
          <w:szCs w:val="24"/>
          <w:rtl/>
        </w:rPr>
        <w:t>לרכיב הפיצוי</w:t>
      </w:r>
      <w:r w:rsidR="00B347E6" w:rsidRPr="002B5682">
        <w:rPr>
          <w:rFonts w:ascii="Century" w:hAnsi="Century" w:hint="cs"/>
          <w:rtl/>
        </w:rPr>
        <w:t xml:space="preserve"> </w:t>
      </w:r>
      <w:r w:rsidR="00B347E6">
        <w:rPr>
          <w:rFonts w:ascii="Century" w:hAnsi="Century" w:hint="cs"/>
          <w:rtl/>
        </w:rPr>
        <w:t xml:space="preserve">תחילה.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הנושא של פסיקת פיצויים בגין פרסום לשון הרע נדון לא אחת בפסיקה וזכה להתייחסות בספרות המשפטית. בתמצית, מקובל לומר כי הפיצוי נועד לקדם שלוש תכליות: זו התרופתית </w:t>
      </w:r>
      <w:r>
        <w:rPr>
          <w:rFonts w:ascii="Century" w:hAnsi="Century"/>
          <w:rtl/>
        </w:rPr>
        <w:t>–</w:t>
      </w:r>
      <w:r>
        <w:rPr>
          <w:rFonts w:ascii="Century" w:hAnsi="Century" w:hint="cs"/>
          <w:rtl/>
        </w:rPr>
        <w:t xml:space="preserve"> שנועדה להשיב את מצבו של הנפגע לקדמותו; זו החינוכית-הרתעתית </w:t>
      </w:r>
      <w:r>
        <w:rPr>
          <w:rFonts w:ascii="Century" w:hAnsi="Century"/>
          <w:rtl/>
        </w:rPr>
        <w:t>–</w:t>
      </w:r>
      <w:r>
        <w:rPr>
          <w:rFonts w:ascii="Century" w:hAnsi="Century" w:hint="cs"/>
          <w:rtl/>
        </w:rPr>
        <w:t xml:space="preserve"> שנועדה להעביר את המסר כי שמו הטוב של אדם אינו הפקר; וזו העונשית </w:t>
      </w:r>
      <w:r>
        <w:rPr>
          <w:rFonts w:ascii="Century" w:hAnsi="Century"/>
          <w:rtl/>
        </w:rPr>
        <w:t>–</w:t>
      </w:r>
      <w:r>
        <w:rPr>
          <w:rFonts w:ascii="Century" w:hAnsi="Century" w:hint="cs"/>
          <w:rtl/>
        </w:rPr>
        <w:t xml:space="preserve"> הקשורה בכוונתו של המפרסם </w:t>
      </w:r>
      <w:r w:rsidRPr="00DE0416">
        <w:rPr>
          <w:rFonts w:ascii="Century" w:hAnsi="Century" w:hint="cs"/>
          <w:rtl/>
        </w:rPr>
        <w:t>(ראו</w:t>
      </w:r>
      <w:r>
        <w:rPr>
          <w:rFonts w:ascii="Century" w:hAnsi="Century" w:hint="cs"/>
          <w:rtl/>
        </w:rPr>
        <w:t>, בין היתר:</w:t>
      </w:r>
      <w:r w:rsidRPr="00DE0416">
        <w:rPr>
          <w:rFonts w:ascii="Century" w:hAnsi="Century" w:hint="cs"/>
          <w:rtl/>
        </w:rPr>
        <w:t xml:space="preserve"> דברי השופט </w:t>
      </w:r>
      <w:r w:rsidRPr="00DE0416">
        <w:rPr>
          <w:rFonts w:ascii="Century" w:hAnsi="Century" w:cs="Miriam" w:hint="cs"/>
          <w:b/>
          <w:spacing w:val="0"/>
          <w:szCs w:val="24"/>
          <w:rtl/>
        </w:rPr>
        <w:t>פוגלמן</w:t>
      </w:r>
      <w:r w:rsidRPr="00DE0416">
        <w:rPr>
          <w:rFonts w:ascii="Century" w:hAnsi="Century" w:hint="cs"/>
          <w:rtl/>
        </w:rPr>
        <w:t xml:space="preserve"> ב</w:t>
      </w:r>
      <w:r w:rsidRPr="00DE0416">
        <w:rPr>
          <w:rFonts w:ascii="FrankRuehl" w:hAnsi="FrankRuehl" w:hint="cs"/>
          <w:color w:val="000000"/>
          <w:sz w:val="28"/>
          <w:rtl/>
        </w:rPr>
        <w:t>ע"</w:t>
      </w:r>
      <w:r w:rsidRPr="00DE0416">
        <w:rPr>
          <w:rFonts w:ascii="FrankRuehl" w:hAnsi="FrankRuehl"/>
          <w:color w:val="000000"/>
          <w:sz w:val="28"/>
          <w:rtl/>
        </w:rPr>
        <w:t>א 6903/12</w:t>
      </w:r>
      <w:r>
        <w:rPr>
          <w:rFonts w:ascii="FrankRuehl" w:hAnsi="FrankRuehl" w:hint="cs"/>
          <w:color w:val="000000"/>
          <w:sz w:val="28"/>
          <w:rtl/>
        </w:rPr>
        <w:t xml:space="preserve"> </w:t>
      </w:r>
      <w:r w:rsidRPr="00DE0416">
        <w:rPr>
          <w:rFonts w:asciiTheme="majorBidi" w:hAnsiTheme="majorBidi" w:cstheme="majorBidi"/>
          <w:color w:val="000000"/>
          <w:szCs w:val="22"/>
        </w:rPr>
        <w:t>Canwest Global Communications Corp</w:t>
      </w:r>
      <w:r w:rsidRPr="00DE0416">
        <w:rPr>
          <w:rFonts w:asciiTheme="majorBidi" w:hAnsiTheme="majorBidi" w:cstheme="majorBidi"/>
          <w:color w:val="000000"/>
          <w:szCs w:val="22"/>
          <w:rtl/>
        </w:rPr>
        <w:t>‏</w:t>
      </w:r>
      <w:r w:rsidRPr="00DE0416">
        <w:rPr>
          <w:rFonts w:ascii="FrankRuehl" w:hAnsi="FrankRuehl"/>
          <w:color w:val="000000"/>
          <w:sz w:val="28"/>
          <w:rtl/>
        </w:rPr>
        <w:t xml:space="preserve"> </w:t>
      </w:r>
      <w:r w:rsidRPr="00DE0416">
        <w:rPr>
          <w:rFonts w:ascii="Century" w:hAnsi="Century" w:cs="Miriam"/>
          <w:b/>
          <w:spacing w:val="0"/>
          <w:szCs w:val="24"/>
          <w:rtl/>
        </w:rPr>
        <w:t>נ' עזור</w:t>
      </w:r>
      <w:r w:rsidRPr="00DE0416">
        <w:rPr>
          <w:rFonts w:ascii="FrankRuehl" w:hAnsi="FrankRuehl" w:hint="cs"/>
          <w:color w:val="000000"/>
          <w:sz w:val="28"/>
          <w:rtl/>
        </w:rPr>
        <w:t>, פסקה 58 והאסמכתאות שם</w:t>
      </w:r>
      <w:r>
        <w:rPr>
          <w:rFonts w:ascii="FrankRuehl" w:hAnsi="FrankRuehl" w:hint="cs"/>
          <w:color w:val="000000"/>
          <w:sz w:val="28"/>
          <w:rtl/>
        </w:rPr>
        <w:t xml:space="preserve"> </w:t>
      </w:r>
      <w:r w:rsidRPr="00DE0416">
        <w:rPr>
          <w:rFonts w:ascii="FrankRuehl" w:hAnsi="FrankRuehl" w:hint="cs"/>
          <w:color w:val="000000"/>
          <w:sz w:val="28"/>
          <w:rtl/>
        </w:rPr>
        <w:t>(22.7.2015)</w:t>
      </w:r>
      <w:r>
        <w:rPr>
          <w:rFonts w:ascii="FrankRuehl" w:hAnsi="FrankRuehl" w:hint="cs"/>
          <w:color w:val="000000"/>
          <w:sz w:val="28"/>
          <w:rtl/>
        </w:rPr>
        <w:t xml:space="preserve">; עניין </w:t>
      </w:r>
      <w:r w:rsidRPr="00DE0416">
        <w:rPr>
          <w:rFonts w:ascii="Century" w:hAnsi="Century" w:cs="Miriam" w:hint="cs"/>
          <w:b/>
          <w:spacing w:val="0"/>
          <w:szCs w:val="24"/>
          <w:rtl/>
        </w:rPr>
        <w:t>דניאל</w:t>
      </w:r>
      <w:r>
        <w:rPr>
          <w:rFonts w:ascii="FrankRuehl" w:hAnsi="FrankRuehl" w:hint="cs"/>
          <w:color w:val="000000"/>
          <w:sz w:val="28"/>
          <w:rtl/>
        </w:rPr>
        <w:t xml:space="preserve">, פסקאות 82-80 </w:t>
      </w:r>
      <w:r w:rsidRPr="00DE0416">
        <w:rPr>
          <w:rFonts w:ascii="Century" w:hAnsi="Century" w:hint="cs"/>
          <w:rtl/>
        </w:rPr>
        <w:t>לפסק דיני וההפניות שם</w:t>
      </w:r>
      <w:r>
        <w:rPr>
          <w:rFonts w:ascii="Century" w:hAnsi="Century" w:hint="cs"/>
          <w:rtl/>
        </w:rPr>
        <w:t xml:space="preserve">; </w:t>
      </w:r>
      <w:r>
        <w:rPr>
          <w:rFonts w:ascii="FrankRuehl" w:hAnsi="FrankRuehl" w:hint="cs"/>
          <w:color w:val="000000"/>
          <w:sz w:val="28"/>
          <w:rtl/>
        </w:rPr>
        <w:t xml:space="preserve">כן ראו </w:t>
      </w:r>
      <w:r>
        <w:rPr>
          <w:rFonts w:ascii="FrankRuehl" w:hAnsi="FrankRuehl"/>
          <w:color w:val="000000"/>
          <w:sz w:val="28"/>
          <w:rtl/>
        </w:rPr>
        <w:t xml:space="preserve">רע"א 4740/00‏ </w:t>
      </w:r>
      <w:r w:rsidRPr="00FB5B25">
        <w:rPr>
          <w:rFonts w:ascii="Century" w:hAnsi="Century" w:cs="Miriam"/>
          <w:b/>
          <w:spacing w:val="0"/>
          <w:szCs w:val="24"/>
          <w:rtl/>
        </w:rPr>
        <w:t>אמר נ' יוסף</w:t>
      </w:r>
      <w:r>
        <w:rPr>
          <w:rFonts w:ascii="FrankRuehl" w:hAnsi="FrankRuehl"/>
          <w:color w:val="000000"/>
          <w:sz w:val="28"/>
          <w:rtl/>
        </w:rPr>
        <w:t>, פ</w:t>
      </w:r>
      <w:r>
        <w:rPr>
          <w:rFonts w:ascii="FrankRuehl" w:hAnsi="FrankRuehl" w:hint="cs"/>
          <w:color w:val="000000"/>
          <w:sz w:val="28"/>
          <w:rtl/>
        </w:rPr>
        <w:t>"</w:t>
      </w:r>
      <w:r>
        <w:rPr>
          <w:rFonts w:ascii="FrankRuehl" w:hAnsi="FrankRuehl"/>
          <w:color w:val="000000"/>
          <w:sz w:val="28"/>
          <w:rtl/>
        </w:rPr>
        <w:t>ד נה(5) 510</w:t>
      </w:r>
      <w:r>
        <w:rPr>
          <w:rFonts w:ascii="FrankRuehl" w:hAnsi="FrankRuehl" w:hint="cs"/>
          <w:color w:val="000000"/>
          <w:sz w:val="28"/>
          <w:rtl/>
        </w:rPr>
        <w:t xml:space="preserve"> (2001);</w:t>
      </w:r>
      <w:r>
        <w:rPr>
          <w:rFonts w:ascii="Century" w:hAnsi="Century" w:hint="cs"/>
          <w:rtl/>
        </w:rPr>
        <w:t xml:space="preserve"> תומר קרמרמן "שומר פיו ולשונו </w:t>
      </w:r>
      <w:r>
        <w:rPr>
          <w:rFonts w:ascii="Century" w:hAnsi="Century"/>
          <w:rtl/>
        </w:rPr>
        <w:t>–</w:t>
      </w:r>
      <w:r>
        <w:rPr>
          <w:rFonts w:ascii="Century" w:hAnsi="Century" w:hint="cs"/>
          <w:rtl/>
        </w:rPr>
        <w:t xml:space="preserve"> שומר מצרות נפשו: פיצויים ללא הוכחת נזק בחוק איסור לשון הרע" </w:t>
      </w:r>
      <w:r w:rsidRPr="008D3FCF">
        <w:rPr>
          <w:rFonts w:ascii="Century" w:hAnsi="Century" w:cs="Miriam" w:hint="cs"/>
          <w:b/>
          <w:spacing w:val="0"/>
          <w:szCs w:val="24"/>
          <w:rtl/>
        </w:rPr>
        <w:t>משפטים</w:t>
      </w:r>
      <w:r>
        <w:rPr>
          <w:rFonts w:ascii="Century" w:hAnsi="Century" w:hint="cs"/>
          <w:rtl/>
        </w:rPr>
        <w:t xml:space="preserve"> מג 899, 903 (2013); אלעד פלד </w:t>
      </w:r>
      <w:r w:rsidRPr="00686520">
        <w:rPr>
          <w:rFonts w:ascii="Century" w:hAnsi="Century" w:cs="Miriam" w:hint="cs"/>
          <w:b/>
          <w:spacing w:val="0"/>
          <w:szCs w:val="24"/>
          <w:rtl/>
        </w:rPr>
        <w:t>צווי עשה בדיני לשון-הרע</w:t>
      </w:r>
      <w:r>
        <w:rPr>
          <w:rFonts w:ascii="Century" w:hAnsi="Century" w:hint="cs"/>
          <w:rtl/>
        </w:rPr>
        <w:t xml:space="preserve"> 47-39 (2012</w:t>
      </w:r>
      <w:r w:rsidRPr="00DE0416">
        <w:rPr>
          <w:rFonts w:ascii="Century" w:hAnsi="Century" w:hint="cs"/>
          <w:rtl/>
        </w:rPr>
        <w:t>)</w:t>
      </w:r>
      <w:r>
        <w:rPr>
          <w:rFonts w:ascii="Century" w:hAnsi="Century" w:hint="cs"/>
          <w:rtl/>
        </w:rPr>
        <w:t xml:space="preserve">; </w:t>
      </w:r>
      <w:r w:rsidRPr="005C1127">
        <w:rPr>
          <w:rFonts w:ascii="Century" w:hAnsi="Century" w:cs="Miriam" w:hint="cs"/>
          <w:b/>
          <w:spacing w:val="0"/>
          <w:szCs w:val="24"/>
          <w:rtl/>
        </w:rPr>
        <w:t>שנהר</w:t>
      </w:r>
      <w:r>
        <w:rPr>
          <w:rFonts w:ascii="Century" w:hAnsi="Century" w:hint="cs"/>
          <w:rtl/>
        </w:rPr>
        <w:t>, עמ' 370-369</w:t>
      </w:r>
      <w:r w:rsidRPr="00DE0416">
        <w:rPr>
          <w:rFonts w:ascii="Century" w:hAnsi="Century" w:hint="cs"/>
          <w:rtl/>
        </w:rPr>
        <w:t xml:space="preserve">).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sidRPr="00DE0416">
        <w:rPr>
          <w:rFonts w:ascii="Century" w:hAnsi="Century" w:hint="cs"/>
          <w:rtl/>
        </w:rPr>
        <w:t>איני רוא</w:t>
      </w:r>
      <w:r>
        <w:rPr>
          <w:rFonts w:ascii="Century" w:hAnsi="Century" w:hint="cs"/>
          <w:rtl/>
        </w:rPr>
        <w:t xml:space="preserve">ה להרחיב בעניין זה הרחבה יתרה, שכן בית המשפט המחוזי שיווה לנגד עיניו את השיקולים הצריכים לעניין, ובכללם: חומרת הטענות המועלות בסרט, ובפרט בסצנת ביזת הזקן שבה שולב צילומו של המשיב; אפשרות זיהויו של המשיב; אופן הופעת המשיב בסרט למשך פרק זמן מצומצם; העדר פניות אל המשיב מצד צדדים שלישיים שצפו בסרט לאורך השנים, לגבי הופעתו בסרט; אורך התקופה שבה הוקרן הסרט ומספר הפעמים שהוקרן; יצירת נתיב פרסום חדש בדמות אתר יוטיוב ומשמעות קיומן של שתי פלטפורמות פרסום שונות; ופגיעה אפשרית עתידית בשמו הטוב של המשיב. כן ייחס בית המשפט משקל להתנהלותו של המערער לאורך השנים; לאפשרות שעמדה בפניו לתקן את הטעון תיקון ולהציג את הנתונים בסרט באופן אחר, שלא נוצלה על ידו; ולחוסר תום הלב </w:t>
      </w:r>
      <w:r w:rsidRPr="00682A28">
        <w:rPr>
          <w:rFonts w:ascii="Century" w:hAnsi="Century" w:cs="Miriam" w:hint="cs"/>
          <w:b/>
          <w:spacing w:val="0"/>
          <w:szCs w:val="24"/>
          <w:rtl/>
        </w:rPr>
        <w:t>הבוטה</w:t>
      </w:r>
      <w:r>
        <w:rPr>
          <w:rFonts w:ascii="Century" w:hAnsi="Century" w:hint="cs"/>
          <w:rtl/>
        </w:rPr>
        <w:t xml:space="preserve"> של המערער (ההדגשה במקור). </w:t>
      </w:r>
    </w:p>
    <w:p w:rsidR="00B347E6" w:rsidRDefault="00B347E6" w:rsidP="00B347E6">
      <w:pPr>
        <w:pStyle w:val="Ruller41"/>
        <w:rPr>
          <w:rFonts w:ascii="Century" w:hAnsi="Century"/>
          <w:rtl/>
        </w:rPr>
      </w:pPr>
    </w:p>
    <w:p w:rsidR="00B347E6" w:rsidRDefault="00B347E6" w:rsidP="00493D1F">
      <w:pPr>
        <w:pStyle w:val="Ruller41"/>
        <w:rPr>
          <w:rFonts w:ascii="Century" w:hAnsi="Century"/>
          <w:rtl/>
        </w:rPr>
      </w:pPr>
      <w:r>
        <w:rPr>
          <w:rFonts w:ascii="Century" w:hAnsi="Century"/>
          <w:rtl/>
        </w:rPr>
        <w:tab/>
      </w:r>
      <w:r>
        <w:rPr>
          <w:rFonts w:ascii="Century" w:hAnsi="Century" w:hint="cs"/>
          <w:rtl/>
        </w:rPr>
        <w:t xml:space="preserve">בכל הנוגע </w:t>
      </w:r>
      <w:r w:rsidRPr="00AD253F">
        <w:rPr>
          <w:rFonts w:ascii="Century" w:hAnsi="Century" w:cs="Miriam" w:hint="cs"/>
          <w:b/>
          <w:spacing w:val="0"/>
          <w:szCs w:val="24"/>
          <w:rtl/>
        </w:rPr>
        <w:t>לשיעור הפיצוי</w:t>
      </w:r>
      <w:r>
        <w:rPr>
          <w:rFonts w:ascii="Century" w:hAnsi="Century" w:hint="cs"/>
          <w:rtl/>
        </w:rPr>
        <w:t>, בית המשפט העמיד</w:t>
      </w:r>
      <w:r>
        <w:rPr>
          <w:rFonts w:ascii="FrankRuehl" w:hAnsi="FrankRuehl"/>
          <w:rtl/>
        </w:rPr>
        <w:t>וֹ</w:t>
      </w:r>
      <w:r>
        <w:rPr>
          <w:rFonts w:ascii="Century" w:hAnsi="Century" w:hint="cs"/>
          <w:rtl/>
        </w:rPr>
        <w:t xml:space="preserve"> לכאורה על סכום סביר בהתחשב בטיב הפרסום, חומרת הפגיעה במשיב, התנהלות המערער ויתר נסיבות העניין (על התנהגות הנתבע במשפט, לרבות במהלך הערעור, כשיקול לצורך קביעת שיעור הפיצויים, ראו אצל </w:t>
      </w:r>
      <w:r w:rsidRPr="00270600">
        <w:rPr>
          <w:rFonts w:ascii="Century" w:hAnsi="Century" w:cs="Miriam" w:hint="cs"/>
          <w:b/>
          <w:spacing w:val="0"/>
          <w:szCs w:val="24"/>
          <w:rtl/>
        </w:rPr>
        <w:t>שנהר</w:t>
      </w:r>
      <w:r>
        <w:rPr>
          <w:rFonts w:ascii="Century" w:hAnsi="Century" w:hint="cs"/>
          <w:rtl/>
        </w:rPr>
        <w:t xml:space="preserve">, עמ' 404-403; וראו בדומה לגבי התנהלות הנתבע לאחר הפרסום אצל </w:t>
      </w:r>
      <w:r w:rsidRPr="00137083">
        <w:rPr>
          <w:rFonts w:ascii="Century" w:hAnsi="Century" w:cs="Miriam" w:hint="cs"/>
          <w:b/>
          <w:spacing w:val="0"/>
          <w:szCs w:val="24"/>
          <w:rtl/>
        </w:rPr>
        <w:t>גנאים, קרמניצר ושנור</w:t>
      </w:r>
      <w:r>
        <w:rPr>
          <w:rFonts w:ascii="Century" w:hAnsi="Century" w:hint="cs"/>
          <w:rtl/>
        </w:rPr>
        <w:t xml:space="preserve">, עמ' 448; כן ראו סעיף 19(4) לחוק איסור לשון הרע, לגבי האפשרות להתחשב בנתבע בעת קביעת שיעור הפיצוי, מקום שבו זה התנצל, תיקן או הכחיש את הדבר המהווה לשון הרע או נקט צעדים להפסקת הפצתו). לכאורה, די היה בכך כדי להותיר את שיעור הפיצוי על כנו. </w:t>
      </w:r>
    </w:p>
    <w:p w:rsidR="00B347E6" w:rsidRDefault="00B347E6" w:rsidP="00B347E6">
      <w:pPr>
        <w:pStyle w:val="Ruller41"/>
        <w:rPr>
          <w:rFonts w:ascii="Century" w:hAnsi="Century"/>
          <w:rtl/>
        </w:rPr>
      </w:pPr>
    </w:p>
    <w:p w:rsidR="00B347E6" w:rsidRPr="00686520" w:rsidRDefault="008D6D79" w:rsidP="00B347E6">
      <w:pPr>
        <w:pStyle w:val="Ruller41"/>
        <w:rPr>
          <w:rFonts w:ascii="Century" w:hAnsi="Century"/>
        </w:rPr>
      </w:pPr>
      <w:r>
        <w:rPr>
          <w:rFonts w:ascii="Century" w:hAnsi="Century" w:hint="cs"/>
          <w:rtl/>
        </w:rPr>
        <w:t>75</w:t>
      </w:r>
      <w:r w:rsidR="00B347E6">
        <w:rPr>
          <w:rFonts w:ascii="Century" w:hAnsi="Century" w:hint="cs"/>
          <w:rtl/>
        </w:rPr>
        <w:t>.</w:t>
      </w:r>
      <w:r w:rsidR="00B347E6">
        <w:rPr>
          <w:rFonts w:ascii="Century" w:hAnsi="Century"/>
          <w:rtl/>
        </w:rPr>
        <w:tab/>
      </w:r>
      <w:r w:rsidR="00B347E6">
        <w:rPr>
          <w:rFonts w:ascii="Century" w:hAnsi="Century" w:hint="cs"/>
          <w:rtl/>
        </w:rPr>
        <w:t xml:space="preserve">ברם, כפי שפורט לעיל, שיעור הפיצוי שפסק בית המשפט המחוזי התבסס על קביעה מוקדמת במישור </w:t>
      </w:r>
      <w:r w:rsidR="00B347E6" w:rsidRPr="00A02C99">
        <w:rPr>
          <w:rFonts w:ascii="Century" w:hAnsi="Century" w:cs="Miriam" w:hint="cs"/>
          <w:b/>
          <w:spacing w:val="0"/>
          <w:szCs w:val="24"/>
          <w:rtl/>
        </w:rPr>
        <w:t>האחריות</w:t>
      </w:r>
      <w:r w:rsidR="00B347E6">
        <w:rPr>
          <w:rFonts w:ascii="Century" w:hAnsi="Century" w:hint="cs"/>
          <w:rtl/>
        </w:rPr>
        <w:t xml:space="preserve">, שלפיה אין להבחין בין פרסום הסרט באמצעות הקרנתו בסינמטק ובמוסדות הנוספים לבין העלאת הסרט ליוטיוב. דא עקא, שבהתאם לתשתית הראייתית שהונחה וכמוסבר לעיל, לא המערער הוא שהעלה את הסרט ליוטיוב, והדבר נעשה ללא ידיעתו וללא הסכמתו. לפיכך, לא היה מקום לראות את המערער כמי שביצע עוולה של פרסום לשון הרע בגין העלאת הסרט ליוטיוב. לקביעה זו השלכה על גובה הפיצוי שנפסק. אף לא למותר לציין כי ממועד הקרנת הסרט לראשונה ועד למועד הגשת התביעה חלפו 14 שנה. במהלך כל אותן שנים לא נטען כי המשיב זוהה כאחד משלושת החיילים שנחזים בסרט ב"סצנת ביזת הזקן", כך שאילולא התייצב המשיב והכריז כי בו המדובר, ספק רב אם מאן דהו היה מזהה אותו כאחד החיילים באותה סצנה. משכך, ובראי השיקולים הצריכים לעניין כפי שפורטו לעיל ובפסק דינו של בית המשפט המחוזי, אציע לחבריי להעמיד את סכום הפיצוי על סך של 100,000 </w:t>
      </w:r>
      <w:r w:rsidR="00B347E6">
        <w:rPr>
          <w:rFonts w:ascii="Century" w:hAnsi="Century" w:hint="eastAsia"/>
          <w:rtl/>
        </w:rPr>
        <w:t>₪</w:t>
      </w:r>
      <w:r w:rsidR="00B347E6">
        <w:rPr>
          <w:rFonts w:ascii="Century" w:hAnsi="Century" w:hint="cs"/>
          <w:rtl/>
        </w:rPr>
        <w:t xml:space="preserve"> חלף הסכום שנקבע בפסק דינו של בית המשפט המחוזי.</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76</w:t>
      </w:r>
      <w:r w:rsidR="00B347E6">
        <w:rPr>
          <w:rFonts w:ascii="Century" w:hAnsi="Century" w:hint="cs"/>
          <w:rtl/>
        </w:rPr>
        <w:t>.</w:t>
      </w:r>
      <w:r w:rsidR="00B347E6">
        <w:rPr>
          <w:rFonts w:ascii="Century" w:hAnsi="Century" w:hint="cs"/>
          <w:rtl/>
        </w:rPr>
        <w:tab/>
        <w:t xml:space="preserve">באשר </w:t>
      </w:r>
      <w:r w:rsidR="00B347E6" w:rsidRPr="002B5682">
        <w:rPr>
          <w:rFonts w:ascii="Century" w:hAnsi="Century" w:cs="Miriam" w:hint="cs"/>
          <w:b/>
          <w:spacing w:val="0"/>
          <w:szCs w:val="24"/>
          <w:rtl/>
        </w:rPr>
        <w:t>לצו המניעה</w:t>
      </w:r>
      <w:r w:rsidR="00B347E6" w:rsidRPr="002B5682">
        <w:rPr>
          <w:rFonts w:ascii="Century" w:hAnsi="Century" w:hint="cs"/>
          <w:rtl/>
        </w:rPr>
        <w:t xml:space="preserve"> </w:t>
      </w:r>
      <w:r w:rsidR="00B347E6">
        <w:rPr>
          <w:rFonts w:ascii="Century" w:hAnsi="Century" w:hint="cs"/>
          <w:rtl/>
        </w:rPr>
        <w:t xml:space="preserve">שהוציא בית משפט קמא האוסר על הקרנת הסרט, הדברים מורכבים מעט יותר. אזכיר כי בעניין </w:t>
      </w:r>
      <w:r w:rsidR="00B347E6" w:rsidRPr="007E1E4C">
        <w:rPr>
          <w:rFonts w:ascii="Century" w:hAnsi="Century" w:cs="Miriam" w:hint="eastAsia"/>
          <w:b/>
          <w:spacing w:val="0"/>
          <w:szCs w:val="24"/>
          <w:rtl/>
        </w:rPr>
        <w:t>בכרי</w:t>
      </w:r>
      <w:r w:rsidR="00B347E6">
        <w:rPr>
          <w:rFonts w:ascii="Century" w:hAnsi="Century" w:hint="cs"/>
          <w:rtl/>
        </w:rPr>
        <w:t xml:space="preserve"> בוטלה החלטת המועצה לביקורת סרטים שאסרה על הקרנת הסרט. אולם פסק דין זה, שניתן במישור המשפט החוקתי, אינו מחייב את בית המשפט שדן בסרט באספקלריה של דיני לשון הרע.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כאמור, בית המשפט דחה את טענתו החלופית של המערער כי ניתן להסתפק בהסרת ארבע השניות שבהן מופיע המשיב בסרט, וזאת בשל מספר טעמים: משום שטענה זו של המערער הועלתה רק בסיכומיו; משום שטענה זו מוקשית לנוכח עמדת המערער כי הסרט יצא מרשותו ואינו בשליטתו; ומשום </w:t>
      </w:r>
      <w:r>
        <w:rPr>
          <w:rFonts w:ascii="Century" w:hAnsi="Century" w:hint="eastAsia"/>
          <w:rtl/>
        </w:rPr>
        <w:t>שקיימים עותקים</w:t>
      </w:r>
      <w:r>
        <w:rPr>
          <w:rFonts w:ascii="Century" w:hAnsi="Century" w:hint="cs"/>
          <w:rtl/>
        </w:rPr>
        <w:t xml:space="preserve"> של הסרט שבהם מופיע המשיב (ולצורך כך הוציא בית המשפט צו להחרמתם). בנוסף לכך, בית המשפט הפנה לגרסתו של המערער, שהעיד כי לא פעל לתיקון עובדות או נתונים בסרט שלגביהם ידע כי אינם נכונים, בין היתר מחמת העדר משאבים. לנוכח האמור, ומשעה שהמערער לא הבהיר כיצד יפעל להסרת חלק זה בסרט, בית המשפט לא ראה לאמץ חלופה זו ולהותיר את הוצאתה לפועל בידי המערער. תחת זאת, בית המשפט הוציא כאמור צו מניעה האוסר על הקרנת הסרט כולו.</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77</w:t>
      </w:r>
      <w:r w:rsidR="00B347E6">
        <w:rPr>
          <w:rFonts w:ascii="Century" w:hAnsi="Century" w:hint="cs"/>
          <w:rtl/>
        </w:rPr>
        <w:t>.</w:t>
      </w:r>
      <w:r w:rsidR="00B347E6">
        <w:rPr>
          <w:rFonts w:ascii="Century" w:hAnsi="Century"/>
          <w:rtl/>
        </w:rPr>
        <w:tab/>
      </w:r>
      <w:r w:rsidR="00B347E6">
        <w:rPr>
          <w:rFonts w:ascii="Century" w:hAnsi="Century" w:hint="cs"/>
          <w:rtl/>
        </w:rPr>
        <w:t xml:space="preserve">בהיבט זה, שעניינו מידת התאמתו של צו המניעה </w:t>
      </w:r>
      <w:r w:rsidR="00B347E6" w:rsidRPr="00743948">
        <w:rPr>
          <w:rFonts w:ascii="Century" w:hAnsi="Century" w:cs="Miriam" w:hint="cs"/>
          <w:b/>
          <w:spacing w:val="0"/>
          <w:szCs w:val="24"/>
          <w:rtl/>
        </w:rPr>
        <w:t>הגורף</w:t>
      </w:r>
      <w:r w:rsidR="00B347E6">
        <w:rPr>
          <w:rFonts w:ascii="Century" w:hAnsi="Century" w:hint="cs"/>
          <w:rtl/>
        </w:rPr>
        <w:t xml:space="preserve"> לנסיבות המקרה דנן </w:t>
      </w:r>
      <w:r w:rsidR="00B347E6">
        <w:rPr>
          <w:rFonts w:ascii="Century" w:hAnsi="Century"/>
          <w:rtl/>
        </w:rPr>
        <w:t>–</w:t>
      </w:r>
      <w:r w:rsidR="00B347E6">
        <w:rPr>
          <w:rFonts w:ascii="Century" w:hAnsi="Century" w:hint="cs"/>
          <w:rtl/>
        </w:rPr>
        <w:t xml:space="preserve"> דעתי שונה מזו של בית המשפט המחוזי.</w:t>
      </w:r>
    </w:p>
    <w:p w:rsidR="00B347E6" w:rsidRDefault="00B347E6" w:rsidP="00B347E6">
      <w:pPr>
        <w:pStyle w:val="Ruller41"/>
        <w:rPr>
          <w:rFonts w:ascii="Century" w:hAnsi="Century"/>
          <w:rtl/>
        </w:rPr>
      </w:pPr>
    </w:p>
    <w:p w:rsidR="00B347E6" w:rsidRPr="00B62D76" w:rsidRDefault="00B347E6" w:rsidP="00B347E6">
      <w:pPr>
        <w:pStyle w:val="Ruller41"/>
        <w:rPr>
          <w:rtl/>
        </w:rPr>
      </w:pPr>
      <w:r>
        <w:rPr>
          <w:rFonts w:ascii="Century" w:hAnsi="Century" w:hint="cs"/>
          <w:rtl/>
        </w:rPr>
        <w:tab/>
        <w:t xml:space="preserve">אכן, נקודת המוצא המקובלת היא כי מקום שבו הוכרעה שאלת האחריות לחובת המפרסם, ונקבע כי הפרסום מהווה לשון הרע שאינה חוסה תחת ההגנות שבחוק </w:t>
      </w:r>
      <w:r>
        <w:rPr>
          <w:rFonts w:ascii="Century" w:hAnsi="Century"/>
          <w:rtl/>
        </w:rPr>
        <w:t>–</w:t>
      </w:r>
      <w:r>
        <w:rPr>
          <w:rFonts w:ascii="Century" w:hAnsi="Century" w:hint="cs"/>
          <w:rtl/>
        </w:rPr>
        <w:t xml:space="preserve"> אזי ככלל יש ליתן </w:t>
      </w:r>
      <w:r w:rsidRPr="00B24692">
        <w:rPr>
          <w:rFonts w:ascii="Century" w:hAnsi="Century" w:hint="cs"/>
          <w:rtl/>
        </w:rPr>
        <w:t>צו מניעה קבוע</w:t>
      </w:r>
      <w:r>
        <w:rPr>
          <w:rFonts w:ascii="Century" w:hAnsi="Century" w:hint="cs"/>
          <w:rtl/>
        </w:rPr>
        <w:t xml:space="preserve"> האוסר על הפרסום. עמד על הדברים השופט </w:t>
      </w:r>
      <w:r w:rsidRPr="00AF384E">
        <w:rPr>
          <w:rFonts w:ascii="Century" w:hAnsi="Century" w:cs="Miriam" w:hint="cs"/>
          <w:b/>
          <w:spacing w:val="0"/>
          <w:szCs w:val="24"/>
          <w:rtl/>
        </w:rPr>
        <w:t>ברק</w:t>
      </w:r>
      <w:r>
        <w:rPr>
          <w:rFonts w:ascii="Century" w:hAnsi="Century" w:hint="cs"/>
          <w:rtl/>
        </w:rPr>
        <w:t xml:space="preserve"> </w:t>
      </w:r>
      <w:r w:rsidRPr="00B62D76">
        <w:rPr>
          <w:rFonts w:hint="cs"/>
          <w:rtl/>
        </w:rPr>
        <w:t>ב</w:t>
      </w:r>
      <w:r w:rsidRPr="00B62D76">
        <w:rPr>
          <w:rtl/>
        </w:rPr>
        <w:t>ע</w:t>
      </w:r>
      <w:r w:rsidRPr="00B62D76">
        <w:rPr>
          <w:rFonts w:hint="cs"/>
          <w:rtl/>
        </w:rPr>
        <w:t>"</w:t>
      </w:r>
      <w:r w:rsidRPr="00B62D76">
        <w:rPr>
          <w:rtl/>
        </w:rPr>
        <w:t xml:space="preserve">א 214/89‏ </w:t>
      </w:r>
      <w:r w:rsidRPr="00B62D76">
        <w:rPr>
          <w:rFonts w:ascii="Century" w:hAnsi="Century" w:cs="Miriam"/>
          <w:b/>
          <w:spacing w:val="0"/>
          <w:szCs w:val="24"/>
          <w:rtl/>
        </w:rPr>
        <w:t>אבנרי</w:t>
      </w:r>
      <w:r w:rsidRPr="00B62D76">
        <w:rPr>
          <w:rFonts w:ascii="Century" w:hAnsi="Century" w:cs="Miriam"/>
          <w:b/>
          <w:spacing w:val="0"/>
          <w:szCs w:val="24"/>
          <w:cs/>
        </w:rPr>
        <w:t>‎</w:t>
      </w:r>
      <w:r w:rsidRPr="00B62D76">
        <w:rPr>
          <w:rFonts w:ascii="Century" w:hAnsi="Century" w:cs="Miriam"/>
          <w:b/>
          <w:spacing w:val="0"/>
          <w:szCs w:val="24"/>
        </w:rPr>
        <w:t xml:space="preserve"> </w:t>
      </w:r>
      <w:r w:rsidRPr="00B62D76">
        <w:rPr>
          <w:rFonts w:ascii="Century" w:hAnsi="Century" w:cs="Miriam"/>
          <w:b/>
          <w:spacing w:val="0"/>
          <w:szCs w:val="24"/>
          <w:cs/>
        </w:rPr>
        <w:t>‎</w:t>
      </w:r>
      <w:r w:rsidRPr="00B62D76">
        <w:rPr>
          <w:rFonts w:ascii="Century" w:hAnsi="Century" w:cs="Miriam"/>
          <w:b/>
          <w:spacing w:val="0"/>
          <w:szCs w:val="24"/>
          <w:rtl/>
        </w:rPr>
        <w:t>נ' שפירא</w:t>
      </w:r>
      <w:r w:rsidRPr="00B62D76">
        <w:rPr>
          <w:rtl/>
        </w:rPr>
        <w:t>, פ</w:t>
      </w:r>
      <w:r w:rsidRPr="00B62D76">
        <w:rPr>
          <w:rFonts w:hint="cs"/>
          <w:rtl/>
        </w:rPr>
        <w:t>"</w:t>
      </w:r>
      <w:r w:rsidRPr="00B62D76">
        <w:rPr>
          <w:rtl/>
        </w:rPr>
        <w:t>ד מג(3) 840</w:t>
      </w:r>
      <w:r w:rsidRPr="00B62D76">
        <w:rPr>
          <w:rFonts w:hint="cs"/>
          <w:rtl/>
        </w:rPr>
        <w:t xml:space="preserve"> (1989)</w:t>
      </w:r>
      <w:r>
        <w:rPr>
          <w:rFonts w:hint="cs"/>
          <w:rtl/>
        </w:rPr>
        <w:t xml:space="preserve"> (להלן: עניין </w:t>
      </w:r>
      <w:r w:rsidRPr="009B7CA5">
        <w:rPr>
          <w:rFonts w:ascii="Century" w:hAnsi="Century" w:cs="Miriam" w:hint="cs"/>
          <w:b/>
          <w:spacing w:val="0"/>
          <w:szCs w:val="24"/>
          <w:rtl/>
        </w:rPr>
        <w:t>אבנרי</w:t>
      </w:r>
      <w:r>
        <w:rPr>
          <w:rFonts w:hint="cs"/>
          <w:rtl/>
        </w:rPr>
        <w:t>)</w:t>
      </w:r>
      <w:r w:rsidRPr="00B62D76">
        <w:rPr>
          <w:rFonts w:hint="cs"/>
          <w:rtl/>
        </w:rPr>
        <w:t>:</w:t>
      </w:r>
    </w:p>
    <w:p w:rsidR="00B347E6" w:rsidRDefault="00B347E6" w:rsidP="00B347E6">
      <w:pPr>
        <w:pStyle w:val="Ruller41"/>
        <w:rPr>
          <w:rtl/>
        </w:rPr>
      </w:pPr>
    </w:p>
    <w:p w:rsidR="00B347E6" w:rsidRDefault="00B347E6" w:rsidP="00AA3853">
      <w:pPr>
        <w:pStyle w:val="Ruller5"/>
        <w:rPr>
          <w:rtl/>
        </w:rPr>
      </w:pPr>
      <w:r>
        <w:rPr>
          <w:rFonts w:hint="cs"/>
          <w:rtl/>
        </w:rPr>
        <w:t>"</w:t>
      </w:r>
      <w:r>
        <w:rPr>
          <w:rtl/>
        </w:rPr>
        <w:t xml:space="preserve">אכן, קיים הבדל מהותי בין השלב שבו הוכרעה אחריות של המפרסם לבין השלב שבו טרם הוכרעה אחריותו. כאשר הוכרעה שאלת האחריות, נחלש משקלו של האינטרס בדבר חופש הביטוי לאור הפגיעה המוכחת באינטרס לשם הטוב. משנקבעה האחריות, נקבעה האמת ונקבע השקר – במסגרת היחסיות המאפיינת את כל ההליך השיפוטי </w:t>
      </w:r>
      <w:r>
        <w:rPr>
          <w:rFonts w:hint="cs"/>
          <w:rtl/>
        </w:rPr>
        <w:t xml:space="preserve">[...] </w:t>
      </w:r>
      <w:r>
        <w:rPr>
          <w:rtl/>
        </w:rPr>
        <w:t>–</w:t>
      </w:r>
      <w:r>
        <w:rPr>
          <w:rFonts w:hint="cs"/>
          <w:rtl/>
        </w:rPr>
        <w:t xml:space="preserve"> </w:t>
      </w:r>
      <w:r>
        <w:rPr>
          <w:rtl/>
        </w:rPr>
        <w:t>גובר האינטרס הציבורי להגן על השם הטוב בפני דברי שקר על האינטרס של חופש הביטוי. גם הצידוק לחופש ביטוי בנסיבות אלה נחלש בדרך כלל. פרסום, אשר בית-משפט קבע לגביו כי דבר שקר הוא ולדוברו אין כל הגנה בפני אחריות, אין בו כדי לקדם את החיפוש אחר האמת. החלפה חופשית של דעות נפגעת לרוב, אם השקפות הציבור מתבססות על מידע בלתי נכון. אין בונים חברה ומשטר על אדני שקר. מתן ציווי לתמיד, בנסיבות אלה, מגשים את האיזון החקיקתי בין האינטרסים המתנגשים</w:t>
      </w:r>
      <w:r>
        <w:rPr>
          <w:rFonts w:ascii="Century" w:hAnsi="Century" w:hint="cs"/>
          <w:rtl/>
        </w:rPr>
        <w:t>" (שם, עמ' 867).</w:t>
      </w:r>
    </w:p>
    <w:p w:rsidR="00AA3853" w:rsidRDefault="00AA3853" w:rsidP="00AA3853">
      <w:pPr>
        <w:pStyle w:val="Ruller5"/>
        <w:rPr>
          <w:rtl/>
        </w:rPr>
      </w:pPr>
    </w:p>
    <w:p w:rsidR="00AA3853" w:rsidRDefault="00AA3853" w:rsidP="00AA3853">
      <w:pPr>
        <w:pStyle w:val="Ruller5"/>
        <w:rPr>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גישה זו מצאה את ביטויה גם בספרות מלומדים, ואפנה לדבריהם של </w:t>
      </w:r>
      <w:r w:rsidRPr="00AF384E">
        <w:rPr>
          <w:rFonts w:ascii="Century" w:hAnsi="Century" w:cs="Miriam" w:hint="cs"/>
          <w:b/>
          <w:spacing w:val="0"/>
          <w:szCs w:val="24"/>
          <w:rtl/>
        </w:rPr>
        <w:t>גנאים, קרמניצר ושנור</w:t>
      </w:r>
      <w:r>
        <w:rPr>
          <w:rFonts w:ascii="Century" w:hAnsi="Century" w:hint="cs"/>
          <w:rtl/>
        </w:rPr>
        <w:t xml:space="preserve">, המציינים באופן קטגורי כי </w:t>
      </w:r>
      <w:r>
        <w:rPr>
          <w:rFonts w:hint="cs"/>
          <w:rtl/>
        </w:rPr>
        <w:t xml:space="preserve">לאחר שנקבעה האחריות המשפטית לפרסום ונמצא שמדובר בפרסום אסור, אזי "יש להוציא צו מניעה קבוע" שנועד למנוע פגיעה עתידית ובלתי מוצדקת בכבוד (שם, עמ' 420). יתרה מכך. לשיטתם, </w:t>
      </w:r>
      <w:r>
        <w:rPr>
          <w:rFonts w:ascii="Century" w:hAnsi="Century" w:hint="cs"/>
          <w:rtl/>
        </w:rPr>
        <w:t xml:space="preserve">משעה שנקבע כי מדובר בפרסום אסור, לא זו בלבד שמתן צו מניעה הוא צעד </w:t>
      </w:r>
      <w:r w:rsidRPr="002A2F35">
        <w:rPr>
          <w:rFonts w:ascii="Century" w:hAnsi="Century" w:cs="Miriam" w:hint="cs"/>
          <w:b/>
          <w:spacing w:val="0"/>
          <w:szCs w:val="24"/>
          <w:rtl/>
        </w:rPr>
        <w:t>מתחייב</w:t>
      </w:r>
      <w:r>
        <w:rPr>
          <w:rFonts w:ascii="Century" w:hAnsi="Century" w:hint="cs"/>
          <w:rtl/>
        </w:rPr>
        <w:t xml:space="preserve">, אלא שאף אין לבית המשפט </w:t>
      </w:r>
      <w:r w:rsidRPr="00B24692">
        <w:rPr>
          <w:rFonts w:ascii="Century" w:hAnsi="Century" w:cs="Miriam" w:hint="cs"/>
          <w:b/>
          <w:spacing w:val="0"/>
          <w:szCs w:val="24"/>
          <w:rtl/>
        </w:rPr>
        <w:t>סמכות</w:t>
      </w:r>
      <w:r>
        <w:rPr>
          <w:rFonts w:ascii="Century" w:hAnsi="Century" w:hint="cs"/>
          <w:rtl/>
        </w:rPr>
        <w:t xml:space="preserve"> שלא לתתו ולהסתפק במתן סעד אחר כגון פיצויים: </w:t>
      </w:r>
    </w:p>
    <w:p w:rsidR="00B347E6" w:rsidRDefault="00B347E6" w:rsidP="00B347E6">
      <w:pPr>
        <w:pStyle w:val="Ruller41"/>
        <w:rPr>
          <w:rFonts w:ascii="Century" w:hAnsi="Century"/>
          <w:rtl/>
        </w:rPr>
      </w:pPr>
    </w:p>
    <w:p w:rsidR="00B347E6" w:rsidRDefault="00B347E6" w:rsidP="00B347E6">
      <w:pPr>
        <w:pStyle w:val="Ruller5"/>
        <w:rPr>
          <w:rtl/>
        </w:rPr>
      </w:pPr>
      <w:r>
        <w:rPr>
          <w:rFonts w:hint="cs"/>
          <w:rtl/>
        </w:rPr>
        <w:t>"יש הסוברים שמתן צו מניעה קבוע מסור לשיקול דעתו של השופט, ובית המשפט יביא בחשבון, בין היתר, את השיקול אם לאפשר להימנע מצו מניעה על יסוד הסתפקות בפסיקת פיצויים. אין לקבל גישה זו, שכן היא אינה מתיישבת עם תפקיד המשפט. כאמור, פרסום המקיים את היסוד העובדתי של העבירה או העוולה, ושלא נעשה בתנאים של סייג לאחריות משפטית, הוא פרסום אסור הפוגע בסדר החברתי-משפטי. על כן יש להימנע מפרסומו ולמנוע את פרסומו. אל לו לבית המשפט לאפשר פרסום אסור. הגנה ראויה על זכויות אדם, שהן זכויות יסוד בעלות מעמד חוקתי, מחייבת מניעה של כל התנהגות הפוגעת בהן שלא כדין. לכן בית המשפט חייב, כמובן בעקבות בקשת הנפגע, להוציא צו מניעה קבוע כאשר מדובר בפרסום שקרי או בפרסום אסור ובלי מוגן, ואם יש חשש לפרסום עתידי של הדברים על ידי הנתבע. לבית המשפט אין שיקול דעת בהוצאת הצו ואין מקום לעריכת איזון שיפוטי בין הנזק שייגרם לנפגע אם לא יינתן הצו ובין הנזק שייגרם למפרסם אם יינתן הצו. האיזון בין האינטרסים נעשה כבר בבדיקת יסודות העבירה והעוולה ואין עוד מקום לאיזון בין הנזקים" (שם, עמ' 421-420).</w:t>
      </w:r>
    </w:p>
    <w:p w:rsidR="00B347E6" w:rsidRDefault="00B347E6" w:rsidP="00B347E6">
      <w:pPr>
        <w:pStyle w:val="Ruller5"/>
        <w:rPr>
          <w:rtl/>
        </w:rPr>
      </w:pPr>
    </w:p>
    <w:p w:rsidR="00B347E6" w:rsidRDefault="00B347E6" w:rsidP="00B347E6">
      <w:pPr>
        <w:pStyle w:val="Ruller5"/>
        <w:rPr>
          <w:rtl/>
        </w:rPr>
      </w:pPr>
    </w:p>
    <w:p w:rsidR="00B347E6" w:rsidRPr="00F7551A" w:rsidRDefault="00B347E6" w:rsidP="00B347E6">
      <w:pPr>
        <w:pStyle w:val="Ruller41"/>
        <w:rPr>
          <w:rFonts w:ascii="Century" w:hAnsi="Century"/>
          <w:rtl/>
        </w:rPr>
      </w:pPr>
      <w:r>
        <w:rPr>
          <w:rFonts w:ascii="Century" w:hAnsi="Century"/>
          <w:rtl/>
        </w:rPr>
        <w:tab/>
      </w:r>
      <w:r>
        <w:rPr>
          <w:rFonts w:ascii="Century" w:hAnsi="Century" w:hint="cs"/>
          <w:rtl/>
        </w:rPr>
        <w:t xml:space="preserve">(עיינו גם אצל אריאל בנדור "חופש לשון-הרע" </w:t>
      </w:r>
      <w:r w:rsidRPr="00F7551A">
        <w:rPr>
          <w:rFonts w:ascii="Century" w:hAnsi="Century" w:cs="Miriam" w:hint="cs"/>
          <w:b/>
          <w:spacing w:val="0"/>
          <w:szCs w:val="24"/>
          <w:rtl/>
        </w:rPr>
        <w:t>משפטים</w:t>
      </w:r>
      <w:r>
        <w:rPr>
          <w:rFonts w:ascii="Century" w:hAnsi="Century" w:hint="cs"/>
          <w:rtl/>
        </w:rPr>
        <w:t xml:space="preserve"> כ 549, 560 (תשנ"א), הסבור כי מקום שבו מדובר בפרסום המהווה עוולה בהתאם להגדרות החוק, אזי אין מדובר בביטוי החוסה תחת חופש הביטוי).</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78</w:t>
      </w:r>
      <w:r w:rsidR="00B347E6">
        <w:rPr>
          <w:rFonts w:ascii="Century" w:hAnsi="Century" w:hint="cs"/>
          <w:rtl/>
        </w:rPr>
        <w:t>.</w:t>
      </w:r>
      <w:r w:rsidR="00B347E6">
        <w:rPr>
          <w:rFonts w:ascii="Century" w:hAnsi="Century" w:hint="cs"/>
          <w:rtl/>
        </w:rPr>
        <w:tab/>
        <w:t xml:space="preserve">כשלעצמי, איני סבור כי בית המשפט </w:t>
      </w:r>
      <w:r w:rsidR="00B347E6" w:rsidRPr="00015071">
        <w:rPr>
          <w:rFonts w:ascii="Century" w:hAnsi="Century" w:cs="Miriam" w:hint="cs"/>
          <w:b/>
          <w:spacing w:val="0"/>
          <w:szCs w:val="24"/>
          <w:rtl/>
        </w:rPr>
        <w:t>נטול סמכות</w:t>
      </w:r>
      <w:r w:rsidR="00B347E6">
        <w:rPr>
          <w:rFonts w:ascii="Century" w:hAnsi="Century" w:hint="cs"/>
          <w:rtl/>
        </w:rPr>
        <w:t xml:space="preserve"> להימנע ממתן צו מניעה קבוע במצבים שבהם נקבע כי פרסום כלשהו מהווה לשון הרע. סמכותו של בית המשפט להוציא תחת ידו צווים מסוג זה מעוגנת בסעיף 72 לפקודת הנזיקין. גישה השוללת מבית המשפט את הסמכות להפעיל שיקול דעת בהקשר זה, לא מתיישבת עם העקרונות שהוכרו בפסיקה מימים ימימה, הקובעים כי זכותו של נפגע לקבל סעד של ציווי </w:t>
      </w:r>
      <w:r w:rsidR="00B347E6" w:rsidRPr="00300F8A">
        <w:rPr>
          <w:rFonts w:ascii="Century" w:hAnsi="Century" w:cs="Miriam" w:hint="cs"/>
          <w:b/>
          <w:spacing w:val="0"/>
          <w:szCs w:val="24"/>
          <w:rtl/>
        </w:rPr>
        <w:t>אינה מוחלטת</w:t>
      </w:r>
      <w:r w:rsidR="00B347E6">
        <w:rPr>
          <w:rFonts w:ascii="Century" w:hAnsi="Century" w:hint="cs"/>
          <w:rtl/>
        </w:rPr>
        <w:t xml:space="preserve">. כך באופן כללי, וכך בתחום הספציפי של דיני לשון הרע. כפי שהוסבר בעניין </w:t>
      </w:r>
      <w:r w:rsidR="00B347E6" w:rsidRPr="00A4415F">
        <w:rPr>
          <w:rFonts w:ascii="Century" w:hAnsi="Century" w:cs="Miriam" w:hint="cs"/>
          <w:b/>
          <w:spacing w:val="0"/>
          <w:szCs w:val="24"/>
          <w:rtl/>
        </w:rPr>
        <w:t>אבנרי</w:t>
      </w:r>
      <w:r w:rsidR="00B347E6">
        <w:rPr>
          <w:rFonts w:ascii="Century" w:hAnsi="Century" w:hint="cs"/>
          <w:rtl/>
        </w:rPr>
        <w:t>, "</w:t>
      </w:r>
      <w:r w:rsidR="00B347E6" w:rsidRPr="00743948">
        <w:rPr>
          <w:rFonts w:ascii="Century" w:hAnsi="Century" w:cs="Miriam" w:hint="cs"/>
          <w:b/>
          <w:spacing w:val="0"/>
          <w:szCs w:val="24"/>
          <w:rtl/>
        </w:rPr>
        <w:t>הציווי (בחוזים ובנזיקין) הוא סעד הנתון לשיקול-דעת שיפוטי</w:t>
      </w:r>
      <w:r w:rsidR="00B347E6" w:rsidRPr="00300F8A">
        <w:rPr>
          <w:rFonts w:ascii="Century" w:hAnsi="Century" w:hint="cs"/>
          <w:rtl/>
        </w:rPr>
        <w:t>"</w:t>
      </w:r>
      <w:r w:rsidR="00B347E6">
        <w:rPr>
          <w:rFonts w:ascii="Century" w:hAnsi="Century" w:hint="cs"/>
          <w:rtl/>
        </w:rPr>
        <w:t xml:space="preserve">, והחלטת בית המשפט אם ליתן צו או להימנע מכך היא לעולם פרי איזון בין הערכים והאינטרסים המתנגשים, תוך התחשבות בנסיבותיו הפרטניות של המקרה (שם בעמ' 855-854 (ההדגשה הוספה </w:t>
      </w:r>
      <w:r w:rsidR="00B347E6">
        <w:rPr>
          <w:rFonts w:ascii="Century" w:hAnsi="Century"/>
          <w:rtl/>
        </w:rPr>
        <w:t>–</w:t>
      </w:r>
      <w:r w:rsidR="00B347E6">
        <w:rPr>
          <w:rFonts w:ascii="Century" w:hAnsi="Century" w:hint="cs"/>
          <w:rtl/>
        </w:rPr>
        <w:t xml:space="preserve"> י"ע); כן ראו </w:t>
      </w:r>
      <w:r w:rsidR="00B347E6" w:rsidRPr="008A6BF4">
        <w:rPr>
          <w:rFonts w:ascii="Century" w:hAnsi="Century" w:cs="Miriam" w:hint="cs"/>
          <w:b/>
          <w:spacing w:val="0"/>
          <w:szCs w:val="24"/>
          <w:rtl/>
        </w:rPr>
        <w:t>שנהר</w:t>
      </w:r>
      <w:r w:rsidR="00B347E6">
        <w:rPr>
          <w:rFonts w:ascii="Century" w:hAnsi="Century" w:hint="cs"/>
          <w:rtl/>
        </w:rPr>
        <w:t xml:space="preserve">, עמ' 348; תמר גדרון, רועי אילוז ורועי ריינזילבר "הפיצויים בלשון הרע </w:t>
      </w:r>
      <w:r w:rsidR="00B347E6">
        <w:rPr>
          <w:rFonts w:ascii="Century" w:hAnsi="Century"/>
          <w:rtl/>
        </w:rPr>
        <w:t>–</w:t>
      </w:r>
      <w:r w:rsidR="00B347E6">
        <w:rPr>
          <w:rFonts w:ascii="Century" w:hAnsi="Century" w:hint="cs"/>
          <w:rtl/>
        </w:rPr>
        <w:t xml:space="preserve"> תמונת מצב אמפירית" </w:t>
      </w:r>
      <w:r w:rsidR="00B347E6" w:rsidRPr="00EC6172">
        <w:rPr>
          <w:rFonts w:ascii="Century" w:hAnsi="Century" w:cs="Miriam" w:hint="cs"/>
          <w:b/>
          <w:spacing w:val="0"/>
          <w:szCs w:val="24"/>
          <w:rtl/>
        </w:rPr>
        <w:t>משפטים</w:t>
      </w:r>
      <w:r w:rsidR="00B347E6">
        <w:rPr>
          <w:rFonts w:ascii="Century" w:hAnsi="Century" w:hint="cs"/>
          <w:rtl/>
        </w:rPr>
        <w:t xml:space="preserve"> מג 453, 461-460 (תשע"ג); וראו בדומה בעניין </w:t>
      </w:r>
      <w:r w:rsidR="00B347E6" w:rsidRPr="00A4415F">
        <w:rPr>
          <w:rFonts w:ascii="Century" w:hAnsi="Century" w:cs="Miriam" w:hint="cs"/>
          <w:b/>
          <w:spacing w:val="0"/>
          <w:szCs w:val="24"/>
          <w:rtl/>
        </w:rPr>
        <w:t>פלוני</w:t>
      </w:r>
      <w:r w:rsidR="00B347E6">
        <w:rPr>
          <w:rFonts w:ascii="Century" w:hAnsi="Century" w:hint="cs"/>
          <w:rtl/>
        </w:rPr>
        <w:t xml:space="preserve"> באספקלריה של הזכות לפרטיות (שם בפסקה 161 לפסק דינו של השופט </w:t>
      </w:r>
      <w:r w:rsidR="00B347E6" w:rsidRPr="00300F8A">
        <w:rPr>
          <w:rFonts w:ascii="Century" w:hAnsi="Century" w:cs="Miriam" w:hint="cs"/>
          <w:b/>
          <w:spacing w:val="0"/>
          <w:szCs w:val="24"/>
          <w:rtl/>
        </w:rPr>
        <w:t>סולברג</w:t>
      </w:r>
      <w:r w:rsidR="00B347E6">
        <w:rPr>
          <w:rFonts w:ascii="Century" w:hAnsi="Century" w:hint="cs"/>
          <w:rtl/>
        </w:rPr>
        <w:t xml:space="preserve"> וכן בפסק דינו של השופט </w:t>
      </w:r>
      <w:r w:rsidR="00B347E6" w:rsidRPr="00300F8A">
        <w:rPr>
          <w:rFonts w:ascii="Century" w:hAnsi="Century" w:cs="Miriam" w:hint="cs"/>
          <w:b/>
          <w:spacing w:val="0"/>
          <w:szCs w:val="24"/>
          <w:rtl/>
        </w:rPr>
        <w:t>ג'ובראן</w:t>
      </w:r>
      <w:r w:rsidR="00B347E6">
        <w:rPr>
          <w:rFonts w:ascii="Century" w:hAnsi="Century" w:hint="cs"/>
          <w:rtl/>
        </w:rPr>
        <w:t>)).</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מכל מקום, סוגיית הסמכות (או העדר סמכות כביכול) כלל אינה מתעוררת במקרה שלפנינו, שכן השאלה הטעונה הכרעה אינה אם להתיר את </w:t>
      </w:r>
      <w:r w:rsidRPr="00ED615B">
        <w:rPr>
          <w:rFonts w:ascii="Century" w:hAnsi="Century" w:cs="Miriam" w:hint="cs"/>
          <w:b/>
          <w:spacing w:val="0"/>
          <w:szCs w:val="24"/>
          <w:rtl/>
        </w:rPr>
        <w:t>הפרסום האסור</w:t>
      </w:r>
      <w:r>
        <w:rPr>
          <w:rFonts w:ascii="Century" w:hAnsi="Century" w:hint="cs"/>
          <w:rtl/>
        </w:rPr>
        <w:t xml:space="preserve"> אם לאו. בנסיבות המקרה דנן, משעה שנקבע כי שילוב צילומו של המשיב בסרט מהווה לשון הרע האסורה בפרסום, אכן אין לאפשר את המשך הקרנת צילומו של המשיב במסגרת הסרט. בכך צדק בית משפט קמא. הדיון במקרה דנן בסוגיית צו המניעה הקבוע מתמקד בשאלת </w:t>
      </w:r>
      <w:r w:rsidRPr="002B5682">
        <w:rPr>
          <w:rFonts w:ascii="Century" w:hAnsi="Century" w:cs="Miriam" w:hint="cs"/>
          <w:b/>
          <w:spacing w:val="0"/>
          <w:szCs w:val="24"/>
          <w:rtl/>
        </w:rPr>
        <w:t>גדרו של הפרסום האסור</w:t>
      </w:r>
      <w:r>
        <w:rPr>
          <w:rFonts w:ascii="Century" w:hAnsi="Century" w:hint="cs"/>
          <w:rtl/>
        </w:rPr>
        <w:t xml:space="preserve">. דהיינו, האם יש לראות את הפרסום כולו (הסרט בכללותו) ואת החלק בפרסום שמהווה לשון הרע כלפי המשיב (צילומו של המשיב) </w:t>
      </w:r>
      <w:r>
        <w:rPr>
          <w:rFonts w:ascii="Century" w:hAnsi="Century"/>
          <w:rtl/>
        </w:rPr>
        <w:t>–</w:t>
      </w:r>
      <w:r>
        <w:rPr>
          <w:rFonts w:ascii="Century" w:hAnsi="Century" w:hint="cs"/>
          <w:rtl/>
        </w:rPr>
        <w:t xml:space="preserve"> כמקשה אחת המהווה פרסום אסור? לשון אחר: האם, בנסיבות דנן, החלק שמהווה לשון הרע "מכתים" את הפרסום כולו ומחייב מתן צו האוסר על הקרנת הסרט בכללותו? או שמא ניתן להפריד בין החלקים ולהסתפק בסעד מתון יותר?</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79</w:t>
      </w:r>
      <w:r w:rsidR="00B347E6">
        <w:rPr>
          <w:rFonts w:ascii="Century" w:hAnsi="Century" w:hint="cs"/>
          <w:rtl/>
        </w:rPr>
        <w:t>.</w:t>
      </w:r>
      <w:r w:rsidR="00B347E6">
        <w:rPr>
          <w:rFonts w:ascii="Century" w:hAnsi="Century" w:hint="cs"/>
          <w:rtl/>
        </w:rPr>
        <w:tab/>
        <w:t xml:space="preserve">מלאכת שרטוט גבולותיו של צו מניעה בהקשר של דיני לשון הרע, נגזרת בראש ובראשונה מניתוח עובדתי של מאפייני הפרסום. לצורך כך יש לעמוד על </w:t>
      </w:r>
      <w:r w:rsidR="00B347E6" w:rsidRPr="00CA5710">
        <w:rPr>
          <w:rFonts w:ascii="Century" w:hAnsi="Century" w:hint="cs"/>
          <w:rtl/>
        </w:rPr>
        <w:t xml:space="preserve">היחס </w:t>
      </w:r>
      <w:r w:rsidR="00B347E6">
        <w:rPr>
          <w:rFonts w:ascii="Century" w:hAnsi="Century" w:hint="cs"/>
          <w:rtl/>
        </w:rPr>
        <w:t xml:space="preserve">שבין הפרסום בכללותו לבין החלק בפרסום שמהווה לשון הרע כלפי הנפגע. יחס זה שני פנים לו: פן </w:t>
      </w:r>
      <w:r w:rsidR="00B347E6" w:rsidRPr="00DB15D6">
        <w:rPr>
          <w:rFonts w:ascii="Century" w:hAnsi="Century" w:cs="Miriam" w:hint="cs"/>
          <w:b/>
          <w:spacing w:val="0"/>
          <w:szCs w:val="24"/>
          <w:rtl/>
        </w:rPr>
        <w:t>כמותי</w:t>
      </w:r>
      <w:r w:rsidR="00B347E6">
        <w:rPr>
          <w:rFonts w:ascii="Century" w:hAnsi="Century" w:hint="cs"/>
          <w:rtl/>
        </w:rPr>
        <w:t xml:space="preserve"> ופן </w:t>
      </w:r>
      <w:r w:rsidR="00B347E6" w:rsidRPr="00DB15D6">
        <w:rPr>
          <w:rFonts w:ascii="Century" w:hAnsi="Century" w:cs="Miriam" w:hint="cs"/>
          <w:b/>
          <w:spacing w:val="0"/>
          <w:szCs w:val="24"/>
          <w:rtl/>
        </w:rPr>
        <w:t>איכותי</w:t>
      </w:r>
      <w:r w:rsidR="00B347E6">
        <w:rPr>
          <w:rFonts w:ascii="Century" w:hAnsi="Century" w:hint="cs"/>
          <w:rtl/>
        </w:rPr>
        <w:t>. בהיבט הכמותי, יש לבחון מה נפחו של החלק הפוגעני מתוך הפרסום הכולל. בהיבט האיכותי, יש לבחון עד כמה נסב תוכנו של הפרסום בכללותו על הרכיב הפוגעני שבפרסום, ועד כמה, אם בכלל, ניתן להבחין ולהפריד ביניהם. מטבע הדברים, ככל שמידותיו של הפרסום בכללותו קטנות יותר, כך גדל הקושי להפריד בינו לבין רכיב לשון הרע שבו, ולהיפך.</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נדגים: ראובן חיבר ספר על אודות שמעון שכולו רווי שקרים והשמצות. במצב שכזה, הדעת נותנת כי יש לראות את הספר בכללותו ואת לשון הרע שבו כמקשה אחת שאינה ניתנת להפרדה. לעומת זאת, אם רק בעמוד בודד בספר מוזכר שמעון בהקשר דיבתי, הדעת נותנת כי ניתן יהיה להסתפק במחיקת האזכור הספציפי חלף איסור פרסום של הספר כולו. דוגמה נוספת: אם שרה פרסמה ברשת חברתית פוסט העוסק בפועלה של רבקה, ובמוקד הפוסט ניצבת האשמה כוזבת כלפי רבקה, אזי ייתכן שבהיבט </w:t>
      </w:r>
      <w:r w:rsidRPr="009C4063">
        <w:rPr>
          <w:rFonts w:ascii="Century" w:hAnsi="Century" w:hint="cs"/>
          <w:rtl/>
        </w:rPr>
        <w:t>האיכותי</w:t>
      </w:r>
      <w:r>
        <w:rPr>
          <w:rFonts w:ascii="Century" w:hAnsi="Century" w:hint="cs"/>
          <w:rtl/>
        </w:rPr>
        <w:t xml:space="preserve"> לא ניתן יהיה להפריד בין רכיבי הפרסום, וזאת גם אם הרכיב הדיבתי לא תופס את מלוא נפחו של הפוסט אלא רק חלק ממנו (וראו והשוו </w:t>
      </w:r>
      <w:r w:rsidRPr="00722708">
        <w:rPr>
          <w:rFonts w:ascii="Century" w:hAnsi="Century" w:hint="cs"/>
          <w:rtl/>
        </w:rPr>
        <w:t>אצל</w:t>
      </w:r>
      <w:r>
        <w:rPr>
          <w:rFonts w:ascii="Century" w:hAnsi="Century" w:cs="Miriam" w:hint="cs"/>
          <w:b/>
          <w:spacing w:val="0"/>
          <w:szCs w:val="24"/>
          <w:rtl/>
        </w:rPr>
        <w:t xml:space="preserve"> </w:t>
      </w:r>
      <w:r w:rsidRPr="00323D6A">
        <w:rPr>
          <w:rFonts w:ascii="Century" w:hAnsi="Century" w:cs="Miriam" w:hint="cs"/>
          <w:b/>
          <w:spacing w:val="0"/>
          <w:szCs w:val="24"/>
          <w:rtl/>
        </w:rPr>
        <w:t>שנהר</w:t>
      </w:r>
      <w:r>
        <w:rPr>
          <w:rFonts w:ascii="Century" w:hAnsi="Century" w:hint="cs"/>
          <w:rtl/>
        </w:rPr>
        <w:t xml:space="preserve"> בעמ' 119-118, לגבי היחס בין כותרת של פרסום או חלקו הבולט של הפרסום לבין הפרסום בכללותו).</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80</w:t>
      </w:r>
      <w:r w:rsidR="00B347E6">
        <w:rPr>
          <w:rFonts w:ascii="Century" w:hAnsi="Century" w:hint="cs"/>
          <w:rtl/>
        </w:rPr>
        <w:t>.</w:t>
      </w:r>
      <w:r w:rsidR="00B347E6">
        <w:rPr>
          <w:rFonts w:ascii="Century" w:hAnsi="Century" w:hint="cs"/>
          <w:rtl/>
        </w:rPr>
        <w:tab/>
        <w:t xml:space="preserve">יישום הדברים על נסיבות המקרה שלפנינו מוביל למסקנה ברורה כי רכיב לשון הרע שמופנית כלפי המשיב תופס חלק </w:t>
      </w:r>
      <w:r w:rsidR="00B347E6" w:rsidRPr="00585F34">
        <w:rPr>
          <w:rFonts w:ascii="Century" w:hAnsi="Century" w:cs="Miriam" w:hint="cs"/>
          <w:b/>
          <w:spacing w:val="0"/>
          <w:szCs w:val="24"/>
          <w:rtl/>
        </w:rPr>
        <w:t>מזערי</w:t>
      </w:r>
      <w:r w:rsidR="00B347E6">
        <w:rPr>
          <w:rFonts w:ascii="Century" w:hAnsi="Century" w:hint="cs"/>
          <w:rtl/>
        </w:rPr>
        <w:t xml:space="preserve"> מתוך הסרט בכללותו, הן בהיבט הכמותי הן בהיבט האיכותי.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בהיבט הכמותי </w:t>
      </w:r>
      <w:r>
        <w:rPr>
          <w:rFonts w:ascii="Century" w:hAnsi="Century"/>
          <w:rtl/>
        </w:rPr>
        <w:t>–</w:t>
      </w:r>
      <w:r>
        <w:rPr>
          <w:rFonts w:ascii="Century" w:hAnsi="Century" w:hint="cs"/>
          <w:rtl/>
        </w:rPr>
        <w:t xml:space="preserve"> אורכו המלא של הסרט עומד על </w:t>
      </w:r>
      <w:r w:rsidRPr="007B5FA9">
        <w:rPr>
          <w:rFonts w:ascii="Century" w:hAnsi="Century" w:cs="Miriam" w:hint="cs"/>
          <w:b/>
          <w:spacing w:val="0"/>
          <w:szCs w:val="24"/>
          <w:rtl/>
        </w:rPr>
        <w:t>למעלה מ-50 דקות</w:t>
      </w:r>
      <w:r>
        <w:rPr>
          <w:rFonts w:ascii="Century" w:hAnsi="Century" w:hint="cs"/>
          <w:rtl/>
        </w:rPr>
        <w:t xml:space="preserve">, בעוד שהמקטע בסרט שבו מוצג צילומו של המשיב עומד על </w:t>
      </w:r>
      <w:r w:rsidRPr="007B5FA9">
        <w:rPr>
          <w:rFonts w:ascii="Century" w:hAnsi="Century" w:cs="Miriam" w:hint="cs"/>
          <w:b/>
          <w:spacing w:val="0"/>
          <w:szCs w:val="24"/>
          <w:rtl/>
        </w:rPr>
        <w:t>כארבע שניות</w:t>
      </w:r>
      <w:r>
        <w:rPr>
          <w:rFonts w:ascii="Century" w:hAnsi="Century" w:hint="cs"/>
          <w:rtl/>
        </w:rPr>
        <w:t xml:space="preserve">. דהיינו, מעט למעלה </w:t>
      </w:r>
      <w:r w:rsidRPr="007B5FA9">
        <w:rPr>
          <w:rFonts w:ascii="Century" w:hAnsi="Century" w:cs="Miriam" w:hint="cs"/>
          <w:b/>
          <w:spacing w:val="0"/>
          <w:szCs w:val="24"/>
          <w:rtl/>
        </w:rPr>
        <w:t>מפרומיל</w:t>
      </w:r>
      <w:r>
        <w:rPr>
          <w:rFonts w:ascii="Century" w:hAnsi="Century" w:hint="cs"/>
          <w:rtl/>
        </w:rPr>
        <w:t xml:space="preserve"> מאורכו הכולל של הסרט (כ-0.0013). בהיבט האיכותי </w:t>
      </w:r>
      <w:r>
        <w:rPr>
          <w:rFonts w:ascii="Century" w:hAnsi="Century"/>
          <w:rtl/>
        </w:rPr>
        <w:t>–</w:t>
      </w:r>
      <w:r>
        <w:rPr>
          <w:rFonts w:ascii="Century" w:hAnsi="Century" w:hint="cs"/>
          <w:rtl/>
        </w:rPr>
        <w:t xml:space="preserve"> מלבד שילוב צילומו של המשיב בסצנה המדוברת, אין כל אזכור בסרט המתייחס באופן קונקרטי למשיב (או לכל חייל אחר שהשתתף במבצע באופן אישי), לא במפורש ולא ברמז. כל הצופה בסרט מתרשם בבירור כי הסרט כלל לא עוסק במשיב באופן אישי ולא מתיימר לעסוק בו, וכי הסרת הקטע בן ארבע השניות מהסרט לא תגרע מאומה מתוכנו של הסרט.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הנה כי כן, מדובר במצב שבו רכיב לשון הרע שבפרסום המופנה כלפי המשיב אינו אלא </w:t>
      </w:r>
      <w:r w:rsidRPr="00743948">
        <w:rPr>
          <w:rFonts w:ascii="Century" w:hAnsi="Century" w:cs="Miriam" w:hint="cs"/>
          <w:b/>
          <w:spacing w:val="0"/>
          <w:szCs w:val="24"/>
          <w:rtl/>
        </w:rPr>
        <w:t>שבריר</w:t>
      </w:r>
      <w:r>
        <w:rPr>
          <w:rFonts w:ascii="Century" w:hAnsi="Century" w:hint="cs"/>
          <w:rtl/>
        </w:rPr>
        <w:t xml:space="preserve"> מתוך הסרט המלא, רכיב הבטל בשישים (ליתר דיוק: בטל בשש מאות ויותר) ביחס לפרסום בכללותו. בנסיבות אלו, קשה לומר כי יש הלימה, ולו מינימאלית, בין מידותיה הצרות של לשון הרע שבסרט ככל שזו מתייחסת למשיב, לבין מתן צו מניעה גורף האוסר על פרסום </w:t>
      </w:r>
      <w:r w:rsidRPr="00CB5332">
        <w:rPr>
          <w:rFonts w:ascii="Century" w:hAnsi="Century" w:cs="Miriam" w:hint="cs"/>
          <w:b/>
          <w:spacing w:val="0"/>
          <w:szCs w:val="24"/>
          <w:rtl/>
        </w:rPr>
        <w:t>הסרט כולו</w:t>
      </w:r>
      <w:r>
        <w:rPr>
          <w:rFonts w:ascii="Century" w:hAnsi="Century" w:hint="cs"/>
          <w:rtl/>
        </w:rPr>
        <w:t xml:space="preserve">.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81</w:t>
      </w:r>
      <w:r w:rsidR="00B347E6">
        <w:rPr>
          <w:rFonts w:ascii="Century" w:hAnsi="Century" w:hint="cs"/>
          <w:rtl/>
        </w:rPr>
        <w:t>.</w:t>
      </w:r>
      <w:r w:rsidR="00B347E6">
        <w:rPr>
          <w:rFonts w:ascii="Century" w:hAnsi="Century" w:hint="cs"/>
          <w:rtl/>
        </w:rPr>
        <w:tab/>
        <w:t>בתשובתו לערעור, הביע היועץ המשפטי לממשלה תמיכה במתן צו מניעה האוסר על פרסום הסרט כולו, בנימוק כי "אל לו לבית המשפט להיכנס בנעליו של היוצר ולשנות את היצירה כך שניתן יהיה לפרסמה" (פסקה 58 לתשובתו). כתימוכין לעמדתו הפנה היועמ"ש לדברי המשנ</w:t>
      </w:r>
      <w:r w:rsidR="00B347E6">
        <w:rPr>
          <w:rFonts w:ascii="FrankRuehl" w:hAnsi="FrankRuehl"/>
          <w:rtl/>
        </w:rPr>
        <w:t>ָ</w:t>
      </w:r>
      <w:r w:rsidR="00B347E6">
        <w:rPr>
          <w:rFonts w:ascii="Century" w:hAnsi="Century" w:hint="cs"/>
          <w:rtl/>
        </w:rPr>
        <w:t xml:space="preserve">ה לנשיא השופטת </w:t>
      </w:r>
      <w:r w:rsidR="00B347E6" w:rsidRPr="007E5890">
        <w:rPr>
          <w:rFonts w:ascii="Century" w:hAnsi="Century" w:cs="Miriam" w:hint="cs"/>
          <w:b/>
          <w:spacing w:val="0"/>
          <w:szCs w:val="24"/>
          <w:rtl/>
        </w:rPr>
        <w:t>נאור</w:t>
      </w:r>
      <w:r w:rsidR="00B347E6">
        <w:rPr>
          <w:rFonts w:ascii="Century" w:hAnsi="Century" w:hint="cs"/>
          <w:rtl/>
        </w:rPr>
        <w:t xml:space="preserve"> בעניין </w:t>
      </w:r>
      <w:r w:rsidR="00B347E6" w:rsidRPr="007E5890">
        <w:rPr>
          <w:rFonts w:ascii="Century" w:hAnsi="Century" w:cs="Miriam" w:hint="cs"/>
          <w:b/>
          <w:spacing w:val="0"/>
          <w:szCs w:val="24"/>
          <w:rtl/>
        </w:rPr>
        <w:t>פלוני</w:t>
      </w:r>
      <w:r w:rsidR="00B347E6">
        <w:rPr>
          <w:rFonts w:ascii="Century" w:hAnsi="Century" w:hint="cs"/>
          <w:rtl/>
        </w:rPr>
        <w:t xml:space="preserve">, שם ציינה כי </w:t>
      </w:r>
      <w:r w:rsidR="00B347E6">
        <w:rPr>
          <w:rFonts w:ascii="FrankRuehl" w:hAnsi="FrankRuehl" w:hint="cs"/>
          <w:color w:val="000000"/>
          <w:sz w:val="28"/>
          <w:rtl/>
        </w:rPr>
        <w:t>"</w:t>
      </w:r>
      <w:r w:rsidR="00B347E6">
        <w:rPr>
          <w:rFonts w:ascii="FrankRuehl" w:hAnsi="FrankRuehl"/>
          <w:color w:val="000000"/>
          <w:sz w:val="28"/>
          <w:rtl/>
        </w:rPr>
        <w:t xml:space="preserve">לא נוכל ליטול על עצמנו בפסק דין את התפקיד של </w:t>
      </w:r>
      <w:r w:rsidR="00B347E6">
        <w:rPr>
          <w:rFonts w:ascii="FrankRuehl" w:hAnsi="FrankRuehl" w:hint="cs"/>
          <w:color w:val="000000"/>
          <w:sz w:val="28"/>
          <w:rtl/>
        </w:rPr>
        <w:t>'</w:t>
      </w:r>
      <w:r w:rsidR="00B347E6">
        <w:rPr>
          <w:rFonts w:ascii="FrankRuehl" w:hAnsi="FrankRuehl"/>
          <w:color w:val="000000"/>
          <w:sz w:val="28"/>
          <w:rtl/>
        </w:rPr>
        <w:t>עורך ראשי</w:t>
      </w:r>
      <w:r w:rsidR="00B347E6">
        <w:rPr>
          <w:rFonts w:ascii="FrankRuehl" w:hAnsi="FrankRuehl" w:hint="cs"/>
          <w:color w:val="000000"/>
          <w:sz w:val="28"/>
          <w:rtl/>
        </w:rPr>
        <w:t>'</w:t>
      </w:r>
      <w:r w:rsidR="00B347E6">
        <w:rPr>
          <w:rFonts w:ascii="FrankRuehl" w:hAnsi="FrankRuehl"/>
          <w:color w:val="000000"/>
          <w:sz w:val="28"/>
          <w:rtl/>
        </w:rPr>
        <w:t xml:space="preserve"> ואת התפקיד של מי שיורה על שינויים ברומן ספרות</w:t>
      </w:r>
      <w:r w:rsidR="00B347E6">
        <w:rPr>
          <w:rFonts w:ascii="Century" w:hAnsi="Century" w:hint="cs"/>
          <w:rtl/>
        </w:rPr>
        <w:t xml:space="preserve">י" (פסקה 2 סיפא לפסק דינה). כפי שיוסבר להלן, טענה זו של היועמ"ש לוקה בשניים, הן בהיבט של כניסה כביכול מצד בית המשפט לנעלי היוצר, הן בניסיון להיאחז בדברי השופטת </w:t>
      </w:r>
      <w:r w:rsidR="00B347E6" w:rsidRPr="00E34412">
        <w:rPr>
          <w:rFonts w:ascii="Century" w:hAnsi="Century" w:cs="Miriam" w:hint="cs"/>
          <w:b/>
          <w:spacing w:val="0"/>
          <w:szCs w:val="24"/>
          <w:rtl/>
        </w:rPr>
        <w:t>נאור</w:t>
      </w:r>
      <w:r w:rsidR="00B347E6">
        <w:rPr>
          <w:rFonts w:ascii="Century" w:hAnsi="Century" w:hint="cs"/>
          <w:rtl/>
        </w:rPr>
        <w:t xml:space="preserve"> בעניין </w:t>
      </w:r>
      <w:r w:rsidR="00B347E6" w:rsidRPr="00E34412">
        <w:rPr>
          <w:rFonts w:ascii="Century" w:hAnsi="Century" w:cs="Miriam" w:hint="cs"/>
          <w:b/>
          <w:spacing w:val="0"/>
          <w:szCs w:val="24"/>
          <w:rtl/>
        </w:rPr>
        <w:t>פלוני</w:t>
      </w:r>
      <w:r w:rsidR="00B347E6">
        <w:rPr>
          <w:rFonts w:ascii="Century" w:hAnsi="Century" w:hint="cs"/>
          <w:rtl/>
        </w:rPr>
        <w:t xml:space="preserve"> כתנא דמסייע לעמדת היועמ"ש. אסביר.</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82</w:t>
      </w:r>
      <w:r w:rsidR="00B347E6">
        <w:rPr>
          <w:rFonts w:ascii="Century" w:hAnsi="Century" w:hint="cs"/>
          <w:rtl/>
        </w:rPr>
        <w:t>.</w:t>
      </w:r>
      <w:r w:rsidR="00B347E6">
        <w:rPr>
          <w:rFonts w:ascii="Century" w:hAnsi="Century"/>
          <w:rtl/>
        </w:rPr>
        <w:tab/>
      </w:r>
      <w:r w:rsidR="00B347E6">
        <w:rPr>
          <w:rFonts w:ascii="Century" w:hAnsi="Century" w:hint="cs"/>
          <w:rtl/>
        </w:rPr>
        <w:t xml:space="preserve">תחילה לניסיון (הכושל) להקיש מעניין </w:t>
      </w:r>
      <w:r w:rsidR="00B347E6" w:rsidRPr="00E34412">
        <w:rPr>
          <w:rFonts w:ascii="Century" w:hAnsi="Century" w:cs="Miriam" w:hint="cs"/>
          <w:b/>
          <w:spacing w:val="0"/>
          <w:szCs w:val="24"/>
          <w:rtl/>
        </w:rPr>
        <w:t>פלוני</w:t>
      </w:r>
      <w:r w:rsidR="00B347E6">
        <w:rPr>
          <w:rFonts w:ascii="Century" w:hAnsi="Century" w:hint="cs"/>
          <w:rtl/>
        </w:rPr>
        <w:t xml:space="preserve"> לענייננו אנו. לשם כך נעמיד תחילה את </w:t>
      </w:r>
      <w:r w:rsidR="00B347E6" w:rsidRPr="00E34412">
        <w:rPr>
          <w:rFonts w:ascii="Century" w:hAnsi="Century" w:cs="Miriam" w:hint="cs"/>
          <w:b/>
          <w:spacing w:val="0"/>
          <w:szCs w:val="24"/>
          <w:rtl/>
        </w:rPr>
        <w:t>העובדות</w:t>
      </w:r>
      <w:r w:rsidR="00B347E6">
        <w:rPr>
          <w:rFonts w:ascii="Century" w:hAnsi="Century" w:hint="cs"/>
          <w:rtl/>
        </w:rPr>
        <w:t xml:space="preserve"> לנגד עינינו.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בעניין </w:t>
      </w:r>
      <w:r w:rsidRPr="00E34412">
        <w:rPr>
          <w:rFonts w:ascii="Century" w:hAnsi="Century" w:cs="Miriam" w:hint="cs"/>
          <w:b/>
          <w:spacing w:val="0"/>
          <w:szCs w:val="24"/>
          <w:rtl/>
        </w:rPr>
        <w:t>פלוני</w:t>
      </w:r>
      <w:r w:rsidRPr="00E34412">
        <w:rPr>
          <w:rFonts w:ascii="Century" w:hAnsi="Century" w:hint="cs"/>
          <w:rtl/>
        </w:rPr>
        <w:t xml:space="preserve"> מדובר היה </w:t>
      </w:r>
      <w:r>
        <w:rPr>
          <w:rFonts w:ascii="Century" w:hAnsi="Century" w:hint="cs"/>
          <w:rtl/>
        </w:rPr>
        <w:t xml:space="preserve">ביצירה ספרותית, רומן בדיוני-כביכול, שבפועל התברר כיצירה מעין-תיעודית שמידת הבדיון בה מועטה למדי. </w:t>
      </w:r>
      <w:r w:rsidRPr="00BA76FE">
        <w:rPr>
          <w:rFonts w:ascii="Century" w:hAnsi="Century" w:hint="cs"/>
          <w:rtl/>
        </w:rPr>
        <w:t xml:space="preserve">הספר </w:t>
      </w:r>
      <w:r w:rsidRPr="00BA76FE">
        <w:rPr>
          <w:rFonts w:ascii="Century" w:hAnsi="Century"/>
          <w:rtl/>
        </w:rPr>
        <w:t>גולל את מערכת היחסים האינטימית שהתקיימה בין</w:t>
      </w:r>
      <w:r w:rsidRPr="00BA76FE">
        <w:rPr>
          <w:rFonts w:ascii="Century" w:hAnsi="Century" w:hint="cs"/>
          <w:rtl/>
        </w:rPr>
        <w:t xml:space="preserve"> </w:t>
      </w:r>
      <w:r>
        <w:rPr>
          <w:rFonts w:ascii="Century" w:hAnsi="Century" w:hint="cs"/>
          <w:rtl/>
        </w:rPr>
        <w:t>המחבר-המערער לנפגעת-המשיבה</w:t>
      </w:r>
      <w:r w:rsidRPr="00BA76FE">
        <w:rPr>
          <w:rFonts w:ascii="Century" w:hAnsi="Century" w:hint="cs"/>
          <w:rtl/>
        </w:rPr>
        <w:t xml:space="preserve">, </w:t>
      </w:r>
      <w:r>
        <w:rPr>
          <w:rFonts w:ascii="Century" w:hAnsi="Century" w:hint="cs"/>
          <w:rtl/>
        </w:rPr>
        <w:t xml:space="preserve">שהיתה בת זוגו של המחבר במשך מספר שנים, תוך תיאור פרטים אינטימיים כמוסים ביותר על אודותיה. לאורך הספר הופיעו פרטים רבים החושפים את זהותה של הנפגעת, המתייחסים בין היתר אל "חזותה החיצונית, פרטים על אודות גילה, עיסוקה הייחודי, מקום לימודיה, מקום עבודתה ומקום מגוריה, פרטים על יצירתה המיוחדת, פרטים על המערער, בן זוגה, ואירועים שהתרחשו במציאות בנוכחות צדדים שלישיים" (שם, פסקה 141).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בטרם מתן פסק הדין באותה פרשה, עוד בשלב הדיון בערעור, בית המשפט ניסה את כוחו להביא את הצדדים להסכמות בדבר עריכת שינויים בתוכנו של הספר שיאפשרו את פרסומו. מאמצים אלו לא נשאו פרי, ובית המשפט נדרש להכריע בסכסוך על דרך של מתן פסק דין. על רקע זה ציינה השופטת </w:t>
      </w:r>
      <w:r w:rsidRPr="00A21E36">
        <w:rPr>
          <w:rFonts w:ascii="Century" w:hAnsi="Century" w:cs="Miriam" w:hint="cs"/>
          <w:b/>
          <w:spacing w:val="0"/>
          <w:szCs w:val="24"/>
          <w:rtl/>
        </w:rPr>
        <w:t>נאור</w:t>
      </w:r>
      <w:r>
        <w:rPr>
          <w:rFonts w:ascii="Century" w:hAnsi="Century" w:hint="cs"/>
          <w:rtl/>
        </w:rPr>
        <w:t xml:space="preserve"> את הדברים הבאים: </w:t>
      </w:r>
      <w:r>
        <w:rPr>
          <w:rFonts w:hint="cs"/>
          <w:rtl/>
        </w:rPr>
        <w:t xml:space="preserve">"הצענו בדיון לאפשר שינויים </w:t>
      </w:r>
      <w:r w:rsidRPr="00A21E36">
        <w:rPr>
          <w:rFonts w:ascii="Century" w:hAnsi="Century" w:cs="Miriam" w:hint="cs"/>
          <w:b/>
          <w:spacing w:val="0"/>
          <w:szCs w:val="24"/>
          <w:rtl/>
        </w:rPr>
        <w:t>שאינם קלי ערך</w:t>
      </w:r>
      <w:r>
        <w:rPr>
          <w:rFonts w:hint="cs"/>
          <w:rtl/>
        </w:rPr>
        <w:t xml:space="preserve"> בספר אך הדבר לא הסתייע. לא נוכל ליטול על עצמנו בפסק דין את התפקיד של 'עורך ראשי' ואת התפקיד של מי שיורה על שינויים ברומן ספרותי" (פסקה 2 לפסק דינה (ההדגשה הוספה </w:t>
      </w:r>
      <w:r>
        <w:rPr>
          <w:rtl/>
        </w:rPr>
        <w:t>–</w:t>
      </w:r>
      <w:r>
        <w:rPr>
          <w:rFonts w:hint="cs"/>
          <w:rtl/>
        </w:rPr>
        <w:t xml:space="preserve"> י"ע)). </w:t>
      </w:r>
      <w:r>
        <w:rPr>
          <w:rFonts w:ascii="Century" w:hAnsi="Century" w:hint="cs"/>
          <w:rtl/>
        </w:rPr>
        <w:t>ערעורו של המחבר נדחה אפוא</w:t>
      </w:r>
      <w:r>
        <w:rPr>
          <w:rFonts w:hint="cs"/>
          <w:rtl/>
        </w:rPr>
        <w:t xml:space="preserve"> והצו האוסר על </w:t>
      </w:r>
      <w:r>
        <w:rPr>
          <w:rFonts w:ascii="Century" w:hAnsi="Century" w:hint="cs"/>
          <w:rtl/>
        </w:rPr>
        <w:t>פרסום הספר כולו נותר על כנו לנוכח פגיעתו במשיבה.</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83</w:t>
      </w:r>
      <w:r w:rsidR="00B347E6">
        <w:rPr>
          <w:rFonts w:ascii="Century" w:hAnsi="Century" w:hint="cs"/>
          <w:rtl/>
        </w:rPr>
        <w:t>.</w:t>
      </w:r>
      <w:r w:rsidR="00B347E6">
        <w:rPr>
          <w:rFonts w:ascii="Century" w:hAnsi="Century" w:hint="cs"/>
          <w:rtl/>
        </w:rPr>
        <w:tab/>
        <w:t xml:space="preserve">כבר במבט ראשון נקל להיווכח כי נסיבות המקרה שלפנינו שונות מעיקרן. כפי שעולה בבירור מהנסיבות בעניין </w:t>
      </w:r>
      <w:r w:rsidR="00B347E6" w:rsidRPr="00A46141">
        <w:rPr>
          <w:rFonts w:ascii="Century" w:hAnsi="Century" w:cs="Miriam" w:hint="cs"/>
          <w:b/>
          <w:spacing w:val="0"/>
          <w:szCs w:val="24"/>
          <w:rtl/>
        </w:rPr>
        <w:t>פלוני</w:t>
      </w:r>
      <w:r w:rsidR="00B347E6">
        <w:rPr>
          <w:rFonts w:ascii="Century" w:hAnsi="Century" w:hint="cs"/>
          <w:rtl/>
        </w:rPr>
        <w:t>, השינויים שנדרשו בתוכנו של הספר לצורך 'הכשרתו' היו "</w:t>
      </w:r>
      <w:r w:rsidR="00B347E6" w:rsidRPr="00C13F09">
        <w:rPr>
          <w:rFonts w:ascii="Century" w:hAnsi="Century" w:cs="Miriam" w:hint="cs"/>
          <w:b/>
          <w:spacing w:val="0"/>
          <w:szCs w:val="24"/>
          <w:rtl/>
        </w:rPr>
        <w:t>לא קלי ערך</w:t>
      </w:r>
      <w:r w:rsidR="00B347E6">
        <w:rPr>
          <w:rFonts w:ascii="Century" w:hAnsi="Century" w:hint="cs"/>
          <w:rtl/>
        </w:rPr>
        <w:t xml:space="preserve">", ומסתבר כי הצריכו תיקונים רבים לאורכו ולרוחבו של הספר. אפס, משעה שהצדדים לא הגיעו להסכמות לגבי ביצוע שינויים אלו ובית המשפט נדרש ליתן פסק דין, השופטת </w:t>
      </w:r>
      <w:r w:rsidR="00B347E6" w:rsidRPr="00FA5EC0">
        <w:rPr>
          <w:rFonts w:ascii="Century" w:hAnsi="Century" w:cs="Miriam" w:hint="cs"/>
          <w:b/>
          <w:spacing w:val="0"/>
          <w:szCs w:val="24"/>
          <w:rtl/>
        </w:rPr>
        <w:t>נאור</w:t>
      </w:r>
      <w:r w:rsidR="00B347E6">
        <w:rPr>
          <w:rFonts w:ascii="Century" w:hAnsi="Century" w:hint="cs"/>
          <w:rtl/>
        </w:rPr>
        <w:t xml:space="preserve"> הבהירה כי בית המשפט לא יוכל לטול על עצמו תפקיד של "עורך ראשי" שיכניס, על דרך של פסק דין, שינויים בתוכנו של רומן ספרותי.</w:t>
      </w:r>
    </w:p>
    <w:p w:rsidR="00B347E6" w:rsidRDefault="00B347E6" w:rsidP="00B347E6">
      <w:pPr>
        <w:pStyle w:val="Ruller41"/>
        <w:rPr>
          <w:rFonts w:ascii="Century" w:hAnsi="Century"/>
          <w:rtl/>
        </w:rPr>
      </w:pPr>
    </w:p>
    <w:p w:rsidR="00B347E6" w:rsidRDefault="00B347E6" w:rsidP="00B347E6">
      <w:pPr>
        <w:pStyle w:val="Ruller41"/>
        <w:ind w:firstLine="720"/>
        <w:rPr>
          <w:rFonts w:ascii="Century" w:hAnsi="Century"/>
          <w:rtl/>
        </w:rPr>
      </w:pPr>
      <w:r>
        <w:rPr>
          <w:rFonts w:ascii="Century" w:hAnsi="Century" w:hint="cs"/>
          <w:rtl/>
        </w:rPr>
        <w:t xml:space="preserve">לעומת זאת, בשונה מהרומן הספרותי שנדון בעניין </w:t>
      </w:r>
      <w:r w:rsidRPr="00FA5EC0">
        <w:rPr>
          <w:rFonts w:ascii="Century" w:hAnsi="Century" w:cs="Miriam" w:hint="cs"/>
          <w:b/>
          <w:spacing w:val="0"/>
          <w:szCs w:val="24"/>
          <w:rtl/>
        </w:rPr>
        <w:t>פלוני</w:t>
      </w:r>
      <w:r>
        <w:rPr>
          <w:rFonts w:ascii="Century" w:hAnsi="Century" w:hint="cs"/>
          <w:rtl/>
        </w:rPr>
        <w:t xml:space="preserve">, הסרט שבמוקד דיוננו כלל אינו טעון שינויים מרחיקי לכת בגין תביעתו של המשיב. נהפוך הוא. התיקון הנדרש הוא </w:t>
      </w:r>
      <w:r w:rsidRPr="004E6F25">
        <w:rPr>
          <w:rFonts w:ascii="Century" w:hAnsi="Century" w:cs="Miriam" w:hint="cs"/>
          <w:b/>
          <w:spacing w:val="0"/>
          <w:szCs w:val="24"/>
          <w:rtl/>
        </w:rPr>
        <w:t>זעיר</w:t>
      </w:r>
      <w:r>
        <w:rPr>
          <w:rFonts w:ascii="Century" w:hAnsi="Century" w:hint="cs"/>
          <w:rtl/>
        </w:rPr>
        <w:t xml:space="preserve">, </w:t>
      </w:r>
      <w:r w:rsidRPr="004E6F25">
        <w:rPr>
          <w:rFonts w:ascii="Century" w:hAnsi="Century" w:cs="Miriam" w:hint="cs"/>
          <w:b/>
          <w:spacing w:val="0"/>
          <w:szCs w:val="24"/>
          <w:rtl/>
        </w:rPr>
        <w:t>נקודתי</w:t>
      </w:r>
      <w:r>
        <w:rPr>
          <w:rFonts w:ascii="Century" w:hAnsi="Century" w:hint="cs"/>
          <w:rtl/>
        </w:rPr>
        <w:t>, ומסתכם בהסרת קטע בן ארבע שניות מהסרט. הא ותו לא. אין מדובר במלאכת מחשבת עדינה וזהירה המחייבת "עריכה מחדש" של היצירה. אף אין צורך לבצע התאמות כלשהן בחלקים אחרים ביצירה בעקבות התיקון. ממילא, החלטה על הסרת הקטע המדובר אינה הופכת את בית המשפט ל"עורך ראשי" של הסרט, ואף לא לעורך-משנה או לסגן-עורך. רחוק מכך.</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84</w:t>
      </w:r>
      <w:r w:rsidR="00B347E6">
        <w:rPr>
          <w:rFonts w:ascii="Century" w:hAnsi="Century" w:hint="cs"/>
          <w:rtl/>
        </w:rPr>
        <w:t>.</w:t>
      </w:r>
      <w:r w:rsidR="00B347E6">
        <w:rPr>
          <w:rFonts w:ascii="Century" w:hAnsi="Century" w:hint="cs"/>
          <w:rtl/>
        </w:rPr>
        <w:tab/>
        <w:t>שנית, ועיקרו של דבר. היועמ"ש טען כי אל לו לבית המשפט להיכנס בנעליו של היוצר ולשנות את היצירה. במישור העקרוני אכן יש טעם בעמדת היועמ"ש, שהרי אין זה מתפקידו של בית המשפט לערוך מחדש יצירות במטרה להכשירן, ולכך כ</w:t>
      </w:r>
      <w:r w:rsidR="00B347E6">
        <w:rPr>
          <w:rFonts w:ascii="FrankRuehl" w:hAnsi="FrankRuehl"/>
          <w:rtl/>
        </w:rPr>
        <w:t>וּ</w:t>
      </w:r>
      <w:r w:rsidR="00B347E6">
        <w:rPr>
          <w:rFonts w:ascii="Century" w:hAnsi="Century" w:hint="cs"/>
          <w:rtl/>
        </w:rPr>
        <w:t xml:space="preserve">ונו דבריה של השופטת </w:t>
      </w:r>
      <w:r w:rsidR="00B347E6" w:rsidRPr="00B25A43">
        <w:rPr>
          <w:rFonts w:ascii="Century" w:hAnsi="Century" w:cs="Miriam" w:hint="cs"/>
          <w:b/>
          <w:spacing w:val="0"/>
          <w:szCs w:val="24"/>
          <w:rtl/>
        </w:rPr>
        <w:t>נאור</w:t>
      </w:r>
      <w:r w:rsidR="00B347E6">
        <w:rPr>
          <w:rFonts w:ascii="Century" w:hAnsi="Century" w:hint="cs"/>
          <w:rtl/>
        </w:rPr>
        <w:t xml:space="preserve"> בעניין </w:t>
      </w:r>
      <w:r w:rsidR="00B347E6" w:rsidRPr="00B25A43">
        <w:rPr>
          <w:rFonts w:ascii="Century" w:hAnsi="Century" w:cs="Miriam" w:hint="cs"/>
          <w:b/>
          <w:spacing w:val="0"/>
          <w:szCs w:val="24"/>
          <w:rtl/>
        </w:rPr>
        <w:t>פלוני</w:t>
      </w:r>
      <w:r w:rsidR="00B347E6">
        <w:rPr>
          <w:rFonts w:ascii="Century" w:hAnsi="Century" w:hint="cs"/>
          <w:rtl/>
        </w:rPr>
        <w:t xml:space="preserve">. דא עקא, שבמקרה שלפנינו אין זה </w:t>
      </w:r>
      <w:r w:rsidR="00B347E6" w:rsidRPr="001831C2">
        <w:rPr>
          <w:rFonts w:ascii="Century" w:hAnsi="Century" w:cs="Miriam" w:hint="cs"/>
          <w:b/>
          <w:spacing w:val="0"/>
          <w:szCs w:val="24"/>
          <w:rtl/>
        </w:rPr>
        <w:t>בית המשפט</w:t>
      </w:r>
      <w:r w:rsidR="00B347E6">
        <w:rPr>
          <w:rFonts w:ascii="Century" w:hAnsi="Century" w:hint="cs"/>
          <w:rtl/>
        </w:rPr>
        <w:t xml:space="preserve"> שנכנס בנעליו של </w:t>
      </w:r>
      <w:r w:rsidR="00B347E6" w:rsidRPr="001831C2">
        <w:rPr>
          <w:rFonts w:ascii="Century" w:hAnsi="Century" w:cs="Miriam" w:hint="cs"/>
          <w:b/>
          <w:spacing w:val="0"/>
          <w:szCs w:val="24"/>
          <w:rtl/>
        </w:rPr>
        <w:t>היוצר</w:t>
      </w:r>
      <w:r w:rsidR="00B347E6">
        <w:rPr>
          <w:rFonts w:ascii="Century" w:hAnsi="Century" w:hint="cs"/>
          <w:rtl/>
        </w:rPr>
        <w:t xml:space="preserve"> ומשנה את היצירה במקומו. נהפוך הוא. </w:t>
      </w:r>
      <w:r w:rsidR="00B347E6" w:rsidRPr="004E6F25">
        <w:rPr>
          <w:rFonts w:ascii="Century" w:hAnsi="Century" w:cs="Miriam" w:hint="cs"/>
          <w:b/>
          <w:spacing w:val="0"/>
          <w:szCs w:val="24"/>
          <w:rtl/>
        </w:rPr>
        <w:t xml:space="preserve">היוצר </w:t>
      </w:r>
      <w:r w:rsidR="00B347E6" w:rsidRPr="001831C2">
        <w:rPr>
          <w:rFonts w:ascii="Century" w:hAnsi="Century" w:hint="cs"/>
          <w:rtl/>
        </w:rPr>
        <w:t>הוא שמבקש</w:t>
      </w:r>
      <w:r w:rsidR="00B347E6">
        <w:rPr>
          <w:rFonts w:ascii="Century" w:hAnsi="Century" w:hint="cs"/>
          <w:rtl/>
        </w:rPr>
        <w:t xml:space="preserve"> </w:t>
      </w:r>
      <w:r w:rsidR="00B347E6" w:rsidRPr="001831C2">
        <w:rPr>
          <w:rFonts w:ascii="Century" w:hAnsi="Century" w:cs="Miriam" w:hint="cs"/>
          <w:b/>
          <w:spacing w:val="0"/>
          <w:szCs w:val="24"/>
          <w:rtl/>
        </w:rPr>
        <w:t>מבית המשפט</w:t>
      </w:r>
      <w:r w:rsidR="00B347E6">
        <w:rPr>
          <w:rFonts w:ascii="Century" w:hAnsi="Century" w:hint="cs"/>
          <w:rtl/>
        </w:rPr>
        <w:t xml:space="preserve"> להסתפק בהסרת הקטע בן ארבע השניות מתוך הסרט. ממילא, בית המשפט אינו משים עצמו "עורך ראשי" של הסרט ואין הוא נוטל לעצמו תפקיד לא לו. די בכך כדי לדחות את עמדת היועמ"ש בנקודה זו.</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85</w:t>
      </w:r>
      <w:r w:rsidR="00B347E6">
        <w:rPr>
          <w:rFonts w:ascii="Century" w:hAnsi="Century" w:hint="cs"/>
          <w:rtl/>
        </w:rPr>
        <w:t>.</w:t>
      </w:r>
      <w:r w:rsidR="00B347E6">
        <w:rPr>
          <w:rFonts w:ascii="Century" w:hAnsi="Century"/>
          <w:rtl/>
        </w:rPr>
        <w:tab/>
      </w:r>
      <w:r w:rsidR="00B347E6">
        <w:rPr>
          <w:rFonts w:ascii="Century" w:hAnsi="Century" w:hint="cs"/>
          <w:rtl/>
        </w:rPr>
        <w:t xml:space="preserve">וליתר הנמקותיו של בית המשפט המחוזי שבגינן הורה על מתן צו מניעה גורף.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 xml:space="preserve">באשר לעובדה שהמערער המתין עד לשלב הסיכומים בבית המשפט המחוזי, ורק אז טען לגבי האפשרות להסתפק בהסרת הקטע בן ארבע השניות </w:t>
      </w:r>
      <w:r>
        <w:rPr>
          <w:rFonts w:ascii="Century" w:hAnsi="Century"/>
          <w:rtl/>
        </w:rPr>
        <w:t>–</w:t>
      </w:r>
      <w:r>
        <w:rPr>
          <w:rFonts w:ascii="Century" w:hAnsi="Century" w:hint="cs"/>
          <w:rtl/>
        </w:rPr>
        <w:t xml:space="preserve"> אכן מדובר בהתנהלות דיונית שאינה מניחה את הדעת. ברם, בנסיבות דנן אין מדובר בפגם שמחייב מתן צו מניעה גורף האוסר על הקרנת הסרט כולו. כפי שהוסבר, קביעת היקפם של צווי מניעה נתונה מלכתחילה לשיקול דעתו של בית המשפט, המחויב להפעיל שיקול דעת בכל מקרה לגופו בהתאם לנסיבותיו. העובדה שבעל דין עתר למתן צו מניעה גורף, אין בכוחה לכבול את שיקול דעתו של בית המשפט בבואו לקבוע את גבולותיו של הצו. משעה שבנסיבות דנן, אין הלימה בין היקפו המצומצם של המקטע הדיבתי בן ארבע השניות לבין מניעת פרסום הסרט כולו, אזי הדרך ההולמת לרפא את הפגם הדיוני שנפל בהתנהלותו של המשיב מצויה אף היא במישור הדיוני, וזאת במישור של פסיקת הוצאות. </w:t>
      </w:r>
    </w:p>
    <w:p w:rsidR="00B347E6" w:rsidRDefault="00B347E6" w:rsidP="00B347E6">
      <w:pPr>
        <w:pStyle w:val="Ruller41"/>
        <w:rPr>
          <w:rFonts w:ascii="Century" w:hAnsi="Century"/>
          <w:rtl/>
        </w:rPr>
      </w:pPr>
    </w:p>
    <w:p w:rsidR="00B347E6" w:rsidRDefault="00B347E6" w:rsidP="00B347E6">
      <w:pPr>
        <w:pStyle w:val="Ruller41"/>
        <w:rPr>
          <w:rFonts w:ascii="Century" w:hAnsi="Century"/>
          <w:rtl/>
        </w:rPr>
      </w:pPr>
      <w:r>
        <w:rPr>
          <w:rFonts w:ascii="Century" w:hAnsi="Century"/>
          <w:rtl/>
        </w:rPr>
        <w:tab/>
      </w:r>
      <w:r>
        <w:rPr>
          <w:rFonts w:ascii="Century" w:hAnsi="Century" w:hint="cs"/>
          <w:rtl/>
        </w:rPr>
        <w:t>באשר לחשש כי הסרט כבר אינו נמצא בשליטתו של המערער וכי אין בכוחו להסיר את הקטע המדובר, די שאזכיר כי במהלך הדיון שהתקיים לפנינו, בא כוחו של המערער, עו"ד פלדמן, שב על נכונותו של המערער למחוק את הקטע בסרט שבו מופיע המשיב ולמנוע את הפגיעה בו (פרוטוקול</w:t>
      </w:r>
      <w:r w:rsidRPr="000C541B">
        <w:rPr>
          <w:rFonts w:ascii="Century" w:hAnsi="Century" w:hint="cs"/>
          <w:rtl/>
        </w:rPr>
        <w:t>, עמ' 11).</w:t>
      </w:r>
      <w:r>
        <w:rPr>
          <w:rFonts w:ascii="Century" w:hAnsi="Century" w:hint="cs"/>
          <w:rtl/>
        </w:rPr>
        <w:t xml:space="preserve"> בנסיבות אלו, חזקה על המערער ובאי כוחו כי לא ביקשו לזרות חול בעיני בית המשפט או חלילה לסובבו בכחש, וחזקה עליהם כי ימלאו אחר הוראות פסק הדין כדת וכדין, ללא כחל וסרק. למותר לציין כי כל עוד לא הוסר הקטע שבו מופיע צילומו של המשיב, הקרנת הסרט במתכונתו הנוכחית מהווה פרסום לשון הרע, על כל המשתמע מכך. </w:t>
      </w:r>
    </w:p>
    <w:p w:rsidR="00B347E6" w:rsidRDefault="00B347E6" w:rsidP="00B347E6">
      <w:pPr>
        <w:pStyle w:val="Ruller41"/>
        <w:rPr>
          <w:rFonts w:ascii="Century" w:hAnsi="Century"/>
          <w:rtl/>
        </w:rPr>
      </w:pPr>
    </w:p>
    <w:p w:rsidR="00B347E6" w:rsidRDefault="008D6D79" w:rsidP="00B347E6">
      <w:pPr>
        <w:pStyle w:val="Ruller41"/>
        <w:rPr>
          <w:rFonts w:ascii="Century" w:hAnsi="Century"/>
          <w:rtl/>
        </w:rPr>
      </w:pPr>
      <w:r>
        <w:rPr>
          <w:rFonts w:ascii="Century" w:hAnsi="Century" w:hint="cs"/>
          <w:rtl/>
        </w:rPr>
        <w:t>86</w:t>
      </w:r>
      <w:r w:rsidR="00B347E6">
        <w:rPr>
          <w:rFonts w:ascii="Century" w:hAnsi="Century" w:hint="cs"/>
          <w:rtl/>
        </w:rPr>
        <w:t>.</w:t>
      </w:r>
      <w:r w:rsidR="00B347E6">
        <w:rPr>
          <w:rFonts w:ascii="Century" w:hAnsi="Century" w:hint="cs"/>
          <w:rtl/>
        </w:rPr>
        <w:tab/>
        <w:t xml:space="preserve">לבסוף, בכל הנוגע להחלטתו של בית המשפט המחוזי שלא ליתן צו המופנה כלפי </w:t>
      </w:r>
      <w:r w:rsidR="00B347E6" w:rsidRPr="004761D6">
        <w:rPr>
          <w:rFonts w:ascii="Century" w:hAnsi="Century" w:cs="Miriam" w:hint="cs"/>
          <w:b/>
          <w:spacing w:val="0"/>
          <w:szCs w:val="24"/>
          <w:rtl/>
        </w:rPr>
        <w:t>יוטיוב</w:t>
      </w:r>
      <w:r w:rsidR="00B347E6">
        <w:rPr>
          <w:rFonts w:ascii="Century" w:hAnsi="Century" w:hint="cs"/>
          <w:rtl/>
        </w:rPr>
        <w:t xml:space="preserve"> להסרת הסרט מהאתר, הרי שהמשיב לא הגיש ערעור מטעמו, ומשכך אין מקום להתערבותנו. הוא הדין באשר לצו המופנה כלפי המערער, שבו הורה בית המשפט על החרמת עותקי הסרט בישראל ככל שהמערער מודע למקום הימצאותם. סמכותו של בית המשפט ליתן צו מסוג זה מעוגנת במפורש בסעיף 9(א)(1) לחוק איסור לשון הרע, והמערער לא מצא לנכון להשיג על כך במפורש בערעורו. לנוכח מסקנתנו כי יש ליתן צו המורה על מחיקת הקטע בן ארבע השניות מן הסרט, ובהינתן נכונותו של המערער לעשות כן, עליו לנקוט בצעדים הנדרשים לשם מימוש הצו, ובכלל זאת לדאוג לתיקונם של העותקים שכבר הופצו, ככל שהדבר אפשרי ומעשי בגבולות הסביר (על כך שסעד המורה על החרמת עותקים רלוונטי למצבים שבהם לשון הרע כבר פורסמה, ראו </w:t>
      </w:r>
      <w:r w:rsidR="00B347E6" w:rsidRPr="00D0066B">
        <w:rPr>
          <w:rFonts w:ascii="Century" w:hAnsi="Century" w:cs="Miriam" w:hint="cs"/>
          <w:b/>
          <w:spacing w:val="0"/>
          <w:szCs w:val="24"/>
          <w:rtl/>
        </w:rPr>
        <w:t>גנאים, קרמניצר ושנור</w:t>
      </w:r>
      <w:r w:rsidR="00B347E6">
        <w:rPr>
          <w:rFonts w:ascii="Century" w:hAnsi="Century" w:hint="cs"/>
          <w:rtl/>
        </w:rPr>
        <w:t>, עמ' 415).</w:t>
      </w:r>
    </w:p>
    <w:p w:rsidR="00B347E6" w:rsidRDefault="00B347E6" w:rsidP="00B347E6">
      <w:pPr>
        <w:pStyle w:val="Ruller41"/>
        <w:rPr>
          <w:rFonts w:ascii="Century" w:hAnsi="Century"/>
          <w:rtl/>
        </w:rPr>
      </w:pPr>
    </w:p>
    <w:p w:rsidR="00B347E6" w:rsidRDefault="00B347E6" w:rsidP="00B347E6">
      <w:pPr>
        <w:pStyle w:val="Ruller41"/>
        <w:rPr>
          <w:rFonts w:ascii="Century" w:hAnsi="Century" w:cs="Miriam"/>
          <w:b/>
          <w:spacing w:val="0"/>
          <w:szCs w:val="24"/>
          <w:rtl/>
        </w:rPr>
      </w:pPr>
      <w:r w:rsidRPr="004761D6">
        <w:rPr>
          <w:rFonts w:ascii="Century" w:hAnsi="Century" w:cs="Miriam" w:hint="cs"/>
          <w:b/>
          <w:spacing w:val="0"/>
          <w:szCs w:val="24"/>
          <w:rtl/>
        </w:rPr>
        <w:t>סיכום</w:t>
      </w:r>
      <w:r>
        <w:rPr>
          <w:rFonts w:ascii="Century" w:hAnsi="Century" w:cs="Miriam" w:hint="cs"/>
          <w:b/>
          <w:spacing w:val="0"/>
          <w:szCs w:val="24"/>
          <w:rtl/>
        </w:rPr>
        <w:t xml:space="preserve"> הדברים</w:t>
      </w:r>
    </w:p>
    <w:p w:rsidR="0076128E" w:rsidRPr="004761D6" w:rsidRDefault="0076128E" w:rsidP="00B347E6">
      <w:pPr>
        <w:pStyle w:val="Ruller41"/>
        <w:rPr>
          <w:rFonts w:ascii="Century" w:hAnsi="Century" w:cs="Miriam"/>
          <w:b/>
          <w:spacing w:val="0"/>
          <w:szCs w:val="24"/>
          <w:rtl/>
        </w:rPr>
      </w:pPr>
    </w:p>
    <w:p w:rsidR="00B347E6" w:rsidRDefault="00B347E6" w:rsidP="00AA3853">
      <w:pPr>
        <w:pStyle w:val="Ruller5"/>
        <w:rPr>
          <w:rtl/>
        </w:rPr>
      </w:pPr>
      <w:r>
        <w:rPr>
          <w:rFonts w:hint="cs"/>
          <w:rtl/>
        </w:rPr>
        <w:t>"</w:t>
      </w:r>
      <w:r>
        <w:rPr>
          <w:rtl/>
        </w:rPr>
        <w:t>חופש הביטוי רחב הוא ומקיף</w:t>
      </w:r>
      <w:r>
        <w:rPr>
          <w:rFonts w:hint="cs"/>
          <w:rtl/>
        </w:rPr>
        <w:t xml:space="preserve">. </w:t>
      </w:r>
      <w:r>
        <w:rPr>
          <w:rtl/>
        </w:rPr>
        <w:t>זהו החופש לכתוב מחזות וסרטים ולהציגם</w:t>
      </w:r>
      <w:r>
        <w:rPr>
          <w:rFonts w:hint="cs"/>
          <w:rtl/>
        </w:rPr>
        <w:t>.</w:t>
      </w:r>
      <w:r>
        <w:rPr>
          <w:rtl/>
        </w:rPr>
        <w:t xml:space="preserve"> זהו החופש</w:t>
      </w:r>
      <w:r>
        <w:rPr>
          <w:rFonts w:hint="cs"/>
          <w:rtl/>
        </w:rPr>
        <w:t xml:space="preserve"> 'לראות ולשמוע'. </w:t>
      </w:r>
      <w:r>
        <w:rPr>
          <w:rtl/>
        </w:rPr>
        <w:t>חופש זה אינו רק החופש להביע דעות מקובלות. זהו גם החופש להביע דעות חורגות, אשר ה</w:t>
      </w:r>
      <w:r>
        <w:rPr>
          <w:rFonts w:hint="cs"/>
          <w:rtl/>
        </w:rPr>
        <w:t>ר</w:t>
      </w:r>
      <w:r>
        <w:rPr>
          <w:rtl/>
        </w:rPr>
        <w:t>וב סולד מהן</w:t>
      </w:r>
      <w:r>
        <w:rPr>
          <w:rFonts w:hint="cs"/>
          <w:rtl/>
        </w:rPr>
        <w:t xml:space="preserve">" (דברי השופט </w:t>
      </w:r>
      <w:r w:rsidRPr="0036560C">
        <w:rPr>
          <w:rFonts w:ascii="Century" w:hAnsi="Century" w:cs="Miriam" w:hint="cs"/>
          <w:b/>
          <w:spacing w:val="0"/>
          <w:szCs w:val="24"/>
          <w:rtl/>
        </w:rPr>
        <w:t>ברק</w:t>
      </w:r>
      <w:r>
        <w:rPr>
          <w:rFonts w:hint="cs"/>
          <w:rtl/>
        </w:rPr>
        <w:t xml:space="preserve"> בבג"ץ 14/86 </w:t>
      </w:r>
      <w:r w:rsidRPr="00B564A5">
        <w:rPr>
          <w:rFonts w:ascii="Century" w:hAnsi="Century" w:cs="Miriam" w:hint="cs"/>
          <w:b/>
          <w:spacing w:val="0"/>
          <w:szCs w:val="24"/>
          <w:rtl/>
        </w:rPr>
        <w:t>לאור נ' המועצה לביקורת סרטים ומחזות</w:t>
      </w:r>
      <w:r>
        <w:rPr>
          <w:rFonts w:hint="cs"/>
          <w:rtl/>
        </w:rPr>
        <w:t xml:space="preserve">, פ"ד מא(1) 421, 433 (1987) (ההפניות הושמטו </w:t>
      </w:r>
      <w:r>
        <w:rPr>
          <w:rtl/>
        </w:rPr>
        <w:t>–</w:t>
      </w:r>
      <w:r>
        <w:rPr>
          <w:rFonts w:hint="cs"/>
          <w:rtl/>
        </w:rPr>
        <w:t xml:space="preserve"> י"ע)).</w:t>
      </w:r>
    </w:p>
    <w:p w:rsidR="00AA3853" w:rsidRDefault="00AA3853" w:rsidP="00AA3853">
      <w:pPr>
        <w:pStyle w:val="Ruller5"/>
        <w:rPr>
          <w:rtl/>
        </w:rPr>
      </w:pPr>
    </w:p>
    <w:p w:rsidR="00AA3853" w:rsidRDefault="00AA3853" w:rsidP="00AA3853">
      <w:pPr>
        <w:pStyle w:val="Ruller5"/>
        <w:rPr>
          <w:rtl/>
        </w:rPr>
      </w:pPr>
    </w:p>
    <w:p w:rsidR="00B347E6" w:rsidRDefault="008A374F" w:rsidP="00B347E6">
      <w:pPr>
        <w:pStyle w:val="Ruller41"/>
        <w:rPr>
          <w:rtl/>
        </w:rPr>
      </w:pPr>
      <w:r>
        <w:rPr>
          <w:rFonts w:hint="cs"/>
          <w:rtl/>
        </w:rPr>
        <w:t>87</w:t>
      </w:r>
      <w:r w:rsidR="00B347E6">
        <w:rPr>
          <w:rFonts w:hint="cs"/>
          <w:rtl/>
        </w:rPr>
        <w:t>.</w:t>
      </w:r>
      <w:r w:rsidR="00B347E6">
        <w:rPr>
          <w:rtl/>
        </w:rPr>
        <w:tab/>
      </w:r>
      <w:r w:rsidR="00B347E6">
        <w:rPr>
          <w:rFonts w:hint="cs"/>
          <w:rtl/>
        </w:rPr>
        <w:t>דברים נכוחים אלו הם מושכלות יסוד בשיטתנו המשפטית. הם חלק בלתי נפרד מהדין הנוהג במדינת ישראל. הם מושרשים היטב בפסיקה עשירה וענפה, שלאורך עשרות בשנים הלכה וביצרה ותמכה וחיזקה את מעמדם של חופש הביטוי וחופש היצירה, לבל יסיגום כאלו המבקשים להכפיפם לרוחות השעה או לדעת קהל זה או אחר.  ועם זאת, חופש הביטוי וחופש היצירה לא לבדד ישכונו. אין הם בבחינת "ערך מוחלט" הרומס כל זכות אחרת הניצבת בדרכם. מול חופש הביטוי מתחר</w:t>
      </w:r>
      <w:r w:rsidR="00B347E6">
        <w:rPr>
          <w:rFonts w:ascii="FrankRuehl" w:hAnsi="FrankRuehl"/>
          <w:rtl/>
        </w:rPr>
        <w:t>וֹ</w:t>
      </w:r>
      <w:r w:rsidR="00B347E6">
        <w:rPr>
          <w:rFonts w:hint="cs"/>
          <w:rtl/>
        </w:rPr>
        <w:t xml:space="preserve">ת תדיר זכויות אחרות, חשובות ויסודיות אף הן: </w:t>
      </w:r>
    </w:p>
    <w:p w:rsidR="00B347E6" w:rsidRDefault="00B347E6" w:rsidP="00B347E6">
      <w:pPr>
        <w:pStyle w:val="Ruller41"/>
        <w:rPr>
          <w:rtl/>
        </w:rPr>
      </w:pPr>
    </w:p>
    <w:p w:rsidR="00B347E6" w:rsidRDefault="00B347E6" w:rsidP="00AA3853">
      <w:pPr>
        <w:pStyle w:val="Ruller5"/>
        <w:rPr>
          <w:rFonts w:ascii="FrankRuehl" w:hAnsi="FrankRuehl"/>
          <w:color w:val="000000"/>
          <w:sz w:val="28"/>
          <w:rtl/>
        </w:rPr>
      </w:pPr>
      <w:r>
        <w:rPr>
          <w:rFonts w:hint="cs"/>
          <w:rtl/>
        </w:rPr>
        <w:t>"</w:t>
      </w:r>
      <w:r>
        <w:rPr>
          <w:rtl/>
        </w:rPr>
        <w:t>חופש הביטוי וחופש היצירה אינם הערכים היחידים שיש להתחשב בהם. חברה דמוקרטית מבוססת על מגוון ערכים ועקרונות, אשר חירות הדיבור וחירות היצירה הן רק חלק מהם. הגשמתם של ערכים ועקרונות מגוונים אלה מחייבת, מטבע הדברים, צמצום ההגנה הניתנת לחופש הביטוי ולחופש היצירה, כדי ההגנה הראויה לאותם ערכים ועקרונות. חופש התנועה שלי מסתיים במקום שהחוטם שלך מתחיל; חופש הביטוי שלי אינו מצדיק הוצאת לשון הרע על זולתי; חופש הביטוי שלי אינו מאפשר לי לגלות סודות כמוסים של המדינה או לפגוע בשלום הציבור; חופש הביטוי אינו החופש למסור עדות כוזבת בבית</w:t>
      </w:r>
      <w:r>
        <w:rPr>
          <w:position w:val="4"/>
          <w:sz w:val="18"/>
          <w:rtl/>
        </w:rPr>
        <w:t>-</w:t>
      </w:r>
      <w:r>
        <w:rPr>
          <w:rtl/>
        </w:rPr>
        <w:t>משפט</w:t>
      </w:r>
      <w:r>
        <w:rPr>
          <w:rFonts w:hint="cs"/>
          <w:rtl/>
        </w:rPr>
        <w:t xml:space="preserve">" (דברי הנשיא </w:t>
      </w:r>
      <w:r w:rsidRPr="00BB7B6F">
        <w:rPr>
          <w:rFonts w:ascii="Century" w:hAnsi="Century" w:cs="Miriam" w:hint="cs"/>
          <w:b/>
          <w:spacing w:val="0"/>
          <w:szCs w:val="24"/>
          <w:rtl/>
        </w:rPr>
        <w:t>ברק</w:t>
      </w:r>
      <w:r>
        <w:rPr>
          <w:rFonts w:hint="cs"/>
          <w:rtl/>
        </w:rPr>
        <w:t xml:space="preserve"> ב</w:t>
      </w:r>
      <w:r>
        <w:rPr>
          <w:rFonts w:ascii="FrankRuehl" w:hAnsi="FrankRuehl"/>
          <w:color w:val="000000"/>
          <w:sz w:val="28"/>
          <w:rtl/>
        </w:rPr>
        <w:t>בג"ץ 6126/94‏</w:t>
      </w:r>
      <w:r>
        <w:rPr>
          <w:rFonts w:ascii="FrankRuehl" w:hAnsi="FrankRuehl" w:hint="cs"/>
          <w:color w:val="000000"/>
          <w:sz w:val="28"/>
          <w:rtl/>
        </w:rPr>
        <w:t xml:space="preserve"> </w:t>
      </w:r>
      <w:r w:rsidRPr="00BB7B6F">
        <w:rPr>
          <w:rFonts w:ascii="Century" w:hAnsi="Century" w:cs="Miriam"/>
          <w:b/>
          <w:spacing w:val="0"/>
          <w:szCs w:val="24"/>
          <w:rtl/>
        </w:rPr>
        <w:t>סנש נ' רשות השידור</w:t>
      </w:r>
      <w:r>
        <w:rPr>
          <w:rFonts w:ascii="FrankRuehl" w:hAnsi="FrankRuehl"/>
          <w:color w:val="000000"/>
          <w:sz w:val="28"/>
          <w:rtl/>
        </w:rPr>
        <w:t>, פ</w:t>
      </w:r>
      <w:r>
        <w:rPr>
          <w:rFonts w:ascii="FrankRuehl" w:hAnsi="FrankRuehl" w:hint="cs"/>
          <w:color w:val="000000"/>
          <w:sz w:val="28"/>
          <w:rtl/>
        </w:rPr>
        <w:t>"</w:t>
      </w:r>
      <w:r>
        <w:rPr>
          <w:rFonts w:ascii="FrankRuehl" w:hAnsi="FrankRuehl"/>
          <w:color w:val="000000"/>
          <w:sz w:val="28"/>
          <w:rtl/>
        </w:rPr>
        <w:t>ד נג(3) 817</w:t>
      </w:r>
      <w:r>
        <w:rPr>
          <w:rFonts w:ascii="FrankRuehl" w:hAnsi="FrankRuehl" w:hint="cs"/>
          <w:color w:val="000000"/>
          <w:sz w:val="28"/>
          <w:rtl/>
        </w:rPr>
        <w:t xml:space="preserve">, 830 (1999) (להלן: עניין </w:t>
      </w:r>
      <w:r w:rsidRPr="00CB3AE4">
        <w:rPr>
          <w:rFonts w:ascii="Century" w:hAnsi="Century" w:cs="Miriam" w:hint="cs"/>
          <w:b/>
          <w:spacing w:val="0"/>
          <w:szCs w:val="24"/>
          <w:rtl/>
        </w:rPr>
        <w:t>סנש</w:t>
      </w:r>
      <w:r>
        <w:rPr>
          <w:rFonts w:ascii="FrankRuehl" w:hAnsi="FrankRuehl" w:hint="cs"/>
          <w:color w:val="000000"/>
          <w:sz w:val="28"/>
          <w:rtl/>
        </w:rPr>
        <w:t xml:space="preserve">)). </w:t>
      </w:r>
    </w:p>
    <w:p w:rsidR="00B347E6" w:rsidRDefault="00B347E6" w:rsidP="00B347E6">
      <w:pPr>
        <w:pStyle w:val="Ruller5"/>
        <w:rPr>
          <w:rFonts w:ascii="Times New Roman" w:hAnsi="Times New Roman" w:cs="Times New Roman"/>
          <w:color w:val="000000"/>
          <w:spacing w:val="0"/>
          <w:sz w:val="20"/>
          <w:szCs w:val="20"/>
          <w:rtl/>
        </w:rPr>
      </w:pPr>
    </w:p>
    <w:p w:rsidR="00AA3853" w:rsidRDefault="00AA3853" w:rsidP="00B347E6">
      <w:pPr>
        <w:pStyle w:val="Ruller5"/>
        <w:rPr>
          <w:rFonts w:ascii="Times New Roman" w:hAnsi="Times New Roman" w:cs="Times New Roman"/>
          <w:color w:val="000000"/>
          <w:spacing w:val="0"/>
          <w:sz w:val="20"/>
          <w:szCs w:val="20"/>
        </w:rPr>
      </w:pPr>
    </w:p>
    <w:p w:rsidR="00B347E6" w:rsidRDefault="00B347E6" w:rsidP="00B347E6">
      <w:pPr>
        <w:pStyle w:val="Ruller41"/>
        <w:rPr>
          <w:rtl/>
        </w:rPr>
      </w:pPr>
      <w:r>
        <w:rPr>
          <w:rFonts w:ascii="FrankRuehl" w:hAnsi="FrankRuehl"/>
          <w:color w:val="000000"/>
          <w:sz w:val="28"/>
          <w:rtl/>
        </w:rPr>
        <w:tab/>
      </w:r>
      <w:r>
        <w:rPr>
          <w:rFonts w:ascii="FrankRuehl" w:hAnsi="FrankRuehl" w:hint="cs"/>
          <w:color w:val="000000"/>
          <w:sz w:val="28"/>
          <w:rtl/>
        </w:rPr>
        <w:t>הנה כי כן, הגם ש"</w:t>
      </w:r>
      <w:r>
        <w:rPr>
          <w:rFonts w:ascii="FrankRuehl" w:hAnsi="FrankRuehl"/>
          <w:color w:val="000000"/>
          <w:sz w:val="28"/>
          <w:rtl/>
        </w:rPr>
        <w:t>חופש הביטוי פורשׂ את מצודתו אף על הביטוי האמנותי</w:t>
      </w:r>
      <w:r>
        <w:rPr>
          <w:rFonts w:ascii="FrankRuehl" w:hAnsi="FrankRuehl" w:hint="cs"/>
          <w:color w:val="000000"/>
          <w:sz w:val="28"/>
          <w:rtl/>
        </w:rPr>
        <w:t>"</w:t>
      </w:r>
      <w:r>
        <w:rPr>
          <w:rFonts w:hint="cs"/>
          <w:rtl/>
        </w:rPr>
        <w:t xml:space="preserve">, יש לזכור כי </w:t>
      </w:r>
      <w:r>
        <w:rPr>
          <w:rFonts w:ascii="FrankRuehl" w:hAnsi="FrankRuehl" w:hint="cs"/>
          <w:color w:val="000000"/>
          <w:sz w:val="28"/>
          <w:rtl/>
        </w:rPr>
        <w:t>"</w:t>
      </w:r>
      <w:r>
        <w:rPr>
          <w:rFonts w:ascii="FrankRuehl" w:hAnsi="FrankRuehl"/>
          <w:color w:val="000000"/>
          <w:sz w:val="28"/>
          <w:rtl/>
        </w:rPr>
        <w:t xml:space="preserve">חופש הביטוי, ובכללו חופש היצירה </w:t>
      </w:r>
      <w:r>
        <w:rPr>
          <w:rFonts w:ascii="FrankRuehl" w:hAnsi="FrankRuehl" w:hint="cs"/>
          <w:color w:val="000000"/>
          <w:sz w:val="28"/>
          <w:rtl/>
        </w:rPr>
        <w:t>[...]</w:t>
      </w:r>
      <w:r>
        <w:rPr>
          <w:rFonts w:ascii="FrankRuehl" w:hAnsi="FrankRuehl"/>
          <w:color w:val="000000"/>
          <w:sz w:val="28"/>
          <w:rtl/>
        </w:rPr>
        <w:t>, איננו בגדר זכות מוחלטת, והוא לא חסין מפני פגיעה</w:t>
      </w:r>
      <w:r>
        <w:rPr>
          <w:rFonts w:hint="cs"/>
          <w:rtl/>
        </w:rPr>
        <w:t xml:space="preserve">" (עניין </w:t>
      </w:r>
      <w:r w:rsidRPr="009E7A06">
        <w:rPr>
          <w:rFonts w:ascii="Century" w:hAnsi="Century" w:cs="Miriam" w:hint="cs"/>
          <w:b/>
          <w:spacing w:val="0"/>
          <w:szCs w:val="24"/>
          <w:rtl/>
        </w:rPr>
        <w:t>פלוני</w:t>
      </w:r>
      <w:r>
        <w:rPr>
          <w:rFonts w:hint="cs"/>
          <w:rtl/>
        </w:rPr>
        <w:t>, פסקאות 58, 66). על בית המשפט להעמיד את הזכויות המתחרות על כפות המאזניים, זו מול זו, ועליו מוטלת המלאכה להכריע ידה של מי תהא על העליונה. כך ככלל, וכך כאשר הזכות המתחרה אל מול חופש הביטוי היא זכותו של אדם לשם טוב, כבמקרה דנן. בהקשר זה כבר נזדמן לי להעיר כי לנוכח הוראות חוק יסוד: כבוד האדם וחירותו, "</w:t>
      </w:r>
      <w:r>
        <w:rPr>
          <w:rtl/>
        </w:rPr>
        <w:t xml:space="preserve">יש להישמר מנוסחה הכוללת </w:t>
      </w:r>
      <w:r>
        <w:rPr>
          <w:rFonts w:hint="cs"/>
          <w:rtl/>
        </w:rPr>
        <w:t>'</w:t>
      </w:r>
      <w:r>
        <w:rPr>
          <w:rtl/>
        </w:rPr>
        <w:t>מקדם</w:t>
      </w:r>
      <w:r>
        <w:rPr>
          <w:rFonts w:hint="cs"/>
          <w:rtl/>
        </w:rPr>
        <w:t>'</w:t>
      </w:r>
      <w:r>
        <w:rPr>
          <w:rtl/>
        </w:rPr>
        <w:t xml:space="preserve"> או </w:t>
      </w:r>
      <w:r>
        <w:rPr>
          <w:rFonts w:hint="cs"/>
          <w:rtl/>
        </w:rPr>
        <w:t>'</w:t>
      </w:r>
      <w:r>
        <w:rPr>
          <w:rtl/>
        </w:rPr>
        <w:t>מכפיל כוח</w:t>
      </w:r>
      <w:r>
        <w:rPr>
          <w:rFonts w:hint="cs"/>
          <w:rtl/>
        </w:rPr>
        <w:t>'</w:t>
      </w:r>
      <w:r>
        <w:rPr>
          <w:rtl/>
        </w:rPr>
        <w:t xml:space="preserve"> לטובת חופש הביטוי</w:t>
      </w:r>
      <w:r>
        <w:rPr>
          <w:rFonts w:hint="cs"/>
          <w:rtl/>
        </w:rPr>
        <w:t xml:space="preserve">" על פני הזכות לשם טוב, וכי על האיזון להיערך אד-הוק, בכל מקרה לפי נסיבותיו (עניין </w:t>
      </w:r>
      <w:r w:rsidRPr="00CB3AE4">
        <w:rPr>
          <w:rFonts w:ascii="Century" w:hAnsi="Century" w:cs="Miriam" w:hint="cs"/>
          <w:b/>
          <w:spacing w:val="0"/>
          <w:szCs w:val="24"/>
          <w:rtl/>
        </w:rPr>
        <w:t>דיין</w:t>
      </w:r>
      <w:r>
        <w:rPr>
          <w:rFonts w:hint="cs"/>
          <w:rtl/>
        </w:rPr>
        <w:t xml:space="preserve">, פסקה 5 לפסק דיני; </w:t>
      </w:r>
      <w:r w:rsidRPr="00CB3AE4">
        <w:rPr>
          <w:rFonts w:ascii="Century" w:hAnsi="Century" w:hint="cs"/>
          <w:rtl/>
        </w:rPr>
        <w:t>דנ"א</w:t>
      </w:r>
      <w:r w:rsidRPr="00CB3AE4">
        <w:rPr>
          <w:rFonts w:ascii="Century" w:hAnsi="Century" w:cs="Miriam" w:hint="cs"/>
          <w:b/>
          <w:spacing w:val="0"/>
          <w:szCs w:val="24"/>
          <w:rtl/>
        </w:rPr>
        <w:t xml:space="preserve"> דיין</w:t>
      </w:r>
      <w:r>
        <w:rPr>
          <w:rFonts w:hint="cs"/>
          <w:rtl/>
        </w:rPr>
        <w:t xml:space="preserve">, פסקאות 2א, 6 לפסק דיני; כן ראו בעניין </w:t>
      </w:r>
      <w:r w:rsidRPr="002E4153">
        <w:rPr>
          <w:rFonts w:ascii="Century" w:hAnsi="Century" w:cs="Miriam" w:hint="cs"/>
          <w:b/>
          <w:spacing w:val="0"/>
          <w:szCs w:val="24"/>
          <w:rtl/>
        </w:rPr>
        <w:t>פלוני</w:t>
      </w:r>
      <w:r>
        <w:rPr>
          <w:rFonts w:hint="cs"/>
          <w:rtl/>
        </w:rPr>
        <w:t xml:space="preserve">, פסקה 132). על מלאכת האיזון להיעשות אפוא בצורה "נקיה": "האיפה" של חופש הביטוי היצירה מזה ו"האיפה" של הזכות לשם טוב מזה, כשנקודת המוצא היא כי שתיהן שוות בגודלן ואין האחת "גדולה" והשניה "קטנה" (ראו דברים כה, פסוק יד).  </w:t>
      </w:r>
    </w:p>
    <w:p w:rsidR="00B347E6" w:rsidRDefault="00B347E6" w:rsidP="00B347E6">
      <w:pPr>
        <w:pStyle w:val="Ruller41"/>
        <w:rPr>
          <w:rtl/>
        </w:rPr>
      </w:pPr>
    </w:p>
    <w:p w:rsidR="00B347E6" w:rsidRDefault="008A374F" w:rsidP="00B347E6">
      <w:pPr>
        <w:pStyle w:val="Ruller41"/>
        <w:rPr>
          <w:rFonts w:ascii="Century" w:hAnsi="Century"/>
          <w:rtl/>
        </w:rPr>
      </w:pPr>
      <w:r>
        <w:rPr>
          <w:rFonts w:hint="cs"/>
          <w:rtl/>
        </w:rPr>
        <w:t>88</w:t>
      </w:r>
      <w:r w:rsidR="00B347E6">
        <w:rPr>
          <w:rFonts w:hint="cs"/>
          <w:rtl/>
        </w:rPr>
        <w:t>.</w:t>
      </w:r>
      <w:r w:rsidR="00B347E6">
        <w:rPr>
          <w:rFonts w:hint="cs"/>
          <w:rtl/>
        </w:rPr>
        <w:tab/>
        <w:t xml:space="preserve">באספקלריה זו של איזון בין הזכויות המתנגשות </w:t>
      </w:r>
      <w:r w:rsidR="00B347E6">
        <w:rPr>
          <w:rtl/>
        </w:rPr>
        <w:t>–</w:t>
      </w:r>
      <w:r w:rsidR="00B347E6">
        <w:rPr>
          <w:rFonts w:hint="cs"/>
          <w:rtl/>
        </w:rPr>
        <w:t xml:space="preserve"> חופש היצירה מן העבר האחד והזכות לשם טוב מן העבר השני </w:t>
      </w:r>
      <w:r w:rsidR="00B347E6">
        <w:rPr>
          <w:rtl/>
        </w:rPr>
        <w:t>–</w:t>
      </w:r>
      <w:r w:rsidR="00B347E6">
        <w:rPr>
          <w:rFonts w:hint="cs"/>
          <w:rtl/>
        </w:rPr>
        <w:t xml:space="preserve"> המקרה שלפנינו אינו מעורר קושי. כפי שהבהיר הנשיא </w:t>
      </w:r>
      <w:r w:rsidR="00B347E6" w:rsidRPr="00CB3AE4">
        <w:rPr>
          <w:rFonts w:ascii="Century" w:hAnsi="Century" w:cs="Miriam" w:hint="cs"/>
          <w:b/>
          <w:spacing w:val="0"/>
          <w:szCs w:val="24"/>
          <w:rtl/>
        </w:rPr>
        <w:t>ברק</w:t>
      </w:r>
      <w:r w:rsidR="00B347E6">
        <w:rPr>
          <w:rFonts w:hint="cs"/>
          <w:rtl/>
        </w:rPr>
        <w:t xml:space="preserve"> בדבריו שהובאו לעיל</w:t>
      </w:r>
      <w:r w:rsidR="00B347E6" w:rsidRPr="00A14D27">
        <w:rPr>
          <w:rFonts w:ascii="Century" w:hAnsi="Century" w:hint="cs"/>
          <w:rtl/>
        </w:rPr>
        <w:t>:</w:t>
      </w:r>
      <w:r w:rsidR="00B347E6">
        <w:rPr>
          <w:rFonts w:ascii="Century" w:hAnsi="Century" w:cs="Miriam" w:hint="cs"/>
          <w:b/>
          <w:spacing w:val="0"/>
          <w:szCs w:val="24"/>
          <w:rtl/>
        </w:rPr>
        <w:t xml:space="preserve"> </w:t>
      </w:r>
      <w:r w:rsidR="00B347E6" w:rsidRPr="006D5AD6">
        <w:rPr>
          <w:rFonts w:ascii="Century" w:hAnsi="Century" w:hint="cs"/>
          <w:rtl/>
        </w:rPr>
        <w:t>"</w:t>
      </w:r>
      <w:r w:rsidR="00B347E6">
        <w:rPr>
          <w:rFonts w:ascii="Century" w:hAnsi="Century" w:cs="Miriam" w:hint="cs"/>
          <w:b/>
          <w:spacing w:val="0"/>
          <w:szCs w:val="24"/>
          <w:rtl/>
        </w:rPr>
        <w:t>חופש הביטוי שלי אינו מצדיק הוצאת לשון הרע על זולתי</w:t>
      </w:r>
      <w:r w:rsidR="00B347E6" w:rsidRPr="006D5AD6">
        <w:rPr>
          <w:rFonts w:ascii="Century" w:hAnsi="Century" w:hint="cs"/>
          <w:rtl/>
        </w:rPr>
        <w:t>"</w:t>
      </w:r>
      <w:r w:rsidR="00B347E6">
        <w:rPr>
          <w:rFonts w:ascii="Century" w:hAnsi="Century" w:hint="cs"/>
          <w:rtl/>
        </w:rPr>
        <w:t xml:space="preserve"> (עניין </w:t>
      </w:r>
      <w:r w:rsidR="00B347E6" w:rsidRPr="002E4153">
        <w:rPr>
          <w:rFonts w:ascii="Century" w:hAnsi="Century" w:cs="Miriam" w:hint="cs"/>
          <w:b/>
          <w:spacing w:val="0"/>
          <w:szCs w:val="24"/>
          <w:rtl/>
        </w:rPr>
        <w:t>סנש</w:t>
      </w:r>
      <w:r w:rsidR="00B347E6">
        <w:rPr>
          <w:rFonts w:ascii="Century" w:hAnsi="Century" w:hint="cs"/>
          <w:rtl/>
        </w:rPr>
        <w:t>, שם)</w:t>
      </w:r>
      <w:r w:rsidR="00B347E6" w:rsidRPr="006D5AD6">
        <w:rPr>
          <w:rFonts w:ascii="Century" w:hAnsi="Century" w:hint="cs"/>
          <w:rtl/>
        </w:rPr>
        <w:t>.</w:t>
      </w:r>
      <w:r w:rsidR="00B347E6">
        <w:rPr>
          <w:rFonts w:ascii="Century" w:hAnsi="Century" w:hint="cs"/>
          <w:rtl/>
        </w:rPr>
        <w:t xml:space="preserve"> משבאנו לכלל מסקנה כי סרטו של המערער טומן בחובו לשון הרע כלפי המשיב שאינה חוסה תחת איזו מההגנות המוכרות בדין, אזי מלאכת האיזון בין הזכויות נעשית קלה, וכמצוות המחוקק </w:t>
      </w:r>
      <w:r w:rsidR="00B347E6">
        <w:rPr>
          <w:rFonts w:ascii="Century" w:hAnsi="Century"/>
          <w:rtl/>
        </w:rPr>
        <w:t>–</w:t>
      </w:r>
      <w:r w:rsidR="00B347E6">
        <w:rPr>
          <w:rFonts w:ascii="Century" w:hAnsi="Century" w:hint="cs"/>
          <w:rtl/>
        </w:rPr>
        <w:t xml:space="preserve"> זכותו של המשיב לשם טוב גוברת.</w:t>
      </w:r>
    </w:p>
    <w:p w:rsidR="00B347E6" w:rsidRDefault="00B347E6" w:rsidP="00B347E6">
      <w:pPr>
        <w:pStyle w:val="Ruller41"/>
        <w:rPr>
          <w:rFonts w:ascii="Century" w:hAnsi="Century"/>
          <w:rtl/>
        </w:rPr>
      </w:pPr>
    </w:p>
    <w:p w:rsidR="00B347E6" w:rsidRDefault="008A374F" w:rsidP="00B347E6">
      <w:pPr>
        <w:pStyle w:val="Ruller41"/>
        <w:rPr>
          <w:rtl/>
        </w:rPr>
      </w:pPr>
      <w:r>
        <w:rPr>
          <w:rFonts w:ascii="Century" w:hAnsi="Century" w:hint="cs"/>
          <w:rtl/>
        </w:rPr>
        <w:t>89</w:t>
      </w:r>
      <w:r w:rsidR="00B347E6">
        <w:rPr>
          <w:rFonts w:hint="cs"/>
          <w:rtl/>
        </w:rPr>
        <w:t>.</w:t>
      </w:r>
      <w:r w:rsidR="00B347E6">
        <w:rPr>
          <w:rFonts w:hint="cs"/>
          <w:rtl/>
        </w:rPr>
        <w:tab/>
        <w:t>נסכם את עיקרי הדברים:</w:t>
      </w:r>
    </w:p>
    <w:p w:rsidR="00B347E6" w:rsidRDefault="00B347E6" w:rsidP="00B347E6">
      <w:pPr>
        <w:pStyle w:val="Ruller41"/>
        <w:rPr>
          <w:rtl/>
        </w:rPr>
      </w:pPr>
    </w:p>
    <w:p w:rsidR="00B347E6" w:rsidRDefault="00B347E6" w:rsidP="00B347E6">
      <w:pPr>
        <w:pStyle w:val="Ruller41"/>
        <w:rPr>
          <w:rtl/>
        </w:rPr>
      </w:pPr>
      <w:r>
        <w:rPr>
          <w:rFonts w:ascii="Century" w:hAnsi="Century" w:cs="Miriam"/>
          <w:b/>
          <w:spacing w:val="0"/>
          <w:szCs w:val="24"/>
          <w:rtl/>
        </w:rPr>
        <w:tab/>
      </w:r>
      <w:r>
        <w:rPr>
          <w:rFonts w:ascii="Century" w:hAnsi="Century" w:cs="Miriam" w:hint="cs"/>
          <w:b/>
          <w:spacing w:val="0"/>
          <w:szCs w:val="24"/>
          <w:rtl/>
        </w:rPr>
        <w:t xml:space="preserve">א. </w:t>
      </w:r>
      <w:r w:rsidRPr="003161E3">
        <w:rPr>
          <w:rFonts w:ascii="Century" w:hAnsi="Century" w:cs="Miriam" w:hint="cs"/>
          <w:b/>
          <w:spacing w:val="0"/>
          <w:szCs w:val="24"/>
          <w:rtl/>
        </w:rPr>
        <w:t>עילת תביעה בגין פרסום לשון הרע</w:t>
      </w:r>
      <w:r>
        <w:rPr>
          <w:rFonts w:hint="cs"/>
          <w:rtl/>
        </w:rPr>
        <w:t xml:space="preserve">: בית המשפט העליון שם חותמת "שקר" על הסרט "ג'נין גנין". סרטו של המערער כולל שקרים ובדיות על חיילי צה"ל שהשתתפו בלחימה בג'נין במהלך מבצע "חומת מגן". המערער ערך את סרטו כסרט תיעודי-כביכול, אך בפועל, לפי עדותו שלו, לא טרח לאמת מאומה מהדברים המובאים בסרט, ולא מצא לנכון לערוך בדיקה כלשהי לגבי אמיתות הטענות והתיאורים הנשמעים בו. בנוסף לכך, המערער לא טרח להוסיף לסרטו כל הערה המסייגת את הקשר בין החיילים המצולמים בסרט לבין האירועים הנטענים בו </w:t>
      </w:r>
      <w:r>
        <w:rPr>
          <w:rtl/>
        </w:rPr>
        <w:t>–</w:t>
      </w:r>
      <w:r>
        <w:rPr>
          <w:rFonts w:hint="cs"/>
          <w:rtl/>
        </w:rPr>
        <w:t xml:space="preserve"> לא בעת עריכתו הראשונית של הסרט, לא לאחר פסק הדין בעניין </w:t>
      </w:r>
      <w:r w:rsidRPr="00483FF3">
        <w:rPr>
          <w:rFonts w:ascii="Century" w:hAnsi="Century" w:cs="Miriam" w:hint="cs"/>
          <w:b/>
          <w:spacing w:val="0"/>
          <w:szCs w:val="24"/>
          <w:rtl/>
        </w:rPr>
        <w:t>בן נתן</w:t>
      </w:r>
      <w:r>
        <w:rPr>
          <w:rFonts w:hint="cs"/>
          <w:rtl/>
        </w:rPr>
        <w:t>, ולא לאחר שהוגשה תביעתו של המשיב. יש בדברים כדי ללמד על חוסר תום לבו של המערער.</w:t>
      </w:r>
    </w:p>
    <w:p w:rsidR="00B347E6" w:rsidRDefault="00B347E6" w:rsidP="00B347E6">
      <w:pPr>
        <w:pStyle w:val="Ruller41"/>
        <w:rPr>
          <w:rtl/>
        </w:rPr>
      </w:pPr>
    </w:p>
    <w:p w:rsidR="00B347E6" w:rsidRDefault="00B347E6" w:rsidP="00B347E6">
      <w:pPr>
        <w:pStyle w:val="Ruller41"/>
        <w:rPr>
          <w:rtl/>
        </w:rPr>
      </w:pPr>
      <w:r>
        <w:rPr>
          <w:rFonts w:hint="cs"/>
          <w:rtl/>
        </w:rPr>
        <w:tab/>
        <w:t xml:space="preserve">כפי שהוזכר, תביעת הלוחמים בעניין </w:t>
      </w:r>
      <w:r w:rsidRPr="00483FF3">
        <w:rPr>
          <w:rFonts w:ascii="Century" w:hAnsi="Century" w:cs="Miriam" w:hint="cs"/>
          <w:b/>
          <w:spacing w:val="0"/>
          <w:szCs w:val="24"/>
          <w:rtl/>
        </w:rPr>
        <w:t>בן נתן</w:t>
      </w:r>
      <w:r>
        <w:rPr>
          <w:rFonts w:hint="cs"/>
          <w:rtl/>
        </w:rPr>
        <w:t xml:space="preserve"> נדחתה לנוכח הוראת סעיף 4 לחוק איסור לשון הרע. זאת, משום שבמישור העובדתי לא ניתן היה לייחס, באופן אישי, איזה מן המעשים המתוארים בסרט ללוחמים שהגישו את התביעה. בעניין </w:t>
      </w:r>
      <w:r w:rsidRPr="002734AC">
        <w:rPr>
          <w:rFonts w:ascii="Century" w:hAnsi="Century" w:cs="Miriam" w:hint="cs"/>
          <w:b/>
          <w:spacing w:val="0"/>
          <w:szCs w:val="24"/>
          <w:rtl/>
        </w:rPr>
        <w:t>בן נתן</w:t>
      </w:r>
      <w:r>
        <w:rPr>
          <w:rFonts w:hint="cs"/>
          <w:rtl/>
        </w:rPr>
        <w:t xml:space="preserve"> הובהר </w:t>
      </w:r>
      <w:r w:rsidRPr="00B6284A">
        <w:rPr>
          <w:rFonts w:hint="cs"/>
          <w:rtl/>
        </w:rPr>
        <w:t xml:space="preserve">מפורשות כי </w:t>
      </w:r>
      <w:r w:rsidRPr="00B6284A">
        <w:rPr>
          <w:rFonts w:ascii="Century" w:hAnsi="Century" w:hint="cs"/>
          <w:rtl/>
        </w:rPr>
        <w:t>אם מושא הדברים בסרט היה אדם ספציפי, היה מקום לחייב את המערער בדין (שם, פסקה 62).</w:t>
      </w:r>
      <w:r w:rsidRPr="00B6284A">
        <w:rPr>
          <w:rFonts w:hint="cs"/>
          <w:rtl/>
        </w:rPr>
        <w:t xml:space="preserve"> על רקע הבהרה זו, ה</w:t>
      </w:r>
      <w:r>
        <w:rPr>
          <w:rFonts w:hint="cs"/>
          <w:rtl/>
        </w:rPr>
        <w:t>גענו ל</w:t>
      </w:r>
      <w:r w:rsidRPr="00B6284A">
        <w:rPr>
          <w:rFonts w:hint="cs"/>
          <w:rtl/>
        </w:rPr>
        <w:t xml:space="preserve">מסקנה כי יש להטיל אחריות על המערער בגין פרסום לשון הרע כלפי המשיב. שילוב צילומו של המשיב בסרט, בעיצומה של סצנה שבה מתואר מעשה ביזה של אדם מבוגר </w:t>
      </w:r>
      <w:r>
        <w:rPr>
          <w:rFonts w:hint="cs"/>
          <w:rtl/>
        </w:rPr>
        <w:t xml:space="preserve">באיומי נשק, אינו יכול להתפרש בנסיבות המקרה כצילום אילוסטרציה גרידא והוא מהווה לשון הרע כלפי המשיב. זאת, הן בהיבט הצר של ייחוס למשיב מעורבות-כביכול באירוע הביזה הנטען; הן בהיבט הרחב של ייחוס מעורבות אפשרית מצדו ביתר המעשים הקשים המתוארים בסרט. </w:t>
      </w:r>
    </w:p>
    <w:p w:rsidR="00B347E6" w:rsidRDefault="00B347E6" w:rsidP="00B347E6">
      <w:pPr>
        <w:pStyle w:val="Ruller41"/>
        <w:rPr>
          <w:rtl/>
        </w:rPr>
      </w:pPr>
    </w:p>
    <w:p w:rsidR="00B347E6" w:rsidRDefault="00B347E6" w:rsidP="00B347E6">
      <w:pPr>
        <w:pStyle w:val="Ruller41"/>
        <w:rPr>
          <w:rtl/>
        </w:rPr>
      </w:pPr>
      <w:r>
        <w:rPr>
          <w:rtl/>
        </w:rPr>
        <w:tab/>
      </w:r>
      <w:r w:rsidRPr="00B6284A">
        <w:rPr>
          <w:rFonts w:ascii="Century" w:hAnsi="Century" w:cs="Miriam" w:hint="cs"/>
          <w:b/>
          <w:spacing w:val="0"/>
          <w:szCs w:val="24"/>
          <w:rtl/>
        </w:rPr>
        <w:t>ב.</w:t>
      </w:r>
      <w:r>
        <w:rPr>
          <w:rFonts w:hint="cs"/>
          <w:rtl/>
        </w:rPr>
        <w:t xml:space="preserve"> </w:t>
      </w:r>
      <w:r w:rsidRPr="003161E3">
        <w:rPr>
          <w:rFonts w:ascii="Century" w:hAnsi="Century" w:cs="Miriam" w:hint="cs"/>
          <w:b/>
          <w:spacing w:val="0"/>
          <w:szCs w:val="24"/>
          <w:rtl/>
        </w:rPr>
        <w:t>התיישנות</w:t>
      </w:r>
      <w:r>
        <w:rPr>
          <w:rFonts w:hint="cs"/>
          <w:rtl/>
        </w:rPr>
        <w:t xml:space="preserve">: לנוכח היסוד האובייקטיבי בסעיף 8 לחוק ההתיישנות, אין לקבל טענתו של המשיב כי מירוץ ההתיישנות לא החל כל עוד הוא לא ידע על כך שהוא נחזה בסרט. אולם התביעה לא התיישנה מנימוק אחר. תביעתו של המשיב הוגשה בשנת 2016 בגין ארבע הקרנות של הסרט שנערכו בין השנים 2012-2010. כפי שהוסבר, ארבע הקרנות אלו עומדות על רגליהן שלהן ומקימות למשיב עילת תביעה עצמאית, ואין לראותן כחוסות תחת עילת תביעה אחת שנולדה </w:t>
      </w:r>
      <w:r w:rsidRPr="00472067">
        <w:rPr>
          <w:rFonts w:ascii="Century" w:hAnsi="Century" w:cs="Miriam" w:hint="cs"/>
          <w:b/>
          <w:spacing w:val="0"/>
          <w:szCs w:val="24"/>
          <w:rtl/>
        </w:rPr>
        <w:t>כעשר שנים</w:t>
      </w:r>
      <w:r>
        <w:rPr>
          <w:rFonts w:hint="cs"/>
          <w:rtl/>
        </w:rPr>
        <w:t xml:space="preserve"> </w:t>
      </w:r>
      <w:r w:rsidRPr="00E14132">
        <w:rPr>
          <w:rFonts w:ascii="Century" w:hAnsi="Century" w:cs="Miriam" w:hint="cs"/>
          <w:b/>
          <w:spacing w:val="0"/>
          <w:szCs w:val="24"/>
          <w:rtl/>
        </w:rPr>
        <w:t>קודם לכן</w:t>
      </w:r>
      <w:r>
        <w:rPr>
          <w:rFonts w:ascii="Century" w:hAnsi="Century" w:hint="cs"/>
          <w:rtl/>
        </w:rPr>
        <w:t>,</w:t>
      </w:r>
      <w:r w:rsidRPr="00E14132">
        <w:rPr>
          <w:rFonts w:ascii="Century" w:hAnsi="Century" w:cs="Miriam" w:hint="cs"/>
          <w:b/>
          <w:spacing w:val="0"/>
          <w:szCs w:val="24"/>
          <w:rtl/>
        </w:rPr>
        <w:t xml:space="preserve"> </w:t>
      </w:r>
      <w:r>
        <w:rPr>
          <w:rFonts w:hint="cs"/>
          <w:rtl/>
        </w:rPr>
        <w:t xml:space="preserve">בשנת 2002, לאחר הקרנתו הראשונה של הסרט. זאת, משלא נתמלא תנאי הרציפות הדרוש לצורך ביסוסה של עוולה נמשכת אחת. לפיכך, ומשעה שתביעתו של המשיב הוגשה בתוך תקופת שבע השנים שלאחר ארבע ההקרנות המדוברות, הרי שתביעתו לא התיישנה. </w:t>
      </w:r>
    </w:p>
    <w:p w:rsidR="00B347E6" w:rsidRDefault="00B347E6" w:rsidP="00B347E6">
      <w:pPr>
        <w:pStyle w:val="Ruller41"/>
        <w:rPr>
          <w:rtl/>
        </w:rPr>
      </w:pPr>
    </w:p>
    <w:p w:rsidR="00B347E6" w:rsidRDefault="00B347E6" w:rsidP="00B347E6">
      <w:pPr>
        <w:pStyle w:val="Ruller41"/>
        <w:rPr>
          <w:rtl/>
        </w:rPr>
      </w:pPr>
      <w:r w:rsidRPr="00B6284A">
        <w:rPr>
          <w:rFonts w:ascii="Century" w:hAnsi="Century" w:cs="Miriam"/>
          <w:b/>
          <w:spacing w:val="0"/>
          <w:szCs w:val="24"/>
          <w:rtl/>
        </w:rPr>
        <w:tab/>
      </w:r>
      <w:r w:rsidRPr="00B6284A">
        <w:rPr>
          <w:rFonts w:ascii="Century" w:hAnsi="Century" w:cs="Miriam" w:hint="cs"/>
          <w:b/>
          <w:spacing w:val="0"/>
          <w:szCs w:val="24"/>
          <w:rtl/>
        </w:rPr>
        <w:t xml:space="preserve">ג. </w:t>
      </w:r>
      <w:r w:rsidRPr="003161E3">
        <w:rPr>
          <w:rFonts w:ascii="Century" w:hAnsi="Century" w:cs="Miriam" w:hint="cs"/>
          <w:b/>
          <w:spacing w:val="0"/>
          <w:szCs w:val="24"/>
          <w:rtl/>
        </w:rPr>
        <w:t>העלאת הסרט לאתר יוטיוב</w:t>
      </w:r>
      <w:r>
        <w:rPr>
          <w:rFonts w:hint="cs"/>
          <w:rtl/>
        </w:rPr>
        <w:t>: תביעת המשיב הוגשה גם בגין העלאת הסרט לאתר יוטיוב. ברם, לפי התשתית הראייתית שהונחה בבית המשפט המחוזי, לא המערער הוא שהעלה את הסרט ליוטיוב, והדבר נעשה ללא ידיעתו וללא הסכמתו. לפיכך, מירוץ ההתיישנות לא מתחיל עם הפרסום ביוטיוב; אין לראות את המערער כמי שביצע עוולה של פרסום לשון הרע בגין העלאת הסרט ליוטיוב, ואין להטיל עליו אחריות בשל כך. לקביעה זו השלכה על גובה הפיצוי שיש להשית על המערער.</w:t>
      </w:r>
    </w:p>
    <w:p w:rsidR="00B347E6" w:rsidRDefault="00B347E6" w:rsidP="00B347E6">
      <w:pPr>
        <w:pStyle w:val="Ruller41"/>
        <w:rPr>
          <w:rtl/>
        </w:rPr>
      </w:pPr>
    </w:p>
    <w:p w:rsidR="00B347E6" w:rsidRDefault="00B347E6" w:rsidP="00B347E6">
      <w:pPr>
        <w:pStyle w:val="Ruller41"/>
        <w:rPr>
          <w:rFonts w:ascii="Century" w:hAnsi="Century"/>
          <w:rtl/>
        </w:rPr>
      </w:pPr>
      <w:r w:rsidRPr="00B6284A">
        <w:rPr>
          <w:rFonts w:ascii="Century" w:hAnsi="Century" w:cs="Miriam"/>
          <w:b/>
          <w:spacing w:val="0"/>
          <w:szCs w:val="24"/>
          <w:rtl/>
        </w:rPr>
        <w:tab/>
      </w:r>
      <w:r w:rsidRPr="00B6284A">
        <w:rPr>
          <w:rFonts w:ascii="Century" w:hAnsi="Century" w:cs="Miriam" w:hint="cs"/>
          <w:b/>
          <w:spacing w:val="0"/>
          <w:szCs w:val="24"/>
          <w:rtl/>
        </w:rPr>
        <w:t xml:space="preserve">ד. </w:t>
      </w:r>
      <w:r>
        <w:rPr>
          <w:rFonts w:ascii="Century" w:hAnsi="Century" w:cs="Miriam" w:hint="cs"/>
          <w:b/>
          <w:spacing w:val="0"/>
          <w:szCs w:val="24"/>
          <w:rtl/>
        </w:rPr>
        <w:t>צו המניעה</w:t>
      </w:r>
      <w:r>
        <w:rPr>
          <w:rFonts w:hint="cs"/>
          <w:rtl/>
        </w:rPr>
        <w:t xml:space="preserve">: </w:t>
      </w:r>
      <w:r>
        <w:rPr>
          <w:rFonts w:ascii="Century" w:hAnsi="Century" w:hint="cs"/>
          <w:rtl/>
        </w:rPr>
        <w:t>עמדנו על כך שאורכו המלא של הסרט עומד על למעלה מ-50 דקות, בעוד שהקטע בסרט שבו מופיע צילומו של המשיב עם שני חיילים אחרים נמשך כארבע שניות בלבד. בנסיבות אלו, אין הלימה בין מידותיו של הרכיב בסרט שמהווה לשון הרע כלפי המשיב, לבין צו המניעה הגורף האוסר לחלוטין על הקרנת הסרט כולו. משכך, חלף צו המניעה שניתן בבית המשפט המחוזי, על המערער להסיר את הקטע בן ארבע השניות שבו מופיע המשיב בסרט. כמו כן, במטרה להבטיח את יעילותו של הסעד, על המערער לפעול לאיסוף עותקי הסרט הקיימים ככל שהוא מודע למקום הימצאותם, כפי שהורה בית המשפט המחוזי.</w:t>
      </w:r>
    </w:p>
    <w:p w:rsidR="00B347E6" w:rsidRDefault="00B347E6" w:rsidP="00B347E6">
      <w:pPr>
        <w:pStyle w:val="Ruller41"/>
        <w:rPr>
          <w:rFonts w:ascii="Century" w:hAnsi="Century"/>
          <w:rtl/>
        </w:rPr>
      </w:pPr>
    </w:p>
    <w:p w:rsidR="00B347E6" w:rsidRPr="00F41004" w:rsidRDefault="00B347E6" w:rsidP="00B347E6">
      <w:pPr>
        <w:pStyle w:val="Ruller41"/>
        <w:rPr>
          <w:rFonts w:ascii="Century" w:hAnsi="Century" w:cs="Miriam"/>
          <w:b/>
          <w:spacing w:val="0"/>
          <w:szCs w:val="24"/>
          <w:rtl/>
        </w:rPr>
      </w:pPr>
      <w:r w:rsidRPr="00F41004">
        <w:rPr>
          <w:rFonts w:ascii="Century" w:hAnsi="Century" w:cs="Miriam" w:hint="cs"/>
          <w:b/>
          <w:spacing w:val="0"/>
          <w:szCs w:val="24"/>
          <w:rtl/>
        </w:rPr>
        <w:t>הרהור</w:t>
      </w:r>
      <w:r>
        <w:rPr>
          <w:rFonts w:ascii="Century" w:hAnsi="Century" w:cs="Miriam" w:hint="cs"/>
          <w:b/>
          <w:spacing w:val="0"/>
          <w:szCs w:val="24"/>
          <w:rtl/>
        </w:rPr>
        <w:t>י</w:t>
      </w:r>
      <w:r w:rsidRPr="00F41004">
        <w:rPr>
          <w:rFonts w:ascii="Century" w:hAnsi="Century" w:cs="Miriam" w:hint="cs"/>
          <w:b/>
          <w:spacing w:val="0"/>
          <w:szCs w:val="24"/>
          <w:rtl/>
        </w:rPr>
        <w:t xml:space="preserve"> סיום וסוף דבר</w:t>
      </w:r>
    </w:p>
    <w:p w:rsidR="00B347E6" w:rsidRDefault="00B347E6" w:rsidP="00B347E6">
      <w:pPr>
        <w:pStyle w:val="Ruller41"/>
        <w:rPr>
          <w:rFonts w:ascii="Century" w:hAnsi="Century"/>
          <w:rtl/>
        </w:rPr>
      </w:pPr>
    </w:p>
    <w:p w:rsidR="00B347E6" w:rsidRPr="00B6284A" w:rsidRDefault="008A374F" w:rsidP="00B347E6">
      <w:pPr>
        <w:pStyle w:val="Ruller41"/>
        <w:rPr>
          <w:rtl/>
        </w:rPr>
      </w:pPr>
      <w:r>
        <w:rPr>
          <w:rFonts w:ascii="Century" w:hAnsi="Century" w:hint="cs"/>
          <w:rtl/>
        </w:rPr>
        <w:t>90</w:t>
      </w:r>
      <w:r w:rsidR="00B347E6" w:rsidRPr="00B6284A">
        <w:rPr>
          <w:rFonts w:ascii="Century" w:hAnsi="Century" w:hint="cs"/>
          <w:rtl/>
        </w:rPr>
        <w:t>.</w:t>
      </w:r>
      <w:r w:rsidR="00B347E6" w:rsidRPr="00B6284A">
        <w:rPr>
          <w:rFonts w:ascii="Century" w:hAnsi="Century" w:hint="cs"/>
          <w:rtl/>
        </w:rPr>
        <w:tab/>
      </w:r>
      <w:r w:rsidR="00B347E6" w:rsidRPr="00B6284A">
        <w:rPr>
          <w:rFonts w:hint="cs"/>
          <w:rtl/>
        </w:rPr>
        <w:t>שני עשורים חלפו מאז מבצע "חומת מגן" ומאז צאת סרטו הדיבתי של המערער "ג'נין ג'נין". שני עשורים של מאבקים משפטיים רוויי יצרים ואמוציות. האם היה הצר שווה בנזק המלך? האם השיגו מאבקים אלה את מטרתם? האם תרם ההליך המשפטי לניצחון האמת על השקר, או שמא הוביל להגברת התהודה של הסרט והפצתו ברבים? לא לנו להשיב על שאלות אלה, החורגות מגבולותיה של הזירה המשפטית. כך או כך, תהיינה התשובות אשר תהיינה, יש לקוות כי פסק דיננו בערעור דנן יהיה החוליה האחרונה שתסתום את הגולל על היבטיה המשפטיים של פרשה זו. בחלוף כעשרים שנה, דומה כי בשלה לכך העת.</w:t>
      </w:r>
    </w:p>
    <w:p w:rsidR="00B347E6" w:rsidRPr="00B6284A" w:rsidRDefault="00B347E6" w:rsidP="00B347E6">
      <w:pPr>
        <w:pStyle w:val="Ruller41"/>
        <w:rPr>
          <w:rFonts w:ascii="Century" w:hAnsi="Century"/>
          <w:rtl/>
        </w:rPr>
      </w:pPr>
    </w:p>
    <w:p w:rsidR="00B347E6" w:rsidRPr="00B6284A" w:rsidRDefault="008A374F" w:rsidP="005E61F9">
      <w:pPr>
        <w:pStyle w:val="Ruller41"/>
        <w:rPr>
          <w:rtl/>
        </w:rPr>
      </w:pPr>
      <w:r>
        <w:rPr>
          <w:rFonts w:hint="cs"/>
          <w:rtl/>
        </w:rPr>
        <w:t>91</w:t>
      </w:r>
      <w:r w:rsidR="00B347E6" w:rsidRPr="00B6284A">
        <w:rPr>
          <w:rFonts w:hint="cs"/>
          <w:rtl/>
        </w:rPr>
        <w:t>.</w:t>
      </w:r>
      <w:r w:rsidR="00B347E6" w:rsidRPr="00B6284A">
        <w:rPr>
          <w:rFonts w:hint="cs"/>
          <w:rtl/>
        </w:rPr>
        <w:tab/>
        <w:t>סוף דבר, ש</w:t>
      </w:r>
      <w:r w:rsidR="005E61F9">
        <w:rPr>
          <w:rFonts w:hint="cs"/>
          <w:rtl/>
        </w:rPr>
        <w:t xml:space="preserve">אציע לחברי כי </w:t>
      </w:r>
      <w:r w:rsidR="00B347E6" w:rsidRPr="00B6284A">
        <w:rPr>
          <w:rFonts w:hint="cs"/>
          <w:rtl/>
        </w:rPr>
        <w:t xml:space="preserve">הערעור </w:t>
      </w:r>
      <w:r w:rsidR="005E61F9">
        <w:rPr>
          <w:rFonts w:hint="cs"/>
          <w:rtl/>
        </w:rPr>
        <w:t>יי</w:t>
      </w:r>
      <w:r w:rsidR="00B347E6" w:rsidRPr="00B6284A">
        <w:rPr>
          <w:rFonts w:hint="cs"/>
          <w:rtl/>
        </w:rPr>
        <w:t>דחה בעיקרו ו</w:t>
      </w:r>
      <w:r w:rsidR="005E61F9">
        <w:rPr>
          <w:rFonts w:hint="cs"/>
          <w:rtl/>
        </w:rPr>
        <w:t>י</w:t>
      </w:r>
      <w:r w:rsidR="00B347E6" w:rsidRPr="00B6284A">
        <w:rPr>
          <w:rFonts w:hint="cs"/>
          <w:rtl/>
        </w:rPr>
        <w:t>תקבל בחלקו כדלקמן:</w:t>
      </w:r>
    </w:p>
    <w:p w:rsidR="00B347E6" w:rsidRPr="00B6284A" w:rsidRDefault="00B347E6" w:rsidP="00B347E6">
      <w:pPr>
        <w:pStyle w:val="Ruller41"/>
        <w:rPr>
          <w:rtl/>
        </w:rPr>
      </w:pPr>
    </w:p>
    <w:p w:rsidR="00B347E6" w:rsidRPr="00B6284A" w:rsidRDefault="00B347E6" w:rsidP="00B347E6">
      <w:pPr>
        <w:pStyle w:val="Ruller41"/>
        <w:rPr>
          <w:rtl/>
        </w:rPr>
      </w:pPr>
      <w:r w:rsidRPr="00B6284A">
        <w:rPr>
          <w:rtl/>
        </w:rPr>
        <w:tab/>
      </w:r>
      <w:r w:rsidRPr="00B6284A">
        <w:rPr>
          <w:rFonts w:hint="cs"/>
          <w:rtl/>
        </w:rPr>
        <w:t xml:space="preserve">א. </w:t>
      </w:r>
      <w:r w:rsidRPr="00B6284A">
        <w:rPr>
          <w:rFonts w:ascii="Century" w:hAnsi="Century" w:cs="Miriam" w:hint="cs"/>
          <w:b/>
          <w:spacing w:val="0"/>
          <w:szCs w:val="24"/>
          <w:rtl/>
        </w:rPr>
        <w:t>במישור האחריות</w:t>
      </w:r>
      <w:r w:rsidRPr="00B6284A">
        <w:rPr>
          <w:rFonts w:hint="cs"/>
          <w:rtl/>
        </w:rPr>
        <w:t xml:space="preserve">: </w:t>
      </w:r>
    </w:p>
    <w:p w:rsidR="00B347E6" w:rsidRPr="00B6284A" w:rsidRDefault="00B347E6" w:rsidP="00B347E6">
      <w:pPr>
        <w:pStyle w:val="Ruller41"/>
        <w:rPr>
          <w:rtl/>
        </w:rPr>
      </w:pPr>
    </w:p>
    <w:p w:rsidR="00B347E6" w:rsidRPr="00B6284A" w:rsidRDefault="00B347E6" w:rsidP="00B347E6">
      <w:pPr>
        <w:pStyle w:val="Ruller41"/>
        <w:rPr>
          <w:rtl/>
        </w:rPr>
      </w:pPr>
      <w:r w:rsidRPr="00B6284A">
        <w:rPr>
          <w:rtl/>
        </w:rPr>
        <w:tab/>
      </w:r>
      <w:r w:rsidRPr="00B6284A">
        <w:rPr>
          <w:rFonts w:hint="cs"/>
          <w:rtl/>
        </w:rPr>
        <w:t xml:space="preserve">(-) באשר לשאלה אם שילוב צילומו של המשיב בסרט מהווה לשון הרע כלפי המשיב </w:t>
      </w:r>
      <w:r w:rsidRPr="00B6284A">
        <w:rPr>
          <w:rtl/>
        </w:rPr>
        <w:t>–</w:t>
      </w:r>
      <w:r w:rsidRPr="00B6284A">
        <w:rPr>
          <w:rFonts w:hint="cs"/>
          <w:rtl/>
        </w:rPr>
        <w:t xml:space="preserve"> דין הערעור להידחות. </w:t>
      </w:r>
    </w:p>
    <w:p w:rsidR="00B347E6" w:rsidRPr="00B6284A" w:rsidRDefault="00B347E6" w:rsidP="00B347E6">
      <w:pPr>
        <w:pStyle w:val="Ruller41"/>
        <w:rPr>
          <w:rtl/>
        </w:rPr>
      </w:pPr>
    </w:p>
    <w:p w:rsidR="00B347E6" w:rsidRPr="00B6284A" w:rsidRDefault="00B347E6" w:rsidP="00B347E6">
      <w:pPr>
        <w:pStyle w:val="Ruller41"/>
        <w:rPr>
          <w:rtl/>
        </w:rPr>
      </w:pPr>
      <w:r w:rsidRPr="00B6284A">
        <w:rPr>
          <w:rtl/>
        </w:rPr>
        <w:tab/>
      </w:r>
      <w:r w:rsidRPr="00B6284A">
        <w:rPr>
          <w:rFonts w:hint="cs"/>
          <w:rtl/>
        </w:rPr>
        <w:t xml:space="preserve">(-) בשאלת ההתיישנות ואחריותו של המערער לפרסום לשון הרע בגין ארבע ההקרנות של הסרט בין השנים 2012-2010 </w:t>
      </w:r>
      <w:r w:rsidRPr="00B6284A">
        <w:rPr>
          <w:rtl/>
        </w:rPr>
        <w:t>–</w:t>
      </w:r>
      <w:r w:rsidRPr="00B6284A">
        <w:rPr>
          <w:rFonts w:hint="cs"/>
          <w:rtl/>
        </w:rPr>
        <w:t xml:space="preserve"> דין הערעור להידחות.</w:t>
      </w:r>
    </w:p>
    <w:p w:rsidR="00B347E6" w:rsidRPr="00B6284A" w:rsidRDefault="00B347E6" w:rsidP="00B347E6">
      <w:pPr>
        <w:pStyle w:val="Ruller41"/>
        <w:rPr>
          <w:rtl/>
        </w:rPr>
      </w:pPr>
    </w:p>
    <w:p w:rsidR="00B347E6" w:rsidRPr="00B6284A" w:rsidRDefault="00B347E6" w:rsidP="00B347E6">
      <w:pPr>
        <w:pStyle w:val="Ruller41"/>
        <w:rPr>
          <w:rtl/>
        </w:rPr>
      </w:pPr>
      <w:r w:rsidRPr="00B6284A">
        <w:rPr>
          <w:rtl/>
        </w:rPr>
        <w:tab/>
      </w:r>
      <w:r w:rsidRPr="00B6284A">
        <w:rPr>
          <w:rFonts w:hint="cs"/>
          <w:rtl/>
        </w:rPr>
        <w:t xml:space="preserve">(-) בשאלת אחריותו של המערער לפרסום לשון הרע נגד המשיב בגין העלאת הסרט לאתר יוטיוב </w:t>
      </w:r>
      <w:r w:rsidRPr="00B6284A">
        <w:rPr>
          <w:rtl/>
        </w:rPr>
        <w:t>–</w:t>
      </w:r>
      <w:r w:rsidRPr="00B6284A">
        <w:rPr>
          <w:rFonts w:hint="cs"/>
          <w:rtl/>
        </w:rPr>
        <w:t xml:space="preserve"> דין הערעור להתקבל.</w:t>
      </w:r>
    </w:p>
    <w:p w:rsidR="00B347E6" w:rsidRPr="00B6284A" w:rsidRDefault="00B347E6" w:rsidP="00B347E6">
      <w:pPr>
        <w:pStyle w:val="Ruller41"/>
        <w:rPr>
          <w:rtl/>
        </w:rPr>
      </w:pPr>
    </w:p>
    <w:p w:rsidR="00B347E6" w:rsidRPr="00B6284A" w:rsidRDefault="00B347E6" w:rsidP="00B347E6">
      <w:pPr>
        <w:pStyle w:val="Ruller41"/>
        <w:rPr>
          <w:rtl/>
        </w:rPr>
      </w:pPr>
      <w:r w:rsidRPr="00B6284A">
        <w:rPr>
          <w:rtl/>
        </w:rPr>
        <w:tab/>
      </w:r>
      <w:r w:rsidRPr="00B6284A">
        <w:rPr>
          <w:rFonts w:hint="cs"/>
          <w:rtl/>
        </w:rPr>
        <w:t xml:space="preserve">ב. </w:t>
      </w:r>
      <w:r w:rsidRPr="00B6284A">
        <w:rPr>
          <w:rFonts w:ascii="Century" w:hAnsi="Century" w:cs="Miriam" w:hint="cs"/>
          <w:b/>
          <w:spacing w:val="0"/>
          <w:szCs w:val="24"/>
          <w:rtl/>
        </w:rPr>
        <w:t>במישור הסעד</w:t>
      </w:r>
      <w:r w:rsidRPr="00B6284A">
        <w:rPr>
          <w:rFonts w:hint="cs"/>
          <w:rtl/>
        </w:rPr>
        <w:t xml:space="preserve">: </w:t>
      </w:r>
    </w:p>
    <w:p w:rsidR="00B347E6" w:rsidRPr="00B6284A" w:rsidRDefault="00B347E6" w:rsidP="00B347E6">
      <w:pPr>
        <w:pStyle w:val="Ruller41"/>
        <w:rPr>
          <w:rtl/>
        </w:rPr>
      </w:pPr>
    </w:p>
    <w:p w:rsidR="00B347E6" w:rsidRPr="00B6284A" w:rsidRDefault="00B347E6" w:rsidP="00B347E6">
      <w:pPr>
        <w:pStyle w:val="Ruller41"/>
        <w:rPr>
          <w:rtl/>
        </w:rPr>
      </w:pPr>
      <w:r w:rsidRPr="00B6284A">
        <w:rPr>
          <w:rtl/>
        </w:rPr>
        <w:tab/>
      </w:r>
      <w:r w:rsidRPr="00B6284A">
        <w:rPr>
          <w:rFonts w:hint="cs"/>
          <w:rtl/>
        </w:rPr>
        <w:t xml:space="preserve">(-) ברכיב הפיצוי </w:t>
      </w:r>
      <w:r w:rsidRPr="00B6284A">
        <w:rPr>
          <w:rtl/>
        </w:rPr>
        <w:t>–</w:t>
      </w:r>
      <w:r w:rsidRPr="00B6284A">
        <w:rPr>
          <w:rFonts w:hint="cs"/>
          <w:rtl/>
        </w:rPr>
        <w:t xml:space="preserve"> חלף הסכום של 175,000 ₪ שנפסק בבית המשפט המחוזי, יבוא הסך של 100,000 ₪. </w:t>
      </w:r>
    </w:p>
    <w:p w:rsidR="00B347E6" w:rsidRPr="00B6284A" w:rsidRDefault="00B347E6" w:rsidP="00B347E6">
      <w:pPr>
        <w:pStyle w:val="Ruller41"/>
        <w:rPr>
          <w:rtl/>
        </w:rPr>
      </w:pPr>
    </w:p>
    <w:p w:rsidR="00B347E6" w:rsidRPr="00B6284A" w:rsidRDefault="00B347E6" w:rsidP="00B347E6">
      <w:pPr>
        <w:pStyle w:val="Ruller41"/>
        <w:rPr>
          <w:rtl/>
        </w:rPr>
      </w:pPr>
      <w:r w:rsidRPr="00B6284A">
        <w:rPr>
          <w:rtl/>
        </w:rPr>
        <w:tab/>
      </w:r>
      <w:r w:rsidRPr="00B6284A">
        <w:rPr>
          <w:rFonts w:hint="cs"/>
          <w:rtl/>
        </w:rPr>
        <w:t xml:space="preserve">(-) צו המניעה הגורף שניתן בבית המשפט המחוזי האוסר על הקרנת הסרט בישראל </w:t>
      </w:r>
      <w:r w:rsidRPr="00B6284A">
        <w:rPr>
          <w:rtl/>
        </w:rPr>
        <w:t>–</w:t>
      </w:r>
      <w:r w:rsidRPr="00B6284A">
        <w:rPr>
          <w:rFonts w:hint="cs"/>
          <w:rtl/>
        </w:rPr>
        <w:t xml:space="preserve"> בטל. תחת האמור, ניתן בזה צו המורה למערער להסיר מהסרט את הקטע בן ארבע השניות שבו מופיע צילומו של המשיב. מובן כי הקרנת הסרט במתכונתו </w:t>
      </w:r>
      <w:r w:rsidRPr="00B6284A">
        <w:rPr>
          <w:rFonts w:ascii="Century" w:hAnsi="Century" w:cs="Miriam" w:hint="cs"/>
          <w:b/>
          <w:spacing w:val="0"/>
          <w:szCs w:val="24"/>
          <w:rtl/>
        </w:rPr>
        <w:t>הנוכחית</w:t>
      </w:r>
      <w:r w:rsidRPr="00B6284A">
        <w:rPr>
          <w:rFonts w:hint="cs"/>
          <w:rtl/>
        </w:rPr>
        <w:t xml:space="preserve"> </w:t>
      </w:r>
      <w:r w:rsidRPr="00B6284A">
        <w:rPr>
          <w:rFonts w:ascii="Century" w:hAnsi="Century" w:hint="cs"/>
          <w:rtl/>
        </w:rPr>
        <w:t>(</w:t>
      </w:r>
      <w:r w:rsidRPr="00B6284A">
        <w:rPr>
          <w:rFonts w:hint="cs"/>
          <w:rtl/>
        </w:rPr>
        <w:t>הכוללת את צילומו של המשיב)</w:t>
      </w:r>
      <w:r>
        <w:rPr>
          <w:rFonts w:hint="cs"/>
          <w:rtl/>
        </w:rPr>
        <w:t xml:space="preserve"> </w:t>
      </w:r>
      <w:r w:rsidRPr="00B6284A">
        <w:rPr>
          <w:rFonts w:hint="cs"/>
          <w:rtl/>
        </w:rPr>
        <w:t>מהווה עוולה של פרסום לשון הרע, על כל המשתמע מכך.</w:t>
      </w:r>
    </w:p>
    <w:p w:rsidR="00B347E6" w:rsidRPr="00B6284A" w:rsidRDefault="00B347E6" w:rsidP="00B347E6">
      <w:pPr>
        <w:pStyle w:val="Ruller41"/>
        <w:rPr>
          <w:rtl/>
        </w:rPr>
      </w:pPr>
    </w:p>
    <w:p w:rsidR="00B347E6" w:rsidRPr="00B6284A" w:rsidRDefault="00B347E6" w:rsidP="00B347E6">
      <w:pPr>
        <w:pStyle w:val="Ruller41"/>
      </w:pPr>
      <w:r w:rsidRPr="00B6284A">
        <w:rPr>
          <w:rtl/>
        </w:rPr>
        <w:tab/>
      </w:r>
      <w:r w:rsidRPr="00B6284A">
        <w:rPr>
          <w:rFonts w:hint="cs"/>
          <w:rtl/>
        </w:rPr>
        <w:t xml:space="preserve">(-) צו החרמת עותקי הסרט שניתן בבית המשפט המחוזי </w:t>
      </w:r>
      <w:r w:rsidRPr="00B6284A">
        <w:rPr>
          <w:rtl/>
        </w:rPr>
        <w:t>–</w:t>
      </w:r>
      <w:r w:rsidRPr="00B6284A">
        <w:rPr>
          <w:rFonts w:hint="cs"/>
          <w:rtl/>
        </w:rPr>
        <w:t xml:space="preserve"> נותר על כנו, במובן זה שעל המערער לפעול </w:t>
      </w:r>
      <w:r>
        <w:rPr>
          <w:rFonts w:hint="cs"/>
          <w:rtl/>
        </w:rPr>
        <w:t xml:space="preserve">בשקידה סבירה </w:t>
      </w:r>
      <w:r w:rsidRPr="00B6284A">
        <w:rPr>
          <w:rFonts w:hint="cs"/>
          <w:rtl/>
        </w:rPr>
        <w:t xml:space="preserve">לאיסופם של </w:t>
      </w:r>
      <w:r>
        <w:rPr>
          <w:rFonts w:hint="cs"/>
          <w:rtl/>
        </w:rPr>
        <w:t>ה</w:t>
      </w:r>
      <w:r w:rsidRPr="00B6284A">
        <w:rPr>
          <w:rFonts w:hint="cs"/>
          <w:rtl/>
        </w:rPr>
        <w:t xml:space="preserve">עותקים </w:t>
      </w:r>
      <w:r>
        <w:rPr>
          <w:rFonts w:hint="cs"/>
          <w:rtl/>
        </w:rPr>
        <w:t>הקיימים,</w:t>
      </w:r>
      <w:r w:rsidRPr="00B6284A">
        <w:rPr>
          <w:rFonts w:hint="cs"/>
          <w:rtl/>
        </w:rPr>
        <w:t xml:space="preserve"> ככל שהוא מודע למקום הימצאותם.</w:t>
      </w:r>
    </w:p>
    <w:p w:rsidR="00B347E6" w:rsidRPr="00B6284A" w:rsidRDefault="00B347E6" w:rsidP="00B347E6">
      <w:pPr>
        <w:pStyle w:val="Ruller41"/>
        <w:rPr>
          <w:rtl/>
        </w:rPr>
      </w:pPr>
    </w:p>
    <w:p w:rsidR="00B347E6" w:rsidRDefault="008A374F" w:rsidP="00493D1F">
      <w:pPr>
        <w:pStyle w:val="Ruller41"/>
        <w:rPr>
          <w:rtl/>
        </w:rPr>
      </w:pPr>
      <w:r>
        <w:rPr>
          <w:rFonts w:hint="cs"/>
          <w:rtl/>
        </w:rPr>
        <w:t>92</w:t>
      </w:r>
      <w:r w:rsidR="00B347E6" w:rsidRPr="00B6284A">
        <w:rPr>
          <w:rFonts w:hint="cs"/>
          <w:rtl/>
        </w:rPr>
        <w:t>.</w:t>
      </w:r>
      <w:r w:rsidR="00B347E6" w:rsidRPr="00B6284A">
        <w:rPr>
          <w:rtl/>
        </w:rPr>
        <w:tab/>
      </w:r>
      <w:r w:rsidR="00B347E6" w:rsidRPr="00B6284A">
        <w:rPr>
          <w:rFonts w:hint="cs"/>
          <w:rtl/>
        </w:rPr>
        <w:t>לנוכח חוסר תום לבו של המערער, הן במישור הדיוני הן במישור המהותי,  ובכלל זה</w:t>
      </w:r>
      <w:r w:rsidR="00B347E6">
        <w:rPr>
          <w:rFonts w:hint="cs"/>
          <w:rtl/>
        </w:rPr>
        <w:t>:</w:t>
      </w:r>
      <w:r w:rsidR="00B347E6" w:rsidRPr="00B6284A">
        <w:rPr>
          <w:rFonts w:hint="cs"/>
          <w:rtl/>
        </w:rPr>
        <w:t xml:space="preserve"> </w:t>
      </w:r>
      <w:r w:rsidR="00B347E6">
        <w:rPr>
          <w:rFonts w:hint="cs"/>
          <w:rtl/>
        </w:rPr>
        <w:t xml:space="preserve">הימנעות מבדיקה כלשהי של נכונות הדברים; הימנעות מהכללת הערת הסתייגות בסרט; אי </w:t>
      </w:r>
      <w:r w:rsidR="00B347E6" w:rsidRPr="00B6284A">
        <w:rPr>
          <w:rFonts w:hint="cs"/>
          <w:rtl/>
        </w:rPr>
        <w:t>תיקון הפרסום</w:t>
      </w:r>
      <w:r w:rsidR="00B347E6">
        <w:rPr>
          <w:rFonts w:hint="cs"/>
          <w:rtl/>
        </w:rPr>
        <w:t xml:space="preserve"> עד עצם היום הזה</w:t>
      </w:r>
      <w:r w:rsidR="00B347E6" w:rsidRPr="00B6284A">
        <w:rPr>
          <w:rFonts w:hint="cs"/>
          <w:rtl/>
        </w:rPr>
        <w:t>; אי תשלום הפיצוי שנפסק בבית המשפט המחוזי חרף דחיית בקש</w:t>
      </w:r>
      <w:r w:rsidR="00B347E6">
        <w:rPr>
          <w:rFonts w:hint="cs"/>
          <w:rtl/>
        </w:rPr>
        <w:t>תו</w:t>
      </w:r>
      <w:r w:rsidR="00B347E6" w:rsidRPr="00B6284A">
        <w:rPr>
          <w:rFonts w:hint="cs"/>
          <w:rtl/>
        </w:rPr>
        <w:t xml:space="preserve"> לעיכוב ביצוע, באופן העולה כדי עשיית דין עצמי; המתנה לשלב הסיכומים והערעור לצורך העלאת האפשרות להסיר את </w:t>
      </w:r>
      <w:r w:rsidR="00B347E6">
        <w:rPr>
          <w:rFonts w:hint="cs"/>
          <w:rtl/>
        </w:rPr>
        <w:t xml:space="preserve">קטע </w:t>
      </w:r>
      <w:r w:rsidR="00B347E6" w:rsidRPr="00B6284A">
        <w:rPr>
          <w:rFonts w:hint="cs"/>
          <w:rtl/>
        </w:rPr>
        <w:t>צילומו של המשיב מהסרט; ו</w:t>
      </w:r>
      <w:r w:rsidR="00B347E6">
        <w:rPr>
          <w:rFonts w:hint="cs"/>
          <w:rtl/>
        </w:rPr>
        <w:t xml:space="preserve">אופן </w:t>
      </w:r>
      <w:r w:rsidR="00B347E6" w:rsidRPr="00B6284A">
        <w:rPr>
          <w:rFonts w:hint="cs"/>
          <w:rtl/>
        </w:rPr>
        <w:t>ניסוחו ה</w:t>
      </w:r>
      <w:r w:rsidR="00B347E6">
        <w:rPr>
          <w:rFonts w:hint="cs"/>
          <w:rtl/>
        </w:rPr>
        <w:t>מביש</w:t>
      </w:r>
      <w:r w:rsidR="00B347E6" w:rsidRPr="00B6284A">
        <w:rPr>
          <w:rFonts w:hint="cs"/>
          <w:rtl/>
        </w:rPr>
        <w:t xml:space="preserve"> של כתב הערעור; ו</w:t>
      </w:r>
      <w:r w:rsidR="00B347E6">
        <w:rPr>
          <w:rFonts w:hint="cs"/>
          <w:rtl/>
        </w:rPr>
        <w:t xml:space="preserve">מנגד, </w:t>
      </w:r>
      <w:r w:rsidR="00B347E6" w:rsidRPr="00B6284A">
        <w:rPr>
          <w:rFonts w:hint="cs"/>
          <w:rtl/>
        </w:rPr>
        <w:t xml:space="preserve">בהתחשב בכך שהערעור </w:t>
      </w:r>
      <w:r w:rsidR="00B347E6">
        <w:rPr>
          <w:rFonts w:hint="cs"/>
          <w:rtl/>
        </w:rPr>
        <w:t xml:space="preserve">התקבל </w:t>
      </w:r>
      <w:r w:rsidR="00493D1F">
        <w:rPr>
          <w:rFonts w:hint="cs"/>
          <w:rtl/>
        </w:rPr>
        <w:t xml:space="preserve">בחלקו </w:t>
      </w:r>
      <w:r w:rsidR="00B347E6">
        <w:rPr>
          <w:rFonts w:hint="cs"/>
          <w:rtl/>
        </w:rPr>
        <w:t xml:space="preserve">בכל הנוגע לסעדים האופרטיביים שנקבעו על ידי בית המשפט </w:t>
      </w:r>
      <w:r w:rsidR="00493D1F">
        <w:rPr>
          <w:rFonts w:hint="cs"/>
          <w:rtl/>
        </w:rPr>
        <w:t>המחוזי</w:t>
      </w:r>
      <w:r w:rsidR="00B347E6">
        <w:rPr>
          <w:rFonts w:hint="cs"/>
          <w:rtl/>
        </w:rPr>
        <w:t xml:space="preserve"> </w:t>
      </w:r>
      <w:r w:rsidR="00B347E6">
        <w:rPr>
          <w:rtl/>
        </w:rPr>
        <w:t>–</w:t>
      </w:r>
      <w:r w:rsidR="00B347E6">
        <w:rPr>
          <w:rFonts w:hint="cs"/>
          <w:rtl/>
        </w:rPr>
        <w:t xml:space="preserve"> כל צד ישא בהוצאותיו</w:t>
      </w:r>
      <w:r w:rsidR="00CA45D8">
        <w:rPr>
          <w:rFonts w:hint="cs"/>
          <w:rtl/>
        </w:rPr>
        <w:t xml:space="preserve"> בשלב הערעור</w:t>
      </w:r>
      <w:r w:rsidR="00B347E6">
        <w:rPr>
          <w:rFonts w:hint="cs"/>
          <w:rtl/>
        </w:rPr>
        <w:t xml:space="preserve">. </w:t>
      </w:r>
    </w:p>
    <w:p w:rsidR="005E61F9" w:rsidRDefault="005E61F9" w:rsidP="00493D1F">
      <w:pPr>
        <w:pStyle w:val="Ruller41"/>
        <w:rPr>
          <w:rtl/>
        </w:rPr>
      </w:pPr>
    </w:p>
    <w:p w:rsidR="005E61F9" w:rsidRPr="00B05433" w:rsidRDefault="005E61F9" w:rsidP="005E61F9">
      <w:pPr>
        <w:pStyle w:val="Ruller41"/>
        <w:rPr>
          <w:rFonts w:ascii="Century" w:hAnsi="Century" w:cs="Miriam"/>
          <w:b/>
          <w:spacing w:val="0"/>
          <w:szCs w:val="24"/>
          <w:rtl/>
        </w:rPr>
      </w:pPr>
      <w:r w:rsidRPr="00B05433">
        <w:rPr>
          <w:rFonts w:ascii="Century" w:hAnsi="Century" w:cs="Miriam" w:hint="cs"/>
          <w:b/>
          <w:spacing w:val="0"/>
          <w:szCs w:val="24"/>
          <w:rtl/>
        </w:rPr>
        <w:t>אחר הדברים האלה</w:t>
      </w:r>
      <w:r w:rsidRPr="00B05433">
        <w:rPr>
          <w:rFonts w:ascii="Century" w:hAnsi="Century" w:cs="Miriam"/>
          <w:b/>
          <w:spacing w:val="0"/>
          <w:szCs w:val="24"/>
          <w:rtl/>
        </w:rPr>
        <w:tab/>
      </w:r>
    </w:p>
    <w:p w:rsidR="00F52A45" w:rsidRDefault="00F52A45" w:rsidP="00F52A45">
      <w:pPr>
        <w:pStyle w:val="Ruller41"/>
        <w:rPr>
          <w:rtl/>
        </w:rPr>
      </w:pPr>
    </w:p>
    <w:p w:rsidR="00F52A45" w:rsidRDefault="008A374F" w:rsidP="00F52A45">
      <w:pPr>
        <w:pStyle w:val="Ruller41"/>
        <w:rPr>
          <w:rtl/>
        </w:rPr>
      </w:pPr>
      <w:r>
        <w:rPr>
          <w:rFonts w:hint="cs"/>
          <w:rtl/>
        </w:rPr>
        <w:t>93</w:t>
      </w:r>
      <w:r w:rsidR="00F52A45">
        <w:rPr>
          <w:rFonts w:hint="cs"/>
          <w:rtl/>
        </w:rPr>
        <w:t>.</w:t>
      </w:r>
      <w:r w:rsidR="00F52A45">
        <w:rPr>
          <w:rtl/>
        </w:rPr>
        <w:tab/>
      </w:r>
      <w:r w:rsidR="00F52A45">
        <w:rPr>
          <w:rFonts w:hint="cs"/>
          <w:rtl/>
        </w:rPr>
        <w:t xml:space="preserve">משהונחו לפניי חוות דעתם החולקות של חבריי, השופטים </w:t>
      </w:r>
      <w:r w:rsidR="00F52A45" w:rsidRPr="00205834">
        <w:rPr>
          <w:rFonts w:ascii="Century" w:hAnsi="Century" w:cs="Miriam" w:hint="cs"/>
          <w:b/>
          <w:spacing w:val="0"/>
          <w:szCs w:val="24"/>
          <w:rtl/>
        </w:rPr>
        <w:t>ד' מינץ</w:t>
      </w:r>
      <w:r w:rsidR="00F52A45">
        <w:rPr>
          <w:rFonts w:hint="cs"/>
          <w:rtl/>
        </w:rPr>
        <w:t xml:space="preserve"> ו</w:t>
      </w:r>
      <w:r w:rsidR="00F52A45" w:rsidRPr="005D6A53">
        <w:rPr>
          <w:rFonts w:ascii="Century" w:hAnsi="Century" w:cs="Miriam" w:hint="cs"/>
          <w:b/>
          <w:spacing w:val="0"/>
          <w:szCs w:val="24"/>
          <w:rtl/>
        </w:rPr>
        <w:t>א' שטיין</w:t>
      </w:r>
      <w:r w:rsidR="00F52A45">
        <w:rPr>
          <w:rFonts w:hint="cs"/>
          <w:rtl/>
        </w:rPr>
        <w:t>, אתייחס בקצרה למספר נקודות העולות מהן.</w:t>
      </w:r>
    </w:p>
    <w:p w:rsidR="00F52A45" w:rsidRDefault="00F52A45" w:rsidP="00F52A45">
      <w:pPr>
        <w:pStyle w:val="Ruller41"/>
        <w:rPr>
          <w:rtl/>
        </w:rPr>
      </w:pPr>
    </w:p>
    <w:p w:rsidR="00F52A45" w:rsidRDefault="008A374F" w:rsidP="00F52A45">
      <w:pPr>
        <w:pStyle w:val="Ruller41"/>
        <w:rPr>
          <w:rtl/>
        </w:rPr>
      </w:pPr>
      <w:r>
        <w:rPr>
          <w:rFonts w:hint="cs"/>
          <w:rtl/>
        </w:rPr>
        <w:t>94</w:t>
      </w:r>
      <w:r w:rsidR="00F52A45">
        <w:rPr>
          <w:rFonts w:hint="cs"/>
          <w:rtl/>
        </w:rPr>
        <w:t>.</w:t>
      </w:r>
      <w:r w:rsidR="00F52A45">
        <w:rPr>
          <w:rFonts w:hint="cs"/>
          <w:rtl/>
        </w:rPr>
        <w:tab/>
        <w:t xml:space="preserve">חברי, השופט </w:t>
      </w:r>
      <w:r w:rsidR="00F52A45" w:rsidRPr="00A169A7">
        <w:rPr>
          <w:rFonts w:ascii="Century" w:hAnsi="Century" w:cs="Miriam" w:hint="cs"/>
          <w:b/>
          <w:spacing w:val="0"/>
          <w:szCs w:val="24"/>
          <w:rtl/>
        </w:rPr>
        <w:t>שטיין</w:t>
      </w:r>
      <w:r w:rsidR="00F52A45">
        <w:rPr>
          <w:rFonts w:hint="cs"/>
          <w:rtl/>
        </w:rPr>
        <w:t xml:space="preserve">, סבור כי יש לסווג את העוולה שלפנינו כעוולה נמשכת אחת שתחילתה </w:t>
      </w:r>
      <w:r w:rsidR="00F52A45" w:rsidRPr="00C73E2F">
        <w:rPr>
          <w:rFonts w:ascii="Century" w:hAnsi="Century" w:cs="Miriam" w:hint="cs"/>
          <w:b/>
          <w:spacing w:val="0"/>
          <w:szCs w:val="24"/>
          <w:rtl/>
        </w:rPr>
        <w:t>בשנת 2002</w:t>
      </w:r>
      <w:r w:rsidR="00F52A45">
        <w:rPr>
          <w:rFonts w:hint="cs"/>
          <w:rtl/>
        </w:rPr>
        <w:t xml:space="preserve"> הנמשכת </w:t>
      </w:r>
      <w:r w:rsidR="00F52A45" w:rsidRPr="00C73E2F">
        <w:rPr>
          <w:rFonts w:ascii="Century" w:hAnsi="Century" w:cs="Miriam" w:hint="cs"/>
          <w:b/>
          <w:spacing w:val="0"/>
          <w:szCs w:val="24"/>
          <w:rtl/>
        </w:rPr>
        <w:t>עד עצם היום הזה</w:t>
      </w:r>
      <w:r w:rsidR="00F52A45">
        <w:rPr>
          <w:rFonts w:hint="cs"/>
          <w:rtl/>
        </w:rPr>
        <w:t xml:space="preserve">, וכי עילת התביעה של המשיב "לא התיישנה כהוא זה" (פסקה 68 לחוות דעתו). חברי, השופט </w:t>
      </w:r>
      <w:r w:rsidR="00F52A45" w:rsidRPr="009F33AA">
        <w:rPr>
          <w:rFonts w:ascii="Century" w:hAnsi="Century" w:cs="Miriam" w:hint="cs"/>
          <w:b/>
          <w:spacing w:val="0"/>
          <w:szCs w:val="24"/>
          <w:rtl/>
        </w:rPr>
        <w:t>מינץ</w:t>
      </w:r>
      <w:r w:rsidR="00F52A45">
        <w:rPr>
          <w:rFonts w:hint="cs"/>
          <w:rtl/>
        </w:rPr>
        <w:t>, מצטרף לדברים.</w:t>
      </w:r>
    </w:p>
    <w:p w:rsidR="00F52A45" w:rsidRDefault="00F52A45" w:rsidP="00F52A45">
      <w:pPr>
        <w:pStyle w:val="Ruller41"/>
        <w:rPr>
          <w:rtl/>
        </w:rPr>
      </w:pPr>
    </w:p>
    <w:p w:rsidR="00F52A45" w:rsidRDefault="00F52A45" w:rsidP="00F52A45">
      <w:pPr>
        <w:pStyle w:val="Ruller41"/>
        <w:rPr>
          <w:rtl/>
        </w:rPr>
      </w:pPr>
      <w:r>
        <w:rPr>
          <w:rtl/>
        </w:rPr>
        <w:tab/>
      </w:r>
      <w:r>
        <w:rPr>
          <w:rFonts w:hint="cs"/>
          <w:rtl/>
        </w:rPr>
        <w:t>גישתם של חבריי מפתיעה במידת מה. עיון בכתב התביעה מעלה כי אפילו המשיב-התובע לא ההין לבסס את תביעתו על הקרנות של הסרט שקדמו לשנת 2010. זאת, מתוך הנחה, מובנת מאליה, כי תביעה שכזו היתה נתקלת במחסום ההתיישנות. כך עולה מלשונו המפורשת של כתב התביעה, שם הבהיר המשיב כי "</w:t>
      </w:r>
      <w:r w:rsidRPr="001E6453">
        <w:rPr>
          <w:rFonts w:ascii="Century" w:hAnsi="Century" w:cs="Miriam" w:hint="cs"/>
          <w:b/>
          <w:spacing w:val="0"/>
          <w:szCs w:val="24"/>
          <w:rtl/>
        </w:rPr>
        <w:t>בשים לב לתקופת ההתיישנות הקבועה בחוק</w:t>
      </w:r>
      <w:r w:rsidRPr="001E6453">
        <w:rPr>
          <w:rFonts w:ascii="Century" w:hAnsi="Century" w:hint="cs"/>
          <w:rtl/>
        </w:rPr>
        <w:t>, מתייחסת תביעה זו להקרנת הסרט ופרסומו באירועים פומביים מסוימים ובאתרי אינטרנט,</w:t>
      </w:r>
      <w:r w:rsidRPr="001E6453">
        <w:rPr>
          <w:rFonts w:ascii="Century" w:hAnsi="Century" w:cs="Miriam" w:hint="cs"/>
          <w:b/>
          <w:spacing w:val="0"/>
          <w:szCs w:val="24"/>
          <w:rtl/>
        </w:rPr>
        <w:t xml:space="preserve"> מהשנים האחרונות</w:t>
      </w:r>
      <w:r w:rsidRPr="00C73E2F">
        <w:rPr>
          <w:rFonts w:ascii="Century" w:hAnsi="Century" w:hint="cs"/>
          <w:rtl/>
        </w:rPr>
        <w:t>,</w:t>
      </w:r>
      <w:r w:rsidRPr="001E6453">
        <w:rPr>
          <w:rFonts w:ascii="Century" w:hAnsi="Century" w:cs="Miriam" w:hint="cs"/>
          <w:b/>
          <w:spacing w:val="0"/>
          <w:szCs w:val="24"/>
          <w:rtl/>
        </w:rPr>
        <w:t xml:space="preserve"> </w:t>
      </w:r>
      <w:r w:rsidRPr="001E6453">
        <w:rPr>
          <w:rFonts w:ascii="Century" w:hAnsi="Century" w:hint="cs"/>
          <w:rtl/>
        </w:rPr>
        <w:t>כדלקמן</w:t>
      </w:r>
      <w:r>
        <w:rPr>
          <w:rFonts w:hint="cs"/>
          <w:rtl/>
        </w:rPr>
        <w:t xml:space="preserve">" (סעיף 50 לכתב התביעה המתוקן, ההדגשה בסיפא במקור </w:t>
      </w:r>
      <w:r>
        <w:rPr>
          <w:rtl/>
        </w:rPr>
        <w:t>–</w:t>
      </w:r>
      <w:r>
        <w:rPr>
          <w:rFonts w:hint="cs"/>
          <w:rtl/>
        </w:rPr>
        <w:t xml:space="preserve"> י"ע). בסמוך לכך, פורטו בכתב התביעה </w:t>
      </w:r>
      <w:r w:rsidRPr="001E6453">
        <w:rPr>
          <w:rFonts w:ascii="Century" w:hAnsi="Century" w:cs="Miriam" w:hint="cs"/>
          <w:b/>
          <w:spacing w:val="0"/>
          <w:szCs w:val="24"/>
          <w:rtl/>
        </w:rPr>
        <w:t>ארבע ההקרנות</w:t>
      </w:r>
      <w:r>
        <w:rPr>
          <w:rFonts w:hint="cs"/>
          <w:rtl/>
        </w:rPr>
        <w:t xml:space="preserve"> הקונקרטיות של הסרט שבוצעו בין השנים 2012-2010, </w:t>
      </w:r>
      <w:r w:rsidRPr="00C73E2F">
        <w:rPr>
          <w:rFonts w:ascii="Century" w:hAnsi="Century" w:cs="Miriam" w:hint="cs"/>
          <w:b/>
          <w:spacing w:val="0"/>
          <w:szCs w:val="24"/>
          <w:rtl/>
        </w:rPr>
        <w:t>וארבעתן בלבד</w:t>
      </w:r>
      <w:r>
        <w:rPr>
          <w:rFonts w:hint="cs"/>
          <w:rtl/>
        </w:rPr>
        <w:t xml:space="preserve"> (לצד העלאת הסרט לאתר יוטיוב). מכאן, שגישתם של חבריי, הדוגלים בקיומה של עילת תביעה תקפה גם בגין ההקרנות שבוצעו בשנת 2002, מרחיקה לכת אף יותר מגבולותיה של עילת התביעה שהתובע בעצמו ראה לנכון להתוות. כשלעצמי, בשונה מגישתם של חבריי ובדומה לגישת המשיב, אני סבור כי הנחת היסוד של המשיב כי תביעתו בגין ההקרנות שקדמו לשנת 2010 התיישנה </w:t>
      </w:r>
      <w:r>
        <w:rPr>
          <w:rtl/>
        </w:rPr>
        <w:t>–</w:t>
      </w:r>
      <w:r>
        <w:rPr>
          <w:rFonts w:hint="cs"/>
          <w:rtl/>
        </w:rPr>
        <w:t xml:space="preserve"> היא אכן מובנת מאליה.</w:t>
      </w:r>
    </w:p>
    <w:p w:rsidR="00F52A45" w:rsidRDefault="00F52A45" w:rsidP="00F52A45">
      <w:pPr>
        <w:pStyle w:val="Ruller41"/>
        <w:rPr>
          <w:rtl/>
        </w:rPr>
      </w:pPr>
    </w:p>
    <w:p w:rsidR="00F52A45" w:rsidRDefault="008A374F" w:rsidP="00F52A45">
      <w:pPr>
        <w:pStyle w:val="Ruller41"/>
        <w:rPr>
          <w:rtl/>
        </w:rPr>
      </w:pPr>
      <w:r>
        <w:rPr>
          <w:rFonts w:hint="cs"/>
          <w:rtl/>
        </w:rPr>
        <w:t>95</w:t>
      </w:r>
      <w:r w:rsidR="00F52A45">
        <w:rPr>
          <w:rFonts w:hint="cs"/>
          <w:rtl/>
        </w:rPr>
        <w:t>.</w:t>
      </w:r>
      <w:r w:rsidR="00F52A45">
        <w:rPr>
          <w:rtl/>
        </w:rPr>
        <w:tab/>
      </w:r>
      <w:r w:rsidR="00F52A45">
        <w:rPr>
          <w:rFonts w:hint="cs"/>
          <w:rtl/>
        </w:rPr>
        <w:t xml:space="preserve">חברי, השופט </w:t>
      </w:r>
      <w:r w:rsidR="00F52A45" w:rsidRPr="008B4576">
        <w:rPr>
          <w:rFonts w:ascii="Century" w:hAnsi="Century" w:cs="Miriam" w:hint="cs"/>
          <w:b/>
          <w:spacing w:val="0"/>
          <w:szCs w:val="24"/>
          <w:rtl/>
        </w:rPr>
        <w:t>שטיין</w:t>
      </w:r>
      <w:r w:rsidR="00F52A45">
        <w:rPr>
          <w:rFonts w:hint="cs"/>
          <w:rtl/>
        </w:rPr>
        <w:t xml:space="preserve">, נדרש במסגרת ניתוחו לכללים שנתגבשו במשפט המקובל באנגליה. זאת, לדבריו, לנוכח הוראת סעיף 1 לפקודת הנזיקין, שלשיטתו קובעת כי ככל שקיים צורך לפרש את כללי האחריות בנזיקין, אזי "בית המשפט </w:t>
      </w:r>
      <w:r w:rsidR="00F52A45" w:rsidRPr="001D60BD">
        <w:rPr>
          <w:rFonts w:ascii="Century" w:hAnsi="Century" w:cs="Miriam" w:hint="cs"/>
          <w:b/>
          <w:spacing w:val="0"/>
          <w:szCs w:val="24"/>
          <w:rtl/>
        </w:rPr>
        <w:t>חייב</w:t>
      </w:r>
      <w:r w:rsidR="00F52A45">
        <w:rPr>
          <w:rFonts w:hint="cs"/>
          <w:rtl/>
        </w:rPr>
        <w:t xml:space="preserve"> לפרשם בהתאם למקביליהם במשפט המקובל האנגלי" (פסקה 35ד לחוות דעתו של חברי, ההדגשה הוספה </w:t>
      </w:r>
      <w:r w:rsidR="00F52A45">
        <w:rPr>
          <w:rtl/>
        </w:rPr>
        <w:t>–</w:t>
      </w:r>
      <w:r w:rsidR="00F52A45">
        <w:rPr>
          <w:rFonts w:hint="cs"/>
          <w:rtl/>
        </w:rPr>
        <w:t xml:space="preserve"> י"ע; כן ראו שם בפסקה 48). </w:t>
      </w:r>
    </w:p>
    <w:p w:rsidR="00F52A45" w:rsidRDefault="00F52A45" w:rsidP="00F52A45">
      <w:pPr>
        <w:pStyle w:val="Ruller41"/>
        <w:rPr>
          <w:rtl/>
        </w:rPr>
      </w:pPr>
    </w:p>
    <w:p w:rsidR="00F52A45" w:rsidRPr="0076128E" w:rsidRDefault="00F52A45" w:rsidP="00F52A45">
      <w:pPr>
        <w:pStyle w:val="Ruller41"/>
        <w:rPr>
          <w:rStyle w:val="default"/>
          <w:rFonts w:ascii="Century" w:hAnsi="Century" w:cs="FrankRuehl"/>
          <w:sz w:val="22"/>
          <w:szCs w:val="28"/>
          <w:rtl/>
        </w:rPr>
      </w:pPr>
      <w:r>
        <w:rPr>
          <w:rtl/>
        </w:rPr>
        <w:tab/>
      </w:r>
      <w:r>
        <w:rPr>
          <w:rFonts w:hint="cs"/>
          <w:rtl/>
        </w:rPr>
        <w:t xml:space="preserve">איני סבור כך. אמנם, סעיף 1 לפקודת הנזיקין מפנה לעיקרי הפרשנות המשפטית המקובלים באנגליה. ברם, בשנת 1972, כארבע שנים לאחר שנחקקה פקודת הנזיקין (נוסח חדש), תוקנה פקודת סדרי השלטון והמשפט ונתווסף לה סעיף 15(ג). סעיף קטן זה קובע כי </w:t>
      </w:r>
      <w:r w:rsidRPr="00573D59">
        <w:rPr>
          <w:rStyle w:val="default"/>
          <w:rFonts w:ascii="Century" w:hAnsi="Century" w:cs="Miriam" w:hint="cs"/>
          <w:b/>
          <w:spacing w:val="0"/>
          <w:szCs w:val="24"/>
          <w:rtl/>
        </w:rPr>
        <w:t xml:space="preserve">"כל הוראה בחוק שלפיה יש לפרש אותו או ביטויים שבו לפי דיני אנגליה או לפי עיקרי פרשנות משפטית המקובלים באנגליה </w:t>
      </w:r>
      <w:r w:rsidRPr="00573D59">
        <w:rPr>
          <w:rStyle w:val="default"/>
          <w:rFonts w:ascii="Century" w:hAnsi="Century" w:cs="Miriam"/>
          <w:b/>
          <w:spacing w:val="0"/>
          <w:szCs w:val="24"/>
          <w:rtl/>
        </w:rPr>
        <w:t>–</w:t>
      </w:r>
      <w:r w:rsidRPr="00573D59">
        <w:rPr>
          <w:rStyle w:val="default"/>
          <w:rFonts w:ascii="Century" w:hAnsi="Century" w:cs="Miriam" w:hint="cs"/>
          <w:b/>
          <w:spacing w:val="0"/>
          <w:szCs w:val="24"/>
          <w:rtl/>
        </w:rPr>
        <w:t xml:space="preserve"> לא תהיה עוד הוראה מחייבת"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בדברי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ההסבר</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להצעת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התיקון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הובהר</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פשר</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התיקון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שנועד</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לקבוע</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כל</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הוראת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חוק</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היוצרת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זיקה</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שבחובה</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לפרשנות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המשפטית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לפי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דיני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אנגליה</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או</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לפי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פירושים</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או</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עיקרי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פרשנות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המקובלים</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במשפט</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האנגלי</w:t>
      </w:r>
      <w:r w:rsidRPr="0076128E">
        <w:rPr>
          <w:rStyle w:val="default"/>
          <w:rFonts w:ascii="Century" w:hAnsi="Century" w:cs="FrankRuehl"/>
          <w:sz w:val="22"/>
          <w:szCs w:val="28"/>
          <w:rtl/>
        </w:rPr>
        <w:t xml:space="preserve"> – </w:t>
      </w:r>
      <w:r w:rsidRPr="0076128E">
        <w:rPr>
          <w:rStyle w:val="default"/>
          <w:rFonts w:ascii="Century" w:hAnsi="Century" w:cs="FrankRuehl" w:hint="eastAsia"/>
          <w:sz w:val="22"/>
          <w:szCs w:val="28"/>
          <w:rtl/>
        </w:rPr>
        <w:t>תבוטל</w:t>
      </w:r>
      <w:r w:rsidRPr="0076128E">
        <w:rPr>
          <w:rStyle w:val="default"/>
          <w:rFonts w:ascii="Century" w:hAnsi="Century" w:cs="FrankRuehl"/>
          <w:sz w:val="22"/>
          <w:szCs w:val="28"/>
          <w:rtl/>
        </w:rPr>
        <w:t>" (</w:t>
      </w:r>
      <w:r w:rsidRPr="0076128E">
        <w:rPr>
          <w:rStyle w:val="default"/>
          <w:rFonts w:ascii="Century" w:hAnsi="Century" w:cs="FrankRuehl" w:hint="eastAsia"/>
          <w:sz w:val="22"/>
          <w:szCs w:val="28"/>
          <w:rtl/>
        </w:rPr>
        <w:t>ה</w:t>
      </w:r>
      <w:r w:rsidRPr="0076128E">
        <w:rPr>
          <w:rStyle w:val="default"/>
          <w:rFonts w:ascii="Century" w:hAnsi="Century" w:cs="FrankRuehl"/>
          <w:sz w:val="22"/>
          <w:szCs w:val="28"/>
          <w:rtl/>
        </w:rPr>
        <w:t>"</w:t>
      </w:r>
      <w:r w:rsidRPr="0076128E">
        <w:rPr>
          <w:rStyle w:val="default"/>
          <w:rFonts w:ascii="Century" w:hAnsi="Century" w:cs="FrankRuehl" w:hint="eastAsia"/>
          <w:sz w:val="22"/>
          <w:szCs w:val="28"/>
          <w:rtl/>
        </w:rPr>
        <w:t>ח</w:t>
      </w:r>
      <w:r w:rsidRPr="0076128E">
        <w:rPr>
          <w:rStyle w:val="default"/>
          <w:rFonts w:ascii="Century" w:hAnsi="Century" w:cs="FrankRuehl"/>
          <w:sz w:val="22"/>
          <w:szCs w:val="28"/>
          <w:rtl/>
        </w:rPr>
        <w:t xml:space="preserve"> 963, </w:t>
      </w:r>
      <w:r w:rsidRPr="0076128E">
        <w:rPr>
          <w:rStyle w:val="default"/>
          <w:rFonts w:ascii="Century" w:hAnsi="Century" w:cs="FrankRuehl" w:hint="eastAsia"/>
          <w:sz w:val="22"/>
          <w:szCs w:val="28"/>
          <w:rtl/>
        </w:rPr>
        <w:t>עמ</w:t>
      </w:r>
      <w:r w:rsidRPr="0076128E">
        <w:rPr>
          <w:rStyle w:val="default"/>
          <w:rFonts w:ascii="Century" w:hAnsi="Century" w:cs="FrankRuehl"/>
          <w:sz w:val="22"/>
          <w:szCs w:val="28"/>
          <w:rtl/>
        </w:rPr>
        <w:t xml:space="preserve">' 315). </w:t>
      </w:r>
      <w:r w:rsidRPr="0076128E">
        <w:rPr>
          <w:rStyle w:val="default"/>
          <w:rFonts w:ascii="Century" w:hAnsi="Century" w:cs="FrankRuehl" w:hint="eastAsia"/>
          <w:sz w:val="22"/>
          <w:szCs w:val="28"/>
          <w:rtl/>
        </w:rPr>
        <w:t>לא</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למותר</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לציין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פקודת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הנזיקין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אף</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נזכרה</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במפורש</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בהצעת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החוק</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בתור</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אחד</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החיקוקים</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שבגינם</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נדרש</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התיקון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שם</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בעמ</w:t>
      </w:r>
      <w:r w:rsidRPr="0076128E">
        <w:rPr>
          <w:rStyle w:val="default"/>
          <w:rFonts w:ascii="Century" w:hAnsi="Century" w:cs="FrankRuehl"/>
          <w:sz w:val="22"/>
          <w:szCs w:val="28"/>
          <w:rtl/>
        </w:rPr>
        <w:t>' 316).</w:t>
      </w:r>
    </w:p>
    <w:p w:rsidR="00F52A45" w:rsidRPr="0076128E" w:rsidRDefault="00F52A45" w:rsidP="00F52A45">
      <w:pPr>
        <w:pStyle w:val="Ruller41"/>
        <w:rPr>
          <w:rStyle w:val="default"/>
          <w:rFonts w:ascii="Century" w:hAnsi="Century" w:cs="FrankRuehl"/>
          <w:sz w:val="22"/>
          <w:szCs w:val="28"/>
          <w:rtl/>
        </w:rPr>
      </w:pPr>
    </w:p>
    <w:p w:rsidR="00F52A45" w:rsidRPr="00A14291" w:rsidRDefault="00F52A45" w:rsidP="00F52A45">
      <w:pPr>
        <w:pStyle w:val="Ruller41"/>
        <w:rPr>
          <w:rFonts w:ascii="Century" w:hAnsi="Century"/>
        </w:rPr>
      </w:pPr>
      <w:r w:rsidRPr="0076128E">
        <w:rPr>
          <w:rStyle w:val="default"/>
          <w:rFonts w:ascii="Century" w:hAnsi="Century" w:cs="FrankRuehl"/>
          <w:sz w:val="22"/>
          <w:szCs w:val="28"/>
          <w:rtl/>
        </w:rPr>
        <w:tab/>
      </w:r>
      <w:r w:rsidRPr="0076128E">
        <w:rPr>
          <w:rStyle w:val="default"/>
          <w:rFonts w:ascii="Century" w:hAnsi="Century" w:cs="FrankRuehl" w:hint="eastAsia"/>
          <w:sz w:val="22"/>
          <w:szCs w:val="28"/>
          <w:rtl/>
        </w:rPr>
        <w:t>מובן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אפוא</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איננו</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כבולים</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כיום</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לפרשנות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הנהוגה</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במשפט</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המקובל</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האנגלי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לא</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באופן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כללי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ולא</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לצורך</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פרשנות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כללי</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האחריות</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בנזיקין</w:t>
      </w:r>
      <w:r w:rsidRPr="0076128E">
        <w:rPr>
          <w:rStyle w:val="default"/>
          <w:rFonts w:ascii="Century" w:hAnsi="Century" w:cs="FrankRuehl"/>
          <w:sz w:val="22"/>
          <w:szCs w:val="28"/>
          <w:rtl/>
        </w:rPr>
        <w:t xml:space="preserve">, </w:t>
      </w:r>
      <w:r w:rsidRPr="0076128E">
        <w:rPr>
          <w:rStyle w:val="default"/>
          <w:rFonts w:ascii="Century" w:hAnsi="Century" w:cs="FrankRuehl" w:hint="eastAsia"/>
          <w:sz w:val="22"/>
          <w:szCs w:val="28"/>
          <w:rtl/>
        </w:rPr>
        <w:t>והגם</w:t>
      </w:r>
      <w:r w:rsidRPr="0076128E">
        <w:rPr>
          <w:rStyle w:val="default"/>
          <w:rFonts w:ascii="Century" w:hAnsi="Century" w:cs="FrankRuehl"/>
          <w:sz w:val="22"/>
          <w:szCs w:val="28"/>
          <w:rtl/>
        </w:rPr>
        <w:t xml:space="preserve"> </w:t>
      </w:r>
      <w:r w:rsidRPr="00F52A45">
        <w:rPr>
          <w:rFonts w:ascii="Century" w:hAnsi="Century" w:hint="cs"/>
          <w:rtl/>
        </w:rPr>
        <w:t>שההיזקקות למשפט האנגלי לצורך ליבון סוגיות משפטיות וכאחד ממקורות ההשראה הפרשניים היא מבורכת כשלעצמה, אין מדובר בצעד פרשני מחייב</w:t>
      </w:r>
      <w:r w:rsidRPr="00895F05">
        <w:rPr>
          <w:rFonts w:hint="cs"/>
          <w:rtl/>
        </w:rPr>
        <w:t xml:space="preserve"> </w:t>
      </w:r>
      <w:r>
        <w:rPr>
          <w:rFonts w:hint="cs"/>
          <w:rtl/>
        </w:rPr>
        <w:t xml:space="preserve">(ראו, בין היתר, </w:t>
      </w:r>
      <w:r>
        <w:rPr>
          <w:rFonts w:ascii="FrankRuehl" w:hAnsi="FrankRuehl"/>
          <w:color w:val="000000"/>
          <w:sz w:val="28"/>
          <w:rtl/>
        </w:rPr>
        <w:t>ע</w:t>
      </w:r>
      <w:r>
        <w:rPr>
          <w:rFonts w:ascii="FrankRuehl" w:hAnsi="FrankRuehl" w:hint="cs"/>
          <w:color w:val="000000"/>
          <w:sz w:val="28"/>
          <w:rtl/>
        </w:rPr>
        <w:t>"</w:t>
      </w:r>
      <w:r>
        <w:rPr>
          <w:rFonts w:ascii="FrankRuehl" w:hAnsi="FrankRuehl"/>
          <w:color w:val="000000"/>
          <w:sz w:val="28"/>
          <w:rtl/>
        </w:rPr>
        <w:t xml:space="preserve">א 86/76‏ </w:t>
      </w:r>
      <w:r w:rsidRPr="00A14291">
        <w:rPr>
          <w:rFonts w:ascii="Century" w:hAnsi="Century" w:cs="Miriam"/>
          <w:b/>
          <w:spacing w:val="0"/>
          <w:szCs w:val="24"/>
          <w:rtl/>
        </w:rPr>
        <w:t>"עמידר", החברה הלאומית לשיכון עולים בישראל בע"מ נ' אהרן</w:t>
      </w:r>
      <w:r w:rsidRPr="00A14291">
        <w:rPr>
          <w:rFonts w:ascii="Century" w:hAnsi="Century"/>
          <w:rtl/>
        </w:rPr>
        <w:t>, פ</w:t>
      </w:r>
      <w:r w:rsidRPr="00A14291">
        <w:rPr>
          <w:rFonts w:ascii="Century" w:hAnsi="Century" w:hint="cs"/>
          <w:rtl/>
        </w:rPr>
        <w:t>"</w:t>
      </w:r>
      <w:r w:rsidRPr="00A14291">
        <w:rPr>
          <w:rFonts w:ascii="Century" w:hAnsi="Century"/>
          <w:rtl/>
        </w:rPr>
        <w:t>ד לב(2) 337</w:t>
      </w:r>
      <w:r w:rsidRPr="00A14291">
        <w:rPr>
          <w:rFonts w:ascii="Century" w:hAnsi="Century" w:hint="cs"/>
          <w:rtl/>
        </w:rPr>
        <w:t>, 348 (1978)</w:t>
      </w:r>
      <w:r>
        <w:rPr>
          <w:rFonts w:ascii="Century" w:hAnsi="Century" w:hint="cs"/>
          <w:rtl/>
        </w:rPr>
        <w:t xml:space="preserve">; </w:t>
      </w:r>
      <w:r w:rsidRPr="00564A6B">
        <w:rPr>
          <w:rFonts w:ascii="Century" w:hAnsi="Century"/>
          <w:rtl/>
        </w:rPr>
        <w:t>ע</w:t>
      </w:r>
      <w:r w:rsidRPr="00A14291">
        <w:rPr>
          <w:rFonts w:ascii="Century" w:hAnsi="Century" w:hint="cs"/>
          <w:rtl/>
        </w:rPr>
        <w:t>"</w:t>
      </w:r>
      <w:r w:rsidRPr="00564A6B">
        <w:rPr>
          <w:rFonts w:ascii="Century" w:hAnsi="Century"/>
          <w:rtl/>
        </w:rPr>
        <w:t xml:space="preserve">א 711/72‏ </w:t>
      </w:r>
      <w:r w:rsidRPr="00564A6B">
        <w:rPr>
          <w:rFonts w:ascii="Century" w:hAnsi="Century" w:cs="Miriam"/>
          <w:b/>
          <w:spacing w:val="0"/>
          <w:szCs w:val="24"/>
          <w:rtl/>
        </w:rPr>
        <w:t>מאיר נ' הנהלת הסוכנות היהודית לא"י</w:t>
      </w:r>
      <w:r w:rsidRPr="00564A6B">
        <w:rPr>
          <w:rFonts w:ascii="Century" w:hAnsi="Century"/>
          <w:rtl/>
        </w:rPr>
        <w:t>, פ</w:t>
      </w:r>
      <w:r>
        <w:rPr>
          <w:rFonts w:ascii="Century" w:hAnsi="Century" w:hint="cs"/>
          <w:rtl/>
        </w:rPr>
        <w:t>"</w:t>
      </w:r>
      <w:r w:rsidRPr="00564A6B">
        <w:rPr>
          <w:rFonts w:ascii="Century" w:hAnsi="Century"/>
          <w:rtl/>
        </w:rPr>
        <w:t>ד כח(1) 393</w:t>
      </w:r>
      <w:r w:rsidRPr="00A14291">
        <w:rPr>
          <w:rFonts w:ascii="Century" w:hAnsi="Century" w:hint="cs"/>
          <w:rtl/>
        </w:rPr>
        <w:t>, 396 (1974)</w:t>
      </w:r>
      <w:r>
        <w:rPr>
          <w:rFonts w:ascii="Century" w:hAnsi="Century" w:hint="cs"/>
          <w:rtl/>
        </w:rPr>
        <w:t xml:space="preserve">; </w:t>
      </w:r>
      <w:r w:rsidRPr="00A14291">
        <w:rPr>
          <w:rFonts w:ascii="Century" w:hAnsi="Century"/>
          <w:rtl/>
        </w:rPr>
        <w:t xml:space="preserve">ע"א 619/78‏ </w:t>
      </w:r>
      <w:r w:rsidRPr="00A14291">
        <w:rPr>
          <w:rFonts w:ascii="Century" w:hAnsi="Century" w:cs="Miriam"/>
          <w:b/>
          <w:spacing w:val="0"/>
          <w:szCs w:val="24"/>
          <w:rtl/>
        </w:rPr>
        <w:t>חונוביץ</w:t>
      </w:r>
      <w:r w:rsidRPr="00A14291">
        <w:rPr>
          <w:rFonts w:ascii="Century" w:hAnsi="Century" w:cs="Miriam"/>
          <w:b/>
          <w:spacing w:val="0"/>
          <w:szCs w:val="24"/>
          <w:cs/>
        </w:rPr>
        <w:t>‎</w:t>
      </w:r>
      <w:r w:rsidRPr="00A14291">
        <w:rPr>
          <w:rFonts w:ascii="Century" w:hAnsi="Century" w:cs="Miriam"/>
          <w:b/>
          <w:spacing w:val="0"/>
          <w:szCs w:val="24"/>
        </w:rPr>
        <w:t> </w:t>
      </w:r>
      <w:r w:rsidRPr="00A14291">
        <w:rPr>
          <w:rFonts w:ascii="Century" w:hAnsi="Century" w:cs="Miriam"/>
          <w:b/>
          <w:spacing w:val="0"/>
          <w:szCs w:val="24"/>
          <w:cs/>
        </w:rPr>
        <w:t>‎</w:t>
      </w:r>
      <w:r w:rsidRPr="00A14291">
        <w:rPr>
          <w:rFonts w:ascii="Century" w:hAnsi="Century" w:cs="Miriam"/>
          <w:b/>
          <w:spacing w:val="0"/>
          <w:szCs w:val="24"/>
          <w:rtl/>
        </w:rPr>
        <w:t>נ' כהן</w:t>
      </w:r>
      <w:r w:rsidRPr="00A14291">
        <w:rPr>
          <w:rFonts w:ascii="Century" w:hAnsi="Century"/>
          <w:rtl/>
        </w:rPr>
        <w:t>, פ"ד לה(4) 281, 292 (1981)</w:t>
      </w:r>
      <w:r>
        <w:rPr>
          <w:rFonts w:ascii="Century" w:hAnsi="Century" w:hint="cs"/>
          <w:rtl/>
        </w:rPr>
        <w:t xml:space="preserve">; </w:t>
      </w:r>
      <w:r w:rsidRPr="00A14291">
        <w:rPr>
          <w:rFonts w:ascii="Century" w:hAnsi="Century"/>
          <w:rtl/>
        </w:rPr>
        <w:t>ע</w:t>
      </w:r>
      <w:r w:rsidRPr="00A14291">
        <w:rPr>
          <w:rFonts w:ascii="Century" w:hAnsi="Century" w:hint="cs"/>
          <w:rtl/>
        </w:rPr>
        <w:t>"</w:t>
      </w:r>
      <w:r w:rsidRPr="00A14291">
        <w:rPr>
          <w:rFonts w:ascii="Century" w:hAnsi="Century"/>
          <w:rtl/>
        </w:rPr>
        <w:t>א 3322/16 </w:t>
      </w:r>
      <w:r w:rsidRPr="00A14291">
        <w:rPr>
          <w:rFonts w:ascii="Century" w:hAnsi="Century" w:cs="Miriam"/>
          <w:b/>
          <w:spacing w:val="0"/>
          <w:szCs w:val="24"/>
          <w:rtl/>
        </w:rPr>
        <w:t>איי די איי חברה לביטוח בע"מ נ' לשכת סוכני ביטוח בישראל</w:t>
      </w:r>
      <w:r w:rsidRPr="00A14291">
        <w:rPr>
          <w:rFonts w:ascii="Century" w:hAnsi="Century" w:hint="cs"/>
          <w:rtl/>
        </w:rPr>
        <w:t>, פסקה 38 (30.4.2017)</w:t>
      </w:r>
      <w:r>
        <w:rPr>
          <w:rFonts w:ascii="Century" w:hAnsi="Century" w:hint="cs"/>
          <w:rtl/>
        </w:rPr>
        <w:t>). ממילא, אף אין כל מניעה להסתייע בשיטות משפט נוספות, ובכללן השיטה האמריקאית, לצורך הכרעה בסוגיה כמו זו שלפנינו. מכל מקום, אבהיר כי עמדתי מבוססת על הדין הישראלי, מבלי להזדקק להסדרים הנוהגים בדין הזר. ממילא אין בדבריי משום אימוץ מלא של גישה כזו או אחרת שמקורה במשפט המשווה.</w:t>
      </w:r>
    </w:p>
    <w:p w:rsidR="00F52A45" w:rsidRDefault="00F52A45" w:rsidP="00F52A45">
      <w:pPr>
        <w:pStyle w:val="Ruller41"/>
        <w:rPr>
          <w:rFonts w:ascii="Century" w:hAnsi="Century"/>
          <w:rtl/>
        </w:rPr>
      </w:pPr>
    </w:p>
    <w:p w:rsidR="00F52A45" w:rsidRDefault="008A374F" w:rsidP="00F52A45">
      <w:pPr>
        <w:pStyle w:val="Ruller41"/>
        <w:rPr>
          <w:rtl/>
        </w:rPr>
      </w:pPr>
      <w:r>
        <w:rPr>
          <w:rFonts w:hint="cs"/>
          <w:rtl/>
        </w:rPr>
        <w:t>96</w:t>
      </w:r>
      <w:r w:rsidR="00F52A45">
        <w:rPr>
          <w:rFonts w:hint="cs"/>
          <w:rtl/>
        </w:rPr>
        <w:t>.</w:t>
      </w:r>
      <w:r w:rsidR="00F52A45">
        <w:rPr>
          <w:rFonts w:hint="cs"/>
          <w:rtl/>
        </w:rPr>
        <w:tab/>
        <w:t xml:space="preserve">לאורך חוות דעתו של חברי, שזורות אמירות שלפיהן המערער פרסם את הסרט "מבלי להסירו מהמרחב הציבורי", וכי "כל אימת שהפרסום הפוגעני נמצא במרחב הציבורי ואינו מוסר ממנו, ייחשב הפרסום לעוולה נמשכת" (ראו, בין היתר, פסקאות 46-45 לחוות דעתו; וכן פסקה 10 לחוות דעתו של השופט </w:t>
      </w:r>
      <w:r w:rsidR="00F52A45" w:rsidRPr="00103D2B">
        <w:rPr>
          <w:rFonts w:ascii="Century" w:hAnsi="Century" w:cs="Miriam" w:hint="cs"/>
          <w:b/>
          <w:spacing w:val="0"/>
          <w:szCs w:val="24"/>
          <w:rtl/>
        </w:rPr>
        <w:t>מינץ</w:t>
      </w:r>
      <w:r w:rsidR="00F52A45">
        <w:rPr>
          <w:rFonts w:hint="cs"/>
          <w:rtl/>
        </w:rPr>
        <w:t xml:space="preserve">). בנוסף, בתארו את המשפט האנגלי המעוגן בעקרונות המשפט המקובל (המהווה לשיטתו את הדין </w:t>
      </w:r>
      <w:r w:rsidR="00F52A45" w:rsidRPr="00A169A7">
        <w:rPr>
          <w:rFonts w:ascii="Century" w:hAnsi="Century" w:cs="Miriam" w:hint="cs"/>
          <w:b/>
          <w:spacing w:val="0"/>
          <w:szCs w:val="24"/>
          <w:rtl/>
        </w:rPr>
        <w:t>המצוי</w:t>
      </w:r>
      <w:r w:rsidR="00F52A45">
        <w:rPr>
          <w:rFonts w:hint="cs"/>
          <w:rtl/>
        </w:rPr>
        <w:t xml:space="preserve">), חברי סבור כי "פרסום דיבה, כהגדרתו בחוק לשון הרע, </w:t>
      </w:r>
      <w:r w:rsidR="00F52A45" w:rsidRPr="00C5309D">
        <w:rPr>
          <w:rFonts w:ascii="Century" w:hAnsi="Century" w:cs="Miriam" w:hint="cs"/>
          <w:b/>
          <w:spacing w:val="0"/>
          <w:szCs w:val="24"/>
          <w:rtl/>
        </w:rPr>
        <w:t>אשר חוזר על עצמו מדי יום ביומו</w:t>
      </w:r>
      <w:r w:rsidR="00F52A45">
        <w:rPr>
          <w:rFonts w:hint="cs"/>
          <w:rtl/>
        </w:rPr>
        <w:t xml:space="preserve">, </w:t>
      </w:r>
      <w:r w:rsidR="00F52A45" w:rsidRPr="00C5309D">
        <w:rPr>
          <w:rFonts w:ascii="Century" w:hAnsi="Century" w:cs="Miriam" w:hint="cs"/>
          <w:b/>
          <w:spacing w:val="0"/>
          <w:szCs w:val="24"/>
          <w:rtl/>
        </w:rPr>
        <w:t>מבלי שמפרסמו דואג להסירו</w:t>
      </w:r>
      <w:r w:rsidR="00F52A45">
        <w:rPr>
          <w:rFonts w:hint="cs"/>
          <w:rtl/>
        </w:rPr>
        <w:t xml:space="preserve">, מהווה עוולה נמשכת" (פסקה 60 לחוות דעתו, ההדגשה הוספה </w:t>
      </w:r>
      <w:r w:rsidR="00F52A45">
        <w:rPr>
          <w:rtl/>
        </w:rPr>
        <w:t>–</w:t>
      </w:r>
      <w:r w:rsidR="00F52A45">
        <w:rPr>
          <w:rFonts w:hint="cs"/>
          <w:rtl/>
        </w:rPr>
        <w:t xml:space="preserve"> י"ע).</w:t>
      </w:r>
      <w:r w:rsidR="00F52A45" w:rsidRPr="00C5309D">
        <w:rPr>
          <w:rFonts w:hint="cs"/>
          <w:rtl/>
        </w:rPr>
        <w:t xml:space="preserve"> </w:t>
      </w:r>
      <w:r w:rsidR="00F52A45">
        <w:rPr>
          <w:rFonts w:hint="cs"/>
          <w:rtl/>
        </w:rPr>
        <w:t xml:space="preserve">דומה כי הימצאותו הנמשכת-כביכול של הסרט במרחב הציבורי ואי הסרת הסרט ממרחב זה </w:t>
      </w:r>
      <w:r w:rsidR="00F52A45">
        <w:rPr>
          <w:rtl/>
        </w:rPr>
        <w:t>–</w:t>
      </w:r>
      <w:r w:rsidR="00F52A45">
        <w:rPr>
          <w:rFonts w:hint="cs"/>
          <w:rtl/>
        </w:rPr>
        <w:t xml:space="preserve"> היא אבן הראשה בחוות דעתו של חברי, ובה תולה חברי את מסקנתו כי יש לראות את הקרנות הסרט כעוולה נמשכת.</w:t>
      </w:r>
    </w:p>
    <w:p w:rsidR="00F52A45" w:rsidRDefault="00F52A45" w:rsidP="00F52A45">
      <w:pPr>
        <w:pStyle w:val="Ruller41"/>
        <w:rPr>
          <w:rtl/>
        </w:rPr>
      </w:pPr>
    </w:p>
    <w:p w:rsidR="00F52A45" w:rsidRDefault="00F52A45" w:rsidP="00F52A45">
      <w:pPr>
        <w:pStyle w:val="Ruller41"/>
        <w:rPr>
          <w:rtl/>
        </w:rPr>
      </w:pPr>
      <w:r>
        <w:rPr>
          <w:rtl/>
        </w:rPr>
        <w:tab/>
      </w:r>
      <w:r>
        <w:rPr>
          <w:rFonts w:hint="cs"/>
          <w:rtl/>
        </w:rPr>
        <w:t xml:space="preserve">על ניסיונו של חברי "למסגר" את נסיבות המקרה שלפנינו באופן המתואר לעיל, אני בכל הכבוד חולק. לטעמי, אין בסיס לסברה כי ענייננו נסב על פרסום שהועלה למרחב הציבורי ולא הוסר ממנו מאז שנת 2002. ענייננו </w:t>
      </w:r>
      <w:r w:rsidRPr="00DC0983">
        <w:rPr>
          <w:rFonts w:ascii="Century" w:hAnsi="Century" w:cs="Miriam" w:hint="cs"/>
          <w:b/>
          <w:spacing w:val="0"/>
          <w:szCs w:val="24"/>
          <w:rtl/>
        </w:rPr>
        <w:t>בארבע הקרנות</w:t>
      </w:r>
      <w:r>
        <w:rPr>
          <w:rFonts w:hint="cs"/>
          <w:rtl/>
        </w:rPr>
        <w:t xml:space="preserve"> נקודתיות, קונקרטיות, ספורדיות וחולפות. </w:t>
      </w:r>
      <w:r w:rsidRPr="007B64FF">
        <w:rPr>
          <w:rFonts w:ascii="Century" w:hAnsi="Century" w:cs="Miriam" w:hint="cs"/>
          <w:b/>
          <w:spacing w:val="0"/>
          <w:szCs w:val="24"/>
          <w:rtl/>
        </w:rPr>
        <w:t>אלו ההקרנות שבגינן הוגשה תביעת המשיב</w:t>
      </w:r>
      <w:r>
        <w:rPr>
          <w:rFonts w:hint="cs"/>
          <w:rtl/>
        </w:rPr>
        <w:t xml:space="preserve">. הקרנות אלו החלו </w:t>
      </w:r>
      <w:r w:rsidRPr="00DC0983">
        <w:rPr>
          <w:rFonts w:ascii="Century" w:hAnsi="Century" w:cs="Miriam" w:hint="cs"/>
          <w:b/>
          <w:spacing w:val="0"/>
          <w:szCs w:val="24"/>
          <w:rtl/>
        </w:rPr>
        <w:t>כשמונה שנים</w:t>
      </w:r>
      <w:r>
        <w:rPr>
          <w:rFonts w:hint="cs"/>
          <w:rtl/>
        </w:rPr>
        <w:t xml:space="preserve"> לאחר שנת 2002; הן נערכו במהלך תקופה כוללת של </w:t>
      </w:r>
      <w:r w:rsidRPr="00DC0983">
        <w:rPr>
          <w:rFonts w:ascii="Century" w:hAnsi="Century" w:cs="Miriam" w:hint="cs"/>
          <w:b/>
          <w:spacing w:val="0"/>
          <w:szCs w:val="24"/>
          <w:rtl/>
        </w:rPr>
        <w:t>כשלוש שנים</w:t>
      </w:r>
      <w:r>
        <w:rPr>
          <w:rFonts w:hint="cs"/>
          <w:rtl/>
        </w:rPr>
        <w:t xml:space="preserve"> (מחודש ינואר 2010 עד חודש דצמבר 2012); בין כל הקרנה חצץ פרק זמן ממושך בן מספר חודשים, לעתים למעלה משנה. אם נשוב לדוגמת ה</w:t>
      </w:r>
      <w:r>
        <w:rPr>
          <w:rFonts w:ascii="FrankRuehl" w:hAnsi="FrankRuehl"/>
          <w:rtl/>
        </w:rPr>
        <w:t>כּ</w:t>
      </w:r>
      <w:r>
        <w:rPr>
          <w:rFonts w:hint="cs"/>
          <w:rtl/>
        </w:rPr>
        <w:t xml:space="preserve">רזה שנתלתה בכיכר העיר, אזי המקרה שלפנינו דומה יותר למצב שבו פלוני תלה כרזה והסיר אותה; בחלוף שנים ארוכות תלה את הכרזה מחדש והסיר אותה כעבור מספר שעות; ולאחר מספר חודשים תלה אותה ושוב הסיר אותה. זאת, להבדיל ממצב "נמשך" שבו פלוני תלה כרזה במרחב הציבורי וזו נותרה תלויה במשך תקופה ארוכה (דוגמה שאינה רלוונטית לארבע ההקרנות של הסרט במקרה שלפנינו, ומשכך איני רואה להידרש לה). </w:t>
      </w:r>
      <w:r>
        <w:rPr>
          <w:rFonts w:ascii="Century" w:hAnsi="Century" w:hint="cs"/>
          <w:rtl/>
        </w:rPr>
        <w:t>לעניין זה אף איני רואה להקיש מפסקי דין ישנים שעניינם בחשיפה של עובדים לחומרים מסוכנים (פסקה 11 לפסק דינו של חברי), מאטריה מיוחדת בדיני ההתיישנות בנזיקין שמאפייניה שונים מזו שלפנינו.</w:t>
      </w:r>
    </w:p>
    <w:p w:rsidR="00F52A45" w:rsidRDefault="00F52A45" w:rsidP="00F52A45">
      <w:pPr>
        <w:pStyle w:val="Ruller41"/>
        <w:rPr>
          <w:rtl/>
        </w:rPr>
      </w:pPr>
    </w:p>
    <w:p w:rsidR="00F52A45" w:rsidRPr="00F328E8" w:rsidRDefault="00F52A45" w:rsidP="00F52A45">
      <w:pPr>
        <w:pStyle w:val="Ruller41"/>
        <w:rPr>
          <w:rtl/>
        </w:rPr>
      </w:pPr>
      <w:r>
        <w:rPr>
          <w:rtl/>
        </w:rPr>
        <w:tab/>
      </w:r>
      <w:r w:rsidRPr="00714A4B">
        <w:rPr>
          <w:rFonts w:hint="cs"/>
          <w:rtl/>
        </w:rPr>
        <w:t xml:space="preserve">כאמור, תביעתו של המשיב הוגשה בגין ארבע ההקרנות הנקודתיות </w:t>
      </w:r>
      <w:r>
        <w:rPr>
          <w:rFonts w:hint="cs"/>
          <w:rtl/>
        </w:rPr>
        <w:t>שהוזכרו</w:t>
      </w:r>
      <w:r w:rsidRPr="00714A4B">
        <w:rPr>
          <w:rFonts w:hint="cs"/>
          <w:rtl/>
        </w:rPr>
        <w:t xml:space="preserve">. הטענה </w:t>
      </w:r>
      <w:r>
        <w:rPr>
          <w:rFonts w:hint="cs"/>
          <w:rtl/>
        </w:rPr>
        <w:t xml:space="preserve">כי </w:t>
      </w:r>
      <w:r w:rsidRPr="00714A4B">
        <w:rPr>
          <w:rFonts w:hint="cs"/>
          <w:rtl/>
        </w:rPr>
        <w:t>הקרנות הסרט הן בגדר פרסום שנכח כל העת במרחב הציבורי, כלל לא נטענה על ידי המשיב.</w:t>
      </w:r>
      <w:r>
        <w:rPr>
          <w:rFonts w:hint="cs"/>
          <w:rtl/>
        </w:rPr>
        <w:t xml:space="preserve"> אוסיף, כי העובדה שלאורך השנים עותקים של הסרט היו נגישים לציבור, אין בה כשלעצמה כדי להפוך את הפרסום ל"עוולה נמשכת" מיום צאתו של הסרט לאור ועד עצם היום הזה. שאם לא כן, פירוש הדבר שכל אימת שקיים עותק של פרסום דיבתי הנגיש לציבור, מירוץ ההתיישנות לא יסתיים. טול דוגמה שבה פלוני פרסם ספר הכולל לשון הרע על אלמוני. לשיטתם של חבריי, כל עוד עותק של הספר מצוי בחנויות הספרים, יעלה הדבר כדי עוולה נמשכת של פרסום לשון הרע, שלעולם לא תתיישן, גם לא בחלוף שנים ארוכות מיום פרסום הספר לראשונה. תוצאה שכזו קשה להלום. </w:t>
      </w:r>
      <w:r w:rsidRPr="001A6224">
        <w:rPr>
          <w:rFonts w:hint="eastAsia"/>
          <w:rtl/>
        </w:rPr>
        <w:t>אף</w:t>
      </w:r>
      <w:r w:rsidRPr="001A6224">
        <w:rPr>
          <w:rtl/>
        </w:rPr>
        <w:t xml:space="preserve"> </w:t>
      </w:r>
      <w:r w:rsidRPr="001A6224">
        <w:rPr>
          <w:rFonts w:hint="eastAsia"/>
          <w:rtl/>
        </w:rPr>
        <w:t>ספק</w:t>
      </w:r>
      <w:r w:rsidRPr="001A6224">
        <w:rPr>
          <w:rtl/>
        </w:rPr>
        <w:t xml:space="preserve"> </w:t>
      </w:r>
      <w:r w:rsidRPr="001A6224">
        <w:rPr>
          <w:rFonts w:hint="eastAsia"/>
          <w:rtl/>
        </w:rPr>
        <w:t>אם</w:t>
      </w:r>
      <w:r w:rsidRPr="001A6224">
        <w:rPr>
          <w:rtl/>
        </w:rPr>
        <w:t xml:space="preserve"> </w:t>
      </w:r>
      <w:r w:rsidRPr="001A6224">
        <w:rPr>
          <w:rFonts w:hint="eastAsia"/>
          <w:rtl/>
        </w:rPr>
        <w:t>היא</w:t>
      </w:r>
      <w:r w:rsidRPr="001A6224">
        <w:rPr>
          <w:rtl/>
        </w:rPr>
        <w:t xml:space="preserve"> </w:t>
      </w:r>
      <w:r w:rsidRPr="001A6224">
        <w:rPr>
          <w:rFonts w:hint="eastAsia"/>
          <w:rtl/>
        </w:rPr>
        <w:t>עולה</w:t>
      </w:r>
      <w:r w:rsidRPr="001A6224">
        <w:rPr>
          <w:rtl/>
        </w:rPr>
        <w:t xml:space="preserve"> </w:t>
      </w:r>
      <w:r w:rsidRPr="001A6224">
        <w:rPr>
          <w:rFonts w:hint="eastAsia"/>
          <w:rtl/>
        </w:rPr>
        <w:t>בקנה</w:t>
      </w:r>
      <w:r w:rsidRPr="001A6224">
        <w:rPr>
          <w:rtl/>
        </w:rPr>
        <w:t xml:space="preserve"> </w:t>
      </w:r>
      <w:r w:rsidRPr="001A6224">
        <w:rPr>
          <w:rFonts w:hint="eastAsia"/>
          <w:rtl/>
        </w:rPr>
        <w:t>אחד</w:t>
      </w:r>
      <w:r w:rsidRPr="001A6224">
        <w:rPr>
          <w:rtl/>
        </w:rPr>
        <w:t xml:space="preserve"> </w:t>
      </w:r>
      <w:r w:rsidRPr="001A6224">
        <w:rPr>
          <w:rFonts w:hint="eastAsia"/>
          <w:rtl/>
        </w:rPr>
        <w:t>עם</w:t>
      </w:r>
      <w:r w:rsidRPr="001A6224">
        <w:rPr>
          <w:rtl/>
        </w:rPr>
        <w:t xml:space="preserve"> </w:t>
      </w:r>
      <w:r w:rsidRPr="001A6224">
        <w:rPr>
          <w:rFonts w:hint="eastAsia"/>
          <w:rtl/>
        </w:rPr>
        <w:t>המדיניות</w:t>
      </w:r>
      <w:r w:rsidRPr="001A6224">
        <w:rPr>
          <w:rtl/>
        </w:rPr>
        <w:t xml:space="preserve"> </w:t>
      </w:r>
      <w:r w:rsidRPr="001A6224">
        <w:rPr>
          <w:rFonts w:hint="eastAsia"/>
          <w:rtl/>
        </w:rPr>
        <w:t>המשפטית</w:t>
      </w:r>
      <w:r w:rsidRPr="001A6224">
        <w:rPr>
          <w:rtl/>
        </w:rPr>
        <w:t xml:space="preserve"> </w:t>
      </w:r>
      <w:r w:rsidRPr="001A6224">
        <w:rPr>
          <w:rFonts w:hint="eastAsia"/>
          <w:rtl/>
        </w:rPr>
        <w:t>הנוהגת</w:t>
      </w:r>
      <w:r w:rsidRPr="001A6224">
        <w:rPr>
          <w:rtl/>
        </w:rPr>
        <w:t xml:space="preserve">, </w:t>
      </w:r>
      <w:r w:rsidRPr="001A6224">
        <w:rPr>
          <w:rFonts w:hint="eastAsia"/>
          <w:rtl/>
        </w:rPr>
        <w:t>שלפיה</w:t>
      </w:r>
      <w:r w:rsidRPr="001A6224">
        <w:rPr>
          <w:rtl/>
        </w:rPr>
        <w:t xml:space="preserve"> </w:t>
      </w:r>
      <w:r w:rsidRPr="001A6224">
        <w:rPr>
          <w:rFonts w:hint="eastAsia"/>
          <w:rtl/>
        </w:rPr>
        <w:t>גם</w:t>
      </w:r>
      <w:r w:rsidRPr="001A6224">
        <w:rPr>
          <w:rtl/>
        </w:rPr>
        <w:t xml:space="preserve"> </w:t>
      </w:r>
      <w:r w:rsidRPr="001A6224">
        <w:rPr>
          <w:rFonts w:hint="eastAsia"/>
          <w:rtl/>
        </w:rPr>
        <w:t>כאשר</w:t>
      </w:r>
      <w:r w:rsidRPr="001A6224">
        <w:rPr>
          <w:rtl/>
        </w:rPr>
        <w:t xml:space="preserve"> </w:t>
      </w:r>
      <w:r w:rsidRPr="001A6224">
        <w:rPr>
          <w:rFonts w:hint="eastAsia"/>
          <w:rtl/>
        </w:rPr>
        <w:t>בית</w:t>
      </w:r>
      <w:r w:rsidRPr="001A6224">
        <w:rPr>
          <w:rtl/>
        </w:rPr>
        <w:t xml:space="preserve"> </w:t>
      </w:r>
      <w:r w:rsidRPr="001A6224">
        <w:rPr>
          <w:rFonts w:hint="eastAsia"/>
          <w:rtl/>
        </w:rPr>
        <w:t>המשפט</w:t>
      </w:r>
      <w:r w:rsidRPr="001A6224">
        <w:rPr>
          <w:rtl/>
        </w:rPr>
        <w:t xml:space="preserve"> </w:t>
      </w:r>
      <w:r w:rsidRPr="001A6224">
        <w:rPr>
          <w:rFonts w:hint="eastAsia"/>
          <w:rtl/>
        </w:rPr>
        <w:t>כבר</w:t>
      </w:r>
      <w:r w:rsidRPr="001A6224">
        <w:rPr>
          <w:rtl/>
        </w:rPr>
        <w:t xml:space="preserve"> </w:t>
      </w:r>
      <w:r w:rsidRPr="001A6224">
        <w:rPr>
          <w:rFonts w:hint="eastAsia"/>
          <w:rtl/>
        </w:rPr>
        <w:t>מגיע</w:t>
      </w:r>
      <w:r w:rsidRPr="001A6224">
        <w:rPr>
          <w:rtl/>
        </w:rPr>
        <w:t xml:space="preserve"> </w:t>
      </w:r>
      <w:r w:rsidRPr="001A6224">
        <w:rPr>
          <w:rFonts w:hint="eastAsia"/>
          <w:rtl/>
        </w:rPr>
        <w:t>למסקנה</w:t>
      </w:r>
      <w:r w:rsidRPr="001A6224">
        <w:rPr>
          <w:rtl/>
        </w:rPr>
        <w:t xml:space="preserve"> </w:t>
      </w:r>
      <w:r w:rsidRPr="001A6224">
        <w:rPr>
          <w:rFonts w:hint="eastAsia"/>
          <w:rtl/>
        </w:rPr>
        <w:t>כי</w:t>
      </w:r>
      <w:r w:rsidRPr="001A6224">
        <w:rPr>
          <w:rtl/>
        </w:rPr>
        <w:t xml:space="preserve"> </w:t>
      </w:r>
      <w:r w:rsidRPr="001A6224">
        <w:rPr>
          <w:rFonts w:hint="eastAsia"/>
          <w:rtl/>
        </w:rPr>
        <w:t>פרסום</w:t>
      </w:r>
      <w:r w:rsidRPr="001A6224">
        <w:rPr>
          <w:rtl/>
        </w:rPr>
        <w:t xml:space="preserve"> </w:t>
      </w:r>
      <w:r w:rsidRPr="001A6224">
        <w:rPr>
          <w:rFonts w:hint="eastAsia"/>
          <w:rtl/>
        </w:rPr>
        <w:t>כלשהו</w:t>
      </w:r>
      <w:r w:rsidRPr="001A6224">
        <w:rPr>
          <w:rtl/>
        </w:rPr>
        <w:t xml:space="preserve"> </w:t>
      </w:r>
      <w:r w:rsidRPr="001A6224">
        <w:rPr>
          <w:rFonts w:hint="eastAsia"/>
          <w:rtl/>
        </w:rPr>
        <w:t>מהווה</w:t>
      </w:r>
      <w:r w:rsidRPr="001A6224">
        <w:rPr>
          <w:rtl/>
        </w:rPr>
        <w:t xml:space="preserve"> </w:t>
      </w:r>
      <w:r w:rsidRPr="001A6224">
        <w:rPr>
          <w:rFonts w:hint="eastAsia"/>
          <w:rtl/>
        </w:rPr>
        <w:t>לשון</w:t>
      </w:r>
      <w:r w:rsidRPr="001A6224">
        <w:rPr>
          <w:rtl/>
        </w:rPr>
        <w:t xml:space="preserve"> </w:t>
      </w:r>
      <w:r w:rsidRPr="001A6224">
        <w:rPr>
          <w:rFonts w:hint="eastAsia"/>
          <w:rtl/>
        </w:rPr>
        <w:t>הרע</w:t>
      </w:r>
      <w:r w:rsidRPr="001A6224">
        <w:rPr>
          <w:rtl/>
        </w:rPr>
        <w:t xml:space="preserve">, </w:t>
      </w:r>
      <w:r w:rsidRPr="001A6224">
        <w:rPr>
          <w:rFonts w:hint="eastAsia"/>
          <w:rtl/>
        </w:rPr>
        <w:t>צו</w:t>
      </w:r>
      <w:r w:rsidRPr="001A6224">
        <w:rPr>
          <w:rtl/>
        </w:rPr>
        <w:t xml:space="preserve"> </w:t>
      </w:r>
      <w:r w:rsidRPr="001A6224">
        <w:rPr>
          <w:rFonts w:hint="eastAsia"/>
          <w:rtl/>
        </w:rPr>
        <w:t>להחרמת</w:t>
      </w:r>
      <w:r w:rsidRPr="001A6224">
        <w:rPr>
          <w:rtl/>
        </w:rPr>
        <w:t xml:space="preserve"> </w:t>
      </w:r>
      <w:r w:rsidRPr="001A6224">
        <w:rPr>
          <w:rFonts w:hint="eastAsia"/>
          <w:rtl/>
        </w:rPr>
        <w:t>עותקים</w:t>
      </w:r>
      <w:r w:rsidRPr="001A6224">
        <w:rPr>
          <w:rtl/>
        </w:rPr>
        <w:t xml:space="preserve"> </w:t>
      </w:r>
      <w:r w:rsidRPr="001A6224">
        <w:rPr>
          <w:rFonts w:hint="eastAsia"/>
          <w:rtl/>
        </w:rPr>
        <w:t>של</w:t>
      </w:r>
      <w:r w:rsidRPr="001A6224">
        <w:rPr>
          <w:rtl/>
        </w:rPr>
        <w:t xml:space="preserve"> </w:t>
      </w:r>
      <w:r w:rsidRPr="001A6224">
        <w:rPr>
          <w:rFonts w:hint="eastAsia"/>
          <w:rtl/>
        </w:rPr>
        <w:t>הפרסום</w:t>
      </w:r>
      <w:r w:rsidRPr="001A6224">
        <w:rPr>
          <w:rtl/>
        </w:rPr>
        <w:t xml:space="preserve"> </w:t>
      </w:r>
      <w:r w:rsidRPr="001A6224">
        <w:rPr>
          <w:rFonts w:hint="eastAsia"/>
          <w:rtl/>
        </w:rPr>
        <w:t>המצויים</w:t>
      </w:r>
      <w:r w:rsidRPr="001A6224">
        <w:rPr>
          <w:rtl/>
        </w:rPr>
        <w:t xml:space="preserve"> </w:t>
      </w:r>
      <w:r w:rsidRPr="001A6224">
        <w:rPr>
          <w:rFonts w:hint="eastAsia"/>
          <w:rtl/>
        </w:rPr>
        <w:t>בידי</w:t>
      </w:r>
      <w:r w:rsidRPr="001A6224">
        <w:rPr>
          <w:rtl/>
        </w:rPr>
        <w:t xml:space="preserve"> </w:t>
      </w:r>
      <w:r w:rsidRPr="001A6224">
        <w:rPr>
          <w:rFonts w:hint="eastAsia"/>
          <w:rtl/>
        </w:rPr>
        <w:t>צדדים</w:t>
      </w:r>
      <w:r w:rsidRPr="001A6224">
        <w:rPr>
          <w:rtl/>
        </w:rPr>
        <w:t xml:space="preserve"> </w:t>
      </w:r>
      <w:r w:rsidRPr="001A6224">
        <w:rPr>
          <w:rFonts w:hint="eastAsia"/>
          <w:rtl/>
        </w:rPr>
        <w:t>שלישיים</w:t>
      </w:r>
      <w:r w:rsidRPr="001A6224">
        <w:rPr>
          <w:rtl/>
        </w:rPr>
        <w:t xml:space="preserve">, </w:t>
      </w:r>
      <w:r w:rsidRPr="001A6224">
        <w:rPr>
          <w:rFonts w:hint="eastAsia"/>
          <w:rtl/>
        </w:rPr>
        <w:t>מכוח</w:t>
      </w:r>
      <w:r w:rsidRPr="001A6224">
        <w:rPr>
          <w:rtl/>
        </w:rPr>
        <w:t xml:space="preserve"> </w:t>
      </w:r>
      <w:r w:rsidRPr="001A6224">
        <w:rPr>
          <w:rFonts w:hint="eastAsia"/>
          <w:rtl/>
        </w:rPr>
        <w:t>סעיף</w:t>
      </w:r>
      <w:r w:rsidRPr="001A6224">
        <w:rPr>
          <w:rtl/>
        </w:rPr>
        <w:t xml:space="preserve"> 9(א)(1) </w:t>
      </w:r>
      <w:r w:rsidRPr="001A6224">
        <w:rPr>
          <w:rFonts w:hint="eastAsia"/>
          <w:rtl/>
        </w:rPr>
        <w:t>לחוק</w:t>
      </w:r>
      <w:r w:rsidRPr="001A6224">
        <w:rPr>
          <w:rtl/>
        </w:rPr>
        <w:t xml:space="preserve">, </w:t>
      </w:r>
      <w:r w:rsidRPr="001A6224">
        <w:rPr>
          <w:rFonts w:hint="eastAsia"/>
          <w:rtl/>
        </w:rPr>
        <w:t>יינתן</w:t>
      </w:r>
      <w:r w:rsidRPr="001A6224">
        <w:rPr>
          <w:rtl/>
        </w:rPr>
        <w:t xml:space="preserve"> </w:t>
      </w:r>
      <w:r w:rsidRPr="001A6224">
        <w:rPr>
          <w:rFonts w:hint="eastAsia"/>
          <w:rtl/>
        </w:rPr>
        <w:t>במקרים</w:t>
      </w:r>
      <w:r w:rsidRPr="001A6224">
        <w:rPr>
          <w:rtl/>
        </w:rPr>
        <w:t xml:space="preserve"> </w:t>
      </w:r>
      <w:r w:rsidRPr="001A6224">
        <w:rPr>
          <w:rFonts w:hint="eastAsia"/>
          <w:rtl/>
        </w:rPr>
        <w:t>חריגים</w:t>
      </w:r>
      <w:r w:rsidRPr="001A6224">
        <w:rPr>
          <w:rtl/>
        </w:rPr>
        <w:t xml:space="preserve"> </w:t>
      </w:r>
      <w:r w:rsidRPr="001A6224">
        <w:rPr>
          <w:rFonts w:hint="eastAsia"/>
          <w:rtl/>
        </w:rPr>
        <w:t>בלבד</w:t>
      </w:r>
      <w:r w:rsidRPr="001A6224">
        <w:rPr>
          <w:rtl/>
        </w:rPr>
        <w:t xml:space="preserve"> (</w:t>
      </w:r>
      <w:r w:rsidRPr="001A6224">
        <w:rPr>
          <w:rFonts w:ascii="Century" w:hAnsi="Century" w:cs="Miriam" w:hint="eastAsia"/>
          <w:b/>
          <w:spacing w:val="0"/>
          <w:szCs w:val="24"/>
          <w:rtl/>
        </w:rPr>
        <w:t>שנהר</w:t>
      </w:r>
      <w:r w:rsidRPr="001A6224">
        <w:rPr>
          <w:rtl/>
        </w:rPr>
        <w:t xml:space="preserve">, </w:t>
      </w:r>
      <w:r w:rsidRPr="001A6224">
        <w:rPr>
          <w:rFonts w:hint="eastAsia"/>
          <w:rtl/>
        </w:rPr>
        <w:t>עמ</w:t>
      </w:r>
      <w:r w:rsidRPr="001A6224">
        <w:rPr>
          <w:rtl/>
        </w:rPr>
        <w:t xml:space="preserve">' 358). </w:t>
      </w:r>
      <w:r w:rsidRPr="001A6224">
        <w:rPr>
          <w:rFonts w:hint="eastAsia"/>
          <w:rtl/>
        </w:rPr>
        <w:t>ואכן</w:t>
      </w:r>
      <w:r w:rsidRPr="001A6224">
        <w:rPr>
          <w:rtl/>
        </w:rPr>
        <w:t xml:space="preserve">, </w:t>
      </w:r>
      <w:r w:rsidRPr="001A6224">
        <w:rPr>
          <w:rFonts w:hint="eastAsia"/>
          <w:rtl/>
        </w:rPr>
        <w:t>חיפוש</w:t>
      </w:r>
      <w:r w:rsidRPr="001A6224">
        <w:rPr>
          <w:rtl/>
        </w:rPr>
        <w:t xml:space="preserve"> </w:t>
      </w:r>
      <w:r w:rsidRPr="001A6224">
        <w:rPr>
          <w:rFonts w:hint="eastAsia"/>
          <w:rtl/>
        </w:rPr>
        <w:t>בפסיקה</w:t>
      </w:r>
      <w:r w:rsidRPr="001A6224">
        <w:rPr>
          <w:rtl/>
        </w:rPr>
        <w:t xml:space="preserve"> </w:t>
      </w:r>
      <w:r w:rsidRPr="001A6224">
        <w:rPr>
          <w:rFonts w:hint="eastAsia"/>
          <w:rtl/>
        </w:rPr>
        <w:t>מעלה</w:t>
      </w:r>
      <w:r w:rsidRPr="001A6224">
        <w:rPr>
          <w:rtl/>
        </w:rPr>
        <w:t xml:space="preserve"> </w:t>
      </w:r>
      <w:r w:rsidRPr="001A6224">
        <w:rPr>
          <w:rFonts w:hint="eastAsia"/>
          <w:rtl/>
        </w:rPr>
        <w:t>כי</w:t>
      </w:r>
      <w:r w:rsidRPr="001A6224">
        <w:rPr>
          <w:rtl/>
        </w:rPr>
        <w:t xml:space="preserve"> </w:t>
      </w:r>
      <w:r w:rsidRPr="001A6224">
        <w:rPr>
          <w:rFonts w:hint="eastAsia"/>
          <w:rtl/>
        </w:rPr>
        <w:t>נדירים</w:t>
      </w:r>
      <w:r w:rsidRPr="001A6224">
        <w:rPr>
          <w:rtl/>
        </w:rPr>
        <w:t xml:space="preserve"> </w:t>
      </w:r>
      <w:r w:rsidRPr="001A6224">
        <w:rPr>
          <w:rFonts w:hint="eastAsia"/>
          <w:rtl/>
        </w:rPr>
        <w:t>המקרים</w:t>
      </w:r>
      <w:r w:rsidRPr="001A6224">
        <w:rPr>
          <w:rtl/>
        </w:rPr>
        <w:t xml:space="preserve"> </w:t>
      </w:r>
      <w:r w:rsidRPr="001A6224">
        <w:rPr>
          <w:rFonts w:hint="eastAsia"/>
          <w:rtl/>
        </w:rPr>
        <w:t>שבהם</w:t>
      </w:r>
      <w:r w:rsidRPr="001A6224">
        <w:rPr>
          <w:rtl/>
        </w:rPr>
        <w:t xml:space="preserve"> </w:t>
      </w:r>
      <w:r w:rsidRPr="001A6224">
        <w:rPr>
          <w:rFonts w:hint="eastAsia"/>
          <w:rtl/>
        </w:rPr>
        <w:t>בתי</w:t>
      </w:r>
      <w:r w:rsidRPr="001A6224">
        <w:rPr>
          <w:rtl/>
        </w:rPr>
        <w:t xml:space="preserve"> </w:t>
      </w:r>
      <w:r w:rsidRPr="001A6224">
        <w:rPr>
          <w:rFonts w:hint="eastAsia"/>
          <w:rtl/>
        </w:rPr>
        <w:t>המשפט</w:t>
      </w:r>
      <w:r w:rsidRPr="001A6224">
        <w:rPr>
          <w:rtl/>
        </w:rPr>
        <w:t xml:space="preserve"> </w:t>
      </w:r>
      <w:r w:rsidRPr="001A6224">
        <w:rPr>
          <w:rFonts w:hint="eastAsia"/>
          <w:rtl/>
        </w:rPr>
        <w:t>פוסקים</w:t>
      </w:r>
      <w:r w:rsidRPr="001A6224">
        <w:rPr>
          <w:rtl/>
        </w:rPr>
        <w:t xml:space="preserve"> </w:t>
      </w:r>
      <w:r w:rsidRPr="001A6224">
        <w:rPr>
          <w:rFonts w:hint="eastAsia"/>
          <w:rtl/>
        </w:rPr>
        <w:t>סעד</w:t>
      </w:r>
      <w:r w:rsidRPr="001A6224">
        <w:rPr>
          <w:rtl/>
        </w:rPr>
        <w:t xml:space="preserve"> </w:t>
      </w:r>
      <w:r w:rsidRPr="001A6224">
        <w:rPr>
          <w:rFonts w:hint="eastAsia"/>
          <w:rtl/>
        </w:rPr>
        <w:t>שכזה</w:t>
      </w:r>
      <w:r w:rsidRPr="001A6224">
        <w:rPr>
          <w:rtl/>
        </w:rPr>
        <w:t>.</w:t>
      </w:r>
    </w:p>
    <w:p w:rsidR="00F52A45" w:rsidRPr="00F328E8" w:rsidRDefault="00F52A45" w:rsidP="00F52A45">
      <w:pPr>
        <w:pStyle w:val="Ruller41"/>
        <w:rPr>
          <w:rFonts w:ascii="Century" w:hAnsi="Century"/>
          <w:rtl/>
        </w:rPr>
      </w:pPr>
    </w:p>
    <w:p w:rsidR="00F52A45" w:rsidRDefault="008A374F" w:rsidP="00F52A45">
      <w:pPr>
        <w:pStyle w:val="Ruller41"/>
        <w:rPr>
          <w:rFonts w:ascii="Century" w:hAnsi="Century"/>
          <w:rtl/>
        </w:rPr>
      </w:pPr>
      <w:r>
        <w:rPr>
          <w:rFonts w:ascii="Century" w:hAnsi="Century" w:hint="cs"/>
          <w:rtl/>
        </w:rPr>
        <w:t>97</w:t>
      </w:r>
      <w:r w:rsidR="00F52A45">
        <w:rPr>
          <w:rFonts w:ascii="Century" w:hAnsi="Century" w:hint="cs"/>
          <w:rtl/>
        </w:rPr>
        <w:t>.</w:t>
      </w:r>
      <w:r w:rsidR="00F52A45">
        <w:rPr>
          <w:rFonts w:ascii="Century" w:hAnsi="Century" w:hint="cs"/>
          <w:rtl/>
        </w:rPr>
        <w:tab/>
        <w:t>באשר לאחריות בגין העלאת הסרט לאתר יוטיוב, לא אשוב על דברים שאמרתי. אך משמצאו חבריי להתייחס לנושא הפרסום באינטרנט, אוסיף כי מדבריהם משתמע שלשיטתם, המפרסם במרחב הקיברנטי עלול להיות חשוף לתביעת לשון הרע לעולמי עד, שהרי האינטרנט "לא שוכח" ולא ניתן להסיר לחלוטין מ"המרחב הציבורי" פרסום באינטרנט (למעט במסגרת הליך מיוחד של "הודעה והסרה" או הליך שבו הנפגע יכול לפנות ולבקש הסרת הפרסום מכוח "הזכות להישכח").</w:t>
      </w:r>
    </w:p>
    <w:p w:rsidR="00F52A45" w:rsidRDefault="00F52A45" w:rsidP="00F52A45">
      <w:pPr>
        <w:pStyle w:val="Ruller41"/>
        <w:rPr>
          <w:rFonts w:ascii="Century" w:hAnsi="Century"/>
          <w:rtl/>
        </w:rPr>
      </w:pPr>
    </w:p>
    <w:p w:rsidR="00F52A45" w:rsidRDefault="00F52A45" w:rsidP="00F52A45">
      <w:pPr>
        <w:pStyle w:val="Ruller41"/>
        <w:rPr>
          <w:rFonts w:ascii="Century" w:hAnsi="Century"/>
          <w:rtl/>
        </w:rPr>
      </w:pPr>
      <w:r>
        <w:rPr>
          <w:rFonts w:ascii="Century" w:hAnsi="Century"/>
          <w:rtl/>
        </w:rPr>
        <w:tab/>
      </w:r>
      <w:r>
        <w:rPr>
          <w:rFonts w:ascii="Century" w:hAnsi="Century" w:hint="cs"/>
          <w:rtl/>
        </w:rPr>
        <w:t xml:space="preserve">על כך יש להוסיף, כי גישתם של חבריי בשאלת אחריותו של המערער לפרסום ביוטיוב עלולה להוביל לכך </w:t>
      </w:r>
      <w:r w:rsidRPr="00FD5001">
        <w:rPr>
          <w:rFonts w:ascii="Century" w:hAnsi="Century" w:cs="Miriam" w:hint="cs"/>
          <w:b/>
          <w:spacing w:val="0"/>
          <w:szCs w:val="24"/>
          <w:rtl/>
        </w:rPr>
        <w:t>שפלוני</w:t>
      </w:r>
      <w:r>
        <w:rPr>
          <w:rFonts w:ascii="Century" w:hAnsi="Century" w:hint="cs"/>
          <w:rtl/>
        </w:rPr>
        <w:t xml:space="preserve"> שפרסם לשון הרע, ישא באחריות בגין פרסום חוזר עתידי שיבצע </w:t>
      </w:r>
      <w:r w:rsidRPr="00FD5001">
        <w:rPr>
          <w:rFonts w:ascii="Century" w:hAnsi="Century" w:cs="Miriam" w:hint="cs"/>
          <w:b/>
          <w:spacing w:val="0"/>
          <w:szCs w:val="24"/>
          <w:rtl/>
        </w:rPr>
        <w:t>אלמוני</w:t>
      </w:r>
      <w:r>
        <w:rPr>
          <w:rFonts w:ascii="Century" w:hAnsi="Century" w:hint="cs"/>
          <w:rtl/>
        </w:rPr>
        <w:t>, גם בחלוף שנים ארוכות ממועד הפרסום המקורי. מדברי חבריי אף משתמע כי מוטלת על המפרסם המקורי חובה אקטיבית לפנות למפרסם המאוחר ולדרוש את הסרת הפרסום, שאם לא כן הוא עלול לשאת באחריות בגין הפרסום המאוחר. לטעמי יש בכך כדי לעורר קושי, ולא מצאתי בדברי חבריי תשובה לשאלה אימתי תתיישן תביעה שכזו נגד המפרסם המקורי, אם בכלל.</w:t>
      </w:r>
    </w:p>
    <w:p w:rsidR="00F52A45" w:rsidRDefault="00F52A45" w:rsidP="00F52A45">
      <w:pPr>
        <w:pStyle w:val="Ruller41"/>
        <w:rPr>
          <w:rFonts w:ascii="Century" w:hAnsi="Century"/>
          <w:rtl/>
        </w:rPr>
      </w:pPr>
    </w:p>
    <w:p w:rsidR="00F52A45" w:rsidRDefault="008A374F" w:rsidP="00F52A45">
      <w:pPr>
        <w:pStyle w:val="Ruller41"/>
        <w:rPr>
          <w:rFonts w:ascii="Century" w:hAnsi="Century"/>
          <w:rtl/>
        </w:rPr>
      </w:pPr>
      <w:r>
        <w:rPr>
          <w:rFonts w:ascii="Century" w:hAnsi="Century" w:hint="cs"/>
          <w:rtl/>
        </w:rPr>
        <w:t>98</w:t>
      </w:r>
      <w:r w:rsidR="00F52A45">
        <w:rPr>
          <w:rFonts w:ascii="Century" w:hAnsi="Century" w:hint="cs"/>
          <w:rtl/>
        </w:rPr>
        <w:t>.</w:t>
      </w:r>
      <w:r w:rsidR="00F52A45">
        <w:rPr>
          <w:rFonts w:ascii="Century" w:hAnsi="Century" w:hint="cs"/>
          <w:rtl/>
        </w:rPr>
        <w:tab/>
        <w:t xml:space="preserve">לעניין סעיף 8 לחוק ההתיישנות: ניתן להבין ללבו של המשיב שבחר שלא לצפות בסרט במשך שנים, ואיש אינו בא אליו בטרוניא על כך. אך בחירתו המודעת להימנע מצפייה בסרט במשך שנים ארוכות, היא בעלת השלכות בהיבט של דיני ההתיישנות. בכך לא שונה דינו של המשיב מדינו של כל ניזוק אחר. כפי שנפגעי עבירה, נפגעי פעולות איבה וכל הניזוקים באשר הם נדרשים לנקוט הליכים בתוך תקופת ההתיישנות כדי לזכות בסעד, כך דינם של ניזוקים שנפגעו כתוצאה מפרסום לשון הרע, ובכללם המשיב. המקרה שלפנינו הוא מקרה מובהק של אי תחולת הרכיב האובייקטיבי של סעיף 8 לחוק ההתיישנות </w:t>
      </w:r>
      <w:r w:rsidR="00F52A45">
        <w:rPr>
          <w:rFonts w:ascii="Century" w:hAnsi="Century"/>
          <w:rtl/>
        </w:rPr>
        <w:t>–</w:t>
      </w:r>
      <w:r w:rsidR="00F52A45">
        <w:rPr>
          <w:rFonts w:ascii="Century" w:hAnsi="Century" w:hint="cs"/>
          <w:rtl/>
        </w:rPr>
        <w:t xml:space="preserve"> </w:t>
      </w:r>
      <w:r w:rsidR="00F52A45">
        <w:rPr>
          <w:rFonts w:hint="cs"/>
          <w:rtl/>
        </w:rPr>
        <w:t xml:space="preserve">המשיב השתתף בקרבות בג'נין; הוא איבד שם את חבריו לקרב; חבריו ידעו שהוא לחם לצידם בג'נין </w:t>
      </w:r>
      <w:r w:rsidR="00F52A45">
        <w:rPr>
          <w:rFonts w:ascii="Century" w:hAnsi="Century" w:hint="cs"/>
          <w:rtl/>
        </w:rPr>
        <w:t xml:space="preserve">במהלך מבצע "חומת מגן", והוא עצמו ידע על חבריו שלחמו עמו; חבריו </w:t>
      </w:r>
      <w:r w:rsidR="00F52A45">
        <w:rPr>
          <w:rFonts w:hint="cs"/>
          <w:rtl/>
        </w:rPr>
        <w:t xml:space="preserve">של המשיב ידעו שהוא מופיע בחטף בסרט, שהרי עו"ד כספי אף ביקש לצרפו בשעתו לעתירה (גם אם, לטענתו, ללא ידיעתו); סיפורו של הסרט ג'נין-ג'נין תפס את הכותרות פעמים רבות בגלל המאבק שניהלו חבריו של המשיב; והמשיב היה מודע להליכים המשפטיים שהתנהלו לגבי הסרט. במצב דברים זה, לא ניתן לומר כי במשך כל אותן שנים למשיב לא היתה ידיעה </w:t>
      </w:r>
      <w:r w:rsidR="00F52A45" w:rsidRPr="001A6224">
        <w:rPr>
          <w:rFonts w:ascii="Century" w:hAnsi="Century" w:cs="Miriam" w:hint="eastAsia"/>
          <w:b/>
          <w:spacing w:val="0"/>
          <w:szCs w:val="24"/>
          <w:rtl/>
        </w:rPr>
        <w:t>בכוח</w:t>
      </w:r>
      <w:r w:rsidR="00F52A45" w:rsidRPr="009E0A1D">
        <w:rPr>
          <w:rFonts w:hint="cs"/>
          <w:rtl/>
        </w:rPr>
        <w:t xml:space="preserve"> או </w:t>
      </w:r>
      <w:r w:rsidR="00F52A45" w:rsidRPr="004107AA">
        <w:rPr>
          <w:rFonts w:ascii="Century" w:hAnsi="Century" w:hint="eastAsia"/>
          <w:rtl/>
        </w:rPr>
        <w:t>בפועל</w:t>
      </w:r>
      <w:r w:rsidR="00F52A45" w:rsidRPr="004107AA">
        <w:rPr>
          <w:rFonts w:ascii="Century" w:hAnsi="Century" w:hint="cs"/>
          <w:rtl/>
        </w:rPr>
        <w:t xml:space="preserve"> </w:t>
      </w:r>
      <w:r w:rsidR="00F52A45" w:rsidRPr="00580A00">
        <w:rPr>
          <w:rFonts w:ascii="Century" w:hAnsi="Century" w:hint="cs"/>
          <w:rtl/>
        </w:rPr>
        <w:t xml:space="preserve">ברמה של </w:t>
      </w:r>
      <w:r w:rsidR="00F52A45">
        <w:rPr>
          <w:rFonts w:ascii="Century" w:hAnsi="Century" w:hint="cs"/>
          <w:rtl/>
        </w:rPr>
        <w:t>"</w:t>
      </w:r>
      <w:r w:rsidR="00F52A45" w:rsidRPr="001A6224">
        <w:rPr>
          <w:rFonts w:ascii="Century" w:hAnsi="Century" w:cs="Miriam" w:hint="eastAsia"/>
          <w:b/>
          <w:spacing w:val="0"/>
          <w:szCs w:val="24"/>
          <w:rtl/>
        </w:rPr>
        <w:t>קצה</w:t>
      </w:r>
      <w:r w:rsidR="00F52A45" w:rsidRPr="001A6224">
        <w:rPr>
          <w:rFonts w:ascii="Century" w:hAnsi="Century" w:cs="Miriam"/>
          <w:b/>
          <w:spacing w:val="0"/>
          <w:szCs w:val="24"/>
          <w:rtl/>
        </w:rPr>
        <w:t xml:space="preserve"> </w:t>
      </w:r>
      <w:r w:rsidR="00F52A45" w:rsidRPr="001A6224">
        <w:rPr>
          <w:rFonts w:ascii="Century" w:hAnsi="Century" w:cs="Miriam" w:hint="eastAsia"/>
          <w:b/>
          <w:spacing w:val="0"/>
          <w:szCs w:val="24"/>
          <w:rtl/>
        </w:rPr>
        <w:t>חוט</w:t>
      </w:r>
      <w:r w:rsidR="00F52A45" w:rsidRPr="00580A00">
        <w:rPr>
          <w:rFonts w:ascii="Century" w:hAnsi="Century" w:hint="cs"/>
          <w:rtl/>
        </w:rPr>
        <w:t xml:space="preserve">" </w:t>
      </w:r>
      <w:r w:rsidR="00F52A45">
        <w:rPr>
          <w:rFonts w:ascii="Century" w:hAnsi="Century" w:hint="cs"/>
          <w:rtl/>
        </w:rPr>
        <w:t xml:space="preserve">שמא אף הוא מופיע בסרט.  </w:t>
      </w:r>
    </w:p>
    <w:p w:rsidR="00F52A45" w:rsidRDefault="00F52A45" w:rsidP="00F52A45">
      <w:pPr>
        <w:pStyle w:val="Ruller41"/>
        <w:rPr>
          <w:rFonts w:ascii="Century" w:hAnsi="Century"/>
          <w:rtl/>
        </w:rPr>
      </w:pPr>
    </w:p>
    <w:p w:rsidR="00F52A45" w:rsidRDefault="008A374F" w:rsidP="00F52A45">
      <w:pPr>
        <w:pStyle w:val="Ruller41"/>
        <w:rPr>
          <w:rFonts w:ascii="Century" w:hAnsi="Century"/>
          <w:rtl/>
        </w:rPr>
      </w:pPr>
      <w:r>
        <w:rPr>
          <w:rFonts w:ascii="Century" w:hAnsi="Century" w:hint="cs"/>
          <w:rtl/>
        </w:rPr>
        <w:t>99</w:t>
      </w:r>
      <w:r w:rsidR="00F52A45">
        <w:rPr>
          <w:rFonts w:ascii="Century" w:hAnsi="Century" w:hint="cs"/>
          <w:rtl/>
        </w:rPr>
        <w:t>.</w:t>
      </w:r>
      <w:r w:rsidR="00F52A45">
        <w:rPr>
          <w:rFonts w:ascii="Century" w:hAnsi="Century" w:hint="cs"/>
          <w:rtl/>
        </w:rPr>
        <w:tab/>
        <w:t xml:space="preserve">לבסוף, מספר הערות באשר להיקפו של צו המניעה: </w:t>
      </w:r>
    </w:p>
    <w:p w:rsidR="00F52A45" w:rsidRDefault="00F52A45" w:rsidP="00F52A45">
      <w:pPr>
        <w:pStyle w:val="Ruller41"/>
        <w:rPr>
          <w:rFonts w:ascii="Century" w:hAnsi="Century"/>
          <w:rtl/>
        </w:rPr>
      </w:pPr>
    </w:p>
    <w:p w:rsidR="00F52A45" w:rsidRDefault="00F52A45" w:rsidP="00F52A45">
      <w:pPr>
        <w:pStyle w:val="Ruller41"/>
        <w:rPr>
          <w:rFonts w:ascii="Century" w:hAnsi="Century"/>
          <w:rtl/>
        </w:rPr>
      </w:pPr>
      <w:r>
        <w:rPr>
          <w:rFonts w:ascii="Century" w:hAnsi="Century"/>
          <w:rtl/>
        </w:rPr>
        <w:tab/>
      </w:r>
      <w:r>
        <w:rPr>
          <w:rFonts w:ascii="Century" w:hAnsi="Century" w:hint="cs"/>
          <w:rtl/>
        </w:rPr>
        <w:t xml:space="preserve">ראשית, אחזור ואזכיר כי מתוך הסרט שאורכו למעלה </w:t>
      </w:r>
      <w:r w:rsidRPr="00C866CD">
        <w:rPr>
          <w:rFonts w:ascii="Century" w:hAnsi="Century" w:cs="Miriam" w:hint="cs"/>
          <w:b/>
          <w:spacing w:val="0"/>
          <w:szCs w:val="24"/>
          <w:rtl/>
        </w:rPr>
        <w:t>מ-50 דקות</w:t>
      </w:r>
      <w:r>
        <w:rPr>
          <w:rFonts w:ascii="Century" w:hAnsi="Century" w:hint="cs"/>
          <w:rtl/>
        </w:rPr>
        <w:t xml:space="preserve">, ענייננו של המשיב מסתכם בקטע של </w:t>
      </w:r>
      <w:r w:rsidRPr="00C866CD">
        <w:rPr>
          <w:rFonts w:ascii="Century" w:hAnsi="Century" w:cs="Miriam" w:hint="cs"/>
          <w:b/>
          <w:spacing w:val="0"/>
          <w:szCs w:val="24"/>
          <w:rtl/>
        </w:rPr>
        <w:t>4 שניות</w:t>
      </w:r>
      <w:r>
        <w:rPr>
          <w:rFonts w:ascii="Century" w:hAnsi="Century" w:hint="cs"/>
          <w:rtl/>
        </w:rPr>
        <w:t xml:space="preserve">, שבמהלכן הוא נראה מהלך עם שני קצינים אחרים. כאמור, הייתי נכון להגיע למסקנה כי אין מדובר בצילומי אילוסטרציה אלא בלשון הרע. על כך נסבה תביעתו של המשיב, ומטבע הדברים, התרופה לכך היא הסרת הקטע הפוגעני. ידועה האמרה </w:t>
      </w:r>
      <w:r w:rsidRPr="001A6224">
        <w:rPr>
          <w:rFonts w:asciiTheme="majorBidi" w:hAnsiTheme="majorBidi" w:cstheme="majorBidi"/>
          <w:sz w:val="23"/>
          <w:szCs w:val="23"/>
        </w:rPr>
        <w:t>"Hard case</w:t>
      </w:r>
      <w:r>
        <w:rPr>
          <w:rFonts w:asciiTheme="majorBidi" w:hAnsiTheme="majorBidi" w:cstheme="majorBidi"/>
          <w:sz w:val="23"/>
          <w:szCs w:val="23"/>
        </w:rPr>
        <w:t>s</w:t>
      </w:r>
      <w:r w:rsidRPr="001A6224">
        <w:rPr>
          <w:rFonts w:asciiTheme="majorBidi" w:hAnsiTheme="majorBidi" w:cstheme="majorBidi"/>
          <w:sz w:val="23"/>
          <w:szCs w:val="23"/>
        </w:rPr>
        <w:t xml:space="preserve"> make bad law"</w:t>
      </w:r>
      <w:r>
        <w:rPr>
          <w:rFonts w:hint="cs"/>
          <w:rtl/>
        </w:rPr>
        <w:t xml:space="preserve">, </w:t>
      </w:r>
      <w:r>
        <w:rPr>
          <w:rFonts w:ascii="Century" w:hAnsi="Century" w:hint="cs"/>
          <w:rtl/>
        </w:rPr>
        <w:t xml:space="preserve">ודומני כי לתוצאה שאליה הגיעו חבריי עלולה להיות השלכה למקרים אחרים. כפי שציינתי, קשה להלום מצב לפיו ראובן שהגיש תביעת לשון הרע הנסבה על מספר שורות בספר, יזכה לצו מניעה האוסר פרסום של הספר כולו. </w:t>
      </w:r>
    </w:p>
    <w:p w:rsidR="00F52A45" w:rsidRDefault="00F52A45" w:rsidP="00F52A45">
      <w:pPr>
        <w:pStyle w:val="Ruller41"/>
        <w:rPr>
          <w:rFonts w:ascii="Century" w:hAnsi="Century"/>
          <w:rtl/>
        </w:rPr>
      </w:pPr>
      <w:r>
        <w:rPr>
          <w:rFonts w:ascii="Century" w:hAnsi="Century"/>
          <w:rtl/>
        </w:rPr>
        <w:tab/>
      </w:r>
    </w:p>
    <w:p w:rsidR="00F52A45" w:rsidRDefault="00F52A45" w:rsidP="00F52A45">
      <w:pPr>
        <w:pStyle w:val="Ruller41"/>
        <w:rPr>
          <w:rFonts w:ascii="Century" w:hAnsi="Century"/>
          <w:rtl/>
        </w:rPr>
      </w:pPr>
      <w:r>
        <w:rPr>
          <w:rFonts w:ascii="Century" w:hAnsi="Century"/>
          <w:rtl/>
        </w:rPr>
        <w:tab/>
      </w:r>
      <w:r>
        <w:rPr>
          <w:rFonts w:ascii="Century" w:hAnsi="Century" w:hint="cs"/>
          <w:rtl/>
        </w:rPr>
        <w:t xml:space="preserve">שנית, בשונה מרכיב </w:t>
      </w:r>
      <w:r w:rsidRPr="00E71BD8">
        <w:rPr>
          <w:rFonts w:ascii="Century" w:hAnsi="Century" w:cs="Miriam" w:hint="cs"/>
          <w:b/>
          <w:spacing w:val="0"/>
          <w:szCs w:val="24"/>
          <w:rtl/>
        </w:rPr>
        <w:t>הפיצוי</w:t>
      </w:r>
      <w:r w:rsidRPr="00E71BD8">
        <w:rPr>
          <w:rFonts w:ascii="Century" w:hAnsi="Century" w:hint="cs"/>
          <w:rtl/>
        </w:rPr>
        <w:t xml:space="preserve"> </w:t>
      </w:r>
      <w:r>
        <w:rPr>
          <w:rFonts w:ascii="Century" w:hAnsi="Century" w:hint="cs"/>
          <w:rtl/>
        </w:rPr>
        <w:t xml:space="preserve">בגין פרסום לשון הרע, "לעניין הסעד של </w:t>
      </w:r>
      <w:r w:rsidRPr="00E71BD8">
        <w:rPr>
          <w:rFonts w:ascii="Century" w:hAnsi="Century" w:cs="Miriam" w:hint="cs"/>
          <w:b/>
          <w:spacing w:val="0"/>
          <w:szCs w:val="24"/>
          <w:rtl/>
        </w:rPr>
        <w:t>צו מניעה</w:t>
      </w:r>
      <w:r>
        <w:rPr>
          <w:rFonts w:ascii="Century" w:hAnsi="Century" w:hint="cs"/>
          <w:rtl/>
        </w:rPr>
        <w:t xml:space="preserve"> אין חשיבות לאשמתו החברתית או המוסרית של העושה, שכן צו מניעה הוא סעד למניעת פגיעה בזכות, ולא סעד של מתן פיצוי או הטלת סנקציה על מעשה שכבר נעשה" (</w:t>
      </w:r>
      <w:r w:rsidRPr="00F572DF">
        <w:rPr>
          <w:rFonts w:ascii="Century" w:hAnsi="Century" w:cs="Miriam" w:hint="cs"/>
          <w:b/>
          <w:spacing w:val="0"/>
          <w:szCs w:val="24"/>
          <w:rtl/>
        </w:rPr>
        <w:t xml:space="preserve">גנאים, קרמניצר ושנור </w:t>
      </w:r>
      <w:r>
        <w:rPr>
          <w:rFonts w:ascii="Century" w:hAnsi="Century" w:hint="cs"/>
          <w:rtl/>
        </w:rPr>
        <w:t xml:space="preserve">בעמ' 419, ההדגשה הוספה </w:t>
      </w:r>
      <w:r>
        <w:rPr>
          <w:rFonts w:ascii="Century" w:hAnsi="Century"/>
          <w:rtl/>
        </w:rPr>
        <w:t>–</w:t>
      </w:r>
      <w:r>
        <w:rPr>
          <w:rFonts w:ascii="Century" w:hAnsi="Century" w:hint="cs"/>
          <w:rtl/>
        </w:rPr>
        <w:t xml:space="preserve"> י"ע). באספקלריה זו, מסופקני אם יש יסוד לעמדתו של חברי, השופט </w:t>
      </w:r>
      <w:r w:rsidRPr="00E71BD8">
        <w:rPr>
          <w:rFonts w:ascii="Century" w:hAnsi="Century" w:cs="Miriam" w:hint="cs"/>
          <w:b/>
          <w:spacing w:val="0"/>
          <w:szCs w:val="24"/>
          <w:rtl/>
        </w:rPr>
        <w:t>שטיין</w:t>
      </w:r>
      <w:r>
        <w:rPr>
          <w:rFonts w:ascii="Century" w:hAnsi="Century" w:hint="cs"/>
          <w:rtl/>
        </w:rPr>
        <w:t xml:space="preserve">, כי אלמלא צו המניעה הגורף שהוציא בית המשפט המחוזי תחת ידו, היה מקום לפסוק למשיב פיצוי בשיעור גבוה יותר מכפי שנפסק לזכותו. </w:t>
      </w:r>
    </w:p>
    <w:p w:rsidR="00F52A45" w:rsidRDefault="00F52A45" w:rsidP="00F52A45">
      <w:pPr>
        <w:pStyle w:val="Ruller41"/>
        <w:rPr>
          <w:rFonts w:ascii="Century" w:hAnsi="Century"/>
          <w:rtl/>
        </w:rPr>
      </w:pPr>
    </w:p>
    <w:p w:rsidR="00F52A45" w:rsidRDefault="00F52A45" w:rsidP="00F52A45">
      <w:pPr>
        <w:pStyle w:val="Ruller41"/>
        <w:rPr>
          <w:rFonts w:ascii="Century" w:hAnsi="Century"/>
          <w:rtl/>
        </w:rPr>
      </w:pPr>
      <w:r>
        <w:rPr>
          <w:rFonts w:ascii="Century" w:hAnsi="Century"/>
          <w:rtl/>
        </w:rPr>
        <w:tab/>
      </w:r>
      <w:r>
        <w:rPr>
          <w:rFonts w:ascii="Century" w:hAnsi="Century" w:hint="cs"/>
          <w:rtl/>
        </w:rPr>
        <w:t xml:space="preserve">לבסוף, לא אכחד כי בדומה לחברי השופט </w:t>
      </w:r>
      <w:r w:rsidRPr="00A75A7D">
        <w:rPr>
          <w:rFonts w:ascii="Century" w:hAnsi="Century" w:cs="Miriam" w:hint="cs"/>
          <w:b/>
          <w:spacing w:val="0"/>
          <w:szCs w:val="24"/>
          <w:rtl/>
        </w:rPr>
        <w:t>מינץ</w:t>
      </w:r>
      <w:r>
        <w:rPr>
          <w:rFonts w:ascii="Century" w:hAnsi="Century" w:hint="cs"/>
          <w:rtl/>
        </w:rPr>
        <w:t xml:space="preserve">, אף אני מסופק לגבי מידת האפקטיביות של צו המניעה, בפרט לנוכח העובדה שהסרט יוסיף להיות נגיש באתר יוטיוב (על כך כאמור לא הוגש ערעור מטעם המשיב; וראו לעניין זה תמר גדרון ואורי וולובלסקי "עוד על 'ג'נין ג'נין' </w:t>
      </w:r>
      <w:r>
        <w:rPr>
          <w:rFonts w:ascii="Century" w:hAnsi="Century"/>
          <w:rtl/>
        </w:rPr>
        <w:t>–</w:t>
      </w:r>
      <w:r>
        <w:rPr>
          <w:rFonts w:ascii="Century" w:hAnsi="Century" w:hint="cs"/>
          <w:rtl/>
        </w:rPr>
        <w:t xml:space="preserve"> הערה בעקבות פסיקת בית המשפט המחוזי בסיבוב השני בעניין מגנאג'י נ' בכרי" </w:t>
      </w:r>
      <w:r w:rsidRPr="001A6224">
        <w:rPr>
          <w:rFonts w:ascii="Century" w:hAnsi="Century" w:cs="Miriam" w:hint="eastAsia"/>
          <w:b/>
          <w:spacing w:val="0"/>
          <w:szCs w:val="24"/>
          <w:rtl/>
        </w:rPr>
        <w:t>המשפט</w:t>
      </w:r>
      <w:r>
        <w:rPr>
          <w:rFonts w:ascii="Century" w:hAnsi="Century" w:hint="cs"/>
          <w:rtl/>
        </w:rPr>
        <w:t xml:space="preserve"> כח (עתיד להתפרסם), שם סבורים המחברים כי חוסר האפקטיביות של צו המניעה במקרה דנן צריך היה להוביל לוויתור על סעד הציווי). ואולם, משעה שמידת האפקטיביות של צווי המניעה, בהיקפם השונה, מוטלת בספק, דומני כי על בית המשפט להסתפק בסעד המתון מבין השניים.</w:t>
      </w:r>
    </w:p>
    <w:p w:rsidR="0076128E" w:rsidRDefault="0076128E" w:rsidP="0076128E">
      <w:pPr>
        <w:pStyle w:val="Ruller41"/>
        <w:rPr>
          <w:rtl/>
        </w:rPr>
      </w:pPr>
    </w:p>
    <w:p w:rsidR="005E61F9" w:rsidRDefault="005E61F9" w:rsidP="0076128E">
      <w:pPr>
        <w:pStyle w:val="Ruller41"/>
        <w:rPr>
          <w:rtl/>
        </w:rPr>
      </w:pPr>
    </w:p>
    <w:tbl>
      <w:tblPr>
        <w:bidiVisual/>
        <w:tblW w:w="0" w:type="auto"/>
        <w:tblLook w:val="01E0" w:firstRow="1" w:lastRow="1" w:firstColumn="1" w:lastColumn="1" w:noHBand="0" w:noVBand="0"/>
      </w:tblPr>
      <w:tblGrid>
        <w:gridCol w:w="2769"/>
        <w:gridCol w:w="2769"/>
        <w:gridCol w:w="2774"/>
      </w:tblGrid>
      <w:tr w:rsidR="00B347E6" w:rsidRPr="004776CB" w:rsidTr="00FD7407">
        <w:tc>
          <w:tcPr>
            <w:tcW w:w="2842" w:type="dxa"/>
            <w:shd w:val="clear" w:color="auto" w:fill="auto"/>
          </w:tcPr>
          <w:p w:rsidR="00B347E6" w:rsidRPr="004776CB" w:rsidRDefault="00B347E6" w:rsidP="00FD7407">
            <w:pPr>
              <w:pStyle w:val="Ruller41"/>
              <w:rPr>
                <w:rtl/>
              </w:rPr>
            </w:pPr>
          </w:p>
        </w:tc>
        <w:tc>
          <w:tcPr>
            <w:tcW w:w="2843" w:type="dxa"/>
            <w:shd w:val="clear" w:color="auto" w:fill="auto"/>
          </w:tcPr>
          <w:p w:rsidR="00B347E6" w:rsidRPr="004776CB" w:rsidRDefault="00B347E6" w:rsidP="00FD7407">
            <w:pPr>
              <w:pStyle w:val="Ruller41"/>
              <w:rPr>
                <w:rtl/>
              </w:rPr>
            </w:pPr>
          </w:p>
        </w:tc>
        <w:tc>
          <w:tcPr>
            <w:tcW w:w="2843" w:type="dxa"/>
            <w:shd w:val="clear" w:color="auto" w:fill="auto"/>
          </w:tcPr>
          <w:p w:rsidR="00B347E6" w:rsidRPr="004776CB" w:rsidRDefault="00B347E6" w:rsidP="004B4200">
            <w:pPr>
              <w:pStyle w:val="Ruller41"/>
              <w:jc w:val="center"/>
              <w:rPr>
                <w:rtl/>
              </w:rPr>
            </w:pPr>
            <w:r w:rsidRPr="004776CB">
              <w:rPr>
                <w:rtl/>
              </w:rPr>
              <w:t>ש ו פ ט</w:t>
            </w:r>
          </w:p>
        </w:tc>
      </w:tr>
    </w:tbl>
    <w:p w:rsidR="00493D1F" w:rsidRDefault="00493D1F" w:rsidP="00FD7407">
      <w:pPr>
        <w:tabs>
          <w:tab w:val="left" w:pos="800"/>
        </w:tabs>
        <w:jc w:val="both"/>
        <w:rPr>
          <w:rFonts w:cs="Miriam"/>
          <w:u w:val="single"/>
          <w:rtl/>
        </w:rPr>
      </w:pPr>
    </w:p>
    <w:p w:rsidR="008B3136" w:rsidRDefault="008B3136" w:rsidP="00FD7407">
      <w:pPr>
        <w:tabs>
          <w:tab w:val="left" w:pos="800"/>
        </w:tabs>
        <w:jc w:val="both"/>
        <w:rPr>
          <w:rFonts w:cs="Miriam"/>
          <w:u w:val="single"/>
          <w:rtl/>
        </w:rPr>
      </w:pPr>
    </w:p>
    <w:p w:rsidR="008B3136" w:rsidRDefault="008B3136" w:rsidP="008B3136">
      <w:pPr>
        <w:tabs>
          <w:tab w:val="left" w:pos="800"/>
        </w:tabs>
        <w:jc w:val="both"/>
        <w:rPr>
          <w:rFonts w:cs="Miriam"/>
          <w:rtl/>
        </w:rPr>
      </w:pPr>
      <w:r w:rsidRPr="004776CB">
        <w:rPr>
          <w:rFonts w:cs="Miriam" w:hint="cs"/>
          <w:u w:val="single"/>
          <w:rtl/>
        </w:rPr>
        <w:t>השופט</w:t>
      </w:r>
      <w:r>
        <w:rPr>
          <w:rFonts w:cs="Miriam" w:hint="cs"/>
          <w:u w:val="single"/>
          <w:rtl/>
        </w:rPr>
        <w:t xml:space="preserve"> א' שטיין</w:t>
      </w:r>
      <w:r w:rsidRPr="004776CB">
        <w:rPr>
          <w:rFonts w:cs="Miriam" w:hint="cs"/>
          <w:rtl/>
        </w:rPr>
        <w:t>:</w:t>
      </w:r>
    </w:p>
    <w:p w:rsidR="008B3136" w:rsidRDefault="008B3136" w:rsidP="008B3136">
      <w:pPr>
        <w:pStyle w:val="Ruller41"/>
        <w:rPr>
          <w:rtl/>
        </w:rPr>
      </w:pPr>
    </w:p>
    <w:p w:rsidR="008B3136" w:rsidRDefault="008B3136" w:rsidP="008B3136">
      <w:pPr>
        <w:pStyle w:val="Ruller4"/>
      </w:pPr>
      <w:r>
        <w:rPr>
          <w:rFonts w:hint="cs"/>
          <w:rtl/>
        </w:rPr>
        <w:t xml:space="preserve">דעתי היא כי בכפוף לשינוי בהנמקה לדחייתה של טענת ההתיישנות, כמפורט להלן, פסק הדין קמא עומד על יסודות איתנים. מסיבה זו, ובשונה מחברי, השופט </w:t>
      </w:r>
      <w:r w:rsidRPr="00000815">
        <w:rPr>
          <w:rFonts w:ascii="Century" w:hAnsi="Century" w:cs="Miriam" w:hint="cs"/>
          <w:b/>
          <w:spacing w:val="0"/>
          <w:sz w:val="22"/>
          <w:szCs w:val="24"/>
          <w:rtl/>
        </w:rPr>
        <w:t>י' עמית</w:t>
      </w:r>
      <w:r>
        <w:rPr>
          <w:rFonts w:hint="cs"/>
          <w:rtl/>
        </w:rPr>
        <w:t xml:space="preserve">, סבורני כי עלינו לדחות את הערעור שלפנינו בכללותו ולהשאיר את התוצאה אליה הגיע בית משפט קמא על כנה. </w:t>
      </w:r>
    </w:p>
    <w:p w:rsidR="008B3136" w:rsidRDefault="008B3136" w:rsidP="008B3136">
      <w:pPr>
        <w:pStyle w:val="Ruller4"/>
        <w:numPr>
          <w:ilvl w:val="0"/>
          <w:numId w:val="0"/>
        </w:numPr>
      </w:pPr>
    </w:p>
    <w:p w:rsidR="008B3136" w:rsidRDefault="008B3136" w:rsidP="008B3136">
      <w:pPr>
        <w:pStyle w:val="Ruller4"/>
        <w:rPr>
          <w:rtl/>
        </w:rPr>
      </w:pPr>
      <w:r>
        <w:rPr>
          <w:rFonts w:hint="cs"/>
          <w:rtl/>
        </w:rPr>
        <w:t>להלן תמצית עמדתי:</w:t>
      </w:r>
    </w:p>
    <w:p w:rsidR="008B3136" w:rsidRDefault="008B3136" w:rsidP="008B3136">
      <w:pPr>
        <w:pStyle w:val="Ruller41"/>
        <w:rPr>
          <w:rtl/>
        </w:rPr>
      </w:pPr>
    </w:p>
    <w:p w:rsidR="008B3136" w:rsidRDefault="008B3136" w:rsidP="008B3136">
      <w:pPr>
        <w:pStyle w:val="Ruller41"/>
        <w:numPr>
          <w:ilvl w:val="0"/>
          <w:numId w:val="26"/>
        </w:numPr>
      </w:pPr>
      <w:r>
        <w:rPr>
          <w:rFonts w:hint="cs"/>
          <w:rtl/>
        </w:rPr>
        <w:t xml:space="preserve">המערער יצר סרט כזבים שהוציא דיבתו של המשיב 1 רעה במרחב הציבורי. </w:t>
      </w:r>
    </w:p>
    <w:p w:rsidR="008B3136" w:rsidRDefault="008B3136" w:rsidP="008B3136">
      <w:pPr>
        <w:pStyle w:val="Ruller41"/>
        <w:ind w:left="720"/>
      </w:pPr>
    </w:p>
    <w:p w:rsidR="008B3136" w:rsidRDefault="008B3136" w:rsidP="008B3136">
      <w:pPr>
        <w:pStyle w:val="Ruller41"/>
        <w:numPr>
          <w:ilvl w:val="0"/>
          <w:numId w:val="26"/>
        </w:numPr>
      </w:pPr>
      <w:r>
        <w:rPr>
          <w:rFonts w:hint="cs"/>
          <w:rtl/>
        </w:rPr>
        <w:t>המערער לא טרח להסיר פרסום זה או לתקנו למרות שהפרסום עולה כדי לשון הרע נגד המשיב 1.</w:t>
      </w:r>
    </w:p>
    <w:p w:rsidR="008B3136" w:rsidRDefault="008B3136" w:rsidP="008B3136">
      <w:pPr>
        <w:pStyle w:val="Ruller41"/>
        <w:ind w:left="720"/>
      </w:pPr>
    </w:p>
    <w:p w:rsidR="008B3136" w:rsidRDefault="008B3136" w:rsidP="008B3136">
      <w:pPr>
        <w:pStyle w:val="Ruller41"/>
        <w:numPr>
          <w:ilvl w:val="0"/>
          <w:numId w:val="26"/>
        </w:numPr>
      </w:pPr>
      <w:r>
        <w:rPr>
          <w:rFonts w:hint="cs"/>
          <w:rtl/>
        </w:rPr>
        <w:t xml:space="preserve">אשר על כן, העוולה שהמערער אחראי לה הינה </w:t>
      </w:r>
      <w:r w:rsidRPr="00E225DD">
        <w:rPr>
          <w:rFonts w:ascii="Century" w:hAnsi="Century" w:cs="Miriam" w:hint="cs"/>
          <w:b/>
          <w:spacing w:val="0"/>
          <w:szCs w:val="24"/>
          <w:rtl/>
        </w:rPr>
        <w:t>הולכת ונמשכת</w:t>
      </w:r>
      <w:r>
        <w:rPr>
          <w:rFonts w:hint="cs"/>
          <w:rtl/>
        </w:rPr>
        <w:t xml:space="preserve"> במובנם של דיני הנזיקין החלים במקומותינו, ובפרט במובנו של סעיף 68א(א) </w:t>
      </w:r>
      <w:r w:rsidRPr="00576B22">
        <w:rPr>
          <w:rFonts w:hint="eastAsia"/>
          <w:rtl/>
        </w:rPr>
        <w:t>לפקודת</w:t>
      </w:r>
      <w:r w:rsidRPr="00576B22">
        <w:rPr>
          <w:rtl/>
        </w:rPr>
        <w:t xml:space="preserve"> </w:t>
      </w:r>
      <w:r w:rsidRPr="00576B22">
        <w:rPr>
          <w:rFonts w:hint="eastAsia"/>
          <w:rtl/>
        </w:rPr>
        <w:t>הנזיקים</w:t>
      </w:r>
      <w:r w:rsidRPr="00576B22">
        <w:rPr>
          <w:rtl/>
        </w:rPr>
        <w:t xml:space="preserve"> </w:t>
      </w:r>
      <w:r w:rsidRPr="00576B22">
        <w:rPr>
          <w:rFonts w:hint="eastAsia"/>
          <w:rtl/>
        </w:rPr>
        <w:t>האזרחיים</w:t>
      </w:r>
      <w:r>
        <w:rPr>
          <w:rtl/>
        </w:rPr>
        <w:t>, 1944</w:t>
      </w:r>
      <w:r>
        <w:rPr>
          <w:rFonts w:hint="cs"/>
          <w:rtl/>
        </w:rPr>
        <w:t xml:space="preserve"> (להלן: </w:t>
      </w:r>
      <w:r w:rsidRPr="00A14071">
        <w:rPr>
          <w:rFonts w:ascii="Century" w:hAnsi="Century" w:cs="Miriam" w:hint="eastAsia"/>
          <w:b/>
          <w:spacing w:val="0"/>
          <w:szCs w:val="24"/>
          <w:rtl/>
        </w:rPr>
        <w:t>פקודת</w:t>
      </w:r>
      <w:r w:rsidRPr="00A14071">
        <w:rPr>
          <w:rFonts w:ascii="Century" w:hAnsi="Century" w:cs="Miriam"/>
          <w:b/>
          <w:spacing w:val="0"/>
          <w:szCs w:val="24"/>
          <w:rtl/>
        </w:rPr>
        <w:t xml:space="preserve"> </w:t>
      </w:r>
      <w:r w:rsidRPr="00A14071">
        <w:rPr>
          <w:rFonts w:ascii="Century" w:hAnsi="Century" w:cs="Miriam" w:hint="eastAsia"/>
          <w:b/>
          <w:spacing w:val="0"/>
          <w:szCs w:val="24"/>
          <w:rtl/>
        </w:rPr>
        <w:t>הנזיקים</w:t>
      </w:r>
      <w:r w:rsidRPr="00A14071">
        <w:rPr>
          <w:rFonts w:ascii="Century" w:hAnsi="Century" w:cs="Miriam"/>
          <w:b/>
          <w:spacing w:val="0"/>
          <w:szCs w:val="24"/>
          <w:rtl/>
        </w:rPr>
        <w:t xml:space="preserve"> האזרחיים</w:t>
      </w:r>
      <w:r>
        <w:rPr>
          <w:rFonts w:hint="cs"/>
          <w:rtl/>
        </w:rPr>
        <w:t xml:space="preserve">) </w:t>
      </w:r>
      <w:r>
        <w:rPr>
          <w:rtl/>
        </w:rPr>
        <w:t>–</w:t>
      </w:r>
      <w:r>
        <w:rPr>
          <w:rFonts w:hint="cs"/>
          <w:rtl/>
        </w:rPr>
        <w:t xml:space="preserve"> כיום, סעיף 89(1) לפקודת הנזיקין [נוסח חדש] (להלן: </w:t>
      </w:r>
      <w:r w:rsidRPr="00A14071">
        <w:rPr>
          <w:rFonts w:ascii="Century" w:hAnsi="Century" w:cs="Miriam" w:hint="eastAsia"/>
          <w:b/>
          <w:spacing w:val="0"/>
          <w:szCs w:val="24"/>
          <w:rtl/>
        </w:rPr>
        <w:t>פקודת</w:t>
      </w:r>
      <w:r w:rsidRPr="00A14071">
        <w:rPr>
          <w:rFonts w:ascii="Century" w:hAnsi="Century" w:cs="Miriam"/>
          <w:b/>
          <w:spacing w:val="0"/>
          <w:szCs w:val="24"/>
          <w:rtl/>
        </w:rPr>
        <w:t xml:space="preserve"> </w:t>
      </w:r>
      <w:r w:rsidRPr="00A14071">
        <w:rPr>
          <w:rFonts w:ascii="Century" w:hAnsi="Century" w:cs="Miriam" w:hint="eastAsia"/>
          <w:b/>
          <w:spacing w:val="0"/>
          <w:szCs w:val="24"/>
          <w:rtl/>
        </w:rPr>
        <w:t>הנזיקין</w:t>
      </w:r>
      <w:r>
        <w:rPr>
          <w:rFonts w:hint="cs"/>
          <w:rtl/>
        </w:rPr>
        <w:t xml:space="preserve">). זאת, בין היתר, </w:t>
      </w:r>
      <w:r w:rsidRPr="00A00E66">
        <w:rPr>
          <w:rFonts w:ascii="Century" w:hAnsi="Century" w:cs="Miriam" w:hint="cs"/>
          <w:b/>
          <w:spacing w:val="0"/>
          <w:szCs w:val="24"/>
          <w:rtl/>
        </w:rPr>
        <w:t>מאחר שעוולת לשון הרע אינה מכילה את נזקו של הנפגע כרכיב מרכיביה</w:t>
      </w:r>
      <w:r>
        <w:rPr>
          <w:rFonts w:hint="cs"/>
          <w:rtl/>
        </w:rPr>
        <w:t xml:space="preserve"> </w:t>
      </w:r>
      <w:r>
        <w:rPr>
          <w:rtl/>
        </w:rPr>
        <w:t>–</w:t>
      </w:r>
      <w:r>
        <w:rPr>
          <w:rFonts w:hint="cs"/>
          <w:rtl/>
        </w:rPr>
        <w:t xml:space="preserve"> למרות זכאותו העקרונית של הנפגע</w:t>
      </w:r>
      <w:r w:rsidRPr="004F3FE9">
        <w:rPr>
          <w:rFonts w:ascii="Century" w:hAnsi="Century" w:hint="cs"/>
          <w:rtl/>
        </w:rPr>
        <w:t xml:space="preserve"> מלשון הרע </w:t>
      </w:r>
      <w:r w:rsidRPr="00B400CB">
        <w:rPr>
          <w:rFonts w:ascii="Century" w:hAnsi="Century" w:cs="Miriam" w:hint="eastAsia"/>
          <w:b/>
          <w:spacing w:val="0"/>
          <w:szCs w:val="24"/>
          <w:rtl/>
        </w:rPr>
        <w:t>ל</w:t>
      </w:r>
      <w:r w:rsidRPr="006C65F6">
        <w:rPr>
          <w:rFonts w:ascii="Century" w:hAnsi="Century" w:cs="Miriam" w:hint="cs"/>
          <w:b/>
          <w:spacing w:val="0"/>
          <w:szCs w:val="24"/>
          <w:rtl/>
        </w:rPr>
        <w:t>סעד</w:t>
      </w:r>
      <w:r>
        <w:rPr>
          <w:rFonts w:hint="cs"/>
          <w:rtl/>
        </w:rPr>
        <w:t xml:space="preserve"> של פיצויים מוכחים או סטטוטוריים. </w:t>
      </w:r>
    </w:p>
    <w:p w:rsidR="008B3136" w:rsidRDefault="008B3136" w:rsidP="008B3136">
      <w:pPr>
        <w:pStyle w:val="Ruller41"/>
        <w:ind w:left="720"/>
      </w:pPr>
    </w:p>
    <w:p w:rsidR="008B3136" w:rsidRDefault="008B3136" w:rsidP="008B3136">
      <w:pPr>
        <w:pStyle w:val="Ruller41"/>
        <w:numPr>
          <w:ilvl w:val="0"/>
          <w:numId w:val="26"/>
        </w:numPr>
      </w:pPr>
      <w:r>
        <w:rPr>
          <w:rFonts w:hint="cs"/>
          <w:rtl/>
        </w:rPr>
        <w:t xml:space="preserve">לאור האמור, ובניגוד לעמדת חברי, השופט </w:t>
      </w:r>
      <w:r w:rsidRPr="006C65F6">
        <w:rPr>
          <w:rFonts w:ascii="Century" w:hAnsi="Century" w:cs="Miriam" w:hint="cs"/>
          <w:b/>
          <w:spacing w:val="0"/>
          <w:szCs w:val="24"/>
          <w:rtl/>
        </w:rPr>
        <w:t>עמית</w:t>
      </w:r>
      <w:r>
        <w:rPr>
          <w:rFonts w:hint="cs"/>
          <w:rtl/>
        </w:rPr>
        <w:t>, הנני סבור כדלקמן:</w:t>
      </w:r>
    </w:p>
    <w:p w:rsidR="008B3136" w:rsidRPr="006C65F6" w:rsidRDefault="008B3136" w:rsidP="008B3136">
      <w:pPr>
        <w:pStyle w:val="Ruller41"/>
        <w:ind w:left="720"/>
        <w:rPr>
          <w:rtl/>
        </w:rPr>
      </w:pPr>
    </w:p>
    <w:p w:rsidR="008B3136" w:rsidRDefault="008B3136" w:rsidP="008B3136">
      <w:pPr>
        <w:pStyle w:val="Ruller41"/>
        <w:ind w:left="720"/>
        <w:rPr>
          <w:rtl/>
        </w:rPr>
      </w:pPr>
      <w:r>
        <w:rPr>
          <w:rFonts w:hint="cs"/>
          <w:rtl/>
        </w:rPr>
        <w:t xml:space="preserve">(1) שום רכיב מרכיבי תביעתו של המשיב 1 נגד המערער לא התיישן. </w:t>
      </w:r>
    </w:p>
    <w:p w:rsidR="008B3136" w:rsidRDefault="008B3136" w:rsidP="008B3136">
      <w:pPr>
        <w:pStyle w:val="Ruller41"/>
        <w:ind w:left="720"/>
        <w:rPr>
          <w:rtl/>
        </w:rPr>
      </w:pPr>
    </w:p>
    <w:p w:rsidR="008B3136" w:rsidRDefault="008B3136" w:rsidP="008B3136">
      <w:pPr>
        <w:pStyle w:val="Ruller41"/>
        <w:ind w:left="720"/>
        <w:rPr>
          <w:rtl/>
        </w:rPr>
      </w:pPr>
      <w:r>
        <w:rPr>
          <w:rFonts w:hint="cs"/>
          <w:rtl/>
        </w:rPr>
        <w:t xml:space="preserve">(2) מחדלו המתמשך של המערער </w:t>
      </w:r>
      <w:r>
        <w:rPr>
          <w:rtl/>
        </w:rPr>
        <w:t>–</w:t>
      </w:r>
      <w:r>
        <w:rPr>
          <w:rFonts w:hint="cs"/>
          <w:rtl/>
        </w:rPr>
        <w:t xml:space="preserve"> שכאמור לא הסיר את סרט הכזבים שלו מהמרחב הציבורי, אחרי שפעל להצבתו ולהצגתו באותו מרחב, ואף לא תיקן את הסרט </w:t>
      </w:r>
      <w:r>
        <w:rPr>
          <w:rtl/>
        </w:rPr>
        <w:t>–</w:t>
      </w:r>
      <w:r>
        <w:rPr>
          <w:rFonts w:hint="cs"/>
          <w:rtl/>
        </w:rPr>
        <w:t xml:space="preserve"> הופך אותו לאחראי גם להצגת הסרט באתר </w:t>
      </w:r>
      <w:r w:rsidRPr="005118ED">
        <w:rPr>
          <w:rFonts w:hint="eastAsia"/>
          <w:rtl/>
        </w:rPr>
        <w:t>ה</w:t>
      </w:r>
      <w:r w:rsidRPr="005118ED">
        <w:rPr>
          <w:rtl/>
        </w:rPr>
        <w:t>-</w:t>
      </w:r>
      <w:r w:rsidRPr="006C65F6">
        <w:rPr>
          <w:rFonts w:asciiTheme="majorBidi" w:hAnsiTheme="majorBidi" w:cstheme="majorBidi"/>
          <w:sz w:val="24"/>
          <w:szCs w:val="24"/>
        </w:rPr>
        <w:t>YouTube</w:t>
      </w:r>
      <w:r>
        <w:rPr>
          <w:rFonts w:hint="cs"/>
          <w:rtl/>
        </w:rPr>
        <w:t xml:space="preserve">, למרות העדרן של ראיות שבכוחן לסמן את המערער כמי שהעלה את הסרט לאתר זה או נתן את הסכמתו לכך. </w:t>
      </w:r>
    </w:p>
    <w:p w:rsidR="008B3136" w:rsidRDefault="008B3136" w:rsidP="008B3136">
      <w:pPr>
        <w:pStyle w:val="Ruller41"/>
        <w:ind w:left="720"/>
      </w:pPr>
    </w:p>
    <w:p w:rsidR="008B3136" w:rsidRDefault="008B3136" w:rsidP="008B3136">
      <w:pPr>
        <w:pStyle w:val="Ruller41"/>
        <w:numPr>
          <w:ilvl w:val="0"/>
          <w:numId w:val="26"/>
        </w:numPr>
        <w:rPr>
          <w:rtl/>
        </w:rPr>
      </w:pPr>
      <w:r w:rsidRPr="00283079">
        <w:rPr>
          <w:rFonts w:hint="eastAsia"/>
          <w:rtl/>
        </w:rPr>
        <w:t>באשר</w:t>
      </w:r>
      <w:r w:rsidRPr="00283079">
        <w:rPr>
          <w:rtl/>
        </w:rPr>
        <w:t xml:space="preserve"> לסכום הפיצוי –</w:t>
      </w:r>
      <w:r>
        <w:rPr>
          <w:rFonts w:hint="cs"/>
          <w:rtl/>
        </w:rPr>
        <w:t xml:space="preserve"> </w:t>
      </w:r>
      <w:r w:rsidRPr="007523DA">
        <w:rPr>
          <w:rFonts w:hint="cs"/>
          <w:rtl/>
        </w:rPr>
        <w:t>175,000 ש"ח</w:t>
      </w:r>
      <w:r>
        <w:rPr>
          <w:rFonts w:hint="cs"/>
          <w:rtl/>
        </w:rPr>
        <w:t xml:space="preserve"> </w:t>
      </w:r>
      <w:r>
        <w:rPr>
          <w:rtl/>
        </w:rPr>
        <w:t>–</w:t>
      </w:r>
      <w:r>
        <w:rPr>
          <w:rFonts w:hint="cs"/>
          <w:rtl/>
        </w:rPr>
        <w:t xml:space="preserve"> שבית משפט קמא פסק לזכות המשיב 1 ללא הוכחת נזקיו, סבורני כי בקביעתו של סכום כאמור בגדרו של סעיף 7א לחוק איסור לשון הרע, התשכ"ה-1965 (להלן: </w:t>
      </w:r>
      <w:r w:rsidRPr="004F3FE9">
        <w:rPr>
          <w:rFonts w:ascii="Century" w:hAnsi="Century" w:cs="Miriam" w:hint="cs"/>
          <w:b/>
          <w:spacing w:val="0"/>
          <w:szCs w:val="24"/>
          <w:rtl/>
        </w:rPr>
        <w:t>חוק לשון הרע</w:t>
      </w:r>
      <w:r>
        <w:rPr>
          <w:rFonts w:ascii="Century" w:hAnsi="Century" w:cs="Miriam" w:hint="cs"/>
          <w:b/>
          <w:spacing w:val="0"/>
          <w:szCs w:val="24"/>
          <w:rtl/>
        </w:rPr>
        <w:t xml:space="preserve"> </w:t>
      </w:r>
      <w:r w:rsidRPr="00A14071">
        <w:rPr>
          <w:rFonts w:ascii="Century" w:hAnsi="Century" w:hint="eastAsia"/>
          <w:rtl/>
        </w:rPr>
        <w:t>או</w:t>
      </w:r>
      <w:r>
        <w:rPr>
          <w:rFonts w:ascii="Century" w:hAnsi="Century" w:cs="Miriam" w:hint="cs"/>
          <w:b/>
          <w:spacing w:val="0"/>
          <w:szCs w:val="24"/>
          <w:rtl/>
        </w:rPr>
        <w:t xml:space="preserve"> החוק</w:t>
      </w:r>
      <w:r>
        <w:rPr>
          <w:rFonts w:hint="cs"/>
          <w:rtl/>
        </w:rPr>
        <w:t xml:space="preserve">), לא נפל כל פגם אשר קורא להתערבותנו בשיקול הדעת שהמחוקק העניק בנדון דידן </w:t>
      </w:r>
      <w:r w:rsidRPr="002D4012">
        <w:rPr>
          <w:rFonts w:hint="eastAsia"/>
          <w:rtl/>
        </w:rPr>
        <w:t>לערכאות</w:t>
      </w:r>
      <w:r w:rsidRPr="002D4012">
        <w:rPr>
          <w:rtl/>
        </w:rPr>
        <w:t xml:space="preserve"> </w:t>
      </w:r>
      <w:r w:rsidRPr="002D4012">
        <w:rPr>
          <w:rFonts w:hint="eastAsia"/>
          <w:rtl/>
        </w:rPr>
        <w:t>דיוניות</w:t>
      </w:r>
      <w:r>
        <w:rPr>
          <w:rFonts w:hint="cs"/>
          <w:rtl/>
        </w:rPr>
        <w:t>.</w:t>
      </w:r>
    </w:p>
    <w:p w:rsidR="008B3136" w:rsidRDefault="008B3136" w:rsidP="008B3136">
      <w:pPr>
        <w:pStyle w:val="Ruller41"/>
        <w:rPr>
          <w:rtl/>
        </w:rPr>
      </w:pPr>
    </w:p>
    <w:p w:rsidR="008B3136" w:rsidRDefault="008B3136" w:rsidP="008B3136">
      <w:pPr>
        <w:pStyle w:val="Ruller4"/>
        <w:rPr>
          <w:rtl/>
        </w:rPr>
      </w:pPr>
      <w:r>
        <w:rPr>
          <w:rFonts w:hint="cs"/>
          <w:rtl/>
        </w:rPr>
        <w:t xml:space="preserve">להלן הנימוקים שעל יסודם גיבשתי עמדה זו. </w:t>
      </w:r>
    </w:p>
    <w:p w:rsidR="008B3136" w:rsidRPr="004F3FE9" w:rsidRDefault="008B3136" w:rsidP="008B3136">
      <w:pPr>
        <w:pStyle w:val="Ruller41"/>
        <w:rPr>
          <w:rtl/>
        </w:rPr>
      </w:pPr>
    </w:p>
    <w:p w:rsidR="008B3136" w:rsidRPr="005F2F3C" w:rsidRDefault="008B3136" w:rsidP="008B3136">
      <w:pPr>
        <w:pStyle w:val="Ruller41"/>
        <w:rPr>
          <w:rFonts w:ascii="Century" w:hAnsi="Century" w:cs="Miriam"/>
          <w:b/>
          <w:spacing w:val="0"/>
          <w:szCs w:val="24"/>
          <w:rtl/>
        </w:rPr>
      </w:pPr>
      <w:r w:rsidRPr="005F2F3C">
        <w:rPr>
          <w:rFonts w:ascii="Century" w:hAnsi="Century" w:cs="Miriam" w:hint="cs"/>
          <w:b/>
          <w:spacing w:val="0"/>
          <w:szCs w:val="24"/>
          <w:rtl/>
        </w:rPr>
        <w:t>העובדות</w:t>
      </w:r>
    </w:p>
    <w:p w:rsidR="008B3136" w:rsidRPr="005F2F3C" w:rsidRDefault="008B3136" w:rsidP="008B3136">
      <w:pPr>
        <w:pStyle w:val="Ruller41"/>
      </w:pPr>
    </w:p>
    <w:p w:rsidR="008B3136" w:rsidRDefault="008B3136" w:rsidP="008B3136">
      <w:pPr>
        <w:pStyle w:val="Ruller4"/>
      </w:pPr>
      <w:r>
        <w:rPr>
          <w:rFonts w:hint="cs"/>
          <w:rtl/>
        </w:rPr>
        <w:t xml:space="preserve">המערער, מר מוחמד בכרי, יצר את הסרט "ג'נין ג'נין" נושא דיוננו (להלן: </w:t>
      </w:r>
      <w:r w:rsidRPr="005F2F3C">
        <w:rPr>
          <w:rFonts w:ascii="Century" w:hAnsi="Century" w:cs="Miriam" w:hint="cs"/>
          <w:b/>
          <w:spacing w:val="0"/>
          <w:szCs w:val="24"/>
          <w:rtl/>
        </w:rPr>
        <w:t>הסרט</w:t>
      </w:r>
      <w:r>
        <w:rPr>
          <w:rFonts w:hint="cs"/>
          <w:rtl/>
        </w:rPr>
        <w:t xml:space="preserve">). כיום אין עוד מחלוקת על כך שסרט זה מכיל בתוכו לשון הרע נגד המשיב 1, סגן-אלוף במילואים, מר </w:t>
      </w:r>
      <w:r w:rsidRPr="003C5A2E">
        <w:rPr>
          <w:rFonts w:hint="eastAsia"/>
          <w:rtl/>
        </w:rPr>
        <w:t>ניסים</w:t>
      </w:r>
      <w:r w:rsidRPr="003C5A2E">
        <w:rPr>
          <w:rtl/>
        </w:rPr>
        <w:t xml:space="preserve"> </w:t>
      </w:r>
      <w:r w:rsidRPr="003C5A2E">
        <w:rPr>
          <w:rFonts w:hint="eastAsia"/>
          <w:rtl/>
        </w:rPr>
        <w:t>מגנאג</w:t>
      </w:r>
      <w:r w:rsidRPr="003C5A2E">
        <w:rPr>
          <w:rtl/>
        </w:rPr>
        <w:t>'</w:t>
      </w:r>
      <w:r w:rsidRPr="003C5A2E">
        <w:rPr>
          <w:rFonts w:hint="eastAsia"/>
          <w:rtl/>
        </w:rPr>
        <w:t>י</w:t>
      </w:r>
      <w:r>
        <w:rPr>
          <w:rFonts w:hint="cs"/>
          <w:rtl/>
        </w:rPr>
        <w:t xml:space="preserve">. המשיב 1 שירת את המדינה תחת אש מחבלים כשהוא מסכן את חייו, ולא כך הוא נראה בסרט. הסרט מציגו כמי שנטל חלק בפשעי מלחמה חמורים המיוחסים לכלל חיילי צה"ל אשר השתתפו במבצע "חומת מגן" </w:t>
      </w:r>
      <w:r>
        <w:rPr>
          <w:rtl/>
        </w:rPr>
        <w:t>–</w:t>
      </w:r>
      <w:r>
        <w:rPr>
          <w:rFonts w:hint="cs"/>
          <w:rtl/>
        </w:rPr>
        <w:t xml:space="preserve"> מערכה שצה"ל ניהל במטרה להרוס את תשתיות הטרור, אשר נבנו באותה תקופה בעיר ג'נין, אחרי מתן התראות לתושבי המקום שאפשרו להם להתפנות משטח הלחימה מבעוד מועד. מבצע זה החל בסוף חודש מרץ של שנת 2002 בעקבות הירצחם של 30 סועדים שקיימו סדר-פסח במלון "פארק" בנתניה, בתוכם 11 קשישים ניצולי שואה. מעשה טרור זה, אשר הותיר אחריו, בנוסף להרוגים, 160 פצועים, היה החמור מבין מעשי הטרור ההמוניים שידענו באותה תקופה, אשר בכללותם הביאו למותם של למעלה מאלף אזרחים ישראלים ולפציעתם של אלפים. במהלך המבצע, נהרגו 52 פלסטינים, מחציתם מחבלים ומחציתם אזרחים. המבצע גבה את חייהם של 23 חיילי צה"ל והשאיר עשרות רבות של חיילינו פצועים. </w:t>
      </w:r>
    </w:p>
    <w:p w:rsidR="008B3136" w:rsidRPr="007D3503" w:rsidRDefault="008B3136" w:rsidP="008B3136">
      <w:pPr>
        <w:pStyle w:val="Ruller41"/>
      </w:pPr>
    </w:p>
    <w:p w:rsidR="008B3136" w:rsidRPr="006271B7" w:rsidRDefault="008B3136" w:rsidP="008B3136">
      <w:pPr>
        <w:pStyle w:val="Ruller4"/>
        <w:rPr>
          <w:rtl/>
        </w:rPr>
      </w:pPr>
      <w:r>
        <w:rPr>
          <w:rFonts w:hint="cs"/>
          <w:rtl/>
        </w:rPr>
        <w:t xml:space="preserve">הייחוס של פשעי מלחמה למשיב 1 ולכלל חיילי צה"ל ומפקדיו, אשר נטלו חלק במבצע "חומת מגן", נעשה באופן שקרי וללא שום בדיקה של העובדות. "עובדות" הסרט מובאות בו במסווה של עדויות תושבי ג'נין אשר נשמעות </w:t>
      </w:r>
      <w:r>
        <w:rPr>
          <w:rtl/>
        </w:rPr>
        <w:t>–</w:t>
      </w:r>
      <w:r>
        <w:rPr>
          <w:rFonts w:hint="cs"/>
          <w:rtl/>
        </w:rPr>
        <w:t xml:space="preserve"> לצד תרגומן לאנגלית </w:t>
      </w:r>
      <w:r>
        <w:rPr>
          <w:rtl/>
        </w:rPr>
        <w:t>–</w:t>
      </w:r>
      <w:r>
        <w:rPr>
          <w:rFonts w:hint="cs"/>
          <w:rtl/>
        </w:rPr>
        <w:t xml:space="preserve"> על רקע של תמונות אשר מראות הריסות בתים, כלי מלחמה של צה"ל ודמויות חייליו ומפקדיו. אחד המפקדים שנראו בתמונות אלה הוא המשיב 1. הסרט מציגו לצד הסיפור המצמרר המסופר על ידי איש פלסטיני זקן </w:t>
      </w:r>
      <w:r>
        <w:rPr>
          <w:rtl/>
        </w:rPr>
        <w:t>–</w:t>
      </w:r>
      <w:r>
        <w:rPr>
          <w:rFonts w:hint="cs"/>
          <w:rtl/>
        </w:rPr>
        <w:t xml:space="preserve"> סיפור שאמיתותו לא נבדקה, ולו ברמה הבסיסית ביותר. לדברי מספר הסיפור, הוא נשדד על ידי חיילי צה"ל אשר נטלו עמם את כל חסכונותיו, לאחר שאיימו לרצחו אם לא ימסור להם את כספו. לצדו של סיפור זה, מציג הסרט מראות קשים לצפייה אשר מייחסים לחיילי צה"ל הרג המוני של תושבים פלסטיניים תמימים </w:t>
      </w:r>
      <w:r>
        <w:rPr>
          <w:rtl/>
        </w:rPr>
        <w:t>–</w:t>
      </w:r>
      <w:r>
        <w:rPr>
          <w:rFonts w:hint="cs"/>
          <w:rtl/>
        </w:rPr>
        <w:t xml:space="preserve"> וגם זאת ללא שום חקירה ודרישה המצופות מעורכי סרטים דוקומנטריים ששמים את האמת בראש מעיינם. במילים פשוטות יותר: הסרט</w:t>
      </w:r>
      <w:r>
        <w:t xml:space="preserve"> </w:t>
      </w:r>
      <w:r>
        <w:rPr>
          <w:rFonts w:hint="cs"/>
          <w:rtl/>
        </w:rPr>
        <w:t xml:space="preserve">"הדוקומנטרי" שיצר המערער אינו אלא גרסה בת-זמננו של "הפרוטוקולים של זקני ציון", אשר עושָה שימוש אסוציאטיבי נרחב בסטראוטיפים כוזבים </w:t>
      </w:r>
      <w:r>
        <w:rPr>
          <w:rtl/>
        </w:rPr>
        <w:t>–</w:t>
      </w:r>
      <w:r>
        <w:rPr>
          <w:rFonts w:hint="cs"/>
          <w:rtl/>
        </w:rPr>
        <w:t xml:space="preserve"> המצויים בליבת ההוויה האנטישמית מאות בשנים </w:t>
      </w:r>
      <w:r>
        <w:rPr>
          <w:rtl/>
        </w:rPr>
        <w:t>–</w:t>
      </w:r>
      <w:r>
        <w:rPr>
          <w:rFonts w:hint="cs"/>
          <w:rtl/>
        </w:rPr>
        <w:t xml:space="preserve"> ואשר מציגה יהודים כצמאי-דם ותאבי בצע כסף (ראו, למשל: </w:t>
      </w:r>
      <w:r w:rsidRPr="006271B7">
        <w:rPr>
          <w:rFonts w:asciiTheme="majorBidi" w:hAnsiTheme="majorBidi" w:cstheme="majorBidi"/>
          <w:smallCaps/>
        </w:rPr>
        <w:t xml:space="preserve">Magda Teter, Blood Libel: On the Trail of an </w:t>
      </w:r>
      <w:r w:rsidRPr="00A101B6">
        <w:rPr>
          <w:rFonts w:asciiTheme="majorBidi" w:hAnsiTheme="majorBidi" w:cstheme="majorBidi"/>
          <w:smallCaps/>
        </w:rPr>
        <w:t>Antisemitic Myth</w:t>
      </w:r>
      <w:r w:rsidRPr="00A101B6">
        <w:rPr>
          <w:rFonts w:asciiTheme="majorBidi" w:hAnsiTheme="majorBidi" w:cstheme="majorBidi"/>
        </w:rPr>
        <w:t>, 1-13;</w:t>
      </w:r>
      <w:r>
        <w:rPr>
          <w:rFonts w:asciiTheme="majorBidi" w:hAnsiTheme="majorBidi" w:cstheme="majorBidi"/>
        </w:rPr>
        <w:t xml:space="preserve"> </w:t>
      </w:r>
      <w:r w:rsidRPr="00A101B6">
        <w:rPr>
          <w:rFonts w:asciiTheme="majorBidi" w:hAnsiTheme="majorBidi" w:cstheme="majorBidi"/>
        </w:rPr>
        <w:t>377</w:t>
      </w:r>
      <w:r w:rsidRPr="00A101B6">
        <w:rPr>
          <w:rFonts w:asciiTheme="majorBidi" w:hAnsiTheme="majorBidi" w:cstheme="majorBidi"/>
          <w:i/>
          <w:iCs/>
        </w:rPr>
        <w:t>ff</w:t>
      </w:r>
      <w:r w:rsidRPr="00A101B6">
        <w:rPr>
          <w:rFonts w:asciiTheme="majorBidi" w:hAnsiTheme="majorBidi" w:cstheme="majorBidi"/>
        </w:rPr>
        <w:t xml:space="preserve"> (Harvard University Press – 2020)</w:t>
      </w:r>
      <w:r w:rsidRPr="00A14071">
        <w:rPr>
          <w:rFonts w:asciiTheme="majorBidi" w:hAnsiTheme="majorBidi" w:cstheme="majorBidi"/>
          <w:sz w:val="20"/>
          <w:szCs w:val="24"/>
          <w:rtl/>
        </w:rPr>
        <w:t>;</w:t>
      </w:r>
      <w:r w:rsidRPr="00A101B6">
        <w:rPr>
          <w:rFonts w:ascii="Century" w:hAnsi="Century" w:hint="cs"/>
          <w:sz w:val="22"/>
          <w:rtl/>
        </w:rPr>
        <w:t xml:space="preserve"> וכן</w:t>
      </w:r>
      <w:r w:rsidRPr="009331B6">
        <w:rPr>
          <w:rFonts w:ascii="Century" w:hAnsi="Century" w:hint="cs"/>
          <w:sz w:val="22"/>
          <w:rtl/>
        </w:rPr>
        <w:t xml:space="preserve"> </w:t>
      </w:r>
      <w:r w:rsidRPr="009331B6">
        <w:rPr>
          <w:rFonts w:asciiTheme="majorBidi" w:hAnsiTheme="majorBidi" w:cstheme="majorBidi"/>
        </w:rPr>
        <w:t xml:space="preserve">Miroslaw Kofta &amp; Grzegorz Sedek, </w:t>
      </w:r>
      <w:r w:rsidRPr="0032711D">
        <w:rPr>
          <w:rFonts w:asciiTheme="majorBidi" w:hAnsiTheme="majorBidi" w:cstheme="majorBidi"/>
          <w:i/>
          <w:iCs/>
        </w:rPr>
        <w:t xml:space="preserve">Conspiracy Stereotypes of </w:t>
      </w:r>
      <w:r w:rsidRPr="00D16549">
        <w:rPr>
          <w:rFonts w:asciiTheme="majorBidi" w:hAnsiTheme="majorBidi" w:cstheme="majorBidi"/>
          <w:i/>
          <w:iCs/>
        </w:rPr>
        <w:t>Jews During Systemic Transformation in Poland</w:t>
      </w:r>
      <w:r w:rsidRPr="00121244">
        <w:rPr>
          <w:rFonts w:asciiTheme="majorBidi" w:hAnsiTheme="majorBidi" w:cstheme="majorBidi"/>
        </w:rPr>
        <w:t xml:space="preserve">, 35 </w:t>
      </w:r>
      <w:r w:rsidRPr="00121244">
        <w:rPr>
          <w:rFonts w:asciiTheme="majorBidi" w:hAnsiTheme="majorBidi" w:cstheme="majorBidi"/>
          <w:smallCaps/>
        </w:rPr>
        <w:t xml:space="preserve">Int. J. Soc. </w:t>
      </w:r>
      <w:r w:rsidRPr="00815EC1">
        <w:rPr>
          <w:rFonts w:asciiTheme="majorBidi" w:hAnsiTheme="majorBidi" w:cstheme="majorBidi"/>
        </w:rPr>
        <w:t xml:space="preserve">40 (2014), </w:t>
      </w:r>
      <w:r w:rsidRPr="00815EC1">
        <w:rPr>
          <w:rFonts w:asciiTheme="majorBidi" w:hAnsiTheme="majorBidi" w:cstheme="majorBidi"/>
          <w:szCs w:val="24"/>
        </w:rPr>
        <w:t>https://doi.org/10.1080/00207659.2005.11043142</w:t>
      </w:r>
      <w:r w:rsidRPr="00815EC1">
        <w:rPr>
          <w:rFonts w:asciiTheme="majorBidi" w:hAnsiTheme="majorBidi" w:cstheme="majorBidi"/>
        </w:rPr>
        <w:t xml:space="preserve">; </w:t>
      </w:r>
      <w:r w:rsidRPr="00815EC1">
        <w:rPr>
          <w:rFonts w:asciiTheme="majorBidi" w:hAnsiTheme="majorBidi" w:cstheme="majorBidi"/>
          <w:smallCaps/>
        </w:rPr>
        <w:t>Ber</w:t>
      </w:r>
      <w:r w:rsidRPr="00D55481">
        <w:rPr>
          <w:rFonts w:asciiTheme="majorBidi" w:hAnsiTheme="majorBidi" w:cstheme="majorBidi"/>
          <w:smallCaps/>
        </w:rPr>
        <w:t>nard Glassman, Anti-Semitic Stereotypes without Jews: Images of the Jews in England</w:t>
      </w:r>
      <w:r w:rsidRPr="00D55481">
        <w:rPr>
          <w:rFonts w:asciiTheme="majorBidi" w:hAnsiTheme="majorBidi" w:cstheme="majorBidi"/>
        </w:rPr>
        <w:t xml:space="preserve"> 1290-1700, Ch. 1 (Wayne State University Press – </w:t>
      </w:r>
      <w:r w:rsidRPr="00815EC1">
        <w:rPr>
          <w:rFonts w:asciiTheme="majorBidi" w:hAnsiTheme="majorBidi" w:cstheme="majorBidi"/>
        </w:rPr>
        <w:t>1975)</w:t>
      </w:r>
      <w:r w:rsidRPr="000D42B6">
        <w:rPr>
          <w:rFonts w:ascii="Century" w:hAnsi="Century"/>
          <w:sz w:val="22"/>
          <w:rtl/>
        </w:rPr>
        <w:t>)</w:t>
      </w:r>
      <w:r w:rsidRPr="00815EC1">
        <w:rPr>
          <w:rFonts w:ascii="Century" w:hAnsi="Century"/>
          <w:sz w:val="22"/>
          <w:rtl/>
        </w:rPr>
        <w:t xml:space="preserve">. </w:t>
      </w:r>
    </w:p>
    <w:p w:rsidR="008B3136" w:rsidRDefault="008B3136" w:rsidP="008B3136">
      <w:pPr>
        <w:pStyle w:val="Ruller4"/>
        <w:numPr>
          <w:ilvl w:val="0"/>
          <w:numId w:val="0"/>
        </w:numPr>
        <w:rPr>
          <w:rtl/>
        </w:rPr>
      </w:pPr>
    </w:p>
    <w:p w:rsidR="008B3136" w:rsidRDefault="008B3136">
      <w:pPr>
        <w:overflowPunct/>
        <w:autoSpaceDE/>
        <w:autoSpaceDN/>
        <w:bidi w:val="0"/>
        <w:adjustRightInd/>
        <w:textAlignment w:val="auto"/>
        <w:rPr>
          <w:rFonts w:ascii="Century" w:hAnsi="Century" w:cs="Miriam"/>
          <w:b/>
          <w:sz w:val="22"/>
          <w:rtl/>
        </w:rPr>
      </w:pPr>
      <w:r>
        <w:rPr>
          <w:rFonts w:ascii="Century" w:hAnsi="Century" w:cs="Miriam"/>
          <w:b/>
          <w:rtl/>
        </w:rPr>
        <w:br w:type="page"/>
      </w:r>
    </w:p>
    <w:p w:rsidR="008B3136" w:rsidRPr="00FD15C7" w:rsidRDefault="008B3136" w:rsidP="008B3136">
      <w:pPr>
        <w:pStyle w:val="Ruller41"/>
        <w:rPr>
          <w:rFonts w:ascii="Century" w:hAnsi="Century" w:cs="Miriam"/>
          <w:b/>
          <w:spacing w:val="0"/>
          <w:szCs w:val="24"/>
          <w:rtl/>
        </w:rPr>
      </w:pPr>
      <w:r w:rsidRPr="00FD15C7">
        <w:rPr>
          <w:rFonts w:ascii="Century" w:hAnsi="Century" w:cs="Miriam" w:hint="cs"/>
          <w:b/>
          <w:spacing w:val="0"/>
          <w:szCs w:val="24"/>
          <w:rtl/>
        </w:rPr>
        <w:t xml:space="preserve">אחריות המערער ללשון הרע </w:t>
      </w:r>
    </w:p>
    <w:p w:rsidR="008B3136" w:rsidRPr="00FD15C7" w:rsidRDefault="008B3136" w:rsidP="008B3136">
      <w:pPr>
        <w:pStyle w:val="Ruller41"/>
        <w:rPr>
          <w:rtl/>
        </w:rPr>
      </w:pPr>
    </w:p>
    <w:p w:rsidR="008B3136" w:rsidRDefault="008B3136" w:rsidP="008B3136">
      <w:pPr>
        <w:pStyle w:val="Ruller4"/>
      </w:pPr>
      <w:r>
        <w:rPr>
          <w:rFonts w:hint="cs"/>
          <w:rtl/>
        </w:rPr>
        <w:t xml:space="preserve">בכפוף לעניין ההתיישנות, אליו אתייחס בהמשך דבריי, אחריותו של המערער ללשון הרע, אשר פגעה בזכויותיו של המשיב 1, אף היא אינה במחלוקת אמיתית. המערער אינו זכאי לשום הגנה שבהתקיים תנאיה מוענקת לנתבעים בגדרו של חוק לשון הרע. כפי שנקבע בפסק הדין קמא, וכפי שצוין בחוות דעתו המפורטת של חברי, השופט </w:t>
      </w:r>
      <w:r w:rsidRPr="002F75F6">
        <w:rPr>
          <w:rFonts w:ascii="Century" w:hAnsi="Century" w:cs="Miriam" w:hint="cs"/>
          <w:b/>
          <w:spacing w:val="0"/>
          <w:sz w:val="22"/>
          <w:szCs w:val="24"/>
          <w:rtl/>
        </w:rPr>
        <w:t>עמית</w:t>
      </w:r>
      <w:r>
        <w:rPr>
          <w:rFonts w:hint="cs"/>
          <w:rtl/>
        </w:rPr>
        <w:t>, המערער לא פעל בתום-לב וממילא לא טרח לעשות ולו מאמץ מינימלי על-מנת להגיע לחקר האמת בסרט שיצר. לא האמת היתה נר לרגליו, אלא השחרת פניהם של צבא הגנה לישראל ולוחמיו על בסיסן של "עובדות" שהיו בלתי-בדוקות, במקרה הטוב, ומסולפות במתכוון, במקרה הפחות טוב.</w:t>
      </w:r>
    </w:p>
    <w:p w:rsidR="008B3136" w:rsidRDefault="008B3136" w:rsidP="008B3136">
      <w:pPr>
        <w:pStyle w:val="Ruller4"/>
        <w:numPr>
          <w:ilvl w:val="0"/>
          <w:numId w:val="0"/>
        </w:numPr>
      </w:pPr>
    </w:p>
    <w:p w:rsidR="008B3136" w:rsidRDefault="008B3136" w:rsidP="008B3136">
      <w:pPr>
        <w:pStyle w:val="Ruller4"/>
      </w:pPr>
      <w:r>
        <w:rPr>
          <w:rFonts w:hint="cs"/>
          <w:rtl/>
        </w:rPr>
        <w:t xml:space="preserve">הסרט הוקרן לראשונה בשנת 2002. במהלכן של שבע השנים אשר קדמו להגשת תביעתו של המשיב 1, בחודש נובמבר 2016, הסרט הוקרן ארבע פעמים: באוניברסיטה העברית בירושלים; באוניברסיטת תל אביב; במכללת בית-ברל; ובסינמטק זכרון יעקב. בשנת 2012, הועלה הסרט לאתר </w:t>
      </w:r>
      <w:r w:rsidRPr="005118ED">
        <w:rPr>
          <w:rFonts w:hint="cs"/>
          <w:rtl/>
        </w:rPr>
        <w:t>ה-</w:t>
      </w:r>
      <w:r w:rsidRPr="005118ED">
        <w:rPr>
          <w:rFonts w:asciiTheme="majorBidi" w:hAnsiTheme="majorBidi" w:cstheme="majorBidi"/>
        </w:rPr>
        <w:t>YouTube</w:t>
      </w:r>
      <w:r>
        <w:rPr>
          <w:rFonts w:hint="cs"/>
          <w:rtl/>
        </w:rPr>
        <w:t xml:space="preserve"> באינטרנט על ידי גורם שזהותו לא התבררה. </w:t>
      </w:r>
    </w:p>
    <w:p w:rsidR="008B3136" w:rsidRDefault="008B3136" w:rsidP="008B3136">
      <w:pPr>
        <w:pStyle w:val="Ruller4"/>
        <w:numPr>
          <w:ilvl w:val="0"/>
          <w:numId w:val="0"/>
        </w:numPr>
      </w:pPr>
    </w:p>
    <w:p w:rsidR="008B3136" w:rsidRDefault="008B3136" w:rsidP="008B3136">
      <w:pPr>
        <w:pStyle w:val="Ruller4"/>
      </w:pPr>
      <w:r>
        <w:rPr>
          <w:rFonts w:hint="cs"/>
          <w:rtl/>
        </w:rPr>
        <w:t xml:space="preserve">בית משפט קמא קבע כי מסכת הקרנות זאת אינה מגיעה כדי עוולה נמשכת. אולם, לאחר שמצא כי לזכות המשיב 1 עומד החריג של "התיישנות שלא מדעת", דחה בית המשפט את טענת ההתיישנות אשר הועלתה על ידי המערער, כטענת הגנה, ביחס להקרנות הסרט שבינן לבין המועד בו הוגשה התביעה מפרידה תקופה </w:t>
      </w:r>
      <w:r w:rsidRPr="001A4E24">
        <w:rPr>
          <w:rFonts w:hint="eastAsia"/>
          <w:rtl/>
        </w:rPr>
        <w:t>ש</w:t>
      </w:r>
      <w:r>
        <w:rPr>
          <w:rFonts w:hint="cs"/>
          <w:rtl/>
        </w:rPr>
        <w:t xml:space="preserve">חצתה את הקו של שבע שנים (לגבי עניינים אלה ראו סעיפים 5(1) ו-8 לחוק ההתיישנות, התשי"ח-1958 (להלן: </w:t>
      </w:r>
      <w:r w:rsidRPr="00DA2703">
        <w:rPr>
          <w:rFonts w:ascii="Century" w:hAnsi="Century" w:cs="Miriam" w:hint="cs"/>
          <w:b/>
          <w:spacing w:val="0"/>
          <w:sz w:val="22"/>
          <w:szCs w:val="24"/>
          <w:rtl/>
        </w:rPr>
        <w:t>חוק ההתיישנות</w:t>
      </w:r>
      <w:r>
        <w:rPr>
          <w:rFonts w:hint="cs"/>
          <w:rtl/>
        </w:rPr>
        <w:t xml:space="preserve">)). </w:t>
      </w:r>
    </w:p>
    <w:p w:rsidR="008B3136" w:rsidRDefault="008B3136" w:rsidP="008B3136">
      <w:pPr>
        <w:pStyle w:val="Ruller4"/>
        <w:numPr>
          <w:ilvl w:val="0"/>
          <w:numId w:val="0"/>
        </w:numPr>
      </w:pPr>
    </w:p>
    <w:p w:rsidR="008B3136" w:rsidRDefault="008B3136" w:rsidP="008B3136">
      <w:pPr>
        <w:pStyle w:val="Ruller4"/>
      </w:pPr>
      <w:r>
        <w:rPr>
          <w:rFonts w:hint="cs"/>
          <w:rtl/>
        </w:rPr>
        <w:t xml:space="preserve">באשר לסעדים המגיעים למשיב 1 </w:t>
      </w:r>
      <w:r>
        <w:rPr>
          <w:rtl/>
        </w:rPr>
        <w:t>–</w:t>
      </w:r>
      <w:r>
        <w:rPr>
          <w:rFonts w:hint="cs"/>
          <w:rtl/>
        </w:rPr>
        <w:t xml:space="preserve"> בית משפט קמא פסק לזכותו, כאמור, פיצוי ללא הוכחת נזק בסך כולל של 175,000 ש"ח והוציא מלפניו צו אשר מונע את הפצת הסרט ואת הקרנתו, וכן צו המורה על החרמת עותקיו של הסרט ככל שהמערער מודע </w:t>
      </w:r>
      <w:r w:rsidRPr="00430AFB">
        <w:rPr>
          <w:rFonts w:hint="eastAsia"/>
          <w:rtl/>
        </w:rPr>
        <w:t>למקום</w:t>
      </w:r>
      <w:r w:rsidRPr="00430AFB">
        <w:rPr>
          <w:rtl/>
        </w:rPr>
        <w:t xml:space="preserve"> </w:t>
      </w:r>
      <w:r w:rsidRPr="00430AFB">
        <w:rPr>
          <w:rFonts w:hint="eastAsia"/>
          <w:rtl/>
        </w:rPr>
        <w:t>הימצאותם</w:t>
      </w:r>
      <w:r>
        <w:rPr>
          <w:rFonts w:hint="cs"/>
          <w:rtl/>
        </w:rPr>
        <w:t xml:space="preserve">. בית המשפט נמנע מלהוציא צווים כאמור ביחס </w:t>
      </w:r>
      <w:r w:rsidRPr="005118ED">
        <w:rPr>
          <w:rFonts w:hint="cs"/>
          <w:rtl/>
        </w:rPr>
        <w:t>לאתר ה</w:t>
      </w:r>
      <w:r>
        <w:rPr>
          <w:rFonts w:hint="cs"/>
          <w:rtl/>
        </w:rPr>
        <w:t>-</w:t>
      </w:r>
      <w:r w:rsidRPr="00BB75E0">
        <w:rPr>
          <w:rFonts w:asciiTheme="majorBidi" w:hAnsiTheme="majorBidi" w:cstheme="majorBidi"/>
        </w:rPr>
        <w:t>YouTube</w:t>
      </w:r>
      <w:r>
        <w:rPr>
          <w:rFonts w:hint="cs"/>
          <w:rtl/>
        </w:rPr>
        <w:t xml:space="preserve"> </w:t>
      </w:r>
      <w:r>
        <w:rPr>
          <w:rtl/>
        </w:rPr>
        <w:t>–</w:t>
      </w:r>
      <w:r>
        <w:rPr>
          <w:rFonts w:hint="cs"/>
          <w:rtl/>
        </w:rPr>
        <w:t xml:space="preserve"> זאת, אחרי שנוכח לדעת כי המשיב 1 לא פנה למפיץ הסרט באתר זה לפני שהגיש את תביעתו. </w:t>
      </w:r>
    </w:p>
    <w:p w:rsidR="008B3136" w:rsidRDefault="008B3136" w:rsidP="008B3136">
      <w:pPr>
        <w:pStyle w:val="Ruller4"/>
        <w:numPr>
          <w:ilvl w:val="0"/>
          <w:numId w:val="0"/>
        </w:numPr>
      </w:pPr>
    </w:p>
    <w:p w:rsidR="008B3136" w:rsidRDefault="008B3136" w:rsidP="008B3136">
      <w:pPr>
        <w:pStyle w:val="Ruller4"/>
      </w:pPr>
      <w:r>
        <w:rPr>
          <w:rFonts w:hint="cs"/>
          <w:rtl/>
        </w:rPr>
        <w:t>בית משפט קמא החליט כאמור על יסוד ממצאים עובדתיים אשר נקבעו על ידו אחרי שמיעת ראיות. עיקריהם של ממצאים אלה אינם במחלוקת ובהם ממילא אין מקום להתערב במסגרתו של ערעור (</w:t>
      </w:r>
      <w:r w:rsidRPr="009053C7">
        <w:rPr>
          <w:rFonts w:hint="eastAsia"/>
          <w:rtl/>
        </w:rPr>
        <w:t>ראו</w:t>
      </w:r>
      <w:r w:rsidRPr="009053C7">
        <w:rPr>
          <w:rtl/>
        </w:rPr>
        <w:t xml:space="preserve">, </w:t>
      </w:r>
      <w:r w:rsidRPr="009053C7">
        <w:rPr>
          <w:rFonts w:hint="eastAsia"/>
          <w:rtl/>
        </w:rPr>
        <w:t>מ</w:t>
      </w:r>
      <w:r>
        <w:rPr>
          <w:rFonts w:hint="cs"/>
          <w:rtl/>
        </w:rPr>
        <w:t>י</w:t>
      </w:r>
      <w:r w:rsidRPr="009053C7">
        <w:rPr>
          <w:rFonts w:hint="eastAsia"/>
          <w:rtl/>
        </w:rPr>
        <w:t>ני</w:t>
      </w:r>
      <w:r w:rsidRPr="009053C7">
        <w:rPr>
          <w:rtl/>
        </w:rPr>
        <w:t xml:space="preserve"> </w:t>
      </w:r>
      <w:r w:rsidRPr="009053C7">
        <w:rPr>
          <w:rFonts w:hint="eastAsia"/>
          <w:rtl/>
        </w:rPr>
        <w:t>רבים</w:t>
      </w:r>
      <w:r w:rsidRPr="009053C7">
        <w:rPr>
          <w:rtl/>
        </w:rPr>
        <w:t>:</w:t>
      </w:r>
      <w:r w:rsidRPr="009053C7">
        <w:rPr>
          <w:rFonts w:hint="cs"/>
          <w:rtl/>
        </w:rPr>
        <w:t xml:space="preserve"> ע"א 1548/96 </w:t>
      </w:r>
      <w:r w:rsidRPr="00A14071">
        <w:rPr>
          <w:rFonts w:ascii="Century" w:hAnsi="Century" w:cs="Miriam" w:hint="eastAsia"/>
          <w:b/>
          <w:spacing w:val="0"/>
          <w:sz w:val="22"/>
          <w:szCs w:val="24"/>
          <w:rtl/>
        </w:rPr>
        <w:t>בנק</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איגוד</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לישראל</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בע</w:t>
      </w:r>
      <w:r w:rsidRPr="00A14071">
        <w:rPr>
          <w:rFonts w:ascii="Century" w:hAnsi="Century" w:cs="Miriam"/>
          <w:b/>
          <w:spacing w:val="0"/>
          <w:sz w:val="22"/>
          <w:szCs w:val="24"/>
          <w:rtl/>
        </w:rPr>
        <w:t>"</w:t>
      </w:r>
      <w:r w:rsidRPr="00A14071">
        <w:rPr>
          <w:rFonts w:ascii="Century" w:hAnsi="Century" w:cs="Miriam" w:hint="eastAsia"/>
          <w:b/>
          <w:spacing w:val="0"/>
          <w:sz w:val="22"/>
          <w:szCs w:val="24"/>
          <w:rtl/>
        </w:rPr>
        <w:t>מ</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לופו</w:t>
      </w:r>
      <w:r w:rsidRPr="009053C7">
        <w:rPr>
          <w:rFonts w:hint="cs"/>
          <w:rtl/>
        </w:rPr>
        <w:t>, פ"ד נד(2) 559, 568 (2000);</w:t>
      </w:r>
      <w:r>
        <w:rPr>
          <w:rFonts w:hint="cs"/>
          <w:rtl/>
        </w:rPr>
        <w:t xml:space="preserve"> ע"א 3601/96 </w:t>
      </w:r>
      <w:r>
        <w:rPr>
          <w:rFonts w:ascii="Century" w:hAnsi="Century" w:cs="Miriam" w:hint="eastAsia"/>
          <w:b/>
          <w:spacing w:val="0"/>
          <w:sz w:val="22"/>
          <w:szCs w:val="24"/>
          <w:rtl/>
        </w:rPr>
        <w:t>בראשי</w:t>
      </w:r>
      <w:r>
        <w:rPr>
          <w:rFonts w:ascii="Century" w:hAnsi="Century" w:cs="Miriam"/>
          <w:b/>
          <w:spacing w:val="0"/>
          <w:sz w:val="22"/>
          <w:szCs w:val="24"/>
          <w:rtl/>
        </w:rPr>
        <w:t xml:space="preserve"> </w:t>
      </w:r>
      <w:r>
        <w:rPr>
          <w:rFonts w:ascii="Century" w:hAnsi="Century" w:cs="Miriam" w:hint="eastAsia"/>
          <w:b/>
          <w:spacing w:val="0"/>
          <w:sz w:val="22"/>
          <w:szCs w:val="24"/>
          <w:rtl/>
        </w:rPr>
        <w:t>נ</w:t>
      </w:r>
      <w:r>
        <w:rPr>
          <w:rFonts w:ascii="Century" w:hAnsi="Century" w:cs="Miriam"/>
          <w:b/>
          <w:spacing w:val="0"/>
          <w:sz w:val="22"/>
          <w:szCs w:val="24"/>
          <w:rtl/>
        </w:rPr>
        <w:t xml:space="preserve">' </w:t>
      </w:r>
      <w:r>
        <w:rPr>
          <w:rFonts w:ascii="Century" w:hAnsi="Century" w:cs="Miriam" w:hint="eastAsia"/>
          <w:b/>
          <w:spacing w:val="0"/>
          <w:sz w:val="22"/>
          <w:szCs w:val="24"/>
          <w:rtl/>
        </w:rPr>
        <w:t>עיזבון</w:t>
      </w:r>
      <w:r>
        <w:rPr>
          <w:rFonts w:ascii="Century" w:hAnsi="Century" w:cs="Miriam"/>
          <w:b/>
          <w:spacing w:val="0"/>
          <w:sz w:val="22"/>
          <w:szCs w:val="24"/>
          <w:rtl/>
        </w:rPr>
        <w:t xml:space="preserve"> </w:t>
      </w:r>
      <w:r w:rsidRPr="00A14071">
        <w:rPr>
          <w:rFonts w:ascii="Century" w:hAnsi="Century" w:cs="Miriam" w:hint="eastAsia"/>
          <w:b/>
          <w:spacing w:val="0"/>
          <w:sz w:val="22"/>
          <w:szCs w:val="24"/>
          <w:rtl/>
        </w:rPr>
        <w:t>בראשי</w:t>
      </w:r>
      <w:r>
        <w:rPr>
          <w:rFonts w:hint="cs"/>
          <w:rtl/>
        </w:rPr>
        <w:t xml:space="preserve">, פ"ד נב(2) 582, 594 (1998); ע"א 4839/92 </w:t>
      </w:r>
      <w:r w:rsidRPr="00A14071">
        <w:rPr>
          <w:rFonts w:ascii="Century" w:hAnsi="Century" w:cs="Miriam" w:hint="eastAsia"/>
          <w:b/>
          <w:spacing w:val="0"/>
          <w:sz w:val="22"/>
          <w:szCs w:val="24"/>
          <w:rtl/>
        </w:rPr>
        <w:t>גנז</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כץ</w:t>
      </w:r>
      <w:r>
        <w:rPr>
          <w:rFonts w:hint="cs"/>
          <w:rtl/>
        </w:rPr>
        <w:t xml:space="preserve">, פ"ד מח(4) 749, 756 (1994); ע"א 1966/07 </w:t>
      </w:r>
      <w:r w:rsidRPr="00A14071">
        <w:rPr>
          <w:rFonts w:ascii="Century" w:hAnsi="Century" w:cs="Miriam" w:hint="eastAsia"/>
          <w:b/>
          <w:spacing w:val="0"/>
          <w:sz w:val="22"/>
          <w:szCs w:val="24"/>
          <w:rtl/>
        </w:rPr>
        <w:t>אריאל</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קרן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הגמלאות</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של</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חברי</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אגד</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בע</w:t>
      </w:r>
      <w:r w:rsidRPr="00A14071">
        <w:rPr>
          <w:rFonts w:ascii="Century" w:hAnsi="Century" w:cs="Miriam"/>
          <w:b/>
          <w:spacing w:val="0"/>
          <w:sz w:val="22"/>
          <w:szCs w:val="24"/>
          <w:rtl/>
        </w:rPr>
        <w:t>"</w:t>
      </w:r>
      <w:r w:rsidRPr="00A14071">
        <w:rPr>
          <w:rFonts w:ascii="Century" w:hAnsi="Century" w:cs="Miriam" w:hint="eastAsia"/>
          <w:b/>
          <w:spacing w:val="0"/>
          <w:sz w:val="22"/>
          <w:szCs w:val="24"/>
          <w:rtl/>
        </w:rPr>
        <w:t>מ</w:t>
      </w:r>
      <w:r>
        <w:rPr>
          <w:rFonts w:hint="cs"/>
          <w:rtl/>
        </w:rPr>
        <w:t>, פסקאות 27-26 (9.8.2010)</w:t>
      </w:r>
      <w:r w:rsidRPr="009053C7">
        <w:rPr>
          <w:rtl/>
        </w:rPr>
        <w:t>).</w:t>
      </w:r>
      <w:r>
        <w:rPr>
          <w:rFonts w:hint="cs"/>
          <w:rtl/>
        </w:rPr>
        <w:t xml:space="preserve"> חברי, השופט </w:t>
      </w:r>
      <w:r w:rsidRPr="00244759">
        <w:rPr>
          <w:rFonts w:ascii="Century" w:hAnsi="Century" w:cs="Miriam" w:hint="cs"/>
          <w:b/>
          <w:spacing w:val="0"/>
          <w:sz w:val="22"/>
          <w:szCs w:val="24"/>
          <w:rtl/>
        </w:rPr>
        <w:t>עמית</w:t>
      </w:r>
      <w:r>
        <w:rPr>
          <w:rFonts w:hint="cs"/>
          <w:rtl/>
        </w:rPr>
        <w:t xml:space="preserve">, סבור כי בית משפט קמא טעה טעות שבדין בכך שקבע כי המשיב 1 זכאי לחריג של "התיישנות שלא מדעת"; ובעניין זה איני רואה צורך לחוות דעה לכאן או לכאן. זאת, מאחר שאני סבור כי בית משפט קמא טעה טעות שבדין בקבעו כי העוולה של לשון הרע, לה נמצא המערער אחראי ללא צל-צלו של ספק, לא היתה עוולה נמשכת בנסיבות ביצועה. סבורני כי בפנינו עוולה נמשכת, כמשמעה בדיני הנזיקין; ועל כן </w:t>
      </w:r>
      <w:r>
        <w:rPr>
          <w:rtl/>
        </w:rPr>
        <w:t>–</w:t>
      </w:r>
      <w:r>
        <w:rPr>
          <w:rFonts w:hint="cs"/>
          <w:rtl/>
        </w:rPr>
        <w:t xml:space="preserve"> בניגוד לעמדת חברי, השופט </w:t>
      </w:r>
      <w:r w:rsidRPr="008247EC">
        <w:rPr>
          <w:rFonts w:ascii="Century" w:hAnsi="Century" w:cs="Miriam" w:hint="cs"/>
          <w:b/>
          <w:spacing w:val="0"/>
          <w:sz w:val="22"/>
          <w:szCs w:val="24"/>
          <w:rtl/>
        </w:rPr>
        <w:t>עמית</w:t>
      </w:r>
      <w:r>
        <w:rPr>
          <w:rFonts w:hint="cs"/>
          <w:rtl/>
        </w:rPr>
        <w:t xml:space="preserve"> </w:t>
      </w:r>
      <w:r>
        <w:rPr>
          <w:rtl/>
        </w:rPr>
        <w:t>–</w:t>
      </w:r>
      <w:r>
        <w:rPr>
          <w:rFonts w:hint="cs"/>
          <w:rtl/>
        </w:rPr>
        <w:t xml:space="preserve"> הגעתי למסקנה כי </w:t>
      </w:r>
      <w:r w:rsidRPr="008247EC">
        <w:rPr>
          <w:rFonts w:ascii="Century" w:hAnsi="Century" w:cs="Miriam" w:hint="cs"/>
          <w:b/>
          <w:spacing w:val="0"/>
          <w:sz w:val="22"/>
          <w:szCs w:val="24"/>
          <w:rtl/>
        </w:rPr>
        <w:t>תביעתו של המשיב 1 נגד המערער לא התיישנה בשום רכיב מרכיביה</w:t>
      </w:r>
      <w:r>
        <w:rPr>
          <w:rFonts w:hint="cs"/>
          <w:rtl/>
        </w:rPr>
        <w:t>.</w:t>
      </w:r>
    </w:p>
    <w:p w:rsidR="008B3136" w:rsidRDefault="008B3136" w:rsidP="008B3136">
      <w:pPr>
        <w:pStyle w:val="Ruller4"/>
        <w:numPr>
          <w:ilvl w:val="0"/>
          <w:numId w:val="0"/>
        </w:numPr>
      </w:pPr>
    </w:p>
    <w:p w:rsidR="008B3136" w:rsidRDefault="008B3136" w:rsidP="008B3136">
      <w:pPr>
        <w:pStyle w:val="Ruller4"/>
      </w:pPr>
      <w:r>
        <w:rPr>
          <w:rFonts w:hint="cs"/>
          <w:rtl/>
        </w:rPr>
        <w:t xml:space="preserve">המערער פרסם את הסרט במרחב הציבורי ואפשר את הקרנתו ברבים. ברי הוא גם, כי הסרט נועד להיות מוקרן יותר מפעם אחת בפני קהלים שונים בארץ ובעולם, ולהעביר לקהלים אלו מסר כוזב לפיו צה"ל ולוחמיו ביצעו פשעי מלחמה כלפי אוכלוסייה אזרחית בג'נין במהלכו של המבצע "חומת מגן" </w:t>
      </w:r>
      <w:r>
        <w:rPr>
          <w:rtl/>
        </w:rPr>
        <w:t>–</w:t>
      </w:r>
      <w:r>
        <w:rPr>
          <w:rFonts w:hint="cs"/>
          <w:rtl/>
        </w:rPr>
        <w:t xml:space="preserve"> פשעים שכביכול כללו הרג המונים, הריסת בתים ומעשי שוד וביזה. מסיבה פשוטה זו, ובשל פרסום הכזבים שפרסם, מצא עצמו המערער תחת חובה להסיר את הסרט מהמרחב הציבורי, לנקותו משקרים ומדברי כזב, או, למצער, להוציא מן הסרט את דמותו של המשיב 1, אשר כאמור מוצג בסרט כפושע מלחמה (ראו: רע"א 4673/15 </w:t>
      </w:r>
      <w:r w:rsidRPr="00A14071">
        <w:rPr>
          <w:rFonts w:ascii="Century" w:hAnsi="Century" w:cs="Miriam" w:hint="eastAsia"/>
          <w:b/>
          <w:spacing w:val="0"/>
          <w:sz w:val="22"/>
          <w:szCs w:val="24"/>
          <w:rtl/>
        </w:rPr>
        <w:t>בר</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נוי</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סביר</w:t>
      </w:r>
      <w:r>
        <w:rPr>
          <w:rFonts w:hint="cs"/>
          <w:rtl/>
        </w:rPr>
        <w:t xml:space="preserve">, פסקה 10 (2016) (להלן: עניין </w:t>
      </w:r>
      <w:r w:rsidRPr="00A14071">
        <w:rPr>
          <w:rFonts w:ascii="Century" w:hAnsi="Century" w:cs="Miriam" w:hint="eastAsia"/>
          <w:b/>
          <w:spacing w:val="0"/>
          <w:sz w:val="22"/>
          <w:szCs w:val="24"/>
          <w:rtl/>
        </w:rPr>
        <w:t>סביר</w:t>
      </w:r>
      <w:r>
        <w:rPr>
          <w:rFonts w:hint="cs"/>
          <w:rtl/>
        </w:rPr>
        <w:t xml:space="preserve">)). הווה אומר: כל אימת שהמערער משאיר את סרט הכזבים שלו במרחב הציבורי אחרי הצבתו שם, לא מתקנו, אינו מכחיש את תוכנו, ואינו פונה למקריני הסרט בדרישה להפסיק את הקרנותיו </w:t>
      </w:r>
      <w:r>
        <w:rPr>
          <w:rtl/>
        </w:rPr>
        <w:t>–</w:t>
      </w:r>
      <w:r>
        <w:rPr>
          <w:rFonts w:hint="cs"/>
          <w:rtl/>
        </w:rPr>
        <w:t xml:space="preserve"> </w:t>
      </w:r>
      <w:r w:rsidRPr="00533577">
        <w:rPr>
          <w:rFonts w:ascii="Century" w:hAnsi="Century" w:cs="Miriam" w:hint="cs"/>
          <w:b/>
          <w:spacing w:val="0"/>
          <w:sz w:val="22"/>
          <w:szCs w:val="24"/>
          <w:rtl/>
        </w:rPr>
        <w:t>קרי, אינו עושה את כל אשר לאל ידו כדי לעצור את הפצת הדיבה שבסרט</w:t>
      </w:r>
      <w:r>
        <w:rPr>
          <w:rFonts w:hint="cs"/>
          <w:rtl/>
        </w:rPr>
        <w:t xml:space="preserve"> </w:t>
      </w:r>
      <w:r>
        <w:rPr>
          <w:rtl/>
        </w:rPr>
        <w:t>–</w:t>
      </w:r>
      <w:r>
        <w:rPr>
          <w:rFonts w:hint="cs"/>
          <w:rtl/>
        </w:rPr>
        <w:t xml:space="preserve"> הרי שהוא ממשיך להיות אחראי ללשון הרע שהביא לעולם. אחריותו זו של המערער מורכבת ממעשה וממחדל, בדומה לאחריותו של מעוול "מן השורה" אשר יוצר סיכון לנזק במעשה שדבק בו אשם, ואחר-כך אינו נוקט באמצעים סבירים כדי לנסות ולמנוע את קרות הנזק (ראו והשוו: ע"א 590/67 </w:t>
      </w:r>
      <w:r w:rsidRPr="00375E7E">
        <w:rPr>
          <w:rFonts w:ascii="Century" w:hAnsi="Century" w:cs="Miriam" w:hint="cs"/>
          <w:b/>
          <w:spacing w:val="0"/>
          <w:szCs w:val="24"/>
          <w:rtl/>
        </w:rPr>
        <w:t>קלינמן נ' ד"ר מירון חרושת כימית בע"מ</w:t>
      </w:r>
      <w:r>
        <w:rPr>
          <w:rFonts w:hint="cs"/>
          <w:rtl/>
        </w:rPr>
        <w:t xml:space="preserve">, פ"ד כב(2) 929, 936-935 (1968) (להלן: עניין </w:t>
      </w:r>
      <w:r w:rsidRPr="00122CEF">
        <w:rPr>
          <w:rFonts w:ascii="Century" w:hAnsi="Century" w:cs="Miriam" w:hint="eastAsia"/>
          <w:b/>
          <w:spacing w:val="0"/>
          <w:szCs w:val="24"/>
          <w:rtl/>
        </w:rPr>
        <w:t>קלינמן</w:t>
      </w:r>
      <w:r>
        <w:rPr>
          <w:rFonts w:hint="cs"/>
          <w:rtl/>
        </w:rPr>
        <w:t xml:space="preserve">), שם נקבע כי המעסיקה התרשלה כלפי העובדת שלה משלא פעלה למנוע את חשיפת העובדת לחומרים כימיים מסוכנים, במשך תשע שנות עבודתה במקום; ע"א 702/86 </w:t>
      </w:r>
      <w:r w:rsidRPr="00A14071">
        <w:rPr>
          <w:rFonts w:ascii="Century" w:hAnsi="Century" w:cs="Miriam" w:hint="eastAsia"/>
          <w:b/>
          <w:spacing w:val="0"/>
          <w:sz w:val="22"/>
          <w:szCs w:val="24"/>
          <w:rtl/>
        </w:rPr>
        <w:t>איטונג</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בטרום</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בע</w:t>
      </w:r>
      <w:r w:rsidRPr="00A14071">
        <w:rPr>
          <w:rFonts w:ascii="Century" w:hAnsi="Century" w:cs="Miriam"/>
          <w:b/>
          <w:spacing w:val="0"/>
          <w:sz w:val="22"/>
          <w:szCs w:val="24"/>
          <w:rtl/>
        </w:rPr>
        <w:t>"</w:t>
      </w:r>
      <w:r w:rsidRPr="00A14071">
        <w:rPr>
          <w:rFonts w:ascii="Century" w:hAnsi="Century" w:cs="Miriam" w:hint="eastAsia"/>
          <w:b/>
          <w:spacing w:val="0"/>
          <w:sz w:val="22"/>
          <w:szCs w:val="24"/>
          <w:rtl/>
        </w:rPr>
        <w:t>מ</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הרוש</w:t>
      </w:r>
      <w:r>
        <w:rPr>
          <w:rFonts w:hint="cs"/>
          <w:rtl/>
        </w:rPr>
        <w:t>, פ"ד מד(1) 160, 172 (1989), שם נקבע כי המעסיקה התרשלה כלפי העובד שלה, הואיל ולא נקטה בכל האמצעים הדרושים כדי למנוע חשיפה של העובד לאבק בכמות ניכרת אשר השפיע על מצבו הבריאותי, במשך 14 שנות עבודתו במקום). במילים אחרות: פרסומו של סרט הכזבים במרחב הציבורי על ידי המערער העמיד אותו תחת חובה משפטית לתקן את אשר קלקל, והמחדל שבאי-התיקון הפך את המערער למעוול שמבצע עוולת נזיקין נמשכת (ראו</w:t>
      </w:r>
      <w:r w:rsidRPr="00537DCE">
        <w:rPr>
          <w:rFonts w:hint="cs"/>
          <w:rtl/>
        </w:rPr>
        <w:t>:</w:t>
      </w:r>
      <w:r w:rsidRPr="00122CEF">
        <w:rPr>
          <w:rtl/>
        </w:rPr>
        <w:t xml:space="preserve"> </w:t>
      </w:r>
      <w:r w:rsidRPr="00122CEF">
        <w:rPr>
          <w:rFonts w:hint="eastAsia"/>
          <w:rtl/>
        </w:rPr>
        <w:t>אלעד</w:t>
      </w:r>
      <w:r w:rsidRPr="00122CEF">
        <w:rPr>
          <w:rtl/>
        </w:rPr>
        <w:t xml:space="preserve"> </w:t>
      </w:r>
      <w:r w:rsidRPr="00122CEF">
        <w:rPr>
          <w:rFonts w:hint="eastAsia"/>
          <w:rtl/>
        </w:rPr>
        <w:t>פלד</w:t>
      </w:r>
      <w:r w:rsidRPr="00122CEF">
        <w:rPr>
          <w:rtl/>
        </w:rPr>
        <w:t xml:space="preserve"> "</w:t>
      </w:r>
      <w:r w:rsidRPr="00122CEF">
        <w:rPr>
          <w:rFonts w:hint="eastAsia"/>
          <w:rtl/>
        </w:rPr>
        <w:t>מניין</w:t>
      </w:r>
      <w:r w:rsidRPr="00122CEF">
        <w:rPr>
          <w:rtl/>
        </w:rPr>
        <w:t xml:space="preserve"> </w:t>
      </w:r>
      <w:r w:rsidRPr="00122CEF">
        <w:rPr>
          <w:rFonts w:hint="eastAsia"/>
          <w:rtl/>
        </w:rPr>
        <w:t>תקופת</w:t>
      </w:r>
      <w:r w:rsidRPr="00122CEF">
        <w:rPr>
          <w:rtl/>
        </w:rPr>
        <w:t xml:space="preserve"> </w:t>
      </w:r>
      <w:r w:rsidRPr="00122CEF">
        <w:rPr>
          <w:rFonts w:hint="eastAsia"/>
          <w:rtl/>
        </w:rPr>
        <w:t>ההתיישנות</w:t>
      </w:r>
      <w:r w:rsidRPr="00122CEF">
        <w:rPr>
          <w:rtl/>
        </w:rPr>
        <w:t xml:space="preserve"> </w:t>
      </w:r>
      <w:r w:rsidRPr="00122CEF">
        <w:rPr>
          <w:rFonts w:hint="eastAsia"/>
          <w:rtl/>
        </w:rPr>
        <w:t>בתביעות</w:t>
      </w:r>
      <w:r w:rsidRPr="00122CEF">
        <w:rPr>
          <w:rtl/>
        </w:rPr>
        <w:t xml:space="preserve"> </w:t>
      </w:r>
      <w:r w:rsidRPr="00122CEF">
        <w:rPr>
          <w:rFonts w:hint="eastAsia"/>
          <w:rtl/>
        </w:rPr>
        <w:t>בגין</w:t>
      </w:r>
      <w:r w:rsidRPr="00122CEF">
        <w:rPr>
          <w:rtl/>
        </w:rPr>
        <w:t xml:space="preserve"> </w:t>
      </w:r>
      <w:r w:rsidRPr="00122CEF">
        <w:rPr>
          <w:rFonts w:hint="eastAsia"/>
          <w:rtl/>
        </w:rPr>
        <w:t>עוולות</w:t>
      </w:r>
      <w:r w:rsidRPr="00122CEF">
        <w:rPr>
          <w:rtl/>
        </w:rPr>
        <w:t xml:space="preserve"> </w:t>
      </w:r>
      <w:r w:rsidRPr="00122CEF">
        <w:rPr>
          <w:rFonts w:hint="eastAsia"/>
          <w:rtl/>
        </w:rPr>
        <w:t>מקוונות</w:t>
      </w:r>
      <w:r w:rsidRPr="00122CEF">
        <w:rPr>
          <w:rtl/>
        </w:rPr>
        <w:t xml:space="preserve">" </w:t>
      </w:r>
      <w:r w:rsidRPr="00122CEF">
        <w:rPr>
          <w:rFonts w:ascii="Century" w:hAnsi="Century" w:cs="Miriam" w:hint="eastAsia"/>
          <w:b/>
          <w:spacing w:val="0"/>
          <w:szCs w:val="24"/>
          <w:rtl/>
        </w:rPr>
        <w:t>חוקים</w:t>
      </w:r>
      <w:r w:rsidRPr="00122CEF">
        <w:rPr>
          <w:rtl/>
        </w:rPr>
        <w:t xml:space="preserve"> </w:t>
      </w:r>
      <w:r w:rsidRPr="00122CEF">
        <w:rPr>
          <w:rFonts w:hint="eastAsia"/>
          <w:rtl/>
        </w:rPr>
        <w:t>ד</w:t>
      </w:r>
      <w:r w:rsidRPr="00122CEF">
        <w:rPr>
          <w:rtl/>
        </w:rPr>
        <w:t xml:space="preserve"> 57</w:t>
      </w:r>
      <w:r>
        <w:rPr>
          <w:rFonts w:hint="cs"/>
          <w:rtl/>
        </w:rPr>
        <w:t>, 65</w:t>
      </w:r>
      <w:r w:rsidRPr="00122CEF">
        <w:rPr>
          <w:rtl/>
        </w:rPr>
        <w:t xml:space="preserve"> (2012)</w:t>
      </w:r>
      <w:r>
        <w:rPr>
          <w:rFonts w:hint="cs"/>
          <w:rtl/>
        </w:rPr>
        <w:t xml:space="preserve"> (להלן: </w:t>
      </w:r>
      <w:r w:rsidRPr="00621420">
        <w:rPr>
          <w:rFonts w:ascii="Century" w:hAnsi="Century" w:cs="Miriam" w:hint="cs"/>
          <w:b/>
          <w:spacing w:val="0"/>
          <w:szCs w:val="24"/>
          <w:rtl/>
        </w:rPr>
        <w:t xml:space="preserve">עוולות </w:t>
      </w:r>
      <w:r w:rsidRPr="00223166">
        <w:rPr>
          <w:rFonts w:ascii="Century" w:hAnsi="Century" w:cs="Miriam" w:hint="eastAsia"/>
          <w:b/>
          <w:spacing w:val="0"/>
          <w:szCs w:val="24"/>
          <w:rtl/>
        </w:rPr>
        <w:t>מקוונות</w:t>
      </w:r>
      <w:r>
        <w:rPr>
          <w:rFonts w:hint="cs"/>
          <w:rtl/>
        </w:rPr>
        <w:t>)).</w:t>
      </w:r>
    </w:p>
    <w:p w:rsidR="008B3136" w:rsidRDefault="008B3136" w:rsidP="008B3136">
      <w:pPr>
        <w:pStyle w:val="Ruller4"/>
        <w:numPr>
          <w:ilvl w:val="0"/>
          <w:numId w:val="0"/>
        </w:numPr>
      </w:pPr>
    </w:p>
    <w:p w:rsidR="008B3136" w:rsidRDefault="008B3136" w:rsidP="008B3136">
      <w:pPr>
        <w:pStyle w:val="Ruller4"/>
      </w:pPr>
      <w:r>
        <w:rPr>
          <w:rFonts w:hint="cs"/>
          <w:rtl/>
        </w:rPr>
        <w:t xml:space="preserve">זאת ועוד: בניגוד לדעת חברי, השופט </w:t>
      </w:r>
      <w:r w:rsidRPr="000F46A5">
        <w:rPr>
          <w:rFonts w:ascii="Century" w:hAnsi="Century" w:cs="Miriam" w:hint="cs"/>
          <w:b/>
          <w:spacing w:val="0"/>
          <w:sz w:val="22"/>
          <w:szCs w:val="24"/>
          <w:rtl/>
        </w:rPr>
        <w:t>עמית</w:t>
      </w:r>
      <w:r>
        <w:rPr>
          <w:rFonts w:hint="cs"/>
          <w:rtl/>
        </w:rPr>
        <w:t>, הנני סבור כי המערער נושא באחריות נזיקית גם לפרסום הסרט באתר ה-</w:t>
      </w:r>
      <w:r w:rsidRPr="000F46A5">
        <w:rPr>
          <w:rFonts w:asciiTheme="majorBidi" w:hAnsiTheme="majorBidi" w:cstheme="majorBidi"/>
        </w:rPr>
        <w:t>YouTube</w:t>
      </w:r>
      <w:r>
        <w:rPr>
          <w:rFonts w:hint="cs"/>
          <w:rtl/>
        </w:rPr>
        <w:t xml:space="preserve">, כפי שקבע בית משפט קמא. לדעת חברי, "הניסיון להטיל על אדם אחריות בגין פרסום שנעשה שלא בשליטתו, ללא ידיעתו וללא </w:t>
      </w:r>
      <w:r w:rsidRPr="00430AFB">
        <w:rPr>
          <w:rFonts w:hint="cs"/>
          <w:rtl/>
        </w:rPr>
        <w:t xml:space="preserve">הסכמתו, משל היה מעין מעוול-במשותף-שלא-מדעת, הוא ניסיון מוקשה" </w:t>
      </w:r>
      <w:r w:rsidRPr="00430AFB">
        <w:rPr>
          <w:rtl/>
        </w:rPr>
        <w:t>–</w:t>
      </w:r>
      <w:r w:rsidRPr="00430AFB">
        <w:rPr>
          <w:rFonts w:hint="cs"/>
          <w:rtl/>
        </w:rPr>
        <w:t xml:space="preserve"> </w:t>
      </w:r>
      <w:r w:rsidRPr="00430AFB">
        <w:rPr>
          <w:rFonts w:hint="eastAsia"/>
          <w:rtl/>
        </w:rPr>
        <w:t>ועם</w:t>
      </w:r>
      <w:r w:rsidRPr="00430AFB">
        <w:rPr>
          <w:rtl/>
        </w:rPr>
        <w:t xml:space="preserve"> </w:t>
      </w:r>
      <w:r w:rsidRPr="00430AFB">
        <w:rPr>
          <w:rFonts w:hint="cs"/>
          <w:rtl/>
        </w:rPr>
        <w:t xml:space="preserve">קביעה </w:t>
      </w:r>
      <w:r w:rsidRPr="00430AFB">
        <w:rPr>
          <w:rFonts w:hint="eastAsia"/>
          <w:rtl/>
        </w:rPr>
        <w:t>זאת</w:t>
      </w:r>
      <w:r>
        <w:rPr>
          <w:rFonts w:hint="cs"/>
          <w:rtl/>
        </w:rPr>
        <w:t xml:space="preserve"> אני כמובן מסכים. ברם, סבורני שאחריותו של המערער לפרסום סרטו ב-</w:t>
      </w:r>
      <w:r w:rsidRPr="000F46A5">
        <w:rPr>
          <w:rFonts w:asciiTheme="majorBidi" w:hAnsiTheme="majorBidi" w:cstheme="majorBidi"/>
        </w:rPr>
        <w:t>YouTube</w:t>
      </w:r>
      <w:r>
        <w:rPr>
          <w:rFonts w:hint="cs"/>
          <w:rtl/>
        </w:rPr>
        <w:t xml:space="preserve"> נגזרת ממחדלו-שלו, ולא מעוולתו של אדם אחר. המערער הציב את סרט הכזבים שלו במרחב הציבורי והוציא את דיבתו של המשיב 1 רעה באופן שאפשר את העתקת הסרט והצגתו ברבים, ואחר-כך, כאמור, לא עשה דבר </w:t>
      </w:r>
      <w:r>
        <w:rPr>
          <w:rtl/>
        </w:rPr>
        <w:t>–</w:t>
      </w:r>
      <w:r>
        <w:rPr>
          <w:rFonts w:hint="cs"/>
          <w:rtl/>
        </w:rPr>
        <w:t xml:space="preserve"> וגם לא חצי-דבר, כדוגמת משלוח מכתב-דרישה מטעמו כבעל זכויות היוצרים בסרט</w:t>
      </w:r>
      <w:r>
        <w:t xml:space="preserve"> </w:t>
      </w:r>
      <w:r>
        <w:rPr>
          <w:rtl/>
        </w:rPr>
        <w:t>–</w:t>
      </w:r>
      <w:r>
        <w:rPr>
          <w:rFonts w:hint="cs"/>
          <w:rtl/>
        </w:rPr>
        <w:t xml:space="preserve"> כדי להביא להסרת הסרט מאתר ה-</w:t>
      </w:r>
      <w:r w:rsidRPr="000F46A5">
        <w:rPr>
          <w:rFonts w:asciiTheme="majorBidi" w:hAnsiTheme="majorBidi" w:cstheme="majorBidi"/>
        </w:rPr>
        <w:t>YouTube</w:t>
      </w:r>
      <w:r w:rsidRPr="000F46A5">
        <w:rPr>
          <w:rFonts w:ascii="Century" w:hAnsi="Century" w:hint="cs"/>
          <w:sz w:val="22"/>
          <w:rtl/>
        </w:rPr>
        <w:t xml:space="preserve">. מטעם זה, הנני סבור כי בית משפט קמא טעה בסרבו להוציא מלפניו צו המורה למערער לפעול בשקידה ראויה להסרת הסרט </w:t>
      </w:r>
      <w:r>
        <w:rPr>
          <w:rFonts w:hint="cs"/>
          <w:rtl/>
        </w:rPr>
        <w:t>מאתר ה-</w:t>
      </w:r>
      <w:r w:rsidRPr="000F46A5">
        <w:rPr>
          <w:rFonts w:asciiTheme="majorBidi" w:hAnsiTheme="majorBidi" w:cstheme="majorBidi"/>
        </w:rPr>
        <w:t>YouTube</w:t>
      </w:r>
      <w:r>
        <w:rPr>
          <w:rFonts w:hint="cs"/>
          <w:rtl/>
        </w:rPr>
        <w:t>, אך מאחר שהמשיב 1 לא ערער על החלטה זו, לא ארחיב עליה את הדיבור. אסתפק בקביעה שבית משפט קמא צדק בקבעו את שיעור הפיצויים לטובת המשיב 1 בהתחשב בפרסום הסרט באתר ה-</w:t>
      </w:r>
      <w:r w:rsidRPr="000F46A5">
        <w:rPr>
          <w:rFonts w:asciiTheme="majorBidi" w:hAnsiTheme="majorBidi" w:cstheme="majorBidi"/>
        </w:rPr>
        <w:t>YouTube</w:t>
      </w:r>
      <w:r>
        <w:rPr>
          <w:rFonts w:hint="cs"/>
          <w:rtl/>
        </w:rPr>
        <w:t xml:space="preserve">. </w:t>
      </w:r>
    </w:p>
    <w:p w:rsidR="008B3136" w:rsidRDefault="008B3136" w:rsidP="008B3136">
      <w:pPr>
        <w:pStyle w:val="Ruller4"/>
        <w:numPr>
          <w:ilvl w:val="0"/>
          <w:numId w:val="0"/>
        </w:numPr>
      </w:pPr>
    </w:p>
    <w:p w:rsidR="008B3136" w:rsidRDefault="008B3136" w:rsidP="008B3136">
      <w:pPr>
        <w:pStyle w:val="Ruller4"/>
      </w:pPr>
      <w:r>
        <w:rPr>
          <w:rFonts w:hint="cs"/>
          <w:rtl/>
        </w:rPr>
        <w:t>לסיכום, הנני סבור שהמשיב 1 זכאי למלוא הפיצוי אשר נפסק לטובתו על ידי בית משפט קמא.</w:t>
      </w:r>
    </w:p>
    <w:p w:rsidR="008B3136" w:rsidRPr="007060A9" w:rsidRDefault="008B3136" w:rsidP="008B3136">
      <w:pPr>
        <w:pStyle w:val="Ruller4"/>
        <w:numPr>
          <w:ilvl w:val="0"/>
          <w:numId w:val="0"/>
        </w:numPr>
      </w:pPr>
    </w:p>
    <w:p w:rsidR="008B3136" w:rsidRDefault="008B3136" w:rsidP="008B3136">
      <w:pPr>
        <w:pStyle w:val="Ruller4"/>
      </w:pPr>
      <w:r>
        <w:rPr>
          <w:rFonts w:hint="cs"/>
          <w:rtl/>
        </w:rPr>
        <w:t xml:space="preserve">לפני מתן הסבר מפורט למסקנתי זו, ברצוני להבהיר את מסגרת הדיון בערעור הנוכחי. במסגרת זו, אעמוד על שני עניינים. העניין הראשון הוא השינוי שאותו אני מציע לעשות בקביעתו של בית משפט קמא כי המערער לא ביצע עוולה נמשכת כלפי המשיב 1. אני מציע לעשות שינוי כאמור </w:t>
      </w:r>
      <w:r>
        <w:rPr>
          <w:rtl/>
        </w:rPr>
        <w:t>–</w:t>
      </w:r>
      <w:r>
        <w:rPr>
          <w:rFonts w:hint="cs"/>
          <w:rtl/>
        </w:rPr>
        <w:t xml:space="preserve"> ובמסגרתו לקבוע כי עסקינן בעוולה נמשכת </w:t>
      </w:r>
      <w:r>
        <w:rPr>
          <w:rtl/>
        </w:rPr>
        <w:t>–</w:t>
      </w:r>
      <w:r>
        <w:rPr>
          <w:rFonts w:hint="cs"/>
          <w:rtl/>
        </w:rPr>
        <w:t xml:space="preserve"> על רקע העובדות אשר נקבעו, כפי שנקבעו, על ידי בית משפט קמא, ושלגביהן אין עוד מחלוקת אמיתית. מדובר בשינוי במסקנתו המשפטית של בית משפט קמא בנושא שלגביו התקיים דיון לפניו, ואחר-כך גם לפנינו. עשיית שינוי משפטי זה אינה מצריכה שום התערבות בממצאיו העובדתיים של בית משפט קמא, ועל כן היא מסורה לידינו כערכאת הערעור (ראו: ע"א 558/96 </w:t>
      </w:r>
      <w:r w:rsidRPr="00A14071">
        <w:rPr>
          <w:rFonts w:ascii="Century" w:hAnsi="Century" w:cs="Miriam" w:hint="eastAsia"/>
          <w:b/>
          <w:spacing w:val="0"/>
          <w:sz w:val="22"/>
          <w:szCs w:val="24"/>
          <w:rtl/>
        </w:rPr>
        <w:t>חברת</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שיכון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עובדים</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בע</w:t>
      </w:r>
      <w:r w:rsidRPr="00A14071">
        <w:rPr>
          <w:rFonts w:ascii="Century" w:hAnsi="Century" w:cs="Miriam"/>
          <w:b/>
          <w:spacing w:val="0"/>
          <w:sz w:val="22"/>
          <w:szCs w:val="24"/>
          <w:rtl/>
        </w:rPr>
        <w:t>"</w:t>
      </w:r>
      <w:r w:rsidRPr="00A14071">
        <w:rPr>
          <w:rFonts w:ascii="Century" w:hAnsi="Century" w:cs="Miriam" w:hint="eastAsia"/>
          <w:b/>
          <w:spacing w:val="0"/>
          <w:sz w:val="22"/>
          <w:szCs w:val="24"/>
          <w:rtl/>
        </w:rPr>
        <w:t>מ</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רוזנטל</w:t>
      </w:r>
      <w:r>
        <w:rPr>
          <w:rFonts w:hint="cs"/>
          <w:rtl/>
        </w:rPr>
        <w:t xml:space="preserve">, פ"ד נב(4) 563, 568 (1998); ע"א 624/13 </w:t>
      </w:r>
      <w:r w:rsidRPr="00A14071">
        <w:rPr>
          <w:rFonts w:ascii="Century" w:hAnsi="Century" w:cs="Miriam" w:hint="eastAsia"/>
          <w:b/>
          <w:spacing w:val="0"/>
          <w:sz w:val="22"/>
          <w:szCs w:val="24"/>
          <w:rtl/>
        </w:rPr>
        <w:t>מורדכיוב</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מינץ</w:t>
      </w:r>
      <w:r>
        <w:rPr>
          <w:rFonts w:hint="cs"/>
          <w:rtl/>
        </w:rPr>
        <w:t xml:space="preserve">, פסקה יד (4.8.2014); ע"פ 4784/13 </w:t>
      </w:r>
      <w:r w:rsidRPr="00A14071">
        <w:rPr>
          <w:rFonts w:ascii="Century" w:hAnsi="Century" w:cs="Miriam" w:hint="eastAsia"/>
          <w:b/>
          <w:spacing w:val="0"/>
          <w:sz w:val="22"/>
          <w:szCs w:val="24"/>
          <w:rtl/>
        </w:rPr>
        <w:t>סומך</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מדינת</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ישראל</w:t>
      </w:r>
      <w:r>
        <w:rPr>
          <w:rFonts w:hint="cs"/>
          <w:rtl/>
        </w:rPr>
        <w:t xml:space="preserve">, פסקאות </w:t>
      </w:r>
      <w:r w:rsidRPr="005963EC">
        <w:rPr>
          <w:rFonts w:hint="cs"/>
          <w:rtl/>
        </w:rPr>
        <w:t>94-9</w:t>
      </w:r>
      <w:r>
        <w:rPr>
          <w:rFonts w:hint="cs"/>
          <w:rtl/>
        </w:rPr>
        <w:t xml:space="preserve">3 לפסק דינו של השופט </w:t>
      </w:r>
      <w:r w:rsidRPr="00A70A3C">
        <w:rPr>
          <w:rFonts w:ascii="Century" w:hAnsi="Century" w:cs="Miriam" w:hint="cs"/>
          <w:b/>
          <w:spacing w:val="0"/>
          <w:sz w:val="22"/>
          <w:szCs w:val="24"/>
          <w:rtl/>
        </w:rPr>
        <w:t>נ' סולברג</w:t>
      </w:r>
      <w:r>
        <w:rPr>
          <w:rFonts w:hint="cs"/>
          <w:rtl/>
        </w:rPr>
        <w:t xml:space="preserve"> (18.2.2016)).</w:t>
      </w:r>
    </w:p>
    <w:p w:rsidR="008B3136" w:rsidRDefault="008B3136" w:rsidP="008B3136">
      <w:pPr>
        <w:pStyle w:val="Ruller4"/>
        <w:numPr>
          <w:ilvl w:val="0"/>
          <w:numId w:val="0"/>
        </w:numPr>
      </w:pPr>
    </w:p>
    <w:p w:rsidR="008B3136" w:rsidRPr="009E320B" w:rsidRDefault="008B3136" w:rsidP="008B3136">
      <w:pPr>
        <w:pStyle w:val="Ruller4"/>
      </w:pPr>
      <w:r>
        <w:rPr>
          <w:rFonts w:hint="cs"/>
          <w:rtl/>
        </w:rPr>
        <w:t xml:space="preserve">העניין השני הוא "טענת ארבע השניות" שהמערער העלה לפני בית משפט קמא ואחר-כך לפנינו. לפי טענה זו, לשון הרע אודות המשיב 1 שמציג הסרט נמשכה ארבע שניות בלבד, ועל כן, ככל שניתן לראות בה נזק לשמו הטוב, היא בגדר זוטי דברים. טענה זו תלויה על בלימה. האמירה "סגן-אלוף </w:t>
      </w:r>
      <w:r w:rsidRPr="00362589">
        <w:rPr>
          <w:rFonts w:hint="eastAsia"/>
          <w:rtl/>
        </w:rPr>
        <w:t>ניסים</w:t>
      </w:r>
      <w:r w:rsidRPr="00362589">
        <w:rPr>
          <w:rtl/>
        </w:rPr>
        <w:t xml:space="preserve"> </w:t>
      </w:r>
      <w:r w:rsidRPr="00362589">
        <w:rPr>
          <w:rFonts w:hint="eastAsia"/>
          <w:rtl/>
        </w:rPr>
        <w:t>מגנאג</w:t>
      </w:r>
      <w:r w:rsidRPr="00362589">
        <w:rPr>
          <w:rtl/>
        </w:rPr>
        <w:t>'</w:t>
      </w:r>
      <w:r w:rsidRPr="00362589">
        <w:rPr>
          <w:rFonts w:hint="eastAsia"/>
          <w:rtl/>
        </w:rPr>
        <w:t>י</w:t>
      </w:r>
      <w:r w:rsidRPr="00362589">
        <w:rPr>
          <w:rFonts w:hint="cs"/>
          <w:rtl/>
        </w:rPr>
        <w:t xml:space="preserve"> </w:t>
      </w:r>
      <w:r>
        <w:rPr>
          <w:rFonts w:hint="cs"/>
          <w:rtl/>
        </w:rPr>
        <w:t xml:space="preserve">הוא פושע מלחמה האחראי על ביזה של איש זקן וחסר-ישע", היא אמירה קשה מאד. כל אימת שאין בה שום אמת, היא פוגעת, ללא שום הצדקה שבדין, בשמו הטוב של </w:t>
      </w:r>
      <w:r w:rsidRPr="003C5A2E">
        <w:rPr>
          <w:rFonts w:hint="eastAsia"/>
          <w:rtl/>
        </w:rPr>
        <w:t>ניסים</w:t>
      </w:r>
      <w:r w:rsidRPr="003C5A2E">
        <w:rPr>
          <w:rtl/>
        </w:rPr>
        <w:t xml:space="preserve"> </w:t>
      </w:r>
      <w:r w:rsidRPr="003C5A2E">
        <w:rPr>
          <w:rFonts w:hint="eastAsia"/>
          <w:rtl/>
        </w:rPr>
        <w:t>מגנאג</w:t>
      </w:r>
      <w:r w:rsidRPr="003C5A2E">
        <w:rPr>
          <w:rtl/>
        </w:rPr>
        <w:t>'</w:t>
      </w:r>
      <w:r w:rsidRPr="003C5A2E">
        <w:rPr>
          <w:rFonts w:hint="eastAsia"/>
          <w:rtl/>
        </w:rPr>
        <w:t>י</w:t>
      </w:r>
      <w:r>
        <w:rPr>
          <w:rFonts w:hint="cs"/>
          <w:rtl/>
        </w:rPr>
        <w:t xml:space="preserve">, נוטה לבזותו בעיני הבריות, ואף חושפת אותו למעשי תגמול ונקמה כאלה או אחרים בישראל ובחו"ל. אמירה זו ניתן לזרוק לחלל האוויר בתוך פחות מארבע שניות, אך תיקון נזקיה </w:t>
      </w:r>
      <w:r>
        <w:rPr>
          <w:rtl/>
        </w:rPr>
        <w:t>–</w:t>
      </w:r>
      <w:r>
        <w:rPr>
          <w:rFonts w:hint="cs"/>
          <w:rtl/>
        </w:rPr>
        <w:t xml:space="preserve"> אם בכלל ניתן לתקנם באופן מלא </w:t>
      </w:r>
      <w:r>
        <w:rPr>
          <w:rtl/>
        </w:rPr>
        <w:t>–</w:t>
      </w:r>
      <w:r>
        <w:rPr>
          <w:rFonts w:hint="cs"/>
          <w:rtl/>
        </w:rPr>
        <w:t xml:space="preserve"> עלול לקחת חודשים, אם לא שנים. הדבר חמור פי-כמה כאשר מפיץ הדיבה נגד </w:t>
      </w:r>
      <w:r w:rsidRPr="003C5A2E">
        <w:rPr>
          <w:rFonts w:hint="eastAsia"/>
          <w:rtl/>
        </w:rPr>
        <w:t>ניסים</w:t>
      </w:r>
      <w:r w:rsidRPr="003C5A2E">
        <w:rPr>
          <w:rtl/>
        </w:rPr>
        <w:t xml:space="preserve"> </w:t>
      </w:r>
      <w:r w:rsidRPr="003C5A2E">
        <w:rPr>
          <w:rFonts w:hint="eastAsia"/>
          <w:rtl/>
        </w:rPr>
        <w:t>מגנאג</w:t>
      </w:r>
      <w:r w:rsidRPr="003C5A2E">
        <w:rPr>
          <w:rtl/>
        </w:rPr>
        <w:t>'</w:t>
      </w:r>
      <w:r w:rsidRPr="003C5A2E">
        <w:rPr>
          <w:rFonts w:hint="eastAsia"/>
          <w:rtl/>
        </w:rPr>
        <w:t>י</w:t>
      </w:r>
      <w:r>
        <w:rPr>
          <w:rFonts w:hint="cs"/>
          <w:rtl/>
        </w:rPr>
        <w:t xml:space="preserve"> גם מציג את תמונתו בפני רבבות הצופים בסרט. לזאת אוסיף, כי ה"עדות" של אותו איש זקן וחסר ישע, שאחריה מוצגת תמונתו של המשיב 1, נמשכה יותר מארבע שניות. במילים אחרות: היותו של קטע הסרט אשר מפיץ כזבים פוגעניים אודות המשיב 1 קצר יחסית אינו משנה דבר. קביעתו זו של בית משפט קמא מקובלת עלי אפוא ללא שום סייג, ולא אדרש לה עוד. באשר לאפשרות של עריכת הסרט שתגזור ממנו כל חלק שמראה את דמותו של המשיב 1 </w:t>
      </w:r>
      <w:r>
        <w:rPr>
          <w:rtl/>
        </w:rPr>
        <w:t>–</w:t>
      </w:r>
      <w:r>
        <w:rPr>
          <w:rFonts w:hint="cs"/>
          <w:rtl/>
        </w:rPr>
        <w:t xml:space="preserve"> אין לי אלא לקבוע כי עלינו ליתן את פסק דיננו ביחס לסרט כמות שהוא, כפי שהמערער בחר ליצור אותו ולהציגו במרחב הציבורי. לא נערוך את סרט הכזבים במקומו של המערער כדי לעזור לו בערעורו (ראו והשוו לדברי הנשיא </w:t>
      </w:r>
      <w:r w:rsidRPr="009E320B">
        <w:rPr>
          <w:rFonts w:ascii="Century" w:hAnsi="Century" w:cs="Miriam" w:hint="cs"/>
          <w:b/>
          <w:spacing w:val="0"/>
          <w:sz w:val="22"/>
          <w:szCs w:val="24"/>
          <w:rtl/>
        </w:rPr>
        <w:t>א' גרוניס</w:t>
      </w:r>
      <w:r>
        <w:rPr>
          <w:rFonts w:hint="cs"/>
          <w:rtl/>
        </w:rPr>
        <w:t xml:space="preserve"> ב</w:t>
      </w:r>
      <w:r>
        <w:rPr>
          <w:rtl/>
        </w:rPr>
        <w:t xml:space="preserve">דנ"א 2121/12 </w:t>
      </w:r>
      <w:r w:rsidRPr="009E320B">
        <w:rPr>
          <w:rFonts w:ascii="Century" w:hAnsi="Century" w:cs="Miriam"/>
          <w:b/>
          <w:spacing w:val="0"/>
          <w:sz w:val="22"/>
          <w:szCs w:val="24"/>
          <w:rtl/>
        </w:rPr>
        <w:t>פלוני נ' דיין</w:t>
      </w:r>
      <w:r w:rsidRPr="009E320B">
        <w:rPr>
          <w:rFonts w:ascii="Century" w:hAnsi="Century" w:cs="Miriam" w:hint="cs"/>
          <w:b/>
          <w:spacing w:val="0"/>
          <w:sz w:val="22"/>
          <w:szCs w:val="24"/>
          <w:rtl/>
        </w:rPr>
        <w:t>-</w:t>
      </w:r>
      <w:r w:rsidRPr="009E320B">
        <w:rPr>
          <w:rFonts w:ascii="Century" w:hAnsi="Century" w:cs="Miriam"/>
          <w:b/>
          <w:spacing w:val="0"/>
          <w:sz w:val="22"/>
          <w:szCs w:val="24"/>
          <w:rtl/>
        </w:rPr>
        <w:t>אורבך</w:t>
      </w:r>
      <w:r w:rsidRPr="009E320B">
        <w:rPr>
          <w:rtl/>
        </w:rPr>
        <w:t>, פ"ד סז(1) 667, 75</w:t>
      </w:r>
      <w:r>
        <w:rPr>
          <w:rFonts w:hint="cs"/>
          <w:rtl/>
        </w:rPr>
        <w:t>2</w:t>
      </w:r>
      <w:r w:rsidRPr="009E320B">
        <w:rPr>
          <w:rtl/>
        </w:rPr>
        <w:t>-75</w:t>
      </w:r>
      <w:r>
        <w:rPr>
          <w:rFonts w:hint="cs"/>
          <w:rtl/>
        </w:rPr>
        <w:t>1</w:t>
      </w:r>
      <w:r w:rsidRPr="009E320B">
        <w:rPr>
          <w:rtl/>
        </w:rPr>
        <w:t xml:space="preserve"> (2014)</w:t>
      </w:r>
      <w:r>
        <w:rPr>
          <w:rFonts w:hint="cs"/>
          <w:rtl/>
        </w:rPr>
        <w:t xml:space="preserve"> (להלן: עניין </w:t>
      </w:r>
      <w:r w:rsidRPr="00A14071">
        <w:rPr>
          <w:rFonts w:ascii="Century" w:hAnsi="Century" w:cs="Miriam" w:hint="eastAsia"/>
          <w:b/>
          <w:spacing w:val="0"/>
          <w:sz w:val="22"/>
          <w:szCs w:val="24"/>
          <w:rtl/>
        </w:rPr>
        <w:t>דיין</w:t>
      </w:r>
      <w:r>
        <w:rPr>
          <w:rFonts w:hint="cs"/>
          <w:rtl/>
        </w:rPr>
        <w:t>) ("לא מתפקידו של בית המשפט להיכנס בנעליו של העורך")).</w:t>
      </w:r>
    </w:p>
    <w:p w:rsidR="008B3136" w:rsidRDefault="008B3136" w:rsidP="008B3136">
      <w:pPr>
        <w:pStyle w:val="Ruller4"/>
        <w:numPr>
          <w:ilvl w:val="0"/>
          <w:numId w:val="0"/>
        </w:numPr>
        <w:rPr>
          <w:rtl/>
        </w:rPr>
      </w:pPr>
    </w:p>
    <w:p w:rsidR="008B3136" w:rsidRPr="005631CD" w:rsidRDefault="008B3136" w:rsidP="008B3136">
      <w:pPr>
        <w:pStyle w:val="Ruller41"/>
        <w:rPr>
          <w:rFonts w:ascii="Century" w:hAnsi="Century" w:cs="Miriam"/>
          <w:b/>
          <w:spacing w:val="0"/>
          <w:szCs w:val="24"/>
          <w:rtl/>
        </w:rPr>
      </w:pPr>
      <w:r w:rsidRPr="005631CD">
        <w:rPr>
          <w:rFonts w:ascii="Century" w:hAnsi="Century" w:cs="Miriam" w:hint="cs"/>
          <w:b/>
          <w:spacing w:val="0"/>
          <w:szCs w:val="24"/>
          <w:rtl/>
        </w:rPr>
        <w:t xml:space="preserve">עסקינן בעוולה נמשכת </w:t>
      </w:r>
    </w:p>
    <w:p w:rsidR="008B3136" w:rsidRPr="005631CD" w:rsidRDefault="008B3136" w:rsidP="008B3136">
      <w:pPr>
        <w:pStyle w:val="Ruller41"/>
      </w:pPr>
    </w:p>
    <w:p w:rsidR="008B3136" w:rsidRDefault="008B3136" w:rsidP="008B3136">
      <w:pPr>
        <w:pStyle w:val="Ruller4"/>
      </w:pPr>
      <w:r>
        <w:rPr>
          <w:rFonts w:hint="cs"/>
          <w:rtl/>
        </w:rPr>
        <w:t>האם פרסומה של לשון הרע נגד המשיב 1, לו נמצא המערער אחראי, אכן מהווה עוולה נמשכת? מענה חיובי לשאלה זו ישלול מידיו של המערער את הגנת ההתיישנות מעיקרה, ואף יטיל עליו חבות בנזיקין בגין פרסום הסרט באתר ה-</w:t>
      </w:r>
      <w:r w:rsidRPr="00192CBB">
        <w:rPr>
          <w:rFonts w:asciiTheme="majorBidi" w:hAnsiTheme="majorBidi" w:cstheme="majorBidi"/>
        </w:rPr>
        <w:t>YouTube</w:t>
      </w:r>
      <w:r>
        <w:rPr>
          <w:rFonts w:hint="cs"/>
          <w:rtl/>
        </w:rPr>
        <w:t xml:space="preserve">. </w:t>
      </w:r>
    </w:p>
    <w:p w:rsidR="008B3136" w:rsidRDefault="008B3136" w:rsidP="008B3136">
      <w:pPr>
        <w:pStyle w:val="Ruller4"/>
        <w:numPr>
          <w:ilvl w:val="0"/>
          <w:numId w:val="0"/>
        </w:numPr>
        <w:rPr>
          <w:rtl/>
        </w:rPr>
      </w:pPr>
    </w:p>
    <w:p w:rsidR="008B3136" w:rsidRDefault="008B3136" w:rsidP="008B3136">
      <w:pPr>
        <w:pStyle w:val="Ruller4"/>
        <w:numPr>
          <w:ilvl w:val="0"/>
          <w:numId w:val="0"/>
        </w:numPr>
      </w:pPr>
      <w:r>
        <w:rPr>
          <w:rtl/>
        </w:rPr>
        <w:tab/>
      </w:r>
      <w:r>
        <w:rPr>
          <w:rFonts w:hint="cs"/>
          <w:rtl/>
        </w:rPr>
        <w:t>מטעם זה, חובה עלינו לבחון אם עסקינן בעוולה נמשכת ואם לאו.</w:t>
      </w:r>
    </w:p>
    <w:p w:rsidR="008B3136" w:rsidRPr="00843432" w:rsidRDefault="008B3136" w:rsidP="008B3136">
      <w:pPr>
        <w:pStyle w:val="Ruller4"/>
        <w:numPr>
          <w:ilvl w:val="0"/>
          <w:numId w:val="0"/>
        </w:numPr>
      </w:pPr>
    </w:p>
    <w:p w:rsidR="008B3136" w:rsidRDefault="008B3136" w:rsidP="008B3136">
      <w:pPr>
        <w:pStyle w:val="Ruller4"/>
      </w:pPr>
      <w:r>
        <w:rPr>
          <w:rFonts w:hint="cs"/>
          <w:rtl/>
        </w:rPr>
        <w:t xml:space="preserve">מדובר בשאלה מורכבת למדי. פסיקתנו (ראו, למשל: </w:t>
      </w:r>
      <w:r w:rsidRPr="00A14071">
        <w:rPr>
          <w:rFonts w:ascii="Century" w:hAnsi="Century" w:hint="eastAsia"/>
          <w:sz w:val="22"/>
          <w:rtl/>
        </w:rPr>
        <w:t>עניין</w:t>
      </w:r>
      <w:r>
        <w:rPr>
          <w:rFonts w:ascii="Century" w:hAnsi="Century" w:cs="Miriam" w:hint="cs"/>
          <w:b/>
          <w:spacing w:val="0"/>
          <w:sz w:val="22"/>
          <w:szCs w:val="24"/>
          <w:rtl/>
        </w:rPr>
        <w:t xml:space="preserve"> </w:t>
      </w:r>
      <w:r w:rsidRPr="00843432">
        <w:rPr>
          <w:rFonts w:ascii="Century" w:hAnsi="Century" w:cs="Miriam" w:hint="cs"/>
          <w:b/>
          <w:spacing w:val="0"/>
          <w:sz w:val="22"/>
          <w:szCs w:val="24"/>
          <w:rtl/>
        </w:rPr>
        <w:t>סביר</w:t>
      </w:r>
      <w:r>
        <w:rPr>
          <w:rFonts w:hint="cs"/>
          <w:rtl/>
        </w:rPr>
        <w:t xml:space="preserve">, בפסקה 8) והספרות המשפטית (ראו: ישראל גלעד </w:t>
      </w:r>
      <w:r w:rsidRPr="004C3A02">
        <w:rPr>
          <w:rFonts w:ascii="Century" w:hAnsi="Century" w:cs="Miriam" w:hint="cs"/>
          <w:b/>
          <w:spacing w:val="0"/>
          <w:sz w:val="22"/>
          <w:szCs w:val="24"/>
          <w:rtl/>
        </w:rPr>
        <w:t>התיישנות בדין האזרחי</w:t>
      </w:r>
      <w:r>
        <w:rPr>
          <w:rFonts w:hint="cs"/>
          <w:rtl/>
        </w:rPr>
        <w:t xml:space="preserve"> 233-203 (2022) (להלן: </w:t>
      </w:r>
      <w:r w:rsidRPr="00AE191E">
        <w:rPr>
          <w:rFonts w:ascii="Century" w:hAnsi="Century" w:cs="Miriam" w:hint="cs"/>
          <w:b/>
          <w:spacing w:val="0"/>
          <w:sz w:val="22"/>
          <w:szCs w:val="24"/>
          <w:rtl/>
        </w:rPr>
        <w:t>גלעד</w:t>
      </w:r>
      <w:r>
        <w:rPr>
          <w:rFonts w:hint="cs"/>
          <w:rtl/>
        </w:rPr>
        <w:t xml:space="preserve">); טל חבקין </w:t>
      </w:r>
      <w:r w:rsidRPr="00A14071">
        <w:rPr>
          <w:rFonts w:ascii="Century" w:hAnsi="Century" w:cs="Miriam" w:hint="eastAsia"/>
          <w:b/>
          <w:spacing w:val="0"/>
          <w:sz w:val="22"/>
          <w:szCs w:val="24"/>
          <w:rtl/>
        </w:rPr>
        <w:t>התיישנות</w:t>
      </w:r>
      <w:r>
        <w:rPr>
          <w:rFonts w:hint="cs"/>
          <w:rtl/>
        </w:rPr>
        <w:t xml:space="preserve"> 455-453 (מהדורה שנייה, 2021) (להלן: </w:t>
      </w:r>
      <w:r w:rsidRPr="00AE191E">
        <w:rPr>
          <w:rFonts w:ascii="Century" w:hAnsi="Century" w:cs="Miriam" w:hint="cs"/>
          <w:b/>
          <w:spacing w:val="0"/>
          <w:sz w:val="22"/>
          <w:szCs w:val="24"/>
          <w:rtl/>
        </w:rPr>
        <w:t>חבקין</w:t>
      </w:r>
      <w:r>
        <w:rPr>
          <w:rFonts w:hint="cs"/>
          <w:rtl/>
        </w:rPr>
        <w:t xml:space="preserve">)) התקשו ליתן לה מענה ברור וחד-משמעי. אחרי דיון מעמיק בשאלה זו, הגיע חברי, השופט </w:t>
      </w:r>
      <w:r w:rsidRPr="00843432">
        <w:rPr>
          <w:rFonts w:ascii="Century" w:hAnsi="Century" w:cs="Miriam" w:hint="cs"/>
          <w:b/>
          <w:spacing w:val="0"/>
          <w:sz w:val="22"/>
          <w:szCs w:val="24"/>
          <w:rtl/>
        </w:rPr>
        <w:t>עמית</w:t>
      </w:r>
      <w:r>
        <w:rPr>
          <w:rFonts w:hint="cs"/>
          <w:rtl/>
        </w:rPr>
        <w:t xml:space="preserve">, למסקנה כי כל הקרנה של הסרט היא בגדר עוולה נפרדת ועצמאית וכי אין מדובר בעוולה נמשכת. ניתוק זה בין הקרנות הסרט הוביל את חברי לשתי מסקנות: </w:t>
      </w:r>
      <w:r w:rsidRPr="00AC1219">
        <w:rPr>
          <w:rFonts w:ascii="Century" w:hAnsi="Century" w:cs="Miriam" w:hint="cs"/>
          <w:b/>
          <w:spacing w:val="0"/>
          <w:sz w:val="22"/>
          <w:szCs w:val="24"/>
          <w:rtl/>
        </w:rPr>
        <w:t>האחת</w:t>
      </w:r>
      <w:r>
        <w:rPr>
          <w:rFonts w:hint="cs"/>
          <w:rtl/>
        </w:rPr>
        <w:t xml:space="preserve"> היא התיישנות תביעתו של המשיב 1 בכל הקשור להקרנת הסרט משנת 2002, להבדיל מההקרנות אשר נערכו בשנים 2012-2010 ואשר הקימו למשיב 1 </w:t>
      </w:r>
      <w:r>
        <w:rPr>
          <w:rtl/>
        </w:rPr>
        <w:t>–</w:t>
      </w:r>
      <w:r>
        <w:rPr>
          <w:rFonts w:hint="cs"/>
          <w:rtl/>
        </w:rPr>
        <w:t xml:space="preserve"> שכאמור הגיש את תביעתו נגד המערער בשנת 2016 </w:t>
      </w:r>
      <w:r>
        <w:rPr>
          <w:rtl/>
        </w:rPr>
        <w:t>–</w:t>
      </w:r>
      <w:r>
        <w:rPr>
          <w:rFonts w:hint="cs"/>
          <w:rtl/>
        </w:rPr>
        <w:t xml:space="preserve"> עילת תביעה נפרדת, אשר לא התיישנה; </w:t>
      </w:r>
      <w:r w:rsidRPr="00AC1219">
        <w:rPr>
          <w:rFonts w:ascii="Century" w:hAnsi="Century" w:cs="Miriam" w:hint="cs"/>
          <w:b/>
          <w:spacing w:val="0"/>
          <w:sz w:val="22"/>
          <w:szCs w:val="24"/>
          <w:rtl/>
        </w:rPr>
        <w:t>והשנייה</w:t>
      </w:r>
      <w:r>
        <w:rPr>
          <w:rFonts w:hint="cs"/>
          <w:rtl/>
        </w:rPr>
        <w:t xml:space="preserve"> היא היות המערער בלתי אחראי להצגת הסרט באתר ה-</w:t>
      </w:r>
      <w:r w:rsidRPr="00AC1219">
        <w:rPr>
          <w:rFonts w:asciiTheme="majorBidi" w:hAnsiTheme="majorBidi" w:cstheme="majorBidi"/>
        </w:rPr>
        <w:t>YouTube</w:t>
      </w:r>
      <w:r>
        <w:rPr>
          <w:rFonts w:hint="cs"/>
          <w:rtl/>
        </w:rPr>
        <w:t xml:space="preserve">, אחרי העלאתו לאתר זה על ידי מאן דהוא. </w:t>
      </w:r>
    </w:p>
    <w:p w:rsidR="008B3136" w:rsidRDefault="008B3136" w:rsidP="008B3136">
      <w:pPr>
        <w:pStyle w:val="Ruller4"/>
        <w:numPr>
          <w:ilvl w:val="0"/>
          <w:numId w:val="0"/>
        </w:numPr>
      </w:pPr>
    </w:p>
    <w:p w:rsidR="008B3136" w:rsidRDefault="008B3136" w:rsidP="008B3136">
      <w:pPr>
        <w:pStyle w:val="Ruller4"/>
      </w:pPr>
      <w:r>
        <w:rPr>
          <w:rFonts w:hint="cs"/>
          <w:rtl/>
        </w:rPr>
        <w:t xml:space="preserve">דעתי שונה. </w:t>
      </w:r>
    </w:p>
    <w:p w:rsidR="008B3136" w:rsidRDefault="008B3136" w:rsidP="008B3136">
      <w:pPr>
        <w:pStyle w:val="Ruller4"/>
        <w:numPr>
          <w:ilvl w:val="0"/>
          <w:numId w:val="0"/>
        </w:numPr>
      </w:pPr>
    </w:p>
    <w:p w:rsidR="008B3136" w:rsidRDefault="008B3136" w:rsidP="008B3136">
      <w:pPr>
        <w:pStyle w:val="Ruller4"/>
      </w:pPr>
      <w:r>
        <w:rPr>
          <w:rFonts w:hint="cs"/>
          <w:rtl/>
        </w:rPr>
        <w:t>מעשיו של המערער כללו, כאמור, את יצירתו של סרט הכזבים והעמדתו לצפייה במרחב הציבורי. לית מאן דפליג שמעשים אלו עולים כדי "לשון הרע", כמשמעה בחוק לשון הרע. מדובר ב"פרסום", במובנו של סעיף 2 לחוק לשון הרע. לפי סעיף 2(ב)(2) לחוק, "</w:t>
      </w:r>
      <w:r w:rsidRPr="00FF4CAD">
        <w:rPr>
          <w:rFonts w:hint="eastAsia"/>
          <w:rtl/>
        </w:rPr>
        <w:t>רואים</w:t>
      </w:r>
      <w:r w:rsidRPr="00FF4CAD">
        <w:rPr>
          <w:rtl/>
        </w:rPr>
        <w:t xml:space="preserve"> </w:t>
      </w:r>
      <w:r w:rsidRPr="00FF4CAD">
        <w:rPr>
          <w:rFonts w:hint="eastAsia"/>
          <w:rtl/>
        </w:rPr>
        <w:t>כפרסום</w:t>
      </w:r>
      <w:r w:rsidRPr="00FF4CAD">
        <w:rPr>
          <w:rtl/>
        </w:rPr>
        <w:t xml:space="preserve"> </w:t>
      </w:r>
      <w:r w:rsidRPr="00FF4CAD">
        <w:rPr>
          <w:rFonts w:hint="eastAsia"/>
          <w:rtl/>
        </w:rPr>
        <w:t>לשון</w:t>
      </w:r>
      <w:r w:rsidRPr="00FF4CAD">
        <w:rPr>
          <w:rtl/>
        </w:rPr>
        <w:t xml:space="preserve"> </w:t>
      </w:r>
      <w:r w:rsidRPr="00FF4CAD">
        <w:rPr>
          <w:rFonts w:hint="eastAsia"/>
          <w:rtl/>
        </w:rPr>
        <w:t>הרע</w:t>
      </w:r>
      <w:r w:rsidRPr="00FF4CAD">
        <w:rPr>
          <w:rtl/>
        </w:rPr>
        <w:t xml:space="preserve">, </w:t>
      </w:r>
      <w:r w:rsidRPr="00FF4CAD">
        <w:rPr>
          <w:rFonts w:hint="eastAsia"/>
          <w:rtl/>
        </w:rPr>
        <w:t>בלי</w:t>
      </w:r>
      <w:r w:rsidRPr="00FF4CAD">
        <w:rPr>
          <w:rtl/>
        </w:rPr>
        <w:t xml:space="preserve"> </w:t>
      </w:r>
      <w:r w:rsidRPr="00FF4CAD">
        <w:rPr>
          <w:rFonts w:hint="eastAsia"/>
          <w:rtl/>
        </w:rPr>
        <w:t>למעט</w:t>
      </w:r>
      <w:r w:rsidRPr="00FF4CAD">
        <w:rPr>
          <w:rtl/>
        </w:rPr>
        <w:t xml:space="preserve"> </w:t>
      </w:r>
      <w:r w:rsidRPr="00FF4CAD">
        <w:rPr>
          <w:rFonts w:hint="eastAsia"/>
          <w:rtl/>
        </w:rPr>
        <w:t>מדרכי</w:t>
      </w:r>
      <w:r w:rsidRPr="00FF4CAD">
        <w:rPr>
          <w:rtl/>
        </w:rPr>
        <w:t xml:space="preserve"> </w:t>
      </w:r>
      <w:r w:rsidRPr="00FF4CAD">
        <w:rPr>
          <w:rFonts w:hint="eastAsia"/>
          <w:rtl/>
        </w:rPr>
        <w:t>פרסום</w:t>
      </w:r>
      <w:r w:rsidRPr="00FF4CAD">
        <w:rPr>
          <w:rtl/>
        </w:rPr>
        <w:t xml:space="preserve"> </w:t>
      </w:r>
      <w:r w:rsidRPr="00FF4CAD">
        <w:rPr>
          <w:rFonts w:hint="eastAsia"/>
          <w:rtl/>
        </w:rPr>
        <w:t>אחרות</w:t>
      </w:r>
      <w:r w:rsidRPr="00FF4CAD">
        <w:rPr>
          <w:rtl/>
        </w:rPr>
        <w:t xml:space="preserve"> –</w:t>
      </w:r>
      <w:r>
        <w:rPr>
          <w:rFonts w:hint="cs"/>
          <w:rtl/>
        </w:rPr>
        <w:t xml:space="preserve"> </w:t>
      </w:r>
      <w:r w:rsidRPr="00FF4CAD">
        <w:rPr>
          <w:rFonts w:hint="eastAsia"/>
          <w:rtl/>
        </w:rPr>
        <w:t>אם</w:t>
      </w:r>
      <w:r w:rsidRPr="00FF4CAD">
        <w:rPr>
          <w:rtl/>
        </w:rPr>
        <w:t xml:space="preserve"> </w:t>
      </w:r>
      <w:r w:rsidRPr="00FF4CAD">
        <w:rPr>
          <w:rFonts w:hint="eastAsia"/>
          <w:rtl/>
        </w:rPr>
        <w:t>היתה</w:t>
      </w:r>
      <w:r w:rsidRPr="00FF4CAD">
        <w:rPr>
          <w:rtl/>
        </w:rPr>
        <w:t xml:space="preserve"> </w:t>
      </w:r>
      <w:r w:rsidRPr="00FF4CAD">
        <w:rPr>
          <w:rFonts w:hint="eastAsia"/>
          <w:rtl/>
        </w:rPr>
        <w:t>בכתב</w:t>
      </w:r>
      <w:r w:rsidRPr="00FF4CAD">
        <w:rPr>
          <w:rtl/>
        </w:rPr>
        <w:t xml:space="preserve"> </w:t>
      </w:r>
      <w:r w:rsidRPr="00FF4CAD">
        <w:rPr>
          <w:rFonts w:hint="eastAsia"/>
          <w:rtl/>
        </w:rPr>
        <w:t>והכתב</w:t>
      </w:r>
      <w:r w:rsidRPr="00FF4CAD">
        <w:rPr>
          <w:rtl/>
        </w:rPr>
        <w:t xml:space="preserve"> </w:t>
      </w:r>
      <w:r w:rsidRPr="00FF4CAD">
        <w:rPr>
          <w:rFonts w:hint="eastAsia"/>
          <w:rtl/>
        </w:rPr>
        <w:t>עשוי</w:t>
      </w:r>
      <w:r w:rsidRPr="00FF4CAD">
        <w:rPr>
          <w:rtl/>
        </w:rPr>
        <w:t xml:space="preserve"> </w:t>
      </w:r>
      <w:r w:rsidRPr="00FF4CAD">
        <w:rPr>
          <w:rFonts w:hint="eastAsia"/>
          <w:rtl/>
        </w:rPr>
        <w:t>היה</w:t>
      </w:r>
      <w:r w:rsidRPr="00FF4CAD">
        <w:rPr>
          <w:rtl/>
        </w:rPr>
        <w:t xml:space="preserve">, </w:t>
      </w:r>
      <w:r w:rsidRPr="00FF4CAD">
        <w:rPr>
          <w:rFonts w:hint="eastAsia"/>
          <w:rtl/>
        </w:rPr>
        <w:t>לפי</w:t>
      </w:r>
      <w:r w:rsidRPr="00FF4CAD">
        <w:rPr>
          <w:rtl/>
        </w:rPr>
        <w:t xml:space="preserve"> </w:t>
      </w:r>
      <w:r w:rsidRPr="00FF4CAD">
        <w:rPr>
          <w:rFonts w:hint="eastAsia"/>
          <w:rtl/>
        </w:rPr>
        <w:t>הנסיבות</w:t>
      </w:r>
      <w:r w:rsidRPr="00FF4CAD">
        <w:rPr>
          <w:rtl/>
        </w:rPr>
        <w:t xml:space="preserve">, </w:t>
      </w:r>
      <w:r w:rsidRPr="00FF4CAD">
        <w:rPr>
          <w:rFonts w:hint="eastAsia"/>
          <w:rtl/>
        </w:rPr>
        <w:t>להגיע</w:t>
      </w:r>
      <w:r w:rsidRPr="00FF4CAD">
        <w:rPr>
          <w:rtl/>
        </w:rPr>
        <w:t xml:space="preserve"> </w:t>
      </w:r>
      <w:r w:rsidRPr="00FF4CAD">
        <w:rPr>
          <w:rFonts w:hint="eastAsia"/>
          <w:rtl/>
        </w:rPr>
        <w:t>לאדם</w:t>
      </w:r>
      <w:r w:rsidRPr="00FF4CAD">
        <w:rPr>
          <w:rtl/>
        </w:rPr>
        <w:t xml:space="preserve"> </w:t>
      </w:r>
      <w:r w:rsidRPr="00FF4CAD">
        <w:rPr>
          <w:rFonts w:hint="eastAsia"/>
          <w:rtl/>
        </w:rPr>
        <w:t>זולת</w:t>
      </w:r>
      <w:r w:rsidRPr="00FF4CAD">
        <w:rPr>
          <w:rtl/>
        </w:rPr>
        <w:t xml:space="preserve"> </w:t>
      </w:r>
      <w:r w:rsidRPr="00FF4CAD">
        <w:rPr>
          <w:rFonts w:hint="eastAsia"/>
          <w:rtl/>
        </w:rPr>
        <w:t>הנפגע</w:t>
      </w:r>
      <w:r>
        <w:rPr>
          <w:rFonts w:hint="cs"/>
          <w:rtl/>
        </w:rPr>
        <w:t>", כאשר התיבה "בכתב", משמעה "</w:t>
      </w:r>
      <w:r w:rsidRPr="00FF4CAD">
        <w:rPr>
          <w:rFonts w:hint="eastAsia"/>
          <w:rtl/>
        </w:rPr>
        <w:t>לרבות</w:t>
      </w:r>
      <w:r w:rsidRPr="00FF4CAD">
        <w:rPr>
          <w:rtl/>
        </w:rPr>
        <w:t xml:space="preserve"> </w:t>
      </w:r>
      <w:r w:rsidRPr="00FF4CAD">
        <w:rPr>
          <w:rFonts w:hint="eastAsia"/>
          <w:rtl/>
        </w:rPr>
        <w:t>בדפוס</w:t>
      </w:r>
      <w:r w:rsidRPr="00FF4CAD">
        <w:rPr>
          <w:rtl/>
        </w:rPr>
        <w:t xml:space="preserve">, </w:t>
      </w:r>
      <w:r w:rsidRPr="00FF4CAD">
        <w:rPr>
          <w:rFonts w:hint="eastAsia"/>
          <w:rtl/>
        </w:rPr>
        <w:t>בליתוגרפיה</w:t>
      </w:r>
      <w:r w:rsidRPr="00FF4CAD">
        <w:rPr>
          <w:rtl/>
        </w:rPr>
        <w:t xml:space="preserve">, </w:t>
      </w:r>
      <w:r w:rsidRPr="00FF4CAD">
        <w:rPr>
          <w:rFonts w:hint="eastAsia"/>
          <w:rtl/>
        </w:rPr>
        <w:t>במכונת</w:t>
      </w:r>
      <w:r w:rsidRPr="00FF4CAD">
        <w:rPr>
          <w:rtl/>
        </w:rPr>
        <w:t xml:space="preserve"> </w:t>
      </w:r>
      <w:r w:rsidRPr="00FF4CAD">
        <w:rPr>
          <w:rFonts w:hint="eastAsia"/>
          <w:rtl/>
        </w:rPr>
        <w:t>כתיבה</w:t>
      </w:r>
      <w:r w:rsidRPr="00FF4CAD">
        <w:rPr>
          <w:rtl/>
        </w:rPr>
        <w:t xml:space="preserve">, </w:t>
      </w:r>
      <w:r w:rsidRPr="00FF4CAD">
        <w:rPr>
          <w:rFonts w:hint="eastAsia"/>
          <w:rtl/>
        </w:rPr>
        <w:t>בצילום</w:t>
      </w:r>
      <w:r w:rsidRPr="00FF4CAD">
        <w:rPr>
          <w:rtl/>
        </w:rPr>
        <w:t xml:space="preserve"> </w:t>
      </w:r>
      <w:r w:rsidRPr="00FF4CAD">
        <w:rPr>
          <w:rFonts w:hint="eastAsia"/>
          <w:rtl/>
        </w:rPr>
        <w:t>ובכל</w:t>
      </w:r>
      <w:r w:rsidRPr="00FF4CAD">
        <w:rPr>
          <w:rtl/>
        </w:rPr>
        <w:t xml:space="preserve"> </w:t>
      </w:r>
      <w:r w:rsidRPr="00FF4CAD">
        <w:rPr>
          <w:rFonts w:hint="eastAsia"/>
          <w:rtl/>
        </w:rPr>
        <w:t>דרך</w:t>
      </w:r>
      <w:r w:rsidRPr="00FF4CAD">
        <w:rPr>
          <w:rtl/>
        </w:rPr>
        <w:t xml:space="preserve"> </w:t>
      </w:r>
      <w:r w:rsidRPr="00FF4CAD">
        <w:rPr>
          <w:rFonts w:hint="eastAsia"/>
          <w:rtl/>
        </w:rPr>
        <w:t>אחרת</w:t>
      </w:r>
      <w:r w:rsidRPr="00FF4CAD">
        <w:rPr>
          <w:rtl/>
        </w:rPr>
        <w:t xml:space="preserve"> </w:t>
      </w:r>
      <w:r w:rsidRPr="00FF4CAD">
        <w:rPr>
          <w:rFonts w:hint="eastAsia"/>
          <w:rtl/>
        </w:rPr>
        <w:t>של</w:t>
      </w:r>
      <w:r w:rsidRPr="00FF4CAD">
        <w:rPr>
          <w:rtl/>
        </w:rPr>
        <w:t xml:space="preserve"> </w:t>
      </w:r>
      <w:r w:rsidRPr="00FF4CAD">
        <w:rPr>
          <w:rFonts w:hint="eastAsia"/>
          <w:rtl/>
        </w:rPr>
        <w:t>הצגת</w:t>
      </w:r>
      <w:r w:rsidRPr="00FF4CAD">
        <w:rPr>
          <w:rtl/>
        </w:rPr>
        <w:t xml:space="preserve"> </w:t>
      </w:r>
      <w:r w:rsidRPr="00FF4CAD">
        <w:rPr>
          <w:rFonts w:hint="eastAsia"/>
          <w:rtl/>
        </w:rPr>
        <w:t>מלים</w:t>
      </w:r>
      <w:r w:rsidRPr="00FF4CAD">
        <w:rPr>
          <w:rtl/>
        </w:rPr>
        <w:t xml:space="preserve"> </w:t>
      </w:r>
      <w:r w:rsidRPr="00FF4CAD">
        <w:rPr>
          <w:rFonts w:hint="eastAsia"/>
          <w:rtl/>
        </w:rPr>
        <w:t>או</w:t>
      </w:r>
      <w:r w:rsidRPr="00FF4CAD">
        <w:rPr>
          <w:rtl/>
        </w:rPr>
        <w:t xml:space="preserve"> </w:t>
      </w:r>
      <w:r w:rsidRPr="00FF4CAD">
        <w:rPr>
          <w:rFonts w:hint="eastAsia"/>
          <w:rtl/>
        </w:rPr>
        <w:t>ספרות</w:t>
      </w:r>
      <w:r w:rsidRPr="00FF4CAD">
        <w:rPr>
          <w:rtl/>
        </w:rPr>
        <w:t xml:space="preserve">, </w:t>
      </w:r>
      <w:r w:rsidRPr="00FF4CAD">
        <w:rPr>
          <w:rFonts w:hint="eastAsia"/>
          <w:rtl/>
        </w:rPr>
        <w:t>או</w:t>
      </w:r>
      <w:r w:rsidRPr="00FF4CAD">
        <w:rPr>
          <w:rtl/>
        </w:rPr>
        <w:t xml:space="preserve"> </w:t>
      </w:r>
      <w:r w:rsidRPr="00FF4CAD">
        <w:rPr>
          <w:rFonts w:hint="eastAsia"/>
          <w:rtl/>
        </w:rPr>
        <w:t>העתקתן</w:t>
      </w:r>
      <w:r w:rsidRPr="00FF4CAD">
        <w:rPr>
          <w:rtl/>
        </w:rPr>
        <w:t xml:space="preserve">, </w:t>
      </w:r>
      <w:r w:rsidRPr="00FF4CAD">
        <w:rPr>
          <w:rFonts w:hint="eastAsia"/>
          <w:rtl/>
        </w:rPr>
        <w:t>בצורה</w:t>
      </w:r>
      <w:r w:rsidRPr="00FF4CAD">
        <w:rPr>
          <w:rtl/>
        </w:rPr>
        <w:t xml:space="preserve"> </w:t>
      </w:r>
      <w:r w:rsidRPr="00FF4CAD">
        <w:rPr>
          <w:rFonts w:hint="eastAsia"/>
          <w:rtl/>
        </w:rPr>
        <w:t>הנראית</w:t>
      </w:r>
      <w:r w:rsidRPr="00FF4CAD">
        <w:rPr>
          <w:rtl/>
        </w:rPr>
        <w:t xml:space="preserve"> </w:t>
      </w:r>
      <w:r w:rsidRPr="00FF4CAD">
        <w:rPr>
          <w:rFonts w:hint="eastAsia"/>
          <w:rtl/>
        </w:rPr>
        <w:t>לעין</w:t>
      </w:r>
      <w:r>
        <w:rPr>
          <w:rFonts w:hint="cs"/>
          <w:rtl/>
        </w:rPr>
        <w:t>", כאמור בסעיף 1 לפקודת הפרשנות [נוסח חדש] (או "</w:t>
      </w:r>
      <w:r w:rsidRPr="00FF4CAD">
        <w:rPr>
          <w:rFonts w:hint="eastAsia"/>
          <w:rtl/>
        </w:rPr>
        <w:t>לרבות</w:t>
      </w:r>
      <w:r w:rsidRPr="00FF4CAD">
        <w:rPr>
          <w:rtl/>
        </w:rPr>
        <w:t xml:space="preserve"> </w:t>
      </w:r>
      <w:r w:rsidRPr="00FF4CAD">
        <w:rPr>
          <w:rFonts w:hint="eastAsia"/>
          <w:rtl/>
        </w:rPr>
        <w:t>בכל</w:t>
      </w:r>
      <w:r w:rsidRPr="00FF4CAD">
        <w:rPr>
          <w:rtl/>
        </w:rPr>
        <w:t xml:space="preserve"> </w:t>
      </w:r>
      <w:r w:rsidRPr="00FF4CAD">
        <w:rPr>
          <w:rFonts w:hint="eastAsia"/>
          <w:rtl/>
        </w:rPr>
        <w:t>דרך</w:t>
      </w:r>
      <w:r w:rsidRPr="00FF4CAD">
        <w:rPr>
          <w:rtl/>
        </w:rPr>
        <w:t xml:space="preserve"> </w:t>
      </w:r>
      <w:r w:rsidRPr="00FF4CAD">
        <w:rPr>
          <w:rFonts w:hint="eastAsia"/>
          <w:rtl/>
        </w:rPr>
        <w:t>אחרת</w:t>
      </w:r>
      <w:r w:rsidRPr="00FF4CAD">
        <w:rPr>
          <w:rtl/>
        </w:rPr>
        <w:t xml:space="preserve"> </w:t>
      </w:r>
      <w:r w:rsidRPr="00FF4CAD">
        <w:rPr>
          <w:rFonts w:hint="eastAsia"/>
          <w:rtl/>
        </w:rPr>
        <w:t>של</w:t>
      </w:r>
      <w:r w:rsidRPr="00FF4CAD">
        <w:rPr>
          <w:rtl/>
        </w:rPr>
        <w:t xml:space="preserve"> </w:t>
      </w:r>
      <w:r w:rsidRPr="00FF4CAD">
        <w:rPr>
          <w:rFonts w:hint="eastAsia"/>
          <w:rtl/>
        </w:rPr>
        <w:t>הצגת</w:t>
      </w:r>
      <w:r w:rsidRPr="00FF4CAD">
        <w:rPr>
          <w:rtl/>
        </w:rPr>
        <w:t xml:space="preserve"> </w:t>
      </w:r>
      <w:r w:rsidRPr="00FF4CAD">
        <w:rPr>
          <w:rFonts w:hint="eastAsia"/>
          <w:rtl/>
        </w:rPr>
        <w:t>אותיות</w:t>
      </w:r>
      <w:r w:rsidRPr="00FF4CAD">
        <w:rPr>
          <w:rtl/>
        </w:rPr>
        <w:t xml:space="preserve">, </w:t>
      </w:r>
      <w:r w:rsidRPr="00FF4CAD">
        <w:rPr>
          <w:rFonts w:hint="eastAsia"/>
          <w:rtl/>
        </w:rPr>
        <w:t>ספרות</w:t>
      </w:r>
      <w:r w:rsidRPr="00FF4CAD">
        <w:rPr>
          <w:rtl/>
        </w:rPr>
        <w:t xml:space="preserve"> </w:t>
      </w:r>
      <w:r w:rsidRPr="00FF4CAD">
        <w:rPr>
          <w:rFonts w:hint="eastAsia"/>
          <w:rtl/>
        </w:rPr>
        <w:t>או</w:t>
      </w:r>
      <w:r w:rsidRPr="00FF4CAD">
        <w:rPr>
          <w:rtl/>
        </w:rPr>
        <w:t xml:space="preserve"> </w:t>
      </w:r>
      <w:r w:rsidRPr="00FF4CAD">
        <w:rPr>
          <w:rFonts w:hint="eastAsia"/>
          <w:rtl/>
        </w:rPr>
        <w:t>סימנים</w:t>
      </w:r>
      <w:r w:rsidRPr="00FF4CAD">
        <w:rPr>
          <w:rtl/>
        </w:rPr>
        <w:t xml:space="preserve"> </w:t>
      </w:r>
      <w:r w:rsidRPr="00FF4CAD">
        <w:rPr>
          <w:rFonts w:hint="eastAsia"/>
          <w:rtl/>
        </w:rPr>
        <w:t>בצורה</w:t>
      </w:r>
      <w:r w:rsidRPr="00FF4CAD">
        <w:rPr>
          <w:rtl/>
        </w:rPr>
        <w:t xml:space="preserve"> </w:t>
      </w:r>
      <w:r w:rsidRPr="00FF4CAD">
        <w:rPr>
          <w:rFonts w:hint="eastAsia"/>
          <w:rtl/>
        </w:rPr>
        <w:t>הנראית</w:t>
      </w:r>
      <w:r w:rsidRPr="00FF4CAD">
        <w:rPr>
          <w:rtl/>
        </w:rPr>
        <w:t xml:space="preserve"> </w:t>
      </w:r>
      <w:r w:rsidRPr="00FF4CAD">
        <w:rPr>
          <w:rFonts w:hint="eastAsia"/>
          <w:rtl/>
        </w:rPr>
        <w:t>לעין</w:t>
      </w:r>
      <w:r w:rsidRPr="00FF4CAD">
        <w:rPr>
          <w:rtl/>
        </w:rPr>
        <w:t xml:space="preserve"> </w:t>
      </w:r>
      <w:r w:rsidRPr="00FF4CAD">
        <w:rPr>
          <w:rFonts w:hint="eastAsia"/>
          <w:rtl/>
        </w:rPr>
        <w:t>או</w:t>
      </w:r>
      <w:r w:rsidRPr="00FF4CAD">
        <w:rPr>
          <w:rtl/>
        </w:rPr>
        <w:t xml:space="preserve"> </w:t>
      </w:r>
      <w:r w:rsidRPr="00FF4CAD">
        <w:rPr>
          <w:rFonts w:hint="eastAsia"/>
          <w:rtl/>
        </w:rPr>
        <w:t>הניתנת</w:t>
      </w:r>
      <w:r w:rsidRPr="00FF4CAD">
        <w:rPr>
          <w:rtl/>
        </w:rPr>
        <w:t xml:space="preserve"> </w:t>
      </w:r>
      <w:r w:rsidRPr="00FF4CAD">
        <w:rPr>
          <w:rFonts w:hint="eastAsia"/>
          <w:rtl/>
        </w:rPr>
        <w:t>לפענוח</w:t>
      </w:r>
      <w:r w:rsidRPr="00FF4CAD">
        <w:rPr>
          <w:rtl/>
        </w:rPr>
        <w:t xml:space="preserve"> </w:t>
      </w:r>
      <w:r w:rsidRPr="00FF4CAD">
        <w:rPr>
          <w:rFonts w:hint="eastAsia"/>
          <w:rtl/>
        </w:rPr>
        <w:t>חזותי</w:t>
      </w:r>
      <w:r>
        <w:rPr>
          <w:rFonts w:hint="cs"/>
          <w:rtl/>
        </w:rPr>
        <w:t>", כאמור בסעיף 3 ל</w:t>
      </w:r>
      <w:r w:rsidRPr="0038790C">
        <w:rPr>
          <w:rFonts w:hint="eastAsia"/>
          <w:rtl/>
        </w:rPr>
        <w:t>חוק</w:t>
      </w:r>
      <w:r w:rsidRPr="0038790C">
        <w:rPr>
          <w:rtl/>
        </w:rPr>
        <w:t xml:space="preserve"> </w:t>
      </w:r>
      <w:r w:rsidRPr="0038790C">
        <w:rPr>
          <w:rFonts w:hint="eastAsia"/>
          <w:rtl/>
        </w:rPr>
        <w:t>הפרשנות</w:t>
      </w:r>
      <w:r w:rsidRPr="0038790C">
        <w:rPr>
          <w:rtl/>
        </w:rPr>
        <w:t xml:space="preserve">, </w:t>
      </w:r>
      <w:r>
        <w:rPr>
          <w:rFonts w:hint="cs"/>
          <w:rtl/>
        </w:rPr>
        <w:t>ה</w:t>
      </w:r>
      <w:r w:rsidRPr="0038790C">
        <w:rPr>
          <w:rFonts w:hint="eastAsia"/>
          <w:rtl/>
        </w:rPr>
        <w:t>תשמ</w:t>
      </w:r>
      <w:r w:rsidRPr="0038790C">
        <w:rPr>
          <w:rtl/>
        </w:rPr>
        <w:t>"</w:t>
      </w:r>
      <w:r w:rsidRPr="0038790C">
        <w:rPr>
          <w:rFonts w:hint="eastAsia"/>
          <w:rtl/>
        </w:rPr>
        <w:t>א</w:t>
      </w:r>
      <w:r w:rsidRPr="0038790C">
        <w:rPr>
          <w:rtl/>
        </w:rPr>
        <w:t>-1981</w:t>
      </w:r>
      <w:r>
        <w:rPr>
          <w:rFonts w:hint="cs"/>
          <w:rtl/>
        </w:rPr>
        <w:t xml:space="preserve">) </w:t>
      </w:r>
      <w:r w:rsidRPr="00355FAE">
        <w:rPr>
          <w:rFonts w:hint="cs"/>
          <w:rtl/>
        </w:rPr>
        <w:t>(</w:t>
      </w:r>
      <w:r w:rsidRPr="00494E71">
        <w:rPr>
          <w:rFonts w:hint="eastAsia"/>
          <w:rtl/>
        </w:rPr>
        <w:t>ראו</w:t>
      </w:r>
      <w:r w:rsidRPr="00494E71">
        <w:rPr>
          <w:rtl/>
        </w:rPr>
        <w:t xml:space="preserve">: </w:t>
      </w:r>
      <w:r w:rsidRPr="00A14071">
        <w:rPr>
          <w:rFonts w:ascii="Century" w:hAnsi="Century" w:hint="eastAsia"/>
          <w:sz w:val="22"/>
          <w:rtl/>
        </w:rPr>
        <w:t>חאלד</w:t>
      </w:r>
      <w:r w:rsidRPr="00A14071">
        <w:rPr>
          <w:rFonts w:ascii="Century" w:hAnsi="Century"/>
          <w:sz w:val="22"/>
          <w:rtl/>
        </w:rPr>
        <w:t xml:space="preserve"> </w:t>
      </w:r>
      <w:r w:rsidRPr="00A14071">
        <w:rPr>
          <w:rFonts w:ascii="Century" w:hAnsi="Century" w:hint="eastAsia"/>
          <w:sz w:val="22"/>
          <w:rtl/>
        </w:rPr>
        <w:t>גנאים</w:t>
      </w:r>
      <w:r w:rsidRPr="00A14071">
        <w:rPr>
          <w:rFonts w:ascii="Century" w:hAnsi="Century"/>
          <w:sz w:val="22"/>
          <w:rtl/>
        </w:rPr>
        <w:t xml:space="preserve">, </w:t>
      </w:r>
      <w:r w:rsidRPr="00A14071">
        <w:rPr>
          <w:rFonts w:ascii="Century" w:hAnsi="Century" w:hint="eastAsia"/>
          <w:sz w:val="22"/>
          <w:rtl/>
        </w:rPr>
        <w:t>מרדכי</w:t>
      </w:r>
      <w:r w:rsidRPr="00A14071">
        <w:rPr>
          <w:rFonts w:ascii="Century" w:hAnsi="Century"/>
          <w:sz w:val="22"/>
          <w:rtl/>
        </w:rPr>
        <w:t xml:space="preserve"> </w:t>
      </w:r>
      <w:r w:rsidRPr="00A14071">
        <w:rPr>
          <w:rFonts w:ascii="Century" w:hAnsi="Century" w:hint="eastAsia"/>
          <w:sz w:val="22"/>
          <w:rtl/>
        </w:rPr>
        <w:t>קרמניצר</w:t>
      </w:r>
      <w:r w:rsidRPr="00A14071">
        <w:rPr>
          <w:rFonts w:ascii="Century" w:hAnsi="Century"/>
          <w:sz w:val="22"/>
          <w:rtl/>
        </w:rPr>
        <w:t xml:space="preserve"> </w:t>
      </w:r>
      <w:r w:rsidRPr="00A14071">
        <w:rPr>
          <w:rFonts w:ascii="Century" w:hAnsi="Century" w:hint="eastAsia"/>
          <w:sz w:val="22"/>
          <w:rtl/>
        </w:rPr>
        <w:t>ובועז</w:t>
      </w:r>
      <w:r w:rsidRPr="00A14071">
        <w:rPr>
          <w:rFonts w:ascii="Century" w:hAnsi="Century"/>
          <w:sz w:val="22"/>
          <w:rtl/>
        </w:rPr>
        <w:t xml:space="preserve"> </w:t>
      </w:r>
      <w:r w:rsidRPr="00A14071">
        <w:rPr>
          <w:rFonts w:ascii="Century" w:hAnsi="Century" w:hint="eastAsia"/>
          <w:sz w:val="22"/>
          <w:rtl/>
        </w:rPr>
        <w:t>שנור</w:t>
      </w:r>
      <w:r w:rsidRPr="00436BBA">
        <w:rPr>
          <w:rFonts w:ascii="Century" w:hAnsi="Century" w:cs="Miriam" w:hint="cs"/>
          <w:b/>
          <w:spacing w:val="0"/>
          <w:sz w:val="22"/>
          <w:szCs w:val="24"/>
          <w:rtl/>
        </w:rPr>
        <w:t xml:space="preserve"> דיני לשון הרע</w:t>
      </w:r>
      <w:r>
        <w:rPr>
          <w:rFonts w:ascii="Century" w:hAnsi="Century" w:cs="Miriam" w:hint="cs"/>
          <w:b/>
          <w:spacing w:val="0"/>
          <w:sz w:val="22"/>
          <w:szCs w:val="24"/>
          <w:rtl/>
        </w:rPr>
        <w:t xml:space="preserve"> </w:t>
      </w:r>
      <w:r>
        <w:rPr>
          <w:rFonts w:ascii="Century" w:hAnsi="Century" w:cs="Miriam"/>
          <w:b/>
          <w:spacing w:val="0"/>
          <w:sz w:val="22"/>
          <w:szCs w:val="24"/>
          <w:rtl/>
        </w:rPr>
        <w:t>–</w:t>
      </w:r>
      <w:r w:rsidRPr="00436BBA">
        <w:rPr>
          <w:rFonts w:ascii="Century" w:hAnsi="Century" w:cs="Miriam" w:hint="cs"/>
          <w:b/>
          <w:spacing w:val="0"/>
          <w:sz w:val="22"/>
          <w:szCs w:val="24"/>
          <w:rtl/>
        </w:rPr>
        <w:t xml:space="preserve"> הדין המצוי והדין הרצוי</w:t>
      </w:r>
      <w:r>
        <w:rPr>
          <w:rFonts w:hint="cs"/>
          <w:rtl/>
        </w:rPr>
        <w:t xml:space="preserve"> 199-198 (מהדורה שנייה מורחבת, </w:t>
      </w:r>
      <w:r w:rsidRPr="00355FAE">
        <w:rPr>
          <w:rFonts w:hint="cs"/>
          <w:rtl/>
        </w:rPr>
        <w:t>2019)</w:t>
      </w:r>
      <w:r w:rsidRPr="00494E71">
        <w:rPr>
          <w:rtl/>
        </w:rPr>
        <w:t xml:space="preserve"> (</w:t>
      </w:r>
      <w:r w:rsidRPr="00494E71">
        <w:rPr>
          <w:rFonts w:hint="eastAsia"/>
          <w:rtl/>
        </w:rPr>
        <w:t>להלן</w:t>
      </w:r>
      <w:r w:rsidRPr="00494E71">
        <w:rPr>
          <w:rtl/>
        </w:rPr>
        <w:t xml:space="preserve">: </w:t>
      </w:r>
      <w:r w:rsidRPr="00494E71">
        <w:rPr>
          <w:rFonts w:ascii="Century" w:hAnsi="Century" w:cs="Miriam" w:hint="eastAsia"/>
          <w:b/>
          <w:spacing w:val="0"/>
          <w:sz w:val="22"/>
          <w:szCs w:val="24"/>
          <w:rtl/>
        </w:rPr>
        <w:t>לשון</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הרע</w:t>
      </w:r>
      <w:r w:rsidRPr="00494E71">
        <w:rPr>
          <w:rFonts w:ascii="Century" w:hAnsi="Century" w:cs="Miriam"/>
          <w:b/>
          <w:spacing w:val="0"/>
          <w:sz w:val="22"/>
          <w:szCs w:val="24"/>
          <w:rtl/>
        </w:rPr>
        <w:t xml:space="preserve"> – </w:t>
      </w:r>
      <w:r w:rsidRPr="00494E71">
        <w:rPr>
          <w:rFonts w:ascii="Century" w:hAnsi="Century" w:cs="Miriam" w:hint="eastAsia"/>
          <w:b/>
          <w:spacing w:val="0"/>
          <w:sz w:val="22"/>
          <w:szCs w:val="24"/>
          <w:rtl/>
        </w:rPr>
        <w:t>הדין</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המצוי</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והדין</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הרצוי</w:t>
      </w:r>
      <w:r w:rsidRPr="00494E71">
        <w:rPr>
          <w:rtl/>
        </w:rPr>
        <w:t>)</w:t>
      </w:r>
      <w:r>
        <w:rPr>
          <w:rFonts w:hint="cs"/>
          <w:rtl/>
        </w:rPr>
        <w:t xml:space="preserve">; אורי שנהר </w:t>
      </w:r>
      <w:r w:rsidRPr="00122CEF">
        <w:rPr>
          <w:rFonts w:ascii="Century" w:hAnsi="Century" w:cs="Miriam" w:hint="eastAsia"/>
          <w:b/>
          <w:spacing w:val="0"/>
          <w:sz w:val="22"/>
          <w:szCs w:val="24"/>
          <w:rtl/>
        </w:rPr>
        <w:t>דיני</w:t>
      </w:r>
      <w:r w:rsidRPr="00122CEF">
        <w:rPr>
          <w:rFonts w:ascii="Century" w:hAnsi="Century" w:cs="Miriam"/>
          <w:b/>
          <w:spacing w:val="0"/>
          <w:sz w:val="22"/>
          <w:szCs w:val="24"/>
          <w:rtl/>
        </w:rPr>
        <w:t xml:space="preserve"> </w:t>
      </w:r>
      <w:r w:rsidRPr="00122CEF">
        <w:rPr>
          <w:rFonts w:ascii="Century" w:hAnsi="Century" w:cs="Miriam" w:hint="eastAsia"/>
          <w:b/>
          <w:spacing w:val="0"/>
          <w:sz w:val="22"/>
          <w:szCs w:val="24"/>
          <w:rtl/>
        </w:rPr>
        <w:t>לשון</w:t>
      </w:r>
      <w:r w:rsidRPr="00122CEF">
        <w:rPr>
          <w:rFonts w:ascii="Century" w:hAnsi="Century" w:cs="Miriam"/>
          <w:b/>
          <w:spacing w:val="0"/>
          <w:sz w:val="22"/>
          <w:szCs w:val="24"/>
          <w:rtl/>
        </w:rPr>
        <w:t xml:space="preserve"> </w:t>
      </w:r>
      <w:r w:rsidRPr="00122CEF">
        <w:rPr>
          <w:rFonts w:ascii="Century" w:hAnsi="Century" w:cs="Miriam" w:hint="eastAsia"/>
          <w:b/>
          <w:spacing w:val="0"/>
          <w:sz w:val="22"/>
          <w:szCs w:val="24"/>
          <w:rtl/>
        </w:rPr>
        <w:t>הרע</w:t>
      </w:r>
      <w:r w:rsidRPr="00537DCE">
        <w:rPr>
          <w:rFonts w:hint="cs"/>
          <w:rtl/>
        </w:rPr>
        <w:t xml:space="preserve"> </w:t>
      </w:r>
      <w:r>
        <w:rPr>
          <w:rFonts w:hint="cs"/>
          <w:rtl/>
        </w:rPr>
        <w:t xml:space="preserve">144 (1997) (להלן: </w:t>
      </w:r>
      <w:r w:rsidRPr="00122CEF">
        <w:rPr>
          <w:rFonts w:ascii="Century" w:hAnsi="Century" w:cs="Miriam" w:hint="eastAsia"/>
          <w:b/>
          <w:spacing w:val="0"/>
          <w:sz w:val="22"/>
          <w:szCs w:val="24"/>
          <w:rtl/>
        </w:rPr>
        <w:t>שנהר</w:t>
      </w:r>
      <w:r>
        <w:rPr>
          <w:rFonts w:hint="cs"/>
          <w:rtl/>
        </w:rPr>
        <w:t xml:space="preserve">)). אשר על כן, סרט קולנועי או סרט וידאו, אשר </w:t>
      </w:r>
      <w:r w:rsidRPr="001E638B">
        <w:rPr>
          <w:rFonts w:ascii="Century" w:hAnsi="Century" w:cs="Miriam" w:hint="cs"/>
          <w:b/>
          <w:spacing w:val="0"/>
          <w:sz w:val="22"/>
          <w:szCs w:val="24"/>
          <w:rtl/>
        </w:rPr>
        <w:t>עשוי להיות נצפה</w:t>
      </w:r>
      <w:r>
        <w:rPr>
          <w:rFonts w:hint="cs"/>
          <w:rtl/>
        </w:rPr>
        <w:t xml:space="preserve"> על ידי אדם שאינו הנפגע מלשון הרע, הוא בגדר פרסום, ואין הנפגע </w:t>
      </w:r>
      <w:r w:rsidRPr="007F2643">
        <w:rPr>
          <w:rFonts w:hint="eastAsia"/>
          <w:rtl/>
        </w:rPr>
        <w:t>נדרש</w:t>
      </w:r>
      <w:r w:rsidRPr="007F2643">
        <w:rPr>
          <w:rtl/>
        </w:rPr>
        <w:t xml:space="preserve"> </w:t>
      </w:r>
      <w:r w:rsidRPr="007F2643">
        <w:rPr>
          <w:rFonts w:hint="eastAsia"/>
          <w:rtl/>
        </w:rPr>
        <w:t>להוכיח</w:t>
      </w:r>
      <w:r w:rsidRPr="007F2643">
        <w:rPr>
          <w:rtl/>
        </w:rPr>
        <w:t xml:space="preserve"> </w:t>
      </w:r>
      <w:r w:rsidRPr="007F2643">
        <w:rPr>
          <w:rFonts w:hint="eastAsia"/>
          <w:rtl/>
        </w:rPr>
        <w:t>שהסרט</w:t>
      </w:r>
      <w:r w:rsidRPr="007F2643">
        <w:rPr>
          <w:rtl/>
        </w:rPr>
        <w:t xml:space="preserve"> </w:t>
      </w:r>
      <w:r w:rsidRPr="007F2643">
        <w:rPr>
          <w:rFonts w:hint="eastAsia"/>
          <w:rtl/>
        </w:rPr>
        <w:t>נצפה</w:t>
      </w:r>
      <w:r w:rsidRPr="007F2643">
        <w:rPr>
          <w:rtl/>
        </w:rPr>
        <w:t xml:space="preserve"> </w:t>
      </w:r>
      <w:r w:rsidRPr="007F2643">
        <w:rPr>
          <w:rFonts w:hint="eastAsia"/>
          <w:rtl/>
        </w:rPr>
        <w:t>בפועל</w:t>
      </w:r>
      <w:r w:rsidRPr="007F2643">
        <w:rPr>
          <w:rtl/>
        </w:rPr>
        <w:t xml:space="preserve"> </w:t>
      </w:r>
      <w:r w:rsidRPr="007F2643">
        <w:rPr>
          <w:rFonts w:hint="eastAsia"/>
          <w:rtl/>
        </w:rPr>
        <w:t>על</w:t>
      </w:r>
      <w:r w:rsidRPr="007F2643">
        <w:rPr>
          <w:rtl/>
        </w:rPr>
        <w:t xml:space="preserve"> </w:t>
      </w:r>
      <w:r w:rsidRPr="007F2643">
        <w:rPr>
          <w:rFonts w:hint="eastAsia"/>
          <w:rtl/>
        </w:rPr>
        <w:t>ידי</w:t>
      </w:r>
      <w:r w:rsidRPr="007F2643">
        <w:rPr>
          <w:rtl/>
        </w:rPr>
        <w:t xml:space="preserve"> </w:t>
      </w:r>
      <w:r w:rsidRPr="007F2643">
        <w:rPr>
          <w:rFonts w:hint="eastAsia"/>
          <w:rtl/>
        </w:rPr>
        <w:t>אחרים</w:t>
      </w:r>
      <w:r w:rsidRPr="007F2643">
        <w:rPr>
          <w:rtl/>
        </w:rPr>
        <w:t xml:space="preserve"> </w:t>
      </w:r>
      <w:r w:rsidRPr="00494E71">
        <w:rPr>
          <w:rtl/>
        </w:rPr>
        <w:t>(</w:t>
      </w:r>
      <w:r w:rsidRPr="00494E71">
        <w:rPr>
          <w:rFonts w:hint="eastAsia"/>
          <w:rtl/>
        </w:rPr>
        <w:t>להגדרת</w:t>
      </w:r>
      <w:r w:rsidRPr="00494E71">
        <w:rPr>
          <w:rtl/>
        </w:rPr>
        <w:t xml:space="preserve"> "</w:t>
      </w:r>
      <w:r w:rsidRPr="00494E71">
        <w:rPr>
          <w:rFonts w:hint="eastAsia"/>
          <w:rtl/>
        </w:rPr>
        <w:t>כתב</w:t>
      </w:r>
      <w:r w:rsidRPr="00494E71">
        <w:rPr>
          <w:rtl/>
        </w:rPr>
        <w:t xml:space="preserve">" </w:t>
      </w:r>
      <w:r w:rsidRPr="00494E71">
        <w:rPr>
          <w:rFonts w:hint="eastAsia"/>
          <w:rtl/>
        </w:rPr>
        <w:t>ככולל</w:t>
      </w:r>
      <w:r w:rsidRPr="00494E71">
        <w:rPr>
          <w:rtl/>
        </w:rPr>
        <w:t xml:space="preserve"> </w:t>
      </w:r>
      <w:r w:rsidRPr="00494E71">
        <w:rPr>
          <w:rFonts w:hint="eastAsia"/>
          <w:rtl/>
        </w:rPr>
        <w:t>סרט</w:t>
      </w:r>
      <w:r w:rsidRPr="00494E71">
        <w:rPr>
          <w:rtl/>
        </w:rPr>
        <w:t xml:space="preserve"> </w:t>
      </w:r>
      <w:r w:rsidRPr="00494E71">
        <w:rPr>
          <w:rFonts w:hint="eastAsia"/>
          <w:rtl/>
        </w:rPr>
        <w:t>קולנועי</w:t>
      </w:r>
      <w:r w:rsidRPr="00494E71">
        <w:rPr>
          <w:rtl/>
        </w:rPr>
        <w:t xml:space="preserve"> </w:t>
      </w:r>
      <w:r w:rsidRPr="00494E71">
        <w:rPr>
          <w:rFonts w:hint="eastAsia"/>
          <w:rtl/>
        </w:rPr>
        <w:t>לעניין</w:t>
      </w:r>
      <w:r w:rsidRPr="00494E71">
        <w:rPr>
          <w:rtl/>
        </w:rPr>
        <w:t xml:space="preserve"> </w:t>
      </w:r>
      <w:r w:rsidRPr="00494E71">
        <w:rPr>
          <w:rFonts w:hint="eastAsia"/>
          <w:rtl/>
        </w:rPr>
        <w:t>לשון</w:t>
      </w:r>
      <w:r w:rsidRPr="00494E71">
        <w:rPr>
          <w:rtl/>
        </w:rPr>
        <w:t xml:space="preserve"> </w:t>
      </w:r>
      <w:r w:rsidRPr="00494E71">
        <w:rPr>
          <w:rFonts w:hint="eastAsia"/>
          <w:rtl/>
        </w:rPr>
        <w:t>הרע</w:t>
      </w:r>
      <w:r w:rsidRPr="00494E71">
        <w:rPr>
          <w:rtl/>
        </w:rPr>
        <w:t xml:space="preserve">, </w:t>
      </w:r>
      <w:r w:rsidRPr="00494E71">
        <w:rPr>
          <w:rFonts w:hint="eastAsia"/>
          <w:rtl/>
        </w:rPr>
        <w:t>ראו</w:t>
      </w:r>
      <w:r w:rsidRPr="00494E71">
        <w:rPr>
          <w:rtl/>
        </w:rPr>
        <w:t xml:space="preserve"> </w:t>
      </w:r>
      <w:r w:rsidRPr="00494E71">
        <w:rPr>
          <w:rFonts w:hint="eastAsia"/>
          <w:rtl/>
        </w:rPr>
        <w:t>מ</w:t>
      </w:r>
      <w:r>
        <w:rPr>
          <w:rFonts w:hint="cs"/>
          <w:rtl/>
        </w:rPr>
        <w:t>י</w:t>
      </w:r>
      <w:r w:rsidRPr="00494E71">
        <w:rPr>
          <w:rFonts w:hint="eastAsia"/>
          <w:rtl/>
        </w:rPr>
        <w:t>ני</w:t>
      </w:r>
      <w:r w:rsidRPr="00494E71">
        <w:rPr>
          <w:rtl/>
        </w:rPr>
        <w:t xml:space="preserve"> </w:t>
      </w:r>
      <w:r w:rsidRPr="00494E71">
        <w:rPr>
          <w:rFonts w:hint="eastAsia"/>
          <w:rtl/>
        </w:rPr>
        <w:t>רבים</w:t>
      </w:r>
      <w:r w:rsidRPr="00494E71">
        <w:rPr>
          <w:rtl/>
        </w:rPr>
        <w:t xml:space="preserve">: </w:t>
      </w:r>
      <w:r w:rsidRPr="00F66D56">
        <w:rPr>
          <w:rFonts w:asciiTheme="majorBidi" w:hAnsiTheme="majorBidi" w:cstheme="majorBidi"/>
          <w:i/>
          <w:iCs/>
        </w:rPr>
        <w:t>Developments in the Law: Defamation,</w:t>
      </w:r>
      <w:r w:rsidRPr="00494E71">
        <w:rPr>
          <w:rFonts w:asciiTheme="majorBidi" w:hAnsiTheme="majorBidi" w:cstheme="majorBidi"/>
        </w:rPr>
        <w:t xml:space="preserve"> 69 </w:t>
      </w:r>
      <w:r w:rsidRPr="00494E71">
        <w:rPr>
          <w:rFonts w:asciiTheme="majorBidi" w:hAnsiTheme="majorBidi" w:cstheme="majorBidi"/>
          <w:smallCaps/>
        </w:rPr>
        <w:t>Harv. L. Rev.</w:t>
      </w:r>
      <w:r w:rsidRPr="00494E71">
        <w:rPr>
          <w:rFonts w:asciiTheme="majorBidi" w:hAnsiTheme="majorBidi" w:cstheme="majorBidi"/>
        </w:rPr>
        <w:t xml:space="preserve"> 875, 888-889 (1956)</w:t>
      </w:r>
      <w:r w:rsidRPr="00494E71">
        <w:rPr>
          <w:rtl/>
        </w:rPr>
        <w:t>)</w:t>
      </w:r>
      <w:r w:rsidRPr="007F2643">
        <w:rPr>
          <w:rtl/>
        </w:rPr>
        <w:t xml:space="preserve">. </w:t>
      </w:r>
      <w:r w:rsidRPr="007F2643">
        <w:rPr>
          <w:rFonts w:hint="eastAsia"/>
          <w:rtl/>
        </w:rPr>
        <w:t>ברי</w:t>
      </w:r>
      <w:r>
        <w:rPr>
          <w:rFonts w:hint="cs"/>
          <w:rtl/>
        </w:rPr>
        <w:t xml:space="preserve"> הוא גם כי סרט הכזבים שבו עסקינן </w:t>
      </w:r>
      <w:r w:rsidRPr="001E638B">
        <w:rPr>
          <w:rFonts w:ascii="Century" w:hAnsi="Century" w:cs="Miriam" w:hint="cs"/>
          <w:b/>
          <w:spacing w:val="0"/>
          <w:sz w:val="22"/>
          <w:szCs w:val="24"/>
          <w:rtl/>
        </w:rPr>
        <w:t>עלול</w:t>
      </w:r>
      <w:r>
        <w:rPr>
          <w:rFonts w:hint="cs"/>
          <w:rtl/>
        </w:rPr>
        <w:t xml:space="preserve"> </w:t>
      </w:r>
      <w:r>
        <w:rPr>
          <w:rFonts w:hint="eastAsia"/>
          <w:rtl/>
        </w:rPr>
        <w:t>להשפיל</w:t>
      </w:r>
      <w:r>
        <w:rPr>
          <w:rtl/>
        </w:rPr>
        <w:t xml:space="preserve"> </w:t>
      </w:r>
      <w:r>
        <w:rPr>
          <w:rFonts w:hint="cs"/>
          <w:rtl/>
        </w:rPr>
        <w:t>את המשיב 1</w:t>
      </w:r>
      <w:r>
        <w:rPr>
          <w:rtl/>
        </w:rPr>
        <w:t xml:space="preserve"> </w:t>
      </w:r>
      <w:r>
        <w:rPr>
          <w:rFonts w:hint="eastAsia"/>
          <w:rtl/>
        </w:rPr>
        <w:t>בעיני</w:t>
      </w:r>
      <w:r>
        <w:rPr>
          <w:rtl/>
        </w:rPr>
        <w:t xml:space="preserve"> </w:t>
      </w:r>
      <w:r>
        <w:rPr>
          <w:rFonts w:hint="eastAsia"/>
          <w:rtl/>
        </w:rPr>
        <w:t>הבריות</w:t>
      </w:r>
      <w:r>
        <w:rPr>
          <w:rtl/>
        </w:rPr>
        <w:t xml:space="preserve"> </w:t>
      </w:r>
      <w:r>
        <w:rPr>
          <w:rFonts w:hint="eastAsia"/>
          <w:rtl/>
        </w:rPr>
        <w:t>או</w:t>
      </w:r>
      <w:r>
        <w:rPr>
          <w:rtl/>
        </w:rPr>
        <w:t xml:space="preserve"> </w:t>
      </w:r>
      <w:r>
        <w:rPr>
          <w:rFonts w:hint="eastAsia"/>
          <w:rtl/>
        </w:rPr>
        <w:t>לעשותו</w:t>
      </w:r>
      <w:r>
        <w:rPr>
          <w:rtl/>
        </w:rPr>
        <w:t xml:space="preserve"> </w:t>
      </w:r>
      <w:r>
        <w:rPr>
          <w:rFonts w:hint="eastAsia"/>
          <w:rtl/>
        </w:rPr>
        <w:t>מטרה</w:t>
      </w:r>
      <w:r>
        <w:rPr>
          <w:rtl/>
        </w:rPr>
        <w:t xml:space="preserve"> </w:t>
      </w:r>
      <w:r>
        <w:rPr>
          <w:rFonts w:hint="eastAsia"/>
          <w:rtl/>
        </w:rPr>
        <w:t>לשנאה</w:t>
      </w:r>
      <w:r>
        <w:rPr>
          <w:rtl/>
        </w:rPr>
        <w:t xml:space="preserve">, </w:t>
      </w:r>
      <w:r>
        <w:rPr>
          <w:rFonts w:hint="eastAsia"/>
          <w:rtl/>
        </w:rPr>
        <w:t>לבוז</w:t>
      </w:r>
      <w:r>
        <w:rPr>
          <w:rtl/>
        </w:rPr>
        <w:t xml:space="preserve"> </w:t>
      </w:r>
      <w:r>
        <w:rPr>
          <w:rFonts w:hint="eastAsia"/>
          <w:rtl/>
        </w:rPr>
        <w:t>או</w:t>
      </w:r>
      <w:r>
        <w:rPr>
          <w:rtl/>
        </w:rPr>
        <w:t xml:space="preserve"> </w:t>
      </w:r>
      <w:r>
        <w:rPr>
          <w:rFonts w:hint="eastAsia"/>
          <w:rtl/>
        </w:rPr>
        <w:t>ללעג</w:t>
      </w:r>
      <w:r>
        <w:rPr>
          <w:rtl/>
        </w:rPr>
        <w:t xml:space="preserve"> </w:t>
      </w:r>
      <w:r>
        <w:rPr>
          <w:rFonts w:hint="eastAsia"/>
          <w:rtl/>
        </w:rPr>
        <w:t>מצדם</w:t>
      </w:r>
      <w:r>
        <w:rPr>
          <w:rFonts w:hint="cs"/>
          <w:rtl/>
        </w:rPr>
        <w:t xml:space="preserve"> </w:t>
      </w:r>
      <w:r>
        <w:rPr>
          <w:rtl/>
        </w:rPr>
        <w:t>–</w:t>
      </w:r>
      <w:r>
        <w:rPr>
          <w:rFonts w:hint="cs"/>
          <w:rtl/>
        </w:rPr>
        <w:t xml:space="preserve"> כאמור בסעיף 1(1) לחוק לשון הרע. פרסום כאמור, כל אימת שהמערער לא מפסיקו, לא מסירו מהמרחב הציבורי ואינו מנתק את עצמו ממנו, הוא בגדר עוולת לשון הרע אשר הולכת ונמשכת על-פני ציר הזמן. כפי שיוסבר להלן, מסקנה זו עולה מהוראות הדין אשר חלות על המקרה דנן, ועל כן המערער אינו זכאי להגנת ההתיישנות בקשר להקרנות סרטו בשנת 2002 והינו אחראי להצגת הסרט באמצעות אתר ה-</w:t>
      </w:r>
      <w:r w:rsidRPr="001E638B">
        <w:rPr>
          <w:rFonts w:asciiTheme="majorBidi" w:hAnsiTheme="majorBidi" w:cstheme="majorBidi"/>
        </w:rPr>
        <w:t>YouTube</w:t>
      </w:r>
      <w:r>
        <w:rPr>
          <w:rFonts w:hint="cs"/>
          <w:rtl/>
        </w:rPr>
        <w:t xml:space="preserve">. </w:t>
      </w:r>
    </w:p>
    <w:p w:rsidR="008B3136" w:rsidRDefault="008B3136" w:rsidP="008B3136">
      <w:pPr>
        <w:pStyle w:val="Ruller4"/>
        <w:numPr>
          <w:ilvl w:val="0"/>
          <w:numId w:val="0"/>
        </w:numPr>
        <w:rPr>
          <w:rtl/>
        </w:rPr>
      </w:pPr>
    </w:p>
    <w:p w:rsidR="008B3136" w:rsidRDefault="008B3136" w:rsidP="008B3136">
      <w:pPr>
        <w:pStyle w:val="Ruller4"/>
      </w:pPr>
      <w:r>
        <w:rPr>
          <w:rFonts w:hint="cs"/>
          <w:rtl/>
        </w:rPr>
        <w:t>זאת ועוד: לפי כללי הנזיקין שחלים בנדון דידן, ברי הוא כי מתקיים קשר סיבתי בין יצירתו של סרט הכזבים על ידי המערער לבין הצגתו במרחב הציבורי, ובכלל זה העלאת הסרט לאתר ה-</w:t>
      </w:r>
      <w:r w:rsidRPr="005A0CD6">
        <w:rPr>
          <w:rFonts w:asciiTheme="majorBidi" w:hAnsiTheme="majorBidi" w:cstheme="majorBidi"/>
        </w:rPr>
        <w:t>YouTube</w:t>
      </w:r>
      <w:r>
        <w:rPr>
          <w:rFonts w:hint="cs"/>
          <w:rtl/>
        </w:rPr>
        <w:t xml:space="preserve">. כך קבע בית משפט קמא ובממצא זה אין לנו כל עילה מבוררת להתערב. לזאת אוסיף, כי ספק גדול בעיניי אם יוצרו של פרסום המהווה לשון הרע, אשר בוחר להציגו במרחב הציבורי, יכול לנתק את הקשר הסיבתי בין פרסומי ההמשך של אותה לשון הרע לבין מעשה העוולה שעשה </w:t>
      </w:r>
      <w:r>
        <w:rPr>
          <w:rtl/>
        </w:rPr>
        <w:t>–</w:t>
      </w:r>
      <w:r>
        <w:rPr>
          <w:rFonts w:hint="cs"/>
          <w:rtl/>
        </w:rPr>
        <w:t xml:space="preserve"> זאת, גם כאשר פרסומי ההמשך נעשו על ידי אנשים אחרים שעמם אין לו כל קשר אישי או עסקי (ראו והשוו: </w:t>
      </w:r>
      <w:r w:rsidRPr="003B5771">
        <w:rPr>
          <w:rFonts w:hint="eastAsia"/>
          <w:rtl/>
        </w:rPr>
        <w:t>רע</w:t>
      </w:r>
      <w:r w:rsidRPr="003B5771">
        <w:rPr>
          <w:rtl/>
        </w:rPr>
        <w:t>"</w:t>
      </w:r>
      <w:r w:rsidRPr="003B5771">
        <w:rPr>
          <w:rFonts w:hint="eastAsia"/>
          <w:rtl/>
        </w:rPr>
        <w:t>א</w:t>
      </w:r>
      <w:r w:rsidRPr="003B5771">
        <w:rPr>
          <w:rtl/>
        </w:rPr>
        <w:t xml:space="preserve"> 1239/19 </w:t>
      </w:r>
      <w:r w:rsidRPr="003B5771">
        <w:rPr>
          <w:rFonts w:ascii="Century" w:hAnsi="Century" w:cs="Miriam" w:hint="eastAsia"/>
          <w:b/>
          <w:spacing w:val="0"/>
          <w:sz w:val="22"/>
          <w:szCs w:val="24"/>
          <w:rtl/>
        </w:rPr>
        <w:t>שאול</w:t>
      </w:r>
      <w:r w:rsidRPr="003B5771">
        <w:rPr>
          <w:rFonts w:ascii="Century" w:hAnsi="Century" w:cs="Miriam"/>
          <w:b/>
          <w:spacing w:val="0"/>
          <w:sz w:val="22"/>
          <w:szCs w:val="24"/>
          <w:rtl/>
        </w:rPr>
        <w:t xml:space="preserve"> </w:t>
      </w:r>
      <w:r w:rsidRPr="003B5771">
        <w:rPr>
          <w:rFonts w:ascii="Century" w:hAnsi="Century" w:cs="Miriam" w:hint="eastAsia"/>
          <w:b/>
          <w:spacing w:val="0"/>
          <w:sz w:val="22"/>
          <w:szCs w:val="24"/>
          <w:rtl/>
        </w:rPr>
        <w:t>נ</w:t>
      </w:r>
      <w:r w:rsidRPr="003B5771">
        <w:rPr>
          <w:rFonts w:ascii="Century" w:hAnsi="Century" w:cs="Miriam"/>
          <w:b/>
          <w:spacing w:val="0"/>
          <w:sz w:val="22"/>
          <w:szCs w:val="24"/>
          <w:rtl/>
        </w:rPr>
        <w:t xml:space="preserve">' </w:t>
      </w:r>
      <w:r w:rsidRPr="003B5771">
        <w:rPr>
          <w:rFonts w:ascii="Century" w:hAnsi="Century" w:cs="Miriam" w:hint="eastAsia"/>
          <w:b/>
          <w:spacing w:val="0"/>
          <w:sz w:val="22"/>
          <w:szCs w:val="24"/>
          <w:rtl/>
        </w:rPr>
        <w:t>חברת</w:t>
      </w:r>
      <w:r w:rsidRPr="003B5771">
        <w:rPr>
          <w:rFonts w:ascii="Century" w:hAnsi="Century" w:cs="Miriam"/>
          <w:b/>
          <w:spacing w:val="0"/>
          <w:sz w:val="22"/>
          <w:szCs w:val="24"/>
          <w:rtl/>
        </w:rPr>
        <w:t xml:space="preserve"> </w:t>
      </w:r>
      <w:r w:rsidRPr="003B5771">
        <w:rPr>
          <w:rFonts w:ascii="Century" w:hAnsi="Century" w:cs="Miriam" w:hint="eastAsia"/>
          <w:b/>
          <w:spacing w:val="0"/>
          <w:sz w:val="22"/>
          <w:szCs w:val="24"/>
          <w:rtl/>
        </w:rPr>
        <w:t>ניידלי</w:t>
      </w:r>
      <w:r w:rsidRPr="003B5771">
        <w:rPr>
          <w:rFonts w:ascii="Century" w:hAnsi="Century" w:cs="Miriam"/>
          <w:b/>
          <w:spacing w:val="0"/>
          <w:sz w:val="22"/>
          <w:szCs w:val="24"/>
          <w:rtl/>
        </w:rPr>
        <w:t xml:space="preserve"> </w:t>
      </w:r>
      <w:r w:rsidRPr="003B5771">
        <w:rPr>
          <w:rFonts w:ascii="Century" w:hAnsi="Century" w:cs="Miriam" w:hint="eastAsia"/>
          <w:b/>
          <w:spacing w:val="0"/>
          <w:sz w:val="22"/>
          <w:szCs w:val="24"/>
          <w:rtl/>
        </w:rPr>
        <w:t>תקשורת</w:t>
      </w:r>
      <w:r w:rsidRPr="003B5771">
        <w:rPr>
          <w:rFonts w:ascii="Century" w:hAnsi="Century" w:cs="Miriam"/>
          <w:b/>
          <w:spacing w:val="0"/>
          <w:sz w:val="22"/>
          <w:szCs w:val="24"/>
          <w:rtl/>
        </w:rPr>
        <w:t xml:space="preserve"> </w:t>
      </w:r>
      <w:r w:rsidRPr="003B5771">
        <w:rPr>
          <w:rFonts w:ascii="Century" w:hAnsi="Century" w:cs="Miriam" w:hint="eastAsia"/>
          <w:b/>
          <w:spacing w:val="0"/>
          <w:sz w:val="22"/>
          <w:szCs w:val="24"/>
          <w:rtl/>
        </w:rPr>
        <w:t>בע</w:t>
      </w:r>
      <w:r w:rsidRPr="003B5771">
        <w:rPr>
          <w:rFonts w:ascii="Century" w:hAnsi="Century" w:cs="Miriam"/>
          <w:b/>
          <w:spacing w:val="0"/>
          <w:sz w:val="22"/>
          <w:szCs w:val="24"/>
          <w:rtl/>
        </w:rPr>
        <w:t>"</w:t>
      </w:r>
      <w:r w:rsidRPr="003B5771">
        <w:rPr>
          <w:rFonts w:ascii="Century" w:hAnsi="Century" w:cs="Miriam" w:hint="eastAsia"/>
          <w:b/>
          <w:spacing w:val="0"/>
          <w:sz w:val="22"/>
          <w:szCs w:val="24"/>
          <w:rtl/>
        </w:rPr>
        <w:t>מ</w:t>
      </w:r>
      <w:r>
        <w:rPr>
          <w:rFonts w:hint="cs"/>
          <w:rtl/>
        </w:rPr>
        <w:t xml:space="preserve">, </w:t>
      </w:r>
      <w:r w:rsidRPr="003B5771">
        <w:rPr>
          <w:rFonts w:hint="eastAsia"/>
          <w:rtl/>
        </w:rPr>
        <w:t>פסקה</w:t>
      </w:r>
      <w:r w:rsidRPr="003B5771">
        <w:rPr>
          <w:rtl/>
        </w:rPr>
        <w:t xml:space="preserve"> 4</w:t>
      </w:r>
      <w:r>
        <w:rPr>
          <w:rFonts w:hint="cs"/>
          <w:rtl/>
        </w:rPr>
        <w:t xml:space="preserve">9 (8.1.2020) (להלן: עניין </w:t>
      </w:r>
      <w:r w:rsidRPr="00375E7E">
        <w:rPr>
          <w:rFonts w:ascii="Century" w:hAnsi="Century" w:cs="Miriam" w:hint="cs"/>
          <w:b/>
          <w:spacing w:val="0"/>
          <w:sz w:val="22"/>
          <w:szCs w:val="24"/>
          <w:rtl/>
        </w:rPr>
        <w:t>ניידלי</w:t>
      </w:r>
      <w:r>
        <w:rPr>
          <w:rFonts w:hint="cs"/>
          <w:rtl/>
        </w:rPr>
        <w:t xml:space="preserve">)). ניתוק הקשר הסיבתי כאמור יכול להתרחש רק במצבי קצה דמיוניים, בהם אנו עדים להתערבותו של גורם זר דומיננטי שנוטל את המושכות לידיו כאשר ההתערבות איננה צפויה כלל וכלל (ראו: ע"א 576/81 </w:t>
      </w:r>
      <w:r w:rsidRPr="00A14071">
        <w:rPr>
          <w:rFonts w:ascii="Century" w:hAnsi="Century" w:cs="Miriam" w:hint="eastAsia"/>
          <w:b/>
          <w:spacing w:val="0"/>
          <w:sz w:val="22"/>
          <w:szCs w:val="24"/>
          <w:rtl/>
        </w:rPr>
        <w:t>בן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שמעון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ברדה</w:t>
      </w:r>
      <w:r>
        <w:rPr>
          <w:rFonts w:hint="cs"/>
          <w:rtl/>
        </w:rPr>
        <w:t xml:space="preserve">, פ"ד לח(3) 1, 9 (1984); ע"א 8199/01 </w:t>
      </w:r>
      <w:r w:rsidRPr="00A14071">
        <w:rPr>
          <w:rFonts w:ascii="Century" w:hAnsi="Century" w:cs="Miriam" w:hint="eastAsia"/>
          <w:b/>
          <w:spacing w:val="0"/>
          <w:sz w:val="22"/>
          <w:szCs w:val="24"/>
          <w:rtl/>
        </w:rPr>
        <w:t>עיזבון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מירו</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מירו</w:t>
      </w:r>
      <w:r>
        <w:rPr>
          <w:rFonts w:hint="cs"/>
          <w:rtl/>
        </w:rPr>
        <w:t xml:space="preserve">, פ"ד נז(2) 785, 792 (2001); ע"א 7008/09 </w:t>
      </w:r>
      <w:r w:rsidRPr="00A14071">
        <w:rPr>
          <w:rFonts w:ascii="Century" w:hAnsi="Century" w:cs="Miriam" w:hint="eastAsia"/>
          <w:b/>
          <w:spacing w:val="0"/>
          <w:sz w:val="22"/>
          <w:szCs w:val="24"/>
          <w:rtl/>
        </w:rPr>
        <w:t>עבד</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אל</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רחים</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עבד</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אל</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קאדר</w:t>
      </w:r>
      <w:r>
        <w:rPr>
          <w:rFonts w:hint="cs"/>
          <w:rtl/>
        </w:rPr>
        <w:t xml:space="preserve">, פסקה 22 (7.9.2010)). פשיטא הוא, שמצב הדברים שלפנינו איננו כזה. </w:t>
      </w:r>
    </w:p>
    <w:p w:rsidR="008B3136" w:rsidRPr="009D57B5" w:rsidRDefault="008B3136" w:rsidP="008B3136">
      <w:pPr>
        <w:pStyle w:val="Ruller4"/>
        <w:numPr>
          <w:ilvl w:val="0"/>
          <w:numId w:val="0"/>
        </w:numPr>
      </w:pPr>
    </w:p>
    <w:p w:rsidR="008B3136" w:rsidRPr="007B1EE3" w:rsidRDefault="008B3136" w:rsidP="008B3136">
      <w:pPr>
        <w:pStyle w:val="Ruller41"/>
        <w:rPr>
          <w:rFonts w:ascii="Century" w:hAnsi="Century" w:cs="Miriam"/>
          <w:b/>
          <w:spacing w:val="0"/>
          <w:szCs w:val="24"/>
          <w:rtl/>
        </w:rPr>
      </w:pPr>
      <w:r w:rsidRPr="007B1EE3">
        <w:rPr>
          <w:rFonts w:ascii="Century" w:hAnsi="Century" w:cs="Miriam" w:hint="cs"/>
          <w:b/>
          <w:spacing w:val="0"/>
          <w:szCs w:val="24"/>
          <w:rtl/>
        </w:rPr>
        <w:t>מהי עוולה נמשכת?</w:t>
      </w:r>
    </w:p>
    <w:p w:rsidR="008B3136" w:rsidRPr="007B1EE3" w:rsidRDefault="008B3136" w:rsidP="008B3136">
      <w:pPr>
        <w:pStyle w:val="Ruller41"/>
      </w:pPr>
    </w:p>
    <w:p w:rsidR="008B3136" w:rsidRPr="007E5FD5" w:rsidRDefault="008B3136" w:rsidP="008B3136">
      <w:pPr>
        <w:pStyle w:val="Ruller4"/>
        <w:rPr>
          <w:rFonts w:asciiTheme="majorBidi" w:hAnsiTheme="majorBidi" w:cstheme="majorBidi"/>
          <w:szCs w:val="24"/>
        </w:rPr>
      </w:pPr>
      <w:r>
        <w:rPr>
          <w:rFonts w:hint="cs"/>
          <w:rtl/>
        </w:rPr>
        <w:t xml:space="preserve">כפי שמציין חברי, השופט </w:t>
      </w:r>
      <w:r w:rsidRPr="0080415E">
        <w:rPr>
          <w:rFonts w:ascii="Century" w:hAnsi="Century" w:cs="Miriam" w:hint="cs"/>
          <w:b/>
          <w:spacing w:val="0"/>
          <w:sz w:val="22"/>
          <w:szCs w:val="24"/>
          <w:rtl/>
        </w:rPr>
        <w:t>עמית</w:t>
      </w:r>
      <w:r>
        <w:rPr>
          <w:rFonts w:hint="cs"/>
          <w:rtl/>
        </w:rPr>
        <w:t xml:space="preserve">, השאלה "מהי עוולה נמשכת?" טרם קיבלה תשובה ברורה בפסיקתנו. במובן זה, פסיקתנו אינה שונה מהפסיקה האנגלו-אמריקנית, שגם היא מתקשה לתת לשאלה זו מענה חד-ערכי אחיד (ראו: </w:t>
      </w:r>
      <w:r w:rsidRPr="0080415E">
        <w:rPr>
          <w:rFonts w:asciiTheme="majorBidi" w:hAnsiTheme="majorBidi" w:cstheme="majorBidi"/>
        </w:rPr>
        <w:t xml:space="preserve">Kyle Graham, </w:t>
      </w:r>
      <w:r w:rsidRPr="0080415E">
        <w:rPr>
          <w:rFonts w:asciiTheme="majorBidi" w:hAnsiTheme="majorBidi" w:cstheme="majorBidi"/>
          <w:i/>
          <w:iCs/>
        </w:rPr>
        <w:t>The Continuing Violations Doctrine</w:t>
      </w:r>
      <w:r w:rsidRPr="0080415E">
        <w:rPr>
          <w:rFonts w:asciiTheme="majorBidi" w:hAnsiTheme="majorBidi" w:cstheme="majorBidi"/>
        </w:rPr>
        <w:t xml:space="preserve">, 43 </w:t>
      </w:r>
      <w:r w:rsidRPr="0080415E">
        <w:rPr>
          <w:rFonts w:asciiTheme="majorBidi" w:hAnsiTheme="majorBidi" w:cstheme="majorBidi"/>
          <w:smallCaps/>
        </w:rPr>
        <w:t>Gonzaga L. Rev.</w:t>
      </w:r>
      <w:r w:rsidRPr="0080415E">
        <w:rPr>
          <w:rFonts w:asciiTheme="majorBidi" w:hAnsiTheme="majorBidi" w:cstheme="majorBidi"/>
        </w:rPr>
        <w:t xml:space="preserve"> 271, 283-291 (2007)</w:t>
      </w:r>
      <w:r>
        <w:rPr>
          <w:rFonts w:hint="cs"/>
          <w:rtl/>
        </w:rPr>
        <w:t xml:space="preserve"> (להלן: </w:t>
      </w:r>
      <w:r w:rsidRPr="0080415E">
        <w:rPr>
          <w:rFonts w:ascii="Century" w:hAnsi="Century" w:cs="Miriam" w:hint="cs"/>
          <w:b/>
          <w:spacing w:val="0"/>
          <w:sz w:val="22"/>
          <w:szCs w:val="24"/>
          <w:rtl/>
        </w:rPr>
        <w:t>גרהם</w:t>
      </w:r>
      <w:r>
        <w:rPr>
          <w:rFonts w:hint="cs"/>
          <w:rtl/>
        </w:rPr>
        <w:t xml:space="preserve">)). </w:t>
      </w:r>
    </w:p>
    <w:p w:rsidR="008B3136" w:rsidRPr="007E5FD5" w:rsidRDefault="008B3136" w:rsidP="008B3136">
      <w:pPr>
        <w:pStyle w:val="Ruller4"/>
        <w:numPr>
          <w:ilvl w:val="0"/>
          <w:numId w:val="0"/>
        </w:numPr>
        <w:rPr>
          <w:rFonts w:asciiTheme="majorBidi" w:hAnsiTheme="majorBidi" w:cstheme="majorBidi"/>
          <w:szCs w:val="24"/>
        </w:rPr>
      </w:pPr>
    </w:p>
    <w:p w:rsidR="008B3136" w:rsidRPr="004610A8" w:rsidRDefault="008B3136" w:rsidP="008B3136">
      <w:pPr>
        <w:pStyle w:val="Ruller4"/>
        <w:rPr>
          <w:rFonts w:ascii="Century" w:hAnsi="Century"/>
          <w:sz w:val="22"/>
        </w:rPr>
      </w:pPr>
      <w:r>
        <w:rPr>
          <w:rFonts w:hint="cs"/>
          <w:rtl/>
        </w:rPr>
        <w:t xml:space="preserve">הסיבה לכך קשורה למה שלטעמי מהווה </w:t>
      </w:r>
      <w:r w:rsidRPr="007E5FD5">
        <w:rPr>
          <w:rFonts w:ascii="Century" w:hAnsi="Century" w:cs="Miriam" w:hint="cs"/>
          <w:b/>
          <w:spacing w:val="0"/>
          <w:sz w:val="22"/>
          <w:szCs w:val="24"/>
          <w:rtl/>
        </w:rPr>
        <w:t>טעות בסיווג השאלה</w:t>
      </w:r>
      <w:r>
        <w:rPr>
          <w:rFonts w:hint="cs"/>
          <w:rtl/>
        </w:rPr>
        <w:t>, אשר חוזרת על עצמה.</w:t>
      </w:r>
      <w:r w:rsidRPr="007E5FD5">
        <w:rPr>
          <w:rFonts w:ascii="Century" w:hAnsi="Century" w:hint="cs"/>
          <w:sz w:val="22"/>
          <w:rtl/>
        </w:rPr>
        <w:t xml:space="preserve"> בתי המשפט</w:t>
      </w:r>
      <w:r>
        <w:rPr>
          <w:rFonts w:ascii="Century" w:hAnsi="Century" w:hint="cs"/>
          <w:sz w:val="22"/>
          <w:rtl/>
        </w:rPr>
        <w:t xml:space="preserve"> רואים בשאלה "האם עסקינן בעוולה נמשכת?" </w:t>
      </w:r>
      <w:r w:rsidRPr="007E5FD5">
        <w:rPr>
          <w:rFonts w:ascii="Century" w:hAnsi="Century" w:hint="cs"/>
          <w:sz w:val="22"/>
          <w:rtl/>
        </w:rPr>
        <w:t>שאלה עובדתית בעיקרה</w:t>
      </w:r>
      <w:r>
        <w:rPr>
          <w:rFonts w:ascii="Century" w:hAnsi="Century" w:hint="cs"/>
          <w:sz w:val="22"/>
          <w:rtl/>
        </w:rPr>
        <w:t>. כפועל יוצא מכך, בתי המשפט מ</w:t>
      </w:r>
      <w:r w:rsidRPr="007E5FD5">
        <w:rPr>
          <w:rFonts w:ascii="Century" w:hAnsi="Century" w:hint="cs"/>
          <w:sz w:val="22"/>
          <w:rtl/>
        </w:rPr>
        <w:t>תמקד</w:t>
      </w:r>
      <w:r>
        <w:rPr>
          <w:rFonts w:ascii="Century" w:hAnsi="Century" w:hint="cs"/>
          <w:sz w:val="22"/>
          <w:rtl/>
        </w:rPr>
        <w:t>ים</w:t>
      </w:r>
      <w:r w:rsidRPr="007E5FD5">
        <w:rPr>
          <w:rFonts w:ascii="Century" w:hAnsi="Century" w:hint="cs"/>
          <w:sz w:val="22"/>
          <w:rtl/>
        </w:rPr>
        <w:t xml:space="preserve"> </w:t>
      </w:r>
      <w:r w:rsidRPr="007E5FD5">
        <w:rPr>
          <w:rFonts w:ascii="Century" w:hAnsi="Century" w:cs="Miriam" w:hint="cs"/>
          <w:b/>
          <w:spacing w:val="0"/>
          <w:sz w:val="22"/>
          <w:szCs w:val="24"/>
          <w:rtl/>
        </w:rPr>
        <w:t>במאפייניהם העובדתיים</w:t>
      </w:r>
      <w:r>
        <w:rPr>
          <w:rFonts w:hint="cs"/>
          <w:rtl/>
        </w:rPr>
        <w:t xml:space="preserve"> של מעשי נזיקין אשר מובאים בפניהם </w:t>
      </w:r>
      <w:r>
        <w:rPr>
          <w:rtl/>
        </w:rPr>
        <w:t>–</w:t>
      </w:r>
      <w:r>
        <w:rPr>
          <w:rFonts w:hint="cs"/>
          <w:rtl/>
        </w:rPr>
        <w:t xml:space="preserve"> מאפיינים שמטבע הדברים משתנים ממקרה למקרה. התמקדות זו היא בלי ספק הכרחית במובן זה </w:t>
      </w:r>
      <w:r w:rsidRPr="001F2008">
        <w:rPr>
          <w:rFonts w:hint="eastAsia"/>
          <w:rtl/>
        </w:rPr>
        <w:t>שבלעדי</w:t>
      </w:r>
      <w:r w:rsidRPr="001F2008">
        <w:rPr>
          <w:rtl/>
        </w:rPr>
        <w:t xml:space="preserve"> </w:t>
      </w:r>
      <w:r w:rsidRPr="001F2008">
        <w:rPr>
          <w:rFonts w:hint="eastAsia"/>
          <w:rtl/>
        </w:rPr>
        <w:t>עובדות</w:t>
      </w:r>
      <w:r w:rsidRPr="001F2008">
        <w:rPr>
          <w:rtl/>
        </w:rPr>
        <w:t>-</w:t>
      </w:r>
      <w:r w:rsidRPr="001F2008">
        <w:rPr>
          <w:rFonts w:hint="eastAsia"/>
          <w:rtl/>
        </w:rPr>
        <w:t>המקרה</w:t>
      </w:r>
      <w:r w:rsidRPr="001F2008">
        <w:rPr>
          <w:rtl/>
        </w:rPr>
        <w:t xml:space="preserve"> </w:t>
      </w:r>
      <w:r w:rsidRPr="001F2008">
        <w:rPr>
          <w:rFonts w:hint="eastAsia"/>
          <w:rtl/>
        </w:rPr>
        <w:t>א</w:t>
      </w:r>
      <w:r>
        <w:rPr>
          <w:rFonts w:hint="cs"/>
          <w:rtl/>
        </w:rPr>
        <w:t>ַ</w:t>
      </w:r>
      <w:r w:rsidRPr="001F2008">
        <w:rPr>
          <w:rFonts w:hint="eastAsia"/>
          <w:rtl/>
        </w:rPr>
        <w:t>ין</w:t>
      </w:r>
      <w:r>
        <w:rPr>
          <w:rFonts w:hint="cs"/>
          <w:rtl/>
        </w:rPr>
        <w:t xml:space="preserve">: עובדות אלו, ורק הן, מהוות בסיס להכרעתו של בית המשפט בזכויותיהם ובחובותיהם של בעלי הדין. ואולם, השאלה האם עובדות כאלה או אחרות מהוות עוולה נמשכת איננה שאלה עובדתית. </w:t>
      </w:r>
      <w:r w:rsidRPr="007E5FD5">
        <w:rPr>
          <w:rFonts w:ascii="Century" w:hAnsi="Century" w:cs="Miriam" w:hint="cs"/>
          <w:b/>
          <w:spacing w:val="0"/>
          <w:sz w:val="22"/>
          <w:szCs w:val="24"/>
          <w:rtl/>
        </w:rPr>
        <w:t>שאלה זאת היא שאלה משפטית</w:t>
      </w:r>
      <w:r w:rsidRPr="007E5FD5">
        <w:rPr>
          <w:rFonts w:ascii="Century" w:hAnsi="Century" w:hint="cs"/>
          <w:sz w:val="22"/>
          <w:rtl/>
        </w:rPr>
        <w:t xml:space="preserve"> </w:t>
      </w:r>
      <w:r w:rsidRPr="00D12175">
        <w:rPr>
          <w:rFonts w:ascii="Century" w:hAnsi="Century" w:cs="Miriam" w:hint="cs"/>
          <w:b/>
          <w:spacing w:val="0"/>
          <w:sz w:val="22"/>
          <w:szCs w:val="24"/>
          <w:rtl/>
        </w:rPr>
        <w:t>מובהקת</w:t>
      </w:r>
      <w:r w:rsidRPr="007E5FD5">
        <w:rPr>
          <w:rFonts w:ascii="Century" w:hAnsi="Century" w:hint="cs"/>
          <w:sz w:val="22"/>
          <w:rtl/>
        </w:rPr>
        <w:t xml:space="preserve">. </w:t>
      </w:r>
      <w:r>
        <w:rPr>
          <w:rFonts w:hint="cs"/>
          <w:rtl/>
        </w:rPr>
        <w:t xml:space="preserve">מענה נכון לשאלה זו אינו מצוי אך ורק בעובדות המקרה אשר עומד להכרעה ובבדיקה אמפירית של מאפייניהן. </w:t>
      </w:r>
      <w:r w:rsidRPr="006C6C59">
        <w:rPr>
          <w:rFonts w:ascii="Century" w:hAnsi="Century" w:cs="Miriam" w:hint="cs"/>
          <w:b/>
          <w:spacing w:val="0"/>
          <w:sz w:val="22"/>
          <w:szCs w:val="24"/>
          <w:rtl/>
        </w:rPr>
        <w:t>מענה זה מצוי, בראש ובראשונה, בהוראות הדין</w:t>
      </w:r>
      <w:r>
        <w:rPr>
          <w:rFonts w:hint="cs"/>
          <w:rtl/>
        </w:rPr>
        <w:t xml:space="preserve"> אשר חלות על עובדות אלו </w:t>
      </w:r>
      <w:r w:rsidRPr="00B32105">
        <w:rPr>
          <w:rFonts w:hint="eastAsia"/>
          <w:rtl/>
        </w:rPr>
        <w:t>ודומותיה</w:t>
      </w:r>
      <w:r>
        <w:rPr>
          <w:rFonts w:hint="cs"/>
          <w:rtl/>
        </w:rPr>
        <w:t xml:space="preserve">ן. באופן ספציפי יותר, מענה נכון לשאלה "האם בפנינו עוולה נמשכת?" נמצא בשתיים אלו: </w:t>
      </w:r>
      <w:r w:rsidRPr="007E5FD5">
        <w:rPr>
          <w:rFonts w:ascii="Century" w:hAnsi="Century" w:cs="Miriam" w:hint="cs"/>
          <w:b/>
          <w:spacing w:val="0"/>
          <w:sz w:val="22"/>
          <w:szCs w:val="24"/>
          <w:rtl/>
        </w:rPr>
        <w:t>(1) הגדרתה של עוולת הנזיקין לה נמצא הנתבע אחראי</w:t>
      </w:r>
      <w:r>
        <w:rPr>
          <w:rFonts w:hint="cs"/>
          <w:rtl/>
        </w:rPr>
        <w:t xml:space="preserve">; וכן </w:t>
      </w:r>
      <w:r w:rsidRPr="007E5FD5">
        <w:rPr>
          <w:rFonts w:ascii="Century" w:hAnsi="Century" w:cs="Miriam" w:hint="cs"/>
          <w:b/>
          <w:spacing w:val="0"/>
          <w:sz w:val="22"/>
          <w:szCs w:val="24"/>
          <w:rtl/>
        </w:rPr>
        <w:t>(2) הגדרותיהם של נזק ושל כללי הקשר הסיבתי, אשר חלות על המקרה</w:t>
      </w:r>
      <w:r>
        <w:rPr>
          <w:rFonts w:hint="cs"/>
          <w:rtl/>
        </w:rPr>
        <w:t xml:space="preserve"> (ראו והשוו: </w:t>
      </w:r>
      <w:r w:rsidRPr="007E5FD5">
        <w:rPr>
          <w:rFonts w:asciiTheme="majorBidi" w:hAnsiTheme="majorBidi" w:cstheme="majorBidi"/>
        </w:rPr>
        <w:t xml:space="preserve">Elad Peled, </w:t>
      </w:r>
      <w:r w:rsidRPr="007E5FD5">
        <w:rPr>
          <w:rFonts w:asciiTheme="majorBidi" w:hAnsiTheme="majorBidi" w:cstheme="majorBidi"/>
          <w:i/>
          <w:iCs/>
        </w:rPr>
        <w:t xml:space="preserve">Rethinking the Continuing Violation Doctrine: The Application of Statutes of Limitations </w:t>
      </w:r>
      <w:r>
        <w:rPr>
          <w:rFonts w:asciiTheme="majorBidi" w:hAnsiTheme="majorBidi" w:cstheme="majorBidi"/>
          <w:i/>
          <w:iCs/>
        </w:rPr>
        <w:t>t</w:t>
      </w:r>
      <w:r w:rsidRPr="007E5FD5">
        <w:rPr>
          <w:rFonts w:asciiTheme="majorBidi" w:hAnsiTheme="majorBidi" w:cstheme="majorBidi"/>
          <w:i/>
          <w:iCs/>
        </w:rPr>
        <w:t>o Continuing Tort Claims</w:t>
      </w:r>
      <w:r w:rsidRPr="007E5FD5">
        <w:rPr>
          <w:rFonts w:asciiTheme="majorBidi" w:hAnsiTheme="majorBidi" w:cstheme="majorBidi"/>
        </w:rPr>
        <w:t xml:space="preserve">, 41 </w:t>
      </w:r>
      <w:r w:rsidRPr="007E5FD5">
        <w:rPr>
          <w:rFonts w:asciiTheme="majorBidi" w:hAnsiTheme="majorBidi" w:cstheme="majorBidi"/>
          <w:smallCaps/>
        </w:rPr>
        <w:t>Ohio N.</w:t>
      </w:r>
      <w:r>
        <w:rPr>
          <w:rFonts w:asciiTheme="majorBidi" w:hAnsiTheme="majorBidi" w:cstheme="majorBidi"/>
          <w:smallCaps/>
        </w:rPr>
        <w:t xml:space="preserve"> </w:t>
      </w:r>
      <w:r w:rsidRPr="007E5FD5">
        <w:rPr>
          <w:rFonts w:asciiTheme="majorBidi" w:hAnsiTheme="majorBidi" w:cstheme="majorBidi"/>
          <w:smallCaps/>
        </w:rPr>
        <w:t>U. L. Rev.</w:t>
      </w:r>
      <w:r w:rsidRPr="007E5FD5">
        <w:rPr>
          <w:rFonts w:asciiTheme="majorBidi" w:hAnsiTheme="majorBidi" w:cstheme="majorBidi"/>
        </w:rPr>
        <w:t xml:space="preserve"> 343, 355-362 (2015)</w:t>
      </w:r>
      <w:r w:rsidRPr="007E5FD5">
        <w:rPr>
          <w:rFonts w:asciiTheme="majorBidi" w:hAnsiTheme="majorBidi" w:cstheme="majorBidi" w:hint="cs"/>
          <w:rtl/>
        </w:rPr>
        <w:t xml:space="preserve"> </w:t>
      </w:r>
      <w:r w:rsidRPr="007E5FD5">
        <w:rPr>
          <w:rFonts w:ascii="Century" w:hAnsi="Century" w:hint="cs"/>
          <w:sz w:val="22"/>
          <w:rtl/>
        </w:rPr>
        <w:t xml:space="preserve">(להלן: </w:t>
      </w:r>
      <w:r w:rsidRPr="007E5FD5">
        <w:rPr>
          <w:rFonts w:ascii="Century" w:hAnsi="Century" w:cs="Miriam" w:hint="cs"/>
          <w:b/>
          <w:spacing w:val="0"/>
          <w:sz w:val="22"/>
          <w:szCs w:val="24"/>
          <w:rtl/>
        </w:rPr>
        <w:t>פלד</w:t>
      </w:r>
      <w:r w:rsidRPr="007E5FD5">
        <w:rPr>
          <w:rFonts w:ascii="Century" w:hAnsi="Century" w:hint="cs"/>
          <w:sz w:val="22"/>
          <w:rtl/>
        </w:rPr>
        <w:t xml:space="preserve">); וראו שם, בעמ' </w:t>
      </w:r>
      <w:r>
        <w:rPr>
          <w:rFonts w:hint="cs"/>
          <w:rtl/>
        </w:rPr>
        <w:t>356:</w:t>
      </w:r>
      <w:r w:rsidRPr="00564CA5">
        <w:rPr>
          <w:rFonts w:asciiTheme="majorBidi" w:hAnsiTheme="majorBidi" w:cstheme="majorBidi"/>
          <w:szCs w:val="24"/>
        </w:rPr>
        <w:t>"</w:t>
      </w:r>
      <w:r w:rsidRPr="00BF2D4B">
        <w:rPr>
          <w:rFonts w:asciiTheme="majorBidi" w:hAnsiTheme="majorBidi" w:cstheme="majorBidi"/>
          <w:szCs w:val="24"/>
        </w:rPr>
        <w:t>Alongside [the continuity criterion – A.S</w:t>
      </w:r>
      <w:r w:rsidRPr="00F32C89">
        <w:rPr>
          <w:rFonts w:asciiTheme="majorBidi" w:hAnsiTheme="majorBidi" w:cstheme="majorBidi"/>
          <w:szCs w:val="24"/>
        </w:rPr>
        <w:t>.</w:t>
      </w:r>
      <w:r w:rsidRPr="00F2192D">
        <w:rPr>
          <w:rFonts w:asciiTheme="majorBidi" w:hAnsiTheme="majorBidi" w:cstheme="majorBidi"/>
          <w:szCs w:val="24"/>
        </w:rPr>
        <w:t xml:space="preserve">] </w:t>
      </w:r>
      <w:r w:rsidRPr="004F2544">
        <w:rPr>
          <w:rFonts w:asciiTheme="majorBidi" w:hAnsiTheme="majorBidi" w:cstheme="majorBidi"/>
          <w:szCs w:val="24"/>
        </w:rPr>
        <w:t xml:space="preserve">lie important </w:t>
      </w:r>
      <w:r w:rsidRPr="000D42B6">
        <w:rPr>
          <w:rFonts w:asciiTheme="majorBidi" w:hAnsiTheme="majorBidi" w:cstheme="majorBidi"/>
          <w:szCs w:val="24"/>
        </w:rPr>
        <w:t>questions pertaining to the essence and objective of substantive-law liability, to its precise elements and especially to the significance of actual damage among them, to the timing in which each of them occurs or becomes substantial"</w:t>
      </w:r>
      <w:r w:rsidRPr="00C602BE">
        <w:rPr>
          <w:rFonts w:asciiTheme="majorBidi" w:hAnsiTheme="majorBidi" w:cstheme="majorBidi"/>
          <w:szCs w:val="24"/>
          <w:rtl/>
        </w:rPr>
        <w:t>.</w:t>
      </w:r>
      <w:r w:rsidRPr="007E5FD5">
        <w:rPr>
          <w:rFonts w:asciiTheme="majorBidi" w:hAnsiTheme="majorBidi" w:cstheme="majorBidi" w:hint="cs"/>
          <w:szCs w:val="24"/>
          <w:rtl/>
        </w:rPr>
        <w:t xml:space="preserve"> </w:t>
      </w:r>
    </w:p>
    <w:p w:rsidR="008B3136" w:rsidRPr="004610A8" w:rsidRDefault="008B3136" w:rsidP="008B3136">
      <w:pPr>
        <w:pStyle w:val="Ruller4"/>
        <w:numPr>
          <w:ilvl w:val="0"/>
          <w:numId w:val="0"/>
        </w:numPr>
        <w:rPr>
          <w:rFonts w:ascii="Century" w:hAnsi="Century"/>
          <w:sz w:val="22"/>
        </w:rPr>
      </w:pPr>
    </w:p>
    <w:p w:rsidR="008B3136" w:rsidRPr="002874A5" w:rsidRDefault="008B3136" w:rsidP="008B3136">
      <w:pPr>
        <w:pStyle w:val="Ruller4"/>
        <w:rPr>
          <w:rFonts w:ascii="Century" w:hAnsi="Century"/>
          <w:sz w:val="22"/>
          <w:rtl/>
        </w:rPr>
      </w:pPr>
      <w:r>
        <w:rPr>
          <w:rFonts w:ascii="Century" w:hAnsi="Century" w:hint="cs"/>
          <w:sz w:val="22"/>
          <w:rtl/>
        </w:rPr>
        <w:t xml:space="preserve">פרופ' ישראל גלעד הטיב לנתח ולהבהיר תובנה חשובה זו במאמרו </w:t>
      </w:r>
      <w:r>
        <w:rPr>
          <w:rFonts w:hint="cs"/>
          <w:rtl/>
        </w:rPr>
        <w:t>"</w:t>
      </w:r>
      <w:r w:rsidRPr="002874A5">
        <w:rPr>
          <w:rFonts w:hint="eastAsia"/>
          <w:rtl/>
        </w:rPr>
        <w:t>התיישנות</w:t>
      </w:r>
      <w:r w:rsidRPr="002874A5">
        <w:rPr>
          <w:rtl/>
        </w:rPr>
        <w:t xml:space="preserve"> </w:t>
      </w:r>
      <w:r w:rsidRPr="002874A5">
        <w:rPr>
          <w:rFonts w:hint="eastAsia"/>
          <w:rtl/>
        </w:rPr>
        <w:t>בנזיקין</w:t>
      </w:r>
      <w:r>
        <w:rPr>
          <w:rFonts w:hint="cs"/>
          <w:rtl/>
        </w:rPr>
        <w:t xml:space="preserve"> </w:t>
      </w:r>
      <w:r>
        <w:rPr>
          <w:rtl/>
        </w:rPr>
        <w:t>–</w:t>
      </w:r>
      <w:r>
        <w:rPr>
          <w:rFonts w:hint="cs"/>
          <w:rtl/>
        </w:rPr>
        <w:t xml:space="preserve"> </w:t>
      </w:r>
      <w:r w:rsidRPr="002874A5">
        <w:rPr>
          <w:rFonts w:hint="eastAsia"/>
          <w:rtl/>
        </w:rPr>
        <w:t>הצעה</w:t>
      </w:r>
      <w:r w:rsidRPr="002874A5">
        <w:rPr>
          <w:rtl/>
        </w:rPr>
        <w:t xml:space="preserve"> </w:t>
      </w:r>
      <w:r w:rsidRPr="002874A5">
        <w:rPr>
          <w:rFonts w:hint="eastAsia"/>
          <w:rtl/>
        </w:rPr>
        <w:t>לשינוי</w:t>
      </w:r>
      <w:r w:rsidRPr="002874A5">
        <w:rPr>
          <w:rtl/>
        </w:rPr>
        <w:t xml:space="preserve"> </w:t>
      </w:r>
      <w:r w:rsidRPr="002874A5">
        <w:rPr>
          <w:rFonts w:hint="eastAsia"/>
          <w:rtl/>
        </w:rPr>
        <w:t>החוק</w:t>
      </w:r>
      <w:r w:rsidRPr="002874A5">
        <w:rPr>
          <w:rtl/>
        </w:rPr>
        <w:t>"</w:t>
      </w:r>
      <w:r>
        <w:rPr>
          <w:rFonts w:hint="cs"/>
          <w:rtl/>
        </w:rPr>
        <w:t xml:space="preserve"> </w:t>
      </w:r>
      <w:r w:rsidRPr="002874A5">
        <w:rPr>
          <w:rFonts w:ascii="Century" w:hAnsi="Century" w:cs="Miriam" w:hint="eastAsia"/>
          <w:b/>
          <w:spacing w:val="0"/>
          <w:sz w:val="22"/>
          <w:szCs w:val="24"/>
          <w:rtl/>
        </w:rPr>
        <w:t>משפטים</w:t>
      </w:r>
      <w:r>
        <w:rPr>
          <w:rFonts w:hint="cs"/>
          <w:rtl/>
        </w:rPr>
        <w:t xml:space="preserve"> </w:t>
      </w:r>
      <w:r w:rsidRPr="002874A5">
        <w:rPr>
          <w:rFonts w:hint="eastAsia"/>
          <w:rtl/>
        </w:rPr>
        <w:t>יט</w:t>
      </w:r>
      <w:r>
        <w:rPr>
          <w:rFonts w:hint="cs"/>
          <w:rtl/>
        </w:rPr>
        <w:t xml:space="preserve"> 81 </w:t>
      </w:r>
      <w:r w:rsidRPr="002874A5">
        <w:rPr>
          <w:rtl/>
        </w:rPr>
        <w:t>(</w:t>
      </w:r>
      <w:r>
        <w:rPr>
          <w:rFonts w:hint="cs"/>
          <w:rtl/>
        </w:rPr>
        <w:t>ה</w:t>
      </w:r>
      <w:r w:rsidRPr="002874A5">
        <w:rPr>
          <w:rFonts w:hint="eastAsia"/>
          <w:rtl/>
        </w:rPr>
        <w:t>תשמ</w:t>
      </w:r>
      <w:r w:rsidRPr="002874A5">
        <w:rPr>
          <w:rtl/>
        </w:rPr>
        <w:t>"</w:t>
      </w:r>
      <w:r w:rsidRPr="002874A5">
        <w:rPr>
          <w:rFonts w:hint="eastAsia"/>
          <w:rtl/>
        </w:rPr>
        <w:t>ט</w:t>
      </w:r>
      <w:r w:rsidRPr="002874A5">
        <w:rPr>
          <w:rtl/>
        </w:rPr>
        <w:t>)</w:t>
      </w:r>
      <w:r>
        <w:rPr>
          <w:rFonts w:hint="cs"/>
          <w:rtl/>
        </w:rPr>
        <w:t xml:space="preserve"> (להלן: </w:t>
      </w:r>
      <w:r w:rsidRPr="002075D6">
        <w:rPr>
          <w:rFonts w:ascii="Century" w:hAnsi="Century" w:cs="Miriam" w:hint="cs"/>
          <w:b/>
          <w:spacing w:val="0"/>
          <w:sz w:val="22"/>
          <w:szCs w:val="24"/>
          <w:rtl/>
        </w:rPr>
        <w:t>גלעד, הצעה לשינוי החוק</w:t>
      </w:r>
      <w:r>
        <w:rPr>
          <w:rFonts w:hint="cs"/>
          <w:rtl/>
        </w:rPr>
        <w:t>), בכתבו כך:</w:t>
      </w:r>
    </w:p>
    <w:p w:rsidR="008B3136" w:rsidRDefault="008B3136" w:rsidP="008B3136">
      <w:pPr>
        <w:pStyle w:val="Ruller41"/>
        <w:rPr>
          <w:rtl/>
        </w:rPr>
      </w:pPr>
    </w:p>
    <w:p w:rsidR="008B3136" w:rsidRDefault="008B3136" w:rsidP="008B3136">
      <w:pPr>
        <w:pStyle w:val="Ruller5"/>
        <w:rPr>
          <w:rtl/>
        </w:rPr>
      </w:pPr>
      <w:r>
        <w:rPr>
          <w:rFonts w:hint="cs"/>
          <w:rtl/>
        </w:rPr>
        <w:t>"</w:t>
      </w:r>
      <w:r>
        <w:rPr>
          <w:rFonts w:hint="eastAsia"/>
          <w:rtl/>
        </w:rPr>
        <w:t>מהן</w:t>
      </w:r>
      <w:r>
        <w:rPr>
          <w:rtl/>
        </w:rPr>
        <w:t xml:space="preserve"> </w:t>
      </w:r>
      <w:r>
        <w:rPr>
          <w:rFonts w:hint="eastAsia"/>
          <w:rtl/>
        </w:rPr>
        <w:t>התופעות</w:t>
      </w:r>
      <w:r>
        <w:rPr>
          <w:rtl/>
        </w:rPr>
        <w:t xml:space="preserve"> </w:t>
      </w:r>
      <w:r>
        <w:rPr>
          <w:rFonts w:hint="eastAsia"/>
          <w:rtl/>
        </w:rPr>
        <w:t>ששאלת</w:t>
      </w:r>
      <w:r>
        <w:rPr>
          <w:rtl/>
        </w:rPr>
        <w:t xml:space="preserve"> </w:t>
      </w:r>
      <w:r>
        <w:rPr>
          <w:rFonts w:hint="eastAsia"/>
          <w:rtl/>
        </w:rPr>
        <w:t>הימשכותן</w:t>
      </w:r>
      <w:r>
        <w:rPr>
          <w:rtl/>
        </w:rPr>
        <w:t xml:space="preserve"> </w:t>
      </w:r>
      <w:r>
        <w:rPr>
          <w:rFonts w:hint="cs"/>
          <w:rtl/>
        </w:rPr>
        <w:t xml:space="preserve">[כחלק ממעשי נזיקין </w:t>
      </w:r>
      <w:r>
        <w:rPr>
          <w:rtl/>
        </w:rPr>
        <w:t>–</w:t>
      </w:r>
      <w:r>
        <w:rPr>
          <w:rFonts w:hint="cs"/>
          <w:rtl/>
        </w:rPr>
        <w:t xml:space="preserve"> א.ש.] </w:t>
      </w:r>
      <w:r>
        <w:rPr>
          <w:rFonts w:hint="eastAsia"/>
          <w:rtl/>
        </w:rPr>
        <w:t>רלבנטית</w:t>
      </w:r>
      <w:r>
        <w:rPr>
          <w:rtl/>
        </w:rPr>
        <w:t xml:space="preserve"> </w:t>
      </w:r>
      <w:r>
        <w:rPr>
          <w:rFonts w:hint="eastAsia"/>
          <w:rtl/>
        </w:rPr>
        <w:t>להקשר</w:t>
      </w:r>
      <w:r>
        <w:rPr>
          <w:rtl/>
        </w:rPr>
        <w:t xml:space="preserve"> </w:t>
      </w:r>
      <w:r>
        <w:rPr>
          <w:rFonts w:hint="eastAsia"/>
          <w:rtl/>
        </w:rPr>
        <w:t>ההתיישנות</w:t>
      </w:r>
      <w:r>
        <w:rPr>
          <w:rtl/>
        </w:rPr>
        <w:t xml:space="preserve">? </w:t>
      </w:r>
      <w:r>
        <w:rPr>
          <w:rFonts w:hint="eastAsia"/>
          <w:rtl/>
        </w:rPr>
        <w:t>תשובתנו</w:t>
      </w:r>
      <w:r>
        <w:rPr>
          <w:rtl/>
        </w:rPr>
        <w:t xml:space="preserve">: </w:t>
      </w:r>
      <w:r w:rsidRPr="00AA51B7">
        <w:rPr>
          <w:rFonts w:ascii="Century" w:hAnsi="Century" w:cs="Miriam" w:hint="eastAsia"/>
          <w:b/>
          <w:spacing w:val="0"/>
          <w:szCs w:val="24"/>
          <w:rtl/>
        </w:rPr>
        <w:t>כל</w:t>
      </w:r>
      <w:r w:rsidRPr="00AA51B7">
        <w:rPr>
          <w:rFonts w:ascii="Century" w:hAnsi="Century" w:cs="Miriam" w:hint="cs"/>
          <w:b/>
          <w:spacing w:val="0"/>
          <w:szCs w:val="24"/>
          <w:rtl/>
        </w:rPr>
        <w:t xml:space="preserve"> </w:t>
      </w:r>
      <w:r w:rsidRPr="00AA51B7">
        <w:rPr>
          <w:rFonts w:ascii="Century" w:hAnsi="Century" w:cs="Miriam" w:hint="eastAsia"/>
          <w:b/>
          <w:spacing w:val="0"/>
          <w:szCs w:val="24"/>
          <w:rtl/>
        </w:rPr>
        <w:t>התופעות</w:t>
      </w:r>
      <w:r w:rsidRPr="00AA51B7">
        <w:rPr>
          <w:rFonts w:ascii="Century" w:hAnsi="Century" w:cs="Miriam"/>
          <w:b/>
          <w:spacing w:val="0"/>
          <w:szCs w:val="24"/>
          <w:rtl/>
        </w:rPr>
        <w:t xml:space="preserve"> </w:t>
      </w:r>
      <w:r w:rsidRPr="00AA51B7">
        <w:rPr>
          <w:rFonts w:ascii="Century" w:hAnsi="Century" w:cs="Miriam" w:hint="eastAsia"/>
          <w:b/>
          <w:spacing w:val="0"/>
          <w:szCs w:val="24"/>
          <w:rtl/>
        </w:rPr>
        <w:t>המרכיבות</w:t>
      </w:r>
      <w:r w:rsidRPr="00AA51B7">
        <w:rPr>
          <w:rFonts w:ascii="Century" w:hAnsi="Century" w:cs="Miriam"/>
          <w:b/>
          <w:spacing w:val="0"/>
          <w:szCs w:val="24"/>
          <w:rtl/>
        </w:rPr>
        <w:t xml:space="preserve"> </w:t>
      </w:r>
      <w:r w:rsidRPr="00AA51B7">
        <w:rPr>
          <w:rFonts w:ascii="Century" w:hAnsi="Century" w:cs="Miriam" w:hint="eastAsia"/>
          <w:b/>
          <w:spacing w:val="0"/>
          <w:szCs w:val="24"/>
          <w:rtl/>
        </w:rPr>
        <w:t>את</w:t>
      </w:r>
      <w:r w:rsidRPr="00AA51B7">
        <w:rPr>
          <w:rFonts w:ascii="Century" w:hAnsi="Century" w:cs="Miriam"/>
          <w:b/>
          <w:spacing w:val="0"/>
          <w:szCs w:val="24"/>
          <w:rtl/>
        </w:rPr>
        <w:t xml:space="preserve"> </w:t>
      </w:r>
      <w:r w:rsidRPr="00AA51B7">
        <w:rPr>
          <w:rFonts w:ascii="Century" w:hAnsi="Century" w:cs="Miriam" w:hint="eastAsia"/>
          <w:b/>
          <w:spacing w:val="0"/>
          <w:szCs w:val="24"/>
          <w:rtl/>
        </w:rPr>
        <w:t>עילת</w:t>
      </w:r>
      <w:r w:rsidRPr="00AA51B7">
        <w:rPr>
          <w:rFonts w:ascii="Century" w:hAnsi="Century" w:cs="Miriam"/>
          <w:b/>
          <w:spacing w:val="0"/>
          <w:szCs w:val="24"/>
          <w:rtl/>
        </w:rPr>
        <w:t xml:space="preserve"> </w:t>
      </w:r>
      <w:r w:rsidRPr="00AA51B7">
        <w:rPr>
          <w:rFonts w:ascii="Century" w:hAnsi="Century" w:cs="Miriam" w:hint="eastAsia"/>
          <w:b/>
          <w:spacing w:val="0"/>
          <w:szCs w:val="24"/>
          <w:rtl/>
        </w:rPr>
        <w:t>התביעה</w:t>
      </w:r>
      <w:r w:rsidRPr="00AA51B7">
        <w:rPr>
          <w:rFonts w:ascii="Century" w:hAnsi="Century" w:cs="Miriam"/>
          <w:b/>
          <w:spacing w:val="0"/>
          <w:szCs w:val="24"/>
          <w:rtl/>
        </w:rPr>
        <w:t xml:space="preserve"> </w:t>
      </w:r>
      <w:r w:rsidRPr="00AA51B7">
        <w:rPr>
          <w:rFonts w:ascii="Century" w:hAnsi="Century" w:cs="Miriam" w:hint="eastAsia"/>
          <w:b/>
          <w:spacing w:val="0"/>
          <w:szCs w:val="24"/>
          <w:rtl/>
        </w:rPr>
        <w:t>הקונקרטית</w:t>
      </w:r>
      <w:r>
        <w:rPr>
          <w:rtl/>
        </w:rPr>
        <w:t xml:space="preserve">. </w:t>
      </w:r>
      <w:r w:rsidRPr="006C6C59">
        <w:rPr>
          <w:rFonts w:ascii="Century" w:hAnsi="Century" w:cs="Miriam" w:hint="eastAsia"/>
          <w:b/>
          <w:spacing w:val="0"/>
          <w:szCs w:val="24"/>
          <w:rtl/>
        </w:rPr>
        <w:t>כדי</w:t>
      </w:r>
      <w:r w:rsidRPr="006C6C59">
        <w:rPr>
          <w:rFonts w:ascii="Century" w:hAnsi="Century" w:cs="Miriam"/>
          <w:b/>
          <w:spacing w:val="0"/>
          <w:szCs w:val="24"/>
          <w:rtl/>
        </w:rPr>
        <w:t xml:space="preserve"> </w:t>
      </w:r>
      <w:r w:rsidRPr="006C6C59">
        <w:rPr>
          <w:rFonts w:ascii="Century" w:hAnsi="Century" w:cs="Miriam" w:hint="eastAsia"/>
          <w:b/>
          <w:spacing w:val="0"/>
          <w:szCs w:val="24"/>
          <w:rtl/>
        </w:rPr>
        <w:t>שעילה</w:t>
      </w:r>
      <w:r w:rsidRPr="006C6C59">
        <w:rPr>
          <w:rFonts w:ascii="Century" w:hAnsi="Century" w:cs="Miriam"/>
          <w:b/>
          <w:spacing w:val="0"/>
          <w:szCs w:val="24"/>
          <w:rtl/>
        </w:rPr>
        <w:t xml:space="preserve"> </w:t>
      </w:r>
      <w:r w:rsidRPr="006C6C59">
        <w:rPr>
          <w:rFonts w:ascii="Century" w:hAnsi="Century" w:cs="Miriam" w:hint="eastAsia"/>
          <w:b/>
          <w:spacing w:val="0"/>
          <w:szCs w:val="24"/>
          <w:rtl/>
        </w:rPr>
        <w:t>קונקרטית</w:t>
      </w:r>
      <w:r w:rsidRPr="006C6C59">
        <w:rPr>
          <w:rFonts w:ascii="Century" w:hAnsi="Century" w:cs="Miriam"/>
          <w:b/>
          <w:spacing w:val="0"/>
          <w:szCs w:val="24"/>
          <w:rtl/>
        </w:rPr>
        <w:t xml:space="preserve"> </w:t>
      </w:r>
      <w:r w:rsidRPr="006C6C59">
        <w:rPr>
          <w:rFonts w:ascii="Century" w:hAnsi="Century" w:cs="Miriam" w:hint="eastAsia"/>
          <w:b/>
          <w:spacing w:val="0"/>
          <w:szCs w:val="24"/>
          <w:rtl/>
        </w:rPr>
        <w:t>תיחשב</w:t>
      </w:r>
      <w:r w:rsidRPr="006C6C59">
        <w:rPr>
          <w:rFonts w:ascii="Century" w:hAnsi="Century" w:cs="Miriam" w:hint="cs"/>
          <w:b/>
          <w:spacing w:val="0"/>
          <w:szCs w:val="24"/>
          <w:rtl/>
        </w:rPr>
        <w:t xml:space="preserve"> </w:t>
      </w:r>
      <w:r w:rsidRPr="006C6C59">
        <w:rPr>
          <w:rFonts w:ascii="Century" w:hAnsi="Century" w:cs="Miriam" w:hint="eastAsia"/>
          <w:b/>
          <w:spacing w:val="0"/>
          <w:szCs w:val="24"/>
          <w:rtl/>
        </w:rPr>
        <w:t>כנמשכת</w:t>
      </w:r>
      <w:r w:rsidRPr="006C6C59">
        <w:rPr>
          <w:rFonts w:ascii="Century" w:hAnsi="Century" w:cs="Miriam"/>
          <w:b/>
          <w:spacing w:val="0"/>
          <w:szCs w:val="24"/>
          <w:rtl/>
        </w:rPr>
        <w:t xml:space="preserve">, </w:t>
      </w:r>
      <w:r w:rsidRPr="006C6C59">
        <w:rPr>
          <w:rFonts w:ascii="Century" w:hAnsi="Century" w:cs="Miriam" w:hint="eastAsia"/>
          <w:b/>
          <w:spacing w:val="0"/>
          <w:szCs w:val="24"/>
          <w:rtl/>
        </w:rPr>
        <w:t>צריכים</w:t>
      </w:r>
      <w:r w:rsidRPr="006C6C59">
        <w:rPr>
          <w:rFonts w:ascii="Century" w:hAnsi="Century" w:cs="Miriam" w:hint="cs"/>
          <w:b/>
          <w:spacing w:val="0"/>
          <w:szCs w:val="24"/>
          <w:rtl/>
        </w:rPr>
        <w:t xml:space="preserve"> </w:t>
      </w:r>
      <w:r w:rsidRPr="006C6C59">
        <w:rPr>
          <w:rFonts w:ascii="Century" w:hAnsi="Century" w:cs="Miriam"/>
          <w:b/>
          <w:spacing w:val="0"/>
          <w:szCs w:val="24"/>
          <w:rtl/>
        </w:rPr>
        <w:t>–</w:t>
      </w:r>
      <w:r w:rsidRPr="006C6C59">
        <w:rPr>
          <w:rFonts w:ascii="Century" w:hAnsi="Century" w:cs="Miriam" w:hint="cs"/>
          <w:b/>
          <w:spacing w:val="0"/>
          <w:szCs w:val="24"/>
          <w:rtl/>
        </w:rPr>
        <w:t xml:space="preserve"> </w:t>
      </w:r>
      <w:r w:rsidRPr="006C6C59">
        <w:rPr>
          <w:rFonts w:ascii="Century" w:hAnsi="Century" w:cs="Miriam" w:hint="eastAsia"/>
          <w:b/>
          <w:spacing w:val="0"/>
          <w:szCs w:val="24"/>
          <w:rtl/>
        </w:rPr>
        <w:t>לדעתנו</w:t>
      </w:r>
      <w:r w:rsidRPr="006C6C59">
        <w:rPr>
          <w:rFonts w:ascii="Century" w:hAnsi="Century" w:cs="Miriam"/>
          <w:b/>
          <w:spacing w:val="0"/>
          <w:szCs w:val="24"/>
          <w:rtl/>
        </w:rPr>
        <w:t xml:space="preserve"> – </w:t>
      </w:r>
      <w:r w:rsidRPr="006C6C59">
        <w:rPr>
          <w:rFonts w:ascii="Century" w:hAnsi="Century" w:cs="Miriam" w:hint="eastAsia"/>
          <w:b/>
          <w:spacing w:val="0"/>
          <w:szCs w:val="24"/>
          <w:rtl/>
        </w:rPr>
        <w:t>כל</w:t>
      </w:r>
      <w:r w:rsidRPr="006C6C59">
        <w:rPr>
          <w:rFonts w:ascii="Century" w:hAnsi="Century" w:cs="Miriam"/>
          <w:b/>
          <w:spacing w:val="0"/>
          <w:szCs w:val="24"/>
          <w:rtl/>
        </w:rPr>
        <w:t xml:space="preserve"> </w:t>
      </w:r>
      <w:r w:rsidRPr="006C6C59">
        <w:rPr>
          <w:rFonts w:ascii="Century" w:hAnsi="Century" w:cs="Miriam" w:hint="eastAsia"/>
          <w:b/>
          <w:spacing w:val="0"/>
          <w:szCs w:val="24"/>
          <w:rtl/>
        </w:rPr>
        <w:t>מרכיביה</w:t>
      </w:r>
      <w:r w:rsidRPr="006C6C59">
        <w:rPr>
          <w:rFonts w:ascii="Century" w:hAnsi="Century" w:cs="Miriam"/>
          <w:b/>
          <w:spacing w:val="0"/>
          <w:szCs w:val="24"/>
          <w:rtl/>
        </w:rPr>
        <w:t xml:space="preserve"> </w:t>
      </w:r>
      <w:r w:rsidRPr="006C6C59">
        <w:rPr>
          <w:rFonts w:ascii="Century" w:hAnsi="Century" w:cs="Miriam" w:hint="eastAsia"/>
          <w:b/>
          <w:spacing w:val="0"/>
          <w:szCs w:val="24"/>
          <w:rtl/>
        </w:rPr>
        <w:t>לקיים</w:t>
      </w:r>
      <w:r w:rsidRPr="006C6C59">
        <w:rPr>
          <w:rFonts w:ascii="Century" w:hAnsi="Century" w:cs="Miriam"/>
          <w:b/>
          <w:spacing w:val="0"/>
          <w:szCs w:val="24"/>
          <w:rtl/>
        </w:rPr>
        <w:t xml:space="preserve"> </w:t>
      </w:r>
      <w:r w:rsidRPr="006C6C59">
        <w:rPr>
          <w:rFonts w:ascii="Century" w:hAnsi="Century" w:cs="Miriam" w:hint="eastAsia"/>
          <w:b/>
          <w:spacing w:val="0"/>
          <w:szCs w:val="24"/>
          <w:rtl/>
        </w:rPr>
        <w:t>אחר</w:t>
      </w:r>
      <w:r w:rsidRPr="006C6C59">
        <w:rPr>
          <w:rFonts w:ascii="Century" w:hAnsi="Century" w:cs="Miriam"/>
          <w:b/>
          <w:spacing w:val="0"/>
          <w:szCs w:val="24"/>
          <w:rtl/>
        </w:rPr>
        <w:t xml:space="preserve"> </w:t>
      </w:r>
      <w:r w:rsidRPr="006C6C59">
        <w:rPr>
          <w:rFonts w:ascii="Century" w:hAnsi="Century" w:cs="Miriam" w:hint="eastAsia"/>
          <w:b/>
          <w:spacing w:val="0"/>
          <w:szCs w:val="24"/>
          <w:rtl/>
        </w:rPr>
        <w:t>תכונת</w:t>
      </w:r>
      <w:r w:rsidRPr="006C6C59">
        <w:rPr>
          <w:rFonts w:ascii="Century" w:hAnsi="Century" w:cs="Miriam"/>
          <w:b/>
          <w:spacing w:val="0"/>
          <w:szCs w:val="24"/>
          <w:rtl/>
        </w:rPr>
        <w:t xml:space="preserve"> </w:t>
      </w:r>
      <w:r w:rsidRPr="006C6C59">
        <w:rPr>
          <w:rFonts w:ascii="Century" w:hAnsi="Century" w:cs="Miriam" w:hint="eastAsia"/>
          <w:b/>
          <w:spacing w:val="0"/>
          <w:szCs w:val="24"/>
          <w:rtl/>
        </w:rPr>
        <w:t>ההימשכות</w:t>
      </w:r>
      <w:r>
        <w:rPr>
          <w:rtl/>
        </w:rPr>
        <w:t xml:space="preserve">. </w:t>
      </w:r>
      <w:r>
        <w:rPr>
          <w:rFonts w:hint="eastAsia"/>
          <w:rtl/>
        </w:rPr>
        <w:t>מרכיביה</w:t>
      </w:r>
      <w:r>
        <w:rPr>
          <w:rFonts w:hint="cs"/>
          <w:rtl/>
        </w:rPr>
        <w:t xml:space="preserve"> </w:t>
      </w:r>
      <w:r>
        <w:rPr>
          <w:rFonts w:hint="eastAsia"/>
          <w:rtl/>
        </w:rPr>
        <w:t>של</w:t>
      </w:r>
      <w:r>
        <w:rPr>
          <w:rtl/>
        </w:rPr>
        <w:t xml:space="preserve"> </w:t>
      </w:r>
      <w:r>
        <w:rPr>
          <w:rFonts w:hint="eastAsia"/>
          <w:rtl/>
        </w:rPr>
        <w:t>העילה</w:t>
      </w:r>
      <w:r>
        <w:rPr>
          <w:rtl/>
        </w:rPr>
        <w:t xml:space="preserve"> </w:t>
      </w:r>
      <w:r>
        <w:rPr>
          <w:rFonts w:hint="eastAsia"/>
          <w:rtl/>
        </w:rPr>
        <w:t>הקונקרטית</w:t>
      </w:r>
      <w:r>
        <w:rPr>
          <w:rtl/>
        </w:rPr>
        <w:t xml:space="preserve"> </w:t>
      </w:r>
      <w:r>
        <w:rPr>
          <w:rFonts w:hint="eastAsia"/>
          <w:rtl/>
        </w:rPr>
        <w:t>הם</w:t>
      </w:r>
      <w:r>
        <w:rPr>
          <w:rtl/>
        </w:rPr>
        <w:t xml:space="preserve">, </w:t>
      </w:r>
      <w:r>
        <w:rPr>
          <w:rFonts w:hint="eastAsia"/>
          <w:rtl/>
        </w:rPr>
        <w:t>כזכור</w:t>
      </w:r>
      <w:r>
        <w:rPr>
          <w:rtl/>
        </w:rPr>
        <w:t xml:space="preserve">, </w:t>
      </w:r>
      <w:r>
        <w:rPr>
          <w:rFonts w:hint="eastAsia"/>
          <w:rtl/>
        </w:rPr>
        <w:t>ה</w:t>
      </w:r>
      <w:r>
        <w:rPr>
          <w:rFonts w:hint="cs"/>
          <w:rtl/>
        </w:rPr>
        <w:t>'</w:t>
      </w:r>
      <w:r>
        <w:rPr>
          <w:rFonts w:hint="eastAsia"/>
          <w:rtl/>
        </w:rPr>
        <w:t>אשם</w:t>
      </w:r>
      <w:r>
        <w:rPr>
          <w:rFonts w:hint="cs"/>
          <w:rtl/>
        </w:rPr>
        <w:t>'</w:t>
      </w:r>
      <w:r>
        <w:rPr>
          <w:rtl/>
        </w:rPr>
        <w:t xml:space="preserve"> </w:t>
      </w:r>
      <w:r>
        <w:rPr>
          <w:rFonts w:hint="eastAsia"/>
          <w:rtl/>
        </w:rPr>
        <w:t>שהתנהגות</w:t>
      </w:r>
      <w:r>
        <w:rPr>
          <w:rtl/>
        </w:rPr>
        <w:t xml:space="preserve"> </w:t>
      </w:r>
      <w:r>
        <w:rPr>
          <w:rFonts w:hint="eastAsia"/>
          <w:rtl/>
        </w:rPr>
        <w:t>זו</w:t>
      </w:r>
      <w:r>
        <w:rPr>
          <w:rtl/>
        </w:rPr>
        <w:t xml:space="preserve"> </w:t>
      </w:r>
      <w:r>
        <w:rPr>
          <w:rFonts w:hint="eastAsia"/>
          <w:rtl/>
        </w:rPr>
        <w:t>יוצרת</w:t>
      </w:r>
      <w:r>
        <w:rPr>
          <w:rtl/>
        </w:rPr>
        <w:t xml:space="preserve"> </w:t>
      </w:r>
      <w:r>
        <w:rPr>
          <w:rFonts w:hint="eastAsia"/>
          <w:rtl/>
        </w:rPr>
        <w:t>וגרימת</w:t>
      </w:r>
      <w:r>
        <w:rPr>
          <w:rtl/>
        </w:rPr>
        <w:t xml:space="preserve"> </w:t>
      </w:r>
      <w:r>
        <w:rPr>
          <w:rFonts w:hint="eastAsia"/>
          <w:rtl/>
        </w:rPr>
        <w:t>הנזק</w:t>
      </w:r>
      <w:r>
        <w:rPr>
          <w:rtl/>
        </w:rPr>
        <w:t xml:space="preserve"> </w:t>
      </w:r>
      <w:r>
        <w:rPr>
          <w:rFonts w:hint="eastAsia"/>
          <w:rtl/>
        </w:rPr>
        <w:t>על</w:t>
      </w:r>
      <w:r>
        <w:rPr>
          <w:rFonts w:hint="cs"/>
          <w:rtl/>
        </w:rPr>
        <w:t>-</w:t>
      </w:r>
      <w:r>
        <w:rPr>
          <w:rFonts w:hint="eastAsia"/>
          <w:rtl/>
        </w:rPr>
        <w:t>ידי</w:t>
      </w:r>
      <w:r>
        <w:rPr>
          <w:rFonts w:hint="cs"/>
          <w:rtl/>
        </w:rPr>
        <w:t xml:space="preserve"> </w:t>
      </w:r>
      <w:r>
        <w:rPr>
          <w:rFonts w:hint="eastAsia"/>
          <w:rtl/>
        </w:rPr>
        <w:t>ה</w:t>
      </w:r>
      <w:r>
        <w:rPr>
          <w:rFonts w:hint="cs"/>
          <w:rtl/>
        </w:rPr>
        <w:t>'</w:t>
      </w:r>
      <w:r>
        <w:rPr>
          <w:rFonts w:hint="eastAsia"/>
          <w:rtl/>
        </w:rPr>
        <w:t>אשם</w:t>
      </w:r>
      <w:r>
        <w:rPr>
          <w:rFonts w:hint="cs"/>
          <w:rtl/>
        </w:rPr>
        <w:t>'</w:t>
      </w:r>
      <w:r>
        <w:rPr>
          <w:rtl/>
        </w:rPr>
        <w:t xml:space="preserve">. </w:t>
      </w:r>
      <w:r>
        <w:rPr>
          <w:rFonts w:hint="eastAsia"/>
          <w:rtl/>
        </w:rPr>
        <w:t>הימשכות</w:t>
      </w:r>
      <w:r>
        <w:rPr>
          <w:rtl/>
        </w:rPr>
        <w:t xml:space="preserve"> </w:t>
      </w:r>
      <w:r>
        <w:rPr>
          <w:rFonts w:hint="eastAsia"/>
          <w:rtl/>
        </w:rPr>
        <w:t>מרכיב</w:t>
      </w:r>
      <w:r>
        <w:rPr>
          <w:rtl/>
        </w:rPr>
        <w:t xml:space="preserve"> </w:t>
      </w:r>
      <w:r>
        <w:rPr>
          <w:rFonts w:hint="eastAsia"/>
          <w:rtl/>
        </w:rPr>
        <w:t>אחד</w:t>
      </w:r>
      <w:r>
        <w:rPr>
          <w:rtl/>
        </w:rPr>
        <w:t xml:space="preserve"> </w:t>
      </w:r>
      <w:r>
        <w:rPr>
          <w:rFonts w:hint="eastAsia"/>
          <w:rtl/>
        </w:rPr>
        <w:t>של</w:t>
      </w:r>
      <w:r>
        <w:rPr>
          <w:rtl/>
        </w:rPr>
        <w:t xml:space="preserve"> </w:t>
      </w:r>
      <w:r>
        <w:rPr>
          <w:rFonts w:hint="eastAsia"/>
          <w:rtl/>
        </w:rPr>
        <w:t>עילת</w:t>
      </w:r>
      <w:r>
        <w:rPr>
          <w:rtl/>
        </w:rPr>
        <w:t xml:space="preserve"> </w:t>
      </w:r>
      <w:r>
        <w:rPr>
          <w:rFonts w:hint="eastAsia"/>
          <w:rtl/>
        </w:rPr>
        <w:t>התביעה</w:t>
      </w:r>
      <w:r>
        <w:rPr>
          <w:rtl/>
        </w:rPr>
        <w:t xml:space="preserve">, </w:t>
      </w:r>
      <w:r>
        <w:rPr>
          <w:rFonts w:hint="eastAsia"/>
          <w:rtl/>
        </w:rPr>
        <w:t>שאינה</w:t>
      </w:r>
      <w:r>
        <w:rPr>
          <w:rtl/>
        </w:rPr>
        <w:t xml:space="preserve"> </w:t>
      </w:r>
      <w:r>
        <w:rPr>
          <w:rFonts w:hint="eastAsia"/>
          <w:rtl/>
        </w:rPr>
        <w:t>מלווה</w:t>
      </w:r>
      <w:r>
        <w:rPr>
          <w:rtl/>
        </w:rPr>
        <w:t xml:space="preserve"> </w:t>
      </w:r>
      <w:r>
        <w:rPr>
          <w:rFonts w:hint="eastAsia"/>
          <w:rtl/>
        </w:rPr>
        <w:t>בהימשכות</w:t>
      </w:r>
      <w:r>
        <w:rPr>
          <w:rtl/>
        </w:rPr>
        <w:t xml:space="preserve"> </w:t>
      </w:r>
      <w:r>
        <w:rPr>
          <w:rFonts w:hint="eastAsia"/>
          <w:rtl/>
        </w:rPr>
        <w:t>מרכיבה</w:t>
      </w:r>
      <w:r>
        <w:rPr>
          <w:rFonts w:hint="cs"/>
          <w:rtl/>
        </w:rPr>
        <w:t xml:space="preserve"> </w:t>
      </w:r>
      <w:r>
        <w:rPr>
          <w:rFonts w:hint="eastAsia"/>
          <w:rtl/>
        </w:rPr>
        <w:t>האחר</w:t>
      </w:r>
      <w:r>
        <w:rPr>
          <w:rtl/>
        </w:rPr>
        <w:t xml:space="preserve">, </w:t>
      </w:r>
      <w:r>
        <w:rPr>
          <w:rFonts w:hint="eastAsia"/>
          <w:rtl/>
        </w:rPr>
        <w:t>אינה</w:t>
      </w:r>
      <w:r>
        <w:rPr>
          <w:rtl/>
        </w:rPr>
        <w:t xml:space="preserve"> </w:t>
      </w:r>
      <w:r>
        <w:rPr>
          <w:rFonts w:hint="eastAsia"/>
          <w:rtl/>
        </w:rPr>
        <w:t>יוצרת</w:t>
      </w:r>
      <w:r>
        <w:rPr>
          <w:rtl/>
        </w:rPr>
        <w:t xml:space="preserve"> – </w:t>
      </w:r>
      <w:r>
        <w:rPr>
          <w:rFonts w:hint="eastAsia"/>
          <w:rtl/>
        </w:rPr>
        <w:t>לדעתנו</w:t>
      </w:r>
      <w:r>
        <w:rPr>
          <w:rtl/>
        </w:rPr>
        <w:t xml:space="preserve"> – </w:t>
      </w:r>
      <w:r>
        <w:rPr>
          <w:rFonts w:hint="eastAsia"/>
          <w:rtl/>
        </w:rPr>
        <w:t>עילה</w:t>
      </w:r>
      <w:r>
        <w:rPr>
          <w:rtl/>
        </w:rPr>
        <w:t xml:space="preserve"> </w:t>
      </w:r>
      <w:r>
        <w:rPr>
          <w:rFonts w:hint="eastAsia"/>
          <w:rtl/>
        </w:rPr>
        <w:t>נמשכת</w:t>
      </w:r>
      <w:r>
        <w:rPr>
          <w:rtl/>
        </w:rPr>
        <w:t xml:space="preserve"> </w:t>
      </w:r>
      <w:r>
        <w:rPr>
          <w:rFonts w:hint="eastAsia"/>
          <w:rtl/>
        </w:rPr>
        <w:t>לצורך</w:t>
      </w:r>
      <w:r>
        <w:rPr>
          <w:rtl/>
        </w:rPr>
        <w:t xml:space="preserve"> </w:t>
      </w:r>
      <w:r>
        <w:rPr>
          <w:rFonts w:hint="eastAsia"/>
          <w:rtl/>
        </w:rPr>
        <w:t>התיישנות</w:t>
      </w:r>
      <w:r>
        <w:rPr>
          <w:rtl/>
        </w:rPr>
        <w:t xml:space="preserve">. [...] </w:t>
      </w:r>
      <w:r>
        <w:rPr>
          <w:rFonts w:ascii="Century" w:hAnsi="Century" w:cs="Miriam" w:hint="cs"/>
          <w:b/>
          <w:spacing w:val="0"/>
          <w:szCs w:val="24"/>
          <w:rtl/>
        </w:rPr>
        <w:t>'</w:t>
      </w:r>
      <w:r w:rsidRPr="00AA51B7">
        <w:rPr>
          <w:rFonts w:ascii="Century" w:hAnsi="Century" w:cs="Miriam" w:hint="eastAsia"/>
          <w:b/>
          <w:spacing w:val="0"/>
          <w:szCs w:val="24"/>
          <w:rtl/>
        </w:rPr>
        <w:t>אשם</w:t>
      </w:r>
      <w:r>
        <w:rPr>
          <w:rFonts w:ascii="Century" w:hAnsi="Century" w:cs="Miriam" w:hint="cs"/>
          <w:b/>
          <w:spacing w:val="0"/>
          <w:szCs w:val="24"/>
          <w:rtl/>
        </w:rPr>
        <w:t>'</w:t>
      </w:r>
      <w:r w:rsidRPr="00AA51B7">
        <w:rPr>
          <w:rFonts w:ascii="Century" w:hAnsi="Century" w:cs="Miriam"/>
          <w:b/>
          <w:spacing w:val="0"/>
          <w:szCs w:val="24"/>
          <w:rtl/>
        </w:rPr>
        <w:t xml:space="preserve">, </w:t>
      </w:r>
      <w:r w:rsidRPr="00AA51B7">
        <w:rPr>
          <w:rFonts w:ascii="Century" w:hAnsi="Century" w:cs="Miriam" w:hint="eastAsia"/>
          <w:b/>
          <w:spacing w:val="0"/>
          <w:szCs w:val="24"/>
          <w:rtl/>
        </w:rPr>
        <w:t>נזכיר</w:t>
      </w:r>
      <w:r w:rsidRPr="00AA51B7">
        <w:rPr>
          <w:rFonts w:ascii="Century" w:hAnsi="Century" w:cs="Miriam"/>
          <w:b/>
          <w:spacing w:val="0"/>
          <w:szCs w:val="24"/>
          <w:rtl/>
        </w:rPr>
        <w:t xml:space="preserve">, </w:t>
      </w:r>
      <w:r w:rsidRPr="00AA51B7">
        <w:rPr>
          <w:rFonts w:ascii="Century" w:hAnsi="Century" w:cs="Miriam" w:hint="eastAsia"/>
          <w:b/>
          <w:spacing w:val="0"/>
          <w:szCs w:val="24"/>
          <w:rtl/>
        </w:rPr>
        <w:t>הוא</w:t>
      </w:r>
      <w:r w:rsidRPr="00AA51B7">
        <w:rPr>
          <w:rFonts w:ascii="Century" w:hAnsi="Century" w:cs="Miriam"/>
          <w:b/>
          <w:spacing w:val="0"/>
          <w:szCs w:val="24"/>
          <w:rtl/>
        </w:rPr>
        <w:t xml:space="preserve"> </w:t>
      </w:r>
      <w:r w:rsidRPr="00AA51B7">
        <w:rPr>
          <w:rFonts w:ascii="Century" w:hAnsi="Century" w:cs="Miriam" w:hint="eastAsia"/>
          <w:b/>
          <w:spacing w:val="0"/>
          <w:szCs w:val="24"/>
          <w:rtl/>
        </w:rPr>
        <w:t>התנהגותו</w:t>
      </w:r>
      <w:r w:rsidRPr="00AA51B7">
        <w:rPr>
          <w:rFonts w:ascii="Century" w:hAnsi="Century" w:cs="Miriam"/>
          <w:b/>
          <w:spacing w:val="0"/>
          <w:szCs w:val="24"/>
          <w:rtl/>
        </w:rPr>
        <w:t xml:space="preserve"> (</w:t>
      </w:r>
      <w:r w:rsidRPr="00AA51B7">
        <w:rPr>
          <w:rFonts w:ascii="Century" w:hAnsi="Century" w:cs="Miriam" w:hint="eastAsia"/>
          <w:b/>
          <w:spacing w:val="0"/>
          <w:szCs w:val="24"/>
          <w:rtl/>
        </w:rPr>
        <w:t>מעשה</w:t>
      </w:r>
      <w:r w:rsidRPr="00AA51B7">
        <w:rPr>
          <w:rFonts w:ascii="Century" w:hAnsi="Century" w:cs="Miriam"/>
          <w:b/>
          <w:spacing w:val="0"/>
          <w:szCs w:val="24"/>
          <w:rtl/>
        </w:rPr>
        <w:t xml:space="preserve"> </w:t>
      </w:r>
      <w:r w:rsidRPr="00AA51B7">
        <w:rPr>
          <w:rFonts w:ascii="Century" w:hAnsi="Century" w:cs="Miriam" w:hint="eastAsia"/>
          <w:b/>
          <w:spacing w:val="0"/>
          <w:szCs w:val="24"/>
          <w:rtl/>
        </w:rPr>
        <w:t>או</w:t>
      </w:r>
      <w:r w:rsidRPr="00AA51B7">
        <w:rPr>
          <w:rFonts w:ascii="Century" w:hAnsi="Century" w:cs="Miriam"/>
          <w:b/>
          <w:spacing w:val="0"/>
          <w:szCs w:val="24"/>
          <w:rtl/>
        </w:rPr>
        <w:t xml:space="preserve"> </w:t>
      </w:r>
      <w:r w:rsidRPr="00AA51B7">
        <w:rPr>
          <w:rFonts w:ascii="Century" w:hAnsi="Century" w:cs="Miriam" w:hint="eastAsia"/>
          <w:b/>
          <w:spacing w:val="0"/>
          <w:szCs w:val="24"/>
          <w:rtl/>
        </w:rPr>
        <w:t>מחדל</w:t>
      </w:r>
      <w:r w:rsidRPr="00AA51B7">
        <w:rPr>
          <w:rFonts w:ascii="Century" w:hAnsi="Century" w:cs="Miriam"/>
          <w:b/>
          <w:spacing w:val="0"/>
          <w:szCs w:val="24"/>
          <w:rtl/>
        </w:rPr>
        <w:t xml:space="preserve">) </w:t>
      </w:r>
      <w:r w:rsidRPr="00AA51B7">
        <w:rPr>
          <w:rFonts w:ascii="Century" w:hAnsi="Century" w:cs="Miriam" w:hint="eastAsia"/>
          <w:b/>
          <w:spacing w:val="0"/>
          <w:szCs w:val="24"/>
          <w:rtl/>
        </w:rPr>
        <w:t>של</w:t>
      </w:r>
      <w:r w:rsidRPr="00AA51B7">
        <w:rPr>
          <w:rFonts w:ascii="Century" w:hAnsi="Century" w:cs="Miriam"/>
          <w:b/>
          <w:spacing w:val="0"/>
          <w:szCs w:val="24"/>
          <w:rtl/>
        </w:rPr>
        <w:t xml:space="preserve"> </w:t>
      </w:r>
      <w:r w:rsidRPr="00AA51B7">
        <w:rPr>
          <w:rFonts w:ascii="Century" w:hAnsi="Century" w:cs="Miriam" w:hint="eastAsia"/>
          <w:b/>
          <w:spacing w:val="0"/>
          <w:szCs w:val="24"/>
          <w:rtl/>
        </w:rPr>
        <w:t>הנתבע</w:t>
      </w:r>
      <w:r w:rsidRPr="00AA51B7">
        <w:rPr>
          <w:rFonts w:ascii="Century" w:hAnsi="Century" w:cs="Miriam"/>
          <w:b/>
          <w:spacing w:val="0"/>
          <w:szCs w:val="24"/>
          <w:rtl/>
        </w:rPr>
        <w:t xml:space="preserve">, </w:t>
      </w:r>
      <w:r w:rsidRPr="00AA51B7">
        <w:rPr>
          <w:rFonts w:ascii="Century" w:hAnsi="Century" w:cs="Miriam" w:hint="eastAsia"/>
          <w:b/>
          <w:spacing w:val="0"/>
          <w:szCs w:val="24"/>
          <w:rtl/>
        </w:rPr>
        <w:t>העונה</w:t>
      </w:r>
      <w:r w:rsidRPr="00AA51B7">
        <w:rPr>
          <w:rFonts w:ascii="Century" w:hAnsi="Century" w:cs="Miriam"/>
          <w:b/>
          <w:spacing w:val="0"/>
          <w:szCs w:val="24"/>
          <w:rtl/>
        </w:rPr>
        <w:t xml:space="preserve"> </w:t>
      </w:r>
      <w:r w:rsidRPr="00AA51B7">
        <w:rPr>
          <w:rFonts w:ascii="Century" w:hAnsi="Century" w:cs="Miriam" w:hint="eastAsia"/>
          <w:b/>
          <w:spacing w:val="0"/>
          <w:szCs w:val="24"/>
          <w:rtl/>
        </w:rPr>
        <w:t>אחר</w:t>
      </w:r>
      <w:r w:rsidRPr="00AA51B7">
        <w:rPr>
          <w:rFonts w:ascii="Century" w:hAnsi="Century" w:cs="Miriam"/>
          <w:b/>
          <w:spacing w:val="0"/>
          <w:szCs w:val="24"/>
          <w:rtl/>
        </w:rPr>
        <w:t xml:space="preserve"> </w:t>
      </w:r>
      <w:r w:rsidRPr="00AA51B7">
        <w:rPr>
          <w:rFonts w:ascii="Century" w:hAnsi="Century" w:cs="Miriam" w:hint="eastAsia"/>
          <w:b/>
          <w:spacing w:val="0"/>
          <w:szCs w:val="24"/>
          <w:rtl/>
        </w:rPr>
        <w:t>דרישות</w:t>
      </w:r>
      <w:r w:rsidRPr="00AA51B7">
        <w:rPr>
          <w:rFonts w:ascii="Century" w:hAnsi="Century" w:cs="Miriam"/>
          <w:b/>
          <w:spacing w:val="0"/>
          <w:szCs w:val="24"/>
          <w:rtl/>
        </w:rPr>
        <w:t xml:space="preserve"> </w:t>
      </w:r>
      <w:r w:rsidRPr="00AA51B7">
        <w:rPr>
          <w:rFonts w:ascii="Century" w:hAnsi="Century" w:cs="Miriam" w:hint="eastAsia"/>
          <w:b/>
          <w:spacing w:val="0"/>
          <w:szCs w:val="24"/>
          <w:rtl/>
        </w:rPr>
        <w:t>העוולה</w:t>
      </w:r>
      <w:r w:rsidRPr="00AA51B7">
        <w:rPr>
          <w:rFonts w:ascii="Century" w:hAnsi="Century" w:cs="Miriam"/>
          <w:b/>
          <w:spacing w:val="0"/>
          <w:szCs w:val="24"/>
          <w:rtl/>
        </w:rPr>
        <w:t xml:space="preserve"> </w:t>
      </w:r>
      <w:r w:rsidRPr="00AA51B7">
        <w:rPr>
          <w:rFonts w:ascii="Century" w:hAnsi="Century" w:cs="Miriam" w:hint="eastAsia"/>
          <w:b/>
          <w:spacing w:val="0"/>
          <w:szCs w:val="24"/>
          <w:rtl/>
        </w:rPr>
        <w:t>שעליה</w:t>
      </w:r>
      <w:r w:rsidRPr="00AA51B7">
        <w:rPr>
          <w:rFonts w:ascii="Century" w:hAnsi="Century" w:cs="Miriam"/>
          <w:b/>
          <w:spacing w:val="0"/>
          <w:szCs w:val="24"/>
          <w:rtl/>
        </w:rPr>
        <w:t xml:space="preserve"> </w:t>
      </w:r>
      <w:r w:rsidRPr="00AA51B7">
        <w:rPr>
          <w:rFonts w:ascii="Century" w:hAnsi="Century" w:cs="Miriam" w:hint="eastAsia"/>
          <w:b/>
          <w:spacing w:val="0"/>
          <w:szCs w:val="24"/>
          <w:rtl/>
        </w:rPr>
        <w:t>מתבססת</w:t>
      </w:r>
      <w:r w:rsidRPr="00AA51B7">
        <w:rPr>
          <w:rFonts w:ascii="Century" w:hAnsi="Century" w:cs="Miriam"/>
          <w:b/>
          <w:spacing w:val="0"/>
          <w:szCs w:val="24"/>
          <w:rtl/>
        </w:rPr>
        <w:t xml:space="preserve"> </w:t>
      </w:r>
      <w:r w:rsidRPr="00AA51B7">
        <w:rPr>
          <w:rFonts w:ascii="Century" w:hAnsi="Century" w:cs="Miriam" w:hint="eastAsia"/>
          <w:b/>
          <w:spacing w:val="0"/>
          <w:szCs w:val="24"/>
          <w:rtl/>
        </w:rPr>
        <w:t>התביעה</w:t>
      </w:r>
      <w:r w:rsidRPr="00AA51B7">
        <w:rPr>
          <w:rFonts w:ascii="Century" w:hAnsi="Century" w:cs="Miriam"/>
          <w:b/>
          <w:spacing w:val="0"/>
          <w:szCs w:val="24"/>
          <w:rtl/>
        </w:rPr>
        <w:t xml:space="preserve"> </w:t>
      </w:r>
      <w:r w:rsidRPr="00AA51B7">
        <w:rPr>
          <w:rFonts w:ascii="Century" w:hAnsi="Century" w:cs="Miriam" w:hint="eastAsia"/>
          <w:b/>
          <w:spacing w:val="0"/>
          <w:szCs w:val="24"/>
          <w:rtl/>
        </w:rPr>
        <w:t>הקונקרטית</w:t>
      </w:r>
      <w:r w:rsidRPr="00AA51B7">
        <w:rPr>
          <w:rFonts w:ascii="Century" w:hAnsi="Century" w:cs="Miriam"/>
          <w:b/>
          <w:spacing w:val="0"/>
          <w:szCs w:val="24"/>
          <w:rtl/>
        </w:rPr>
        <w:t xml:space="preserve"> (</w:t>
      </w:r>
      <w:r w:rsidRPr="00AA51B7">
        <w:rPr>
          <w:rFonts w:ascii="Century" w:hAnsi="Century" w:cs="Miriam" w:hint="eastAsia"/>
          <w:b/>
          <w:spacing w:val="0"/>
          <w:szCs w:val="24"/>
          <w:rtl/>
        </w:rPr>
        <w:t>למעט</w:t>
      </w:r>
      <w:r w:rsidRPr="00AA51B7">
        <w:rPr>
          <w:rFonts w:ascii="Century" w:hAnsi="Century" w:cs="Miriam"/>
          <w:b/>
          <w:spacing w:val="0"/>
          <w:szCs w:val="24"/>
          <w:rtl/>
        </w:rPr>
        <w:t xml:space="preserve"> </w:t>
      </w:r>
      <w:r w:rsidRPr="00AA51B7">
        <w:rPr>
          <w:rFonts w:ascii="Century" w:hAnsi="Century" w:cs="Miriam" w:hint="eastAsia"/>
          <w:b/>
          <w:spacing w:val="0"/>
          <w:szCs w:val="24"/>
          <w:rtl/>
        </w:rPr>
        <w:t>גרימת</w:t>
      </w:r>
      <w:r w:rsidRPr="00AA51B7">
        <w:rPr>
          <w:rFonts w:ascii="Century" w:hAnsi="Century" w:cs="Miriam"/>
          <w:b/>
          <w:spacing w:val="0"/>
          <w:szCs w:val="24"/>
          <w:rtl/>
        </w:rPr>
        <w:t xml:space="preserve"> </w:t>
      </w:r>
      <w:r w:rsidRPr="00AA51B7">
        <w:rPr>
          <w:rFonts w:ascii="Century" w:hAnsi="Century" w:cs="Miriam" w:hint="eastAsia"/>
          <w:b/>
          <w:spacing w:val="0"/>
          <w:szCs w:val="24"/>
          <w:rtl/>
        </w:rPr>
        <w:t>הנזק</w:t>
      </w:r>
      <w:r w:rsidRPr="00AA51B7">
        <w:rPr>
          <w:rFonts w:ascii="Century" w:hAnsi="Century" w:cs="Miriam"/>
          <w:b/>
          <w:spacing w:val="0"/>
          <w:szCs w:val="24"/>
          <w:rtl/>
        </w:rPr>
        <w:t xml:space="preserve">). </w:t>
      </w:r>
      <w:r>
        <w:rPr>
          <w:rFonts w:ascii="Century" w:hAnsi="Century" w:cs="Miriam" w:hint="cs"/>
          <w:b/>
          <w:spacing w:val="0"/>
          <w:szCs w:val="24"/>
          <w:rtl/>
        </w:rPr>
        <w:t>'</w:t>
      </w:r>
      <w:r w:rsidRPr="00AA51B7">
        <w:rPr>
          <w:rFonts w:ascii="Century" w:hAnsi="Century" w:cs="Miriam" w:hint="eastAsia"/>
          <w:b/>
          <w:spacing w:val="0"/>
          <w:szCs w:val="24"/>
          <w:rtl/>
        </w:rPr>
        <w:t>אשם</w:t>
      </w:r>
      <w:r>
        <w:rPr>
          <w:rFonts w:ascii="Century" w:hAnsi="Century" w:cs="Miriam" w:hint="cs"/>
          <w:b/>
          <w:spacing w:val="0"/>
          <w:szCs w:val="24"/>
          <w:rtl/>
        </w:rPr>
        <w:t>'</w:t>
      </w:r>
      <w:r w:rsidRPr="00AA51B7">
        <w:rPr>
          <w:rFonts w:ascii="Century" w:hAnsi="Century" w:cs="Miriam"/>
          <w:b/>
          <w:spacing w:val="0"/>
          <w:szCs w:val="24"/>
          <w:rtl/>
        </w:rPr>
        <w:t xml:space="preserve"> </w:t>
      </w:r>
      <w:r w:rsidRPr="00AA51B7">
        <w:rPr>
          <w:rFonts w:ascii="Century" w:hAnsi="Century" w:cs="Miriam" w:hint="eastAsia"/>
          <w:b/>
          <w:spacing w:val="0"/>
          <w:szCs w:val="24"/>
          <w:rtl/>
        </w:rPr>
        <w:t>ייחשב</w:t>
      </w:r>
      <w:r w:rsidRPr="00AA51B7">
        <w:rPr>
          <w:rFonts w:ascii="Century" w:hAnsi="Century" w:cs="Miriam"/>
          <w:b/>
          <w:spacing w:val="0"/>
          <w:szCs w:val="24"/>
          <w:rtl/>
        </w:rPr>
        <w:t xml:space="preserve"> </w:t>
      </w:r>
      <w:r w:rsidRPr="00AA51B7">
        <w:rPr>
          <w:rFonts w:ascii="Century" w:hAnsi="Century" w:cs="Miriam" w:hint="eastAsia"/>
          <w:b/>
          <w:spacing w:val="0"/>
          <w:szCs w:val="24"/>
          <w:rtl/>
        </w:rPr>
        <w:t>כנמשך</w:t>
      </w:r>
      <w:r w:rsidRPr="00AA51B7">
        <w:rPr>
          <w:rFonts w:ascii="Century" w:hAnsi="Century" w:cs="Miriam"/>
          <w:b/>
          <w:spacing w:val="0"/>
          <w:szCs w:val="24"/>
          <w:rtl/>
        </w:rPr>
        <w:t xml:space="preserve"> </w:t>
      </w:r>
      <w:r w:rsidRPr="00AA51B7">
        <w:rPr>
          <w:rFonts w:ascii="Century" w:hAnsi="Century" w:cs="Miriam" w:hint="eastAsia"/>
          <w:b/>
          <w:spacing w:val="0"/>
          <w:szCs w:val="24"/>
          <w:rtl/>
        </w:rPr>
        <w:t>כאשר</w:t>
      </w:r>
      <w:r w:rsidRPr="00AA51B7">
        <w:rPr>
          <w:rFonts w:ascii="Century" w:hAnsi="Century" w:cs="Miriam"/>
          <w:b/>
          <w:spacing w:val="0"/>
          <w:szCs w:val="24"/>
          <w:rtl/>
        </w:rPr>
        <w:t xml:space="preserve"> </w:t>
      </w:r>
      <w:r w:rsidRPr="00AA51B7">
        <w:rPr>
          <w:rFonts w:ascii="Century" w:hAnsi="Century" w:cs="Miriam" w:hint="eastAsia"/>
          <w:b/>
          <w:spacing w:val="0"/>
          <w:szCs w:val="24"/>
          <w:rtl/>
        </w:rPr>
        <w:t>מתקיימות</w:t>
      </w:r>
      <w:r w:rsidRPr="00AA51B7">
        <w:rPr>
          <w:rFonts w:ascii="Century" w:hAnsi="Century" w:cs="Miriam"/>
          <w:b/>
          <w:spacing w:val="0"/>
          <w:szCs w:val="24"/>
          <w:rtl/>
        </w:rPr>
        <w:t xml:space="preserve"> </w:t>
      </w:r>
      <w:r w:rsidRPr="00AA51B7">
        <w:rPr>
          <w:rFonts w:ascii="Century" w:hAnsi="Century" w:cs="Miriam" w:hint="eastAsia"/>
          <w:b/>
          <w:spacing w:val="0"/>
          <w:szCs w:val="24"/>
          <w:rtl/>
        </w:rPr>
        <w:t>בו</w:t>
      </w:r>
      <w:r w:rsidRPr="00AA51B7">
        <w:rPr>
          <w:rFonts w:ascii="Century" w:hAnsi="Century" w:cs="Miriam"/>
          <w:b/>
          <w:spacing w:val="0"/>
          <w:szCs w:val="24"/>
          <w:rtl/>
        </w:rPr>
        <w:t xml:space="preserve"> </w:t>
      </w:r>
      <w:r w:rsidRPr="00AA51B7">
        <w:rPr>
          <w:rFonts w:ascii="Century" w:hAnsi="Century" w:cs="Miriam" w:hint="eastAsia"/>
          <w:b/>
          <w:spacing w:val="0"/>
          <w:szCs w:val="24"/>
          <w:rtl/>
        </w:rPr>
        <w:t>תכונות</w:t>
      </w:r>
      <w:r w:rsidRPr="00AA51B7">
        <w:rPr>
          <w:rFonts w:ascii="Century" w:hAnsi="Century" w:cs="Miriam"/>
          <w:b/>
          <w:spacing w:val="0"/>
          <w:szCs w:val="24"/>
          <w:rtl/>
        </w:rPr>
        <w:t xml:space="preserve"> </w:t>
      </w:r>
      <w:r w:rsidRPr="00AA51B7">
        <w:rPr>
          <w:rFonts w:ascii="Century" w:hAnsi="Century" w:cs="Miriam" w:hint="eastAsia"/>
          <w:b/>
          <w:spacing w:val="0"/>
          <w:szCs w:val="24"/>
          <w:rtl/>
        </w:rPr>
        <w:t>החזרה</w:t>
      </w:r>
      <w:r w:rsidRPr="00AA51B7">
        <w:rPr>
          <w:rFonts w:ascii="Century" w:hAnsi="Century" w:cs="Miriam"/>
          <w:b/>
          <w:spacing w:val="0"/>
          <w:szCs w:val="24"/>
          <w:rtl/>
        </w:rPr>
        <w:t xml:space="preserve"> </w:t>
      </w:r>
      <w:r w:rsidRPr="00AA51B7">
        <w:rPr>
          <w:rFonts w:ascii="Century" w:hAnsi="Century" w:cs="Miriam" w:hint="eastAsia"/>
          <w:b/>
          <w:spacing w:val="0"/>
          <w:szCs w:val="24"/>
          <w:rtl/>
        </w:rPr>
        <w:t>והרציפות</w:t>
      </w:r>
      <w:r>
        <w:rPr>
          <w:rtl/>
        </w:rPr>
        <w:t xml:space="preserve">. [...] </w:t>
      </w:r>
      <w:r>
        <w:rPr>
          <w:rFonts w:hint="eastAsia"/>
          <w:rtl/>
        </w:rPr>
        <w:t>לדעתנו</w:t>
      </w:r>
      <w:r>
        <w:rPr>
          <w:rtl/>
        </w:rPr>
        <w:t xml:space="preserve"> </w:t>
      </w:r>
      <w:r>
        <w:rPr>
          <w:rFonts w:hint="eastAsia"/>
          <w:rtl/>
        </w:rPr>
        <w:t>אפשר</w:t>
      </w:r>
      <w:r>
        <w:rPr>
          <w:rtl/>
        </w:rPr>
        <w:t xml:space="preserve"> </w:t>
      </w:r>
      <w:r>
        <w:rPr>
          <w:rFonts w:hint="eastAsia"/>
          <w:rtl/>
        </w:rPr>
        <w:t>ש</w:t>
      </w:r>
      <w:r>
        <w:rPr>
          <w:rFonts w:hint="cs"/>
          <w:rtl/>
        </w:rPr>
        <w:t>'</w:t>
      </w:r>
      <w:r>
        <w:rPr>
          <w:rFonts w:hint="eastAsia"/>
          <w:rtl/>
        </w:rPr>
        <w:t>אשם</w:t>
      </w:r>
      <w:r>
        <w:rPr>
          <w:rFonts w:hint="cs"/>
          <w:rtl/>
        </w:rPr>
        <w:t>'</w:t>
      </w:r>
      <w:r>
        <w:rPr>
          <w:rtl/>
        </w:rPr>
        <w:t xml:space="preserve"> </w:t>
      </w:r>
      <w:r>
        <w:rPr>
          <w:rFonts w:hint="eastAsia"/>
          <w:rtl/>
        </w:rPr>
        <w:t>ייחשב</w:t>
      </w:r>
      <w:r>
        <w:rPr>
          <w:rtl/>
        </w:rPr>
        <w:t xml:space="preserve"> </w:t>
      </w:r>
      <w:r>
        <w:rPr>
          <w:rFonts w:hint="eastAsia"/>
          <w:rtl/>
        </w:rPr>
        <w:t>כנמשך</w:t>
      </w:r>
      <w:r>
        <w:rPr>
          <w:rtl/>
        </w:rPr>
        <w:t xml:space="preserve"> </w:t>
      </w:r>
      <w:r>
        <w:rPr>
          <w:rFonts w:hint="eastAsia"/>
          <w:rtl/>
        </w:rPr>
        <w:t>גם</w:t>
      </w:r>
      <w:r>
        <w:rPr>
          <w:rtl/>
        </w:rPr>
        <w:t xml:space="preserve"> </w:t>
      </w:r>
      <w:r>
        <w:rPr>
          <w:rFonts w:hint="eastAsia"/>
          <w:rtl/>
        </w:rPr>
        <w:t>אם</w:t>
      </w:r>
      <w:r>
        <w:rPr>
          <w:rtl/>
        </w:rPr>
        <w:t xml:space="preserve"> </w:t>
      </w:r>
      <w:r>
        <w:rPr>
          <w:rFonts w:hint="eastAsia"/>
          <w:rtl/>
        </w:rPr>
        <w:t>ההתנהגות</w:t>
      </w:r>
      <w:r>
        <w:rPr>
          <w:rtl/>
        </w:rPr>
        <w:t xml:space="preserve"> </w:t>
      </w:r>
      <w:r>
        <w:rPr>
          <w:rFonts w:hint="eastAsia"/>
          <w:rtl/>
        </w:rPr>
        <w:t>אינה</w:t>
      </w:r>
      <w:r>
        <w:rPr>
          <w:rtl/>
        </w:rPr>
        <w:t xml:space="preserve"> </w:t>
      </w:r>
      <w:r>
        <w:rPr>
          <w:rFonts w:hint="eastAsia"/>
          <w:rtl/>
        </w:rPr>
        <w:t>כזו</w:t>
      </w:r>
      <w:r>
        <w:rPr>
          <w:rtl/>
        </w:rPr>
        <w:t xml:space="preserve">. </w:t>
      </w:r>
      <w:r w:rsidRPr="00AA51B7">
        <w:rPr>
          <w:rFonts w:ascii="Century" w:hAnsi="Century" w:cs="Miriam" w:hint="eastAsia"/>
          <w:b/>
          <w:spacing w:val="0"/>
          <w:szCs w:val="24"/>
          <w:u w:val="single"/>
          <w:rtl/>
        </w:rPr>
        <w:t>השאלה</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אם</w:t>
      </w:r>
      <w:r w:rsidRPr="00AA51B7">
        <w:rPr>
          <w:rFonts w:ascii="Century" w:hAnsi="Century" w:cs="Miriam"/>
          <w:b/>
          <w:spacing w:val="0"/>
          <w:szCs w:val="24"/>
          <w:u w:val="single"/>
          <w:rtl/>
        </w:rPr>
        <w:t xml:space="preserve"> </w:t>
      </w:r>
      <w:r>
        <w:rPr>
          <w:rFonts w:ascii="Century" w:hAnsi="Century" w:cs="Miriam" w:hint="cs"/>
          <w:b/>
          <w:spacing w:val="0"/>
          <w:szCs w:val="24"/>
          <w:u w:val="single"/>
          <w:rtl/>
        </w:rPr>
        <w:t>'</w:t>
      </w:r>
      <w:r w:rsidRPr="00AA51B7">
        <w:rPr>
          <w:rFonts w:ascii="Century" w:hAnsi="Century" w:cs="Miriam" w:hint="eastAsia"/>
          <w:b/>
          <w:spacing w:val="0"/>
          <w:szCs w:val="24"/>
          <w:u w:val="single"/>
          <w:rtl/>
        </w:rPr>
        <w:t>אשם</w:t>
      </w:r>
      <w:r>
        <w:rPr>
          <w:rFonts w:ascii="Century" w:hAnsi="Century" w:cs="Miriam" w:hint="cs"/>
          <w:b/>
          <w:spacing w:val="0"/>
          <w:szCs w:val="24"/>
          <w:u w:val="single"/>
          <w:rtl/>
        </w:rPr>
        <w:t>'</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נתון</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מקיים</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את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תכונות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החזרה</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והרציפות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תלויה</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בהגדרת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האחריות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בעוולה</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הרלבנטית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ולא</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בחזות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החיצונית</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של</w:t>
      </w:r>
      <w:r w:rsidRPr="00AA51B7">
        <w:rPr>
          <w:rFonts w:ascii="Century" w:hAnsi="Century" w:cs="Miriam"/>
          <w:b/>
          <w:spacing w:val="0"/>
          <w:szCs w:val="24"/>
          <w:u w:val="single"/>
          <w:rtl/>
        </w:rPr>
        <w:t xml:space="preserve"> </w:t>
      </w:r>
      <w:r w:rsidRPr="00AA51B7">
        <w:rPr>
          <w:rFonts w:ascii="Century" w:hAnsi="Century" w:cs="Miriam" w:hint="eastAsia"/>
          <w:b/>
          <w:spacing w:val="0"/>
          <w:szCs w:val="24"/>
          <w:u w:val="single"/>
          <w:rtl/>
        </w:rPr>
        <w:t>ההתנהגות</w:t>
      </w:r>
      <w:r w:rsidRPr="00AA51B7">
        <w:rPr>
          <w:rtl/>
        </w:rPr>
        <w:t>.</w:t>
      </w:r>
      <w:r>
        <w:rPr>
          <w:rtl/>
        </w:rPr>
        <w:t xml:space="preserve"> </w:t>
      </w:r>
      <w:r w:rsidRPr="00AA51B7">
        <w:rPr>
          <w:rFonts w:ascii="Century" w:hAnsi="Century" w:cs="Miriam" w:hint="eastAsia"/>
          <w:b/>
          <w:spacing w:val="0"/>
          <w:szCs w:val="24"/>
          <w:rtl/>
        </w:rPr>
        <w:t>הגדרת</w:t>
      </w:r>
      <w:r w:rsidRPr="00AA51B7">
        <w:rPr>
          <w:rFonts w:ascii="Century" w:hAnsi="Century" w:cs="Miriam"/>
          <w:b/>
          <w:spacing w:val="0"/>
          <w:szCs w:val="24"/>
          <w:rtl/>
        </w:rPr>
        <w:t xml:space="preserve"> </w:t>
      </w:r>
      <w:r w:rsidRPr="00AA51B7">
        <w:rPr>
          <w:rFonts w:ascii="Century" w:hAnsi="Century" w:cs="Miriam" w:hint="eastAsia"/>
          <w:b/>
          <w:spacing w:val="0"/>
          <w:szCs w:val="24"/>
          <w:rtl/>
        </w:rPr>
        <w:t>האחריות</w:t>
      </w:r>
      <w:r w:rsidRPr="00AA51B7">
        <w:rPr>
          <w:rFonts w:ascii="Century" w:hAnsi="Century" w:cs="Miriam"/>
          <w:b/>
          <w:spacing w:val="0"/>
          <w:szCs w:val="24"/>
          <w:rtl/>
        </w:rPr>
        <w:t xml:space="preserve"> </w:t>
      </w:r>
      <w:r w:rsidRPr="00AA51B7">
        <w:rPr>
          <w:rFonts w:ascii="Century" w:hAnsi="Century" w:cs="Miriam" w:hint="eastAsia"/>
          <w:b/>
          <w:spacing w:val="0"/>
          <w:szCs w:val="24"/>
          <w:rtl/>
        </w:rPr>
        <w:t>היא</w:t>
      </w:r>
      <w:r w:rsidRPr="00AA51B7">
        <w:rPr>
          <w:rFonts w:ascii="Century" w:hAnsi="Century" w:cs="Miriam"/>
          <w:b/>
          <w:spacing w:val="0"/>
          <w:szCs w:val="24"/>
          <w:rtl/>
        </w:rPr>
        <w:t xml:space="preserve"> </w:t>
      </w:r>
      <w:r w:rsidRPr="00AA51B7">
        <w:rPr>
          <w:rFonts w:ascii="Century" w:hAnsi="Century" w:cs="Miriam" w:hint="eastAsia"/>
          <w:b/>
          <w:spacing w:val="0"/>
          <w:szCs w:val="24"/>
          <w:rtl/>
        </w:rPr>
        <w:t>שתקבע</w:t>
      </w:r>
      <w:r w:rsidRPr="00AA51B7">
        <w:rPr>
          <w:rFonts w:ascii="Century" w:hAnsi="Century" w:cs="Miriam"/>
          <w:b/>
          <w:spacing w:val="0"/>
          <w:szCs w:val="24"/>
          <w:rtl/>
        </w:rPr>
        <w:t xml:space="preserve">, </w:t>
      </w:r>
      <w:r w:rsidRPr="00AA51B7">
        <w:rPr>
          <w:rFonts w:ascii="Century" w:hAnsi="Century" w:cs="Miriam" w:hint="eastAsia"/>
          <w:b/>
          <w:spacing w:val="0"/>
          <w:szCs w:val="24"/>
          <w:rtl/>
        </w:rPr>
        <w:t>למשל</w:t>
      </w:r>
      <w:r w:rsidRPr="00AA51B7">
        <w:rPr>
          <w:rFonts w:ascii="Century" w:hAnsi="Century" w:cs="Miriam"/>
          <w:b/>
          <w:spacing w:val="0"/>
          <w:szCs w:val="24"/>
          <w:rtl/>
        </w:rPr>
        <w:t xml:space="preserve">, </w:t>
      </w:r>
      <w:r w:rsidRPr="00AA51B7">
        <w:rPr>
          <w:rFonts w:ascii="Century" w:hAnsi="Century" w:cs="Miriam" w:hint="eastAsia"/>
          <w:b/>
          <w:spacing w:val="0"/>
          <w:szCs w:val="24"/>
          <w:rtl/>
        </w:rPr>
        <w:t>אם</w:t>
      </w:r>
      <w:r w:rsidRPr="00AA51B7">
        <w:rPr>
          <w:rFonts w:ascii="Century" w:hAnsi="Century" w:cs="Miriam"/>
          <w:b/>
          <w:spacing w:val="0"/>
          <w:szCs w:val="24"/>
          <w:rtl/>
        </w:rPr>
        <w:t xml:space="preserve"> </w:t>
      </w:r>
      <w:r w:rsidRPr="00AA51B7">
        <w:rPr>
          <w:rFonts w:ascii="Century" w:hAnsi="Century" w:cs="Miriam" w:hint="eastAsia"/>
          <w:b/>
          <w:spacing w:val="0"/>
          <w:szCs w:val="24"/>
          <w:rtl/>
        </w:rPr>
        <w:t>קיימת</w:t>
      </w:r>
      <w:r w:rsidRPr="00AA51B7">
        <w:rPr>
          <w:rFonts w:ascii="Century" w:hAnsi="Century" w:cs="Miriam"/>
          <w:b/>
          <w:spacing w:val="0"/>
          <w:szCs w:val="24"/>
          <w:rtl/>
        </w:rPr>
        <w:t xml:space="preserve"> </w:t>
      </w:r>
      <w:r w:rsidRPr="00AA51B7">
        <w:rPr>
          <w:rFonts w:ascii="Century" w:hAnsi="Century" w:cs="Miriam" w:hint="eastAsia"/>
          <w:b/>
          <w:spacing w:val="0"/>
          <w:szCs w:val="24"/>
          <w:rtl/>
        </w:rPr>
        <w:t>אותה</w:t>
      </w:r>
      <w:r w:rsidRPr="00AA51B7">
        <w:rPr>
          <w:rFonts w:ascii="Century" w:hAnsi="Century" w:cs="Miriam"/>
          <w:b/>
          <w:spacing w:val="0"/>
          <w:szCs w:val="24"/>
          <w:rtl/>
        </w:rPr>
        <w:t xml:space="preserve"> </w:t>
      </w:r>
      <w:r w:rsidRPr="00AA51B7">
        <w:rPr>
          <w:rFonts w:ascii="Century" w:hAnsi="Century" w:cs="Miriam" w:hint="eastAsia"/>
          <w:b/>
          <w:spacing w:val="0"/>
          <w:szCs w:val="24"/>
          <w:rtl/>
        </w:rPr>
        <w:t>זהות</w:t>
      </w:r>
      <w:r w:rsidRPr="00AA51B7">
        <w:rPr>
          <w:rFonts w:ascii="Century" w:hAnsi="Century" w:cs="Miriam"/>
          <w:b/>
          <w:spacing w:val="0"/>
          <w:szCs w:val="24"/>
          <w:rtl/>
        </w:rPr>
        <w:t xml:space="preserve"> </w:t>
      </w:r>
      <w:r w:rsidRPr="00AA51B7">
        <w:rPr>
          <w:rFonts w:ascii="Century" w:hAnsi="Century" w:cs="Miriam" w:hint="eastAsia"/>
          <w:b/>
          <w:spacing w:val="0"/>
          <w:szCs w:val="24"/>
          <w:rtl/>
        </w:rPr>
        <w:t>מהותית</w:t>
      </w:r>
      <w:r w:rsidRPr="00AA51B7">
        <w:rPr>
          <w:rFonts w:ascii="Century" w:hAnsi="Century" w:cs="Miriam"/>
          <w:b/>
          <w:spacing w:val="0"/>
          <w:szCs w:val="24"/>
          <w:rtl/>
        </w:rPr>
        <w:t xml:space="preserve"> </w:t>
      </w:r>
      <w:r w:rsidRPr="00AA51B7">
        <w:rPr>
          <w:rFonts w:ascii="Century" w:hAnsi="Century" w:cs="Miriam" w:hint="eastAsia"/>
          <w:b/>
          <w:spacing w:val="0"/>
          <w:szCs w:val="24"/>
          <w:rtl/>
        </w:rPr>
        <w:t>הנדרשת</w:t>
      </w:r>
      <w:r w:rsidRPr="00AA51B7">
        <w:rPr>
          <w:rFonts w:ascii="Century" w:hAnsi="Century" w:cs="Miriam"/>
          <w:b/>
          <w:spacing w:val="0"/>
          <w:szCs w:val="24"/>
          <w:rtl/>
        </w:rPr>
        <w:t xml:space="preserve"> </w:t>
      </w:r>
      <w:r w:rsidRPr="00AA51B7">
        <w:rPr>
          <w:rFonts w:ascii="Century" w:hAnsi="Century" w:cs="Miriam" w:hint="eastAsia"/>
          <w:b/>
          <w:spacing w:val="0"/>
          <w:szCs w:val="24"/>
          <w:rtl/>
        </w:rPr>
        <w:t>כתנאי</w:t>
      </w:r>
      <w:r w:rsidRPr="00AA51B7">
        <w:rPr>
          <w:rFonts w:ascii="Century" w:hAnsi="Century" w:cs="Miriam"/>
          <w:b/>
          <w:spacing w:val="0"/>
          <w:szCs w:val="24"/>
          <w:rtl/>
        </w:rPr>
        <w:t xml:space="preserve"> </w:t>
      </w:r>
      <w:r w:rsidRPr="00AA51B7">
        <w:rPr>
          <w:rFonts w:ascii="Century" w:hAnsi="Century" w:cs="Miriam" w:hint="eastAsia"/>
          <w:b/>
          <w:spacing w:val="0"/>
          <w:szCs w:val="24"/>
          <w:rtl/>
        </w:rPr>
        <w:t>לתכונת</w:t>
      </w:r>
      <w:r w:rsidRPr="00AA51B7">
        <w:rPr>
          <w:rFonts w:ascii="Century" w:hAnsi="Century" w:cs="Miriam"/>
          <w:b/>
          <w:spacing w:val="0"/>
          <w:szCs w:val="24"/>
          <w:rtl/>
        </w:rPr>
        <w:t xml:space="preserve"> </w:t>
      </w:r>
      <w:r w:rsidRPr="00AA51B7">
        <w:rPr>
          <w:rFonts w:ascii="Century" w:hAnsi="Century" w:cs="Miriam" w:hint="eastAsia"/>
          <w:b/>
          <w:spacing w:val="0"/>
          <w:szCs w:val="24"/>
          <w:rtl/>
        </w:rPr>
        <w:t>החזרה</w:t>
      </w:r>
      <w:r w:rsidRPr="00E918F3">
        <w:rPr>
          <w:rtl/>
        </w:rPr>
        <w:t>.</w:t>
      </w:r>
      <w:r>
        <w:rPr>
          <w:rFonts w:hint="cs"/>
          <w:rtl/>
        </w:rPr>
        <w:t xml:space="preserve"> </w:t>
      </w:r>
      <w:r>
        <w:rPr>
          <w:rFonts w:hint="eastAsia"/>
          <w:rtl/>
        </w:rPr>
        <w:t>מחדל</w:t>
      </w:r>
      <w:r>
        <w:rPr>
          <w:rtl/>
        </w:rPr>
        <w:t xml:space="preserve"> </w:t>
      </w:r>
      <w:r>
        <w:rPr>
          <w:rFonts w:hint="eastAsia"/>
          <w:rtl/>
        </w:rPr>
        <w:t>לאתר</w:t>
      </w:r>
      <w:r>
        <w:rPr>
          <w:rtl/>
        </w:rPr>
        <w:t xml:space="preserve"> </w:t>
      </w:r>
      <w:r>
        <w:rPr>
          <w:rFonts w:hint="eastAsia"/>
          <w:rtl/>
        </w:rPr>
        <w:t>את</w:t>
      </w:r>
      <w:r>
        <w:rPr>
          <w:rtl/>
        </w:rPr>
        <w:t xml:space="preserve"> </w:t>
      </w:r>
      <w:r>
        <w:rPr>
          <w:rFonts w:hint="eastAsia"/>
          <w:rtl/>
        </w:rPr>
        <w:t>מקור</w:t>
      </w:r>
      <w:r>
        <w:rPr>
          <w:rtl/>
        </w:rPr>
        <w:t xml:space="preserve"> </w:t>
      </w:r>
      <w:r>
        <w:rPr>
          <w:rFonts w:hint="eastAsia"/>
          <w:rtl/>
        </w:rPr>
        <w:t>כאבי</w:t>
      </w:r>
      <w:r>
        <w:rPr>
          <w:rFonts w:hint="cs"/>
          <w:rtl/>
        </w:rPr>
        <w:t>-</w:t>
      </w:r>
      <w:r>
        <w:rPr>
          <w:rFonts w:hint="eastAsia"/>
          <w:rtl/>
        </w:rPr>
        <w:t>הבטן</w:t>
      </w:r>
      <w:r>
        <w:rPr>
          <w:rtl/>
        </w:rPr>
        <w:t xml:space="preserve"> </w:t>
      </w:r>
      <w:r>
        <w:rPr>
          <w:rFonts w:hint="eastAsia"/>
          <w:rtl/>
        </w:rPr>
        <w:t>של</w:t>
      </w:r>
      <w:r>
        <w:rPr>
          <w:rtl/>
        </w:rPr>
        <w:t xml:space="preserve"> </w:t>
      </w:r>
      <w:r>
        <w:rPr>
          <w:rFonts w:hint="eastAsia"/>
          <w:rtl/>
        </w:rPr>
        <w:t>חולה</w:t>
      </w:r>
      <w:r>
        <w:rPr>
          <w:rtl/>
        </w:rPr>
        <w:t xml:space="preserve"> </w:t>
      </w:r>
      <w:r>
        <w:rPr>
          <w:rFonts w:hint="eastAsia"/>
          <w:rtl/>
        </w:rPr>
        <w:t>אינו</w:t>
      </w:r>
      <w:r>
        <w:rPr>
          <w:rtl/>
        </w:rPr>
        <w:t xml:space="preserve"> </w:t>
      </w:r>
      <w:r>
        <w:rPr>
          <w:rFonts w:hint="eastAsia"/>
          <w:rtl/>
        </w:rPr>
        <w:t>דומה</w:t>
      </w:r>
      <w:r>
        <w:rPr>
          <w:rtl/>
        </w:rPr>
        <w:t xml:space="preserve"> </w:t>
      </w:r>
      <w:r>
        <w:rPr>
          <w:rFonts w:hint="cs"/>
          <w:rtl/>
        </w:rPr>
        <w:t>להתנהגות</w:t>
      </w:r>
      <w:r>
        <w:rPr>
          <w:rtl/>
        </w:rPr>
        <w:t xml:space="preserve"> </w:t>
      </w:r>
      <w:r>
        <w:rPr>
          <w:rFonts w:hint="eastAsia"/>
          <w:rtl/>
        </w:rPr>
        <w:t>של</w:t>
      </w:r>
      <w:r>
        <w:rPr>
          <w:rtl/>
        </w:rPr>
        <w:t xml:space="preserve"> </w:t>
      </w:r>
      <w:r>
        <w:rPr>
          <w:rFonts w:hint="eastAsia"/>
          <w:rtl/>
        </w:rPr>
        <w:t>השארת</w:t>
      </w:r>
      <w:r>
        <w:rPr>
          <w:rtl/>
        </w:rPr>
        <w:t xml:space="preserve"> </w:t>
      </w:r>
      <w:r>
        <w:rPr>
          <w:rFonts w:hint="eastAsia"/>
          <w:rtl/>
        </w:rPr>
        <w:t>תחבושת</w:t>
      </w:r>
      <w:r>
        <w:rPr>
          <w:rtl/>
        </w:rPr>
        <w:t xml:space="preserve"> </w:t>
      </w:r>
      <w:r>
        <w:rPr>
          <w:rFonts w:hint="eastAsia"/>
          <w:rtl/>
        </w:rPr>
        <w:t>בבטנו</w:t>
      </w:r>
      <w:r>
        <w:rPr>
          <w:rtl/>
        </w:rPr>
        <w:t>.</w:t>
      </w:r>
      <w:r>
        <w:rPr>
          <w:rFonts w:hint="cs"/>
          <w:rtl/>
        </w:rPr>
        <w:t xml:space="preserve"> </w:t>
      </w:r>
      <w:r>
        <w:rPr>
          <w:rFonts w:hint="eastAsia"/>
          <w:rtl/>
        </w:rPr>
        <w:t>שהייה</w:t>
      </w:r>
      <w:r>
        <w:rPr>
          <w:rtl/>
        </w:rPr>
        <w:t xml:space="preserve"> </w:t>
      </w:r>
      <w:r>
        <w:rPr>
          <w:rFonts w:hint="eastAsia"/>
          <w:rtl/>
        </w:rPr>
        <w:t>שלא</w:t>
      </w:r>
      <w:r>
        <w:rPr>
          <w:rtl/>
        </w:rPr>
        <w:t xml:space="preserve"> </w:t>
      </w:r>
      <w:r>
        <w:rPr>
          <w:rFonts w:hint="eastAsia"/>
          <w:rtl/>
        </w:rPr>
        <w:t>כדין</w:t>
      </w:r>
      <w:r>
        <w:rPr>
          <w:rtl/>
        </w:rPr>
        <w:t xml:space="preserve"> </w:t>
      </w:r>
      <w:r>
        <w:rPr>
          <w:rFonts w:hint="eastAsia"/>
          <w:rtl/>
        </w:rPr>
        <w:t>במקרקעי</w:t>
      </w:r>
      <w:r>
        <w:rPr>
          <w:rtl/>
        </w:rPr>
        <w:t xml:space="preserve"> </w:t>
      </w:r>
      <w:r>
        <w:rPr>
          <w:rFonts w:hint="eastAsia"/>
          <w:rtl/>
        </w:rPr>
        <w:t>הזולת</w:t>
      </w:r>
      <w:r>
        <w:rPr>
          <w:rtl/>
        </w:rPr>
        <w:t xml:space="preserve"> </w:t>
      </w:r>
      <w:r>
        <w:rPr>
          <w:rFonts w:hint="eastAsia"/>
          <w:rtl/>
        </w:rPr>
        <w:t>אינה</w:t>
      </w:r>
      <w:r>
        <w:rPr>
          <w:rtl/>
        </w:rPr>
        <w:t xml:space="preserve"> </w:t>
      </w:r>
      <w:r>
        <w:rPr>
          <w:rFonts w:hint="eastAsia"/>
          <w:rtl/>
        </w:rPr>
        <w:t>דומה</w:t>
      </w:r>
      <w:r>
        <w:rPr>
          <w:rtl/>
        </w:rPr>
        <w:t xml:space="preserve"> </w:t>
      </w:r>
      <w:r>
        <w:rPr>
          <w:rFonts w:hint="eastAsia"/>
          <w:rtl/>
        </w:rPr>
        <w:t>לכניסה</w:t>
      </w:r>
      <w:r>
        <w:rPr>
          <w:rtl/>
        </w:rPr>
        <w:t xml:space="preserve"> </w:t>
      </w:r>
      <w:r>
        <w:rPr>
          <w:rFonts w:hint="eastAsia"/>
          <w:rtl/>
        </w:rPr>
        <w:t>המוקדמת</w:t>
      </w:r>
      <w:r>
        <w:rPr>
          <w:rtl/>
        </w:rPr>
        <w:t xml:space="preserve"> </w:t>
      </w:r>
      <w:r>
        <w:rPr>
          <w:rFonts w:hint="eastAsia"/>
          <w:rtl/>
        </w:rPr>
        <w:t>לאותם</w:t>
      </w:r>
      <w:r>
        <w:rPr>
          <w:rtl/>
        </w:rPr>
        <w:t xml:space="preserve"> </w:t>
      </w:r>
      <w:r>
        <w:rPr>
          <w:rFonts w:hint="eastAsia"/>
          <w:rtl/>
        </w:rPr>
        <w:t>מקרקעין</w:t>
      </w:r>
      <w:r>
        <w:rPr>
          <w:rtl/>
        </w:rPr>
        <w:t xml:space="preserve">. </w:t>
      </w:r>
      <w:r w:rsidRPr="00E918F3">
        <w:rPr>
          <w:rFonts w:hint="eastAsia"/>
          <w:rtl/>
        </w:rPr>
        <w:t>עם</w:t>
      </w:r>
      <w:r w:rsidRPr="00E918F3">
        <w:rPr>
          <w:rtl/>
        </w:rPr>
        <w:t xml:space="preserve"> </w:t>
      </w:r>
      <w:r w:rsidRPr="00E918F3">
        <w:rPr>
          <w:rFonts w:hint="eastAsia"/>
          <w:rtl/>
        </w:rPr>
        <w:t>זאת</w:t>
      </w:r>
      <w:r w:rsidRPr="00E918F3">
        <w:rPr>
          <w:rtl/>
        </w:rPr>
        <w:t xml:space="preserve">, </w:t>
      </w:r>
      <w:r w:rsidRPr="00E918F3">
        <w:rPr>
          <w:rFonts w:hint="eastAsia"/>
          <w:rtl/>
        </w:rPr>
        <w:t>אפשר</w:t>
      </w:r>
      <w:r w:rsidRPr="00E918F3">
        <w:rPr>
          <w:rtl/>
        </w:rPr>
        <w:t xml:space="preserve"> </w:t>
      </w:r>
      <w:r w:rsidRPr="00E918F3">
        <w:rPr>
          <w:rFonts w:hint="eastAsia"/>
          <w:rtl/>
        </w:rPr>
        <w:t>ש</w:t>
      </w:r>
      <w:r w:rsidRPr="00E918F3">
        <w:rPr>
          <w:rFonts w:hint="cs"/>
          <w:rtl/>
        </w:rPr>
        <w:t>ב</w:t>
      </w:r>
      <w:r w:rsidRPr="00E918F3">
        <w:rPr>
          <w:rFonts w:hint="eastAsia"/>
          <w:rtl/>
        </w:rPr>
        <w:t>שני</w:t>
      </w:r>
      <w:r w:rsidRPr="00E918F3">
        <w:rPr>
          <w:rtl/>
        </w:rPr>
        <w:t xml:space="preserve"> </w:t>
      </w:r>
      <w:r w:rsidRPr="00E918F3">
        <w:rPr>
          <w:rFonts w:hint="eastAsia"/>
          <w:rtl/>
        </w:rPr>
        <w:t>המקרים</w:t>
      </w:r>
      <w:r w:rsidRPr="00E918F3">
        <w:rPr>
          <w:rtl/>
        </w:rPr>
        <w:t xml:space="preserve"> </w:t>
      </w:r>
      <w:r w:rsidRPr="00E918F3">
        <w:rPr>
          <w:rFonts w:hint="eastAsia"/>
          <w:rtl/>
        </w:rPr>
        <w:t>הנ״ל</w:t>
      </w:r>
      <w:r w:rsidRPr="00E918F3">
        <w:rPr>
          <w:rtl/>
        </w:rPr>
        <w:t xml:space="preserve"> </w:t>
      </w:r>
      <w:r w:rsidRPr="00E918F3">
        <w:rPr>
          <w:rFonts w:hint="eastAsia"/>
          <w:rtl/>
        </w:rPr>
        <w:t>ייחשבו</w:t>
      </w:r>
      <w:r w:rsidRPr="00E918F3">
        <w:rPr>
          <w:rtl/>
        </w:rPr>
        <w:t xml:space="preserve"> </w:t>
      </w:r>
      <w:r w:rsidRPr="00E918F3">
        <w:rPr>
          <w:rFonts w:hint="eastAsia"/>
          <w:rtl/>
        </w:rPr>
        <w:t>ה</w:t>
      </w:r>
      <w:r>
        <w:rPr>
          <w:rFonts w:hint="cs"/>
          <w:rtl/>
        </w:rPr>
        <w:t>'</w:t>
      </w:r>
      <w:r w:rsidRPr="00E918F3">
        <w:rPr>
          <w:rFonts w:hint="eastAsia"/>
          <w:rtl/>
        </w:rPr>
        <w:t>אשמים</w:t>
      </w:r>
      <w:r>
        <w:rPr>
          <w:rFonts w:hint="cs"/>
          <w:rtl/>
        </w:rPr>
        <w:t>'</w:t>
      </w:r>
      <w:r w:rsidRPr="00E918F3">
        <w:rPr>
          <w:rtl/>
        </w:rPr>
        <w:t xml:space="preserve"> </w:t>
      </w:r>
      <w:r w:rsidRPr="00E918F3">
        <w:rPr>
          <w:rFonts w:hint="eastAsia"/>
          <w:rtl/>
        </w:rPr>
        <w:t>המאוחרים</w:t>
      </w:r>
      <w:r w:rsidRPr="00E918F3">
        <w:rPr>
          <w:rtl/>
        </w:rPr>
        <w:t xml:space="preserve"> </w:t>
      </w:r>
      <w:r w:rsidRPr="00E918F3">
        <w:rPr>
          <w:rFonts w:hint="eastAsia"/>
          <w:rtl/>
        </w:rPr>
        <w:t>כחזרה</w:t>
      </w:r>
      <w:r w:rsidRPr="00E918F3">
        <w:rPr>
          <w:rtl/>
        </w:rPr>
        <w:t xml:space="preserve"> </w:t>
      </w:r>
      <w:r w:rsidRPr="00E918F3">
        <w:rPr>
          <w:rFonts w:hint="eastAsia"/>
          <w:rtl/>
        </w:rPr>
        <w:t>על</w:t>
      </w:r>
      <w:r w:rsidRPr="00E918F3">
        <w:rPr>
          <w:rtl/>
        </w:rPr>
        <w:t xml:space="preserve"> </w:t>
      </w:r>
      <w:r w:rsidRPr="00E918F3">
        <w:rPr>
          <w:rFonts w:hint="eastAsia"/>
          <w:rtl/>
        </w:rPr>
        <w:t>ה</w:t>
      </w:r>
      <w:r>
        <w:rPr>
          <w:rFonts w:hint="cs"/>
          <w:rtl/>
        </w:rPr>
        <w:t>'</w:t>
      </w:r>
      <w:r w:rsidRPr="00E918F3">
        <w:rPr>
          <w:rFonts w:hint="eastAsia"/>
          <w:rtl/>
        </w:rPr>
        <w:t>אשמים</w:t>
      </w:r>
      <w:r>
        <w:rPr>
          <w:rFonts w:hint="cs"/>
          <w:rtl/>
        </w:rPr>
        <w:t>'</w:t>
      </w:r>
      <w:r w:rsidRPr="00E918F3">
        <w:rPr>
          <w:rtl/>
        </w:rPr>
        <w:t xml:space="preserve"> </w:t>
      </w:r>
      <w:r w:rsidRPr="00E918F3">
        <w:rPr>
          <w:rFonts w:hint="eastAsia"/>
          <w:rtl/>
        </w:rPr>
        <w:t>המוקדמים</w:t>
      </w:r>
      <w:r w:rsidRPr="00E918F3">
        <w:rPr>
          <w:rtl/>
        </w:rPr>
        <w:t xml:space="preserve">, </w:t>
      </w:r>
      <w:r w:rsidRPr="00E918F3">
        <w:rPr>
          <w:rFonts w:hint="eastAsia"/>
          <w:rtl/>
        </w:rPr>
        <w:t>אם</w:t>
      </w:r>
      <w:r w:rsidRPr="00E918F3">
        <w:rPr>
          <w:rtl/>
        </w:rPr>
        <w:t xml:space="preserve"> </w:t>
      </w:r>
      <w:r w:rsidRPr="00E918F3">
        <w:rPr>
          <w:rFonts w:hint="eastAsia"/>
          <w:rtl/>
        </w:rPr>
        <w:t>הגדרת</w:t>
      </w:r>
      <w:r w:rsidRPr="00E918F3">
        <w:rPr>
          <w:rtl/>
        </w:rPr>
        <w:t xml:space="preserve"> </w:t>
      </w:r>
      <w:r w:rsidRPr="00E918F3">
        <w:rPr>
          <w:rFonts w:hint="eastAsia"/>
          <w:rtl/>
        </w:rPr>
        <w:t>האחריות</w:t>
      </w:r>
      <w:r w:rsidRPr="00E918F3">
        <w:rPr>
          <w:rtl/>
        </w:rPr>
        <w:t xml:space="preserve"> </w:t>
      </w:r>
      <w:r w:rsidRPr="00E918F3">
        <w:rPr>
          <w:rFonts w:hint="eastAsia"/>
          <w:rtl/>
        </w:rPr>
        <w:t>בעוולה</w:t>
      </w:r>
      <w:r w:rsidRPr="00E918F3">
        <w:rPr>
          <w:rtl/>
        </w:rPr>
        <w:t xml:space="preserve"> </w:t>
      </w:r>
      <w:r w:rsidRPr="00E918F3">
        <w:rPr>
          <w:rFonts w:hint="eastAsia"/>
          <w:rtl/>
        </w:rPr>
        <w:t>הרלבנטית</w:t>
      </w:r>
      <w:r w:rsidRPr="00E918F3">
        <w:rPr>
          <w:rtl/>
        </w:rPr>
        <w:t xml:space="preserve"> </w:t>
      </w:r>
      <w:r>
        <w:rPr>
          <w:rFonts w:hint="cs"/>
          <w:rtl/>
        </w:rPr>
        <w:t>'</w:t>
      </w:r>
      <w:r w:rsidRPr="00E918F3">
        <w:rPr>
          <w:rFonts w:hint="eastAsia"/>
          <w:rtl/>
        </w:rPr>
        <w:t>סובלת</w:t>
      </w:r>
      <w:r>
        <w:rPr>
          <w:rFonts w:hint="cs"/>
          <w:rtl/>
        </w:rPr>
        <w:t>'</w:t>
      </w:r>
      <w:r w:rsidRPr="00E918F3">
        <w:rPr>
          <w:rtl/>
        </w:rPr>
        <w:t xml:space="preserve"> </w:t>
      </w:r>
      <w:r w:rsidRPr="00E918F3">
        <w:rPr>
          <w:rFonts w:hint="eastAsia"/>
          <w:rtl/>
        </w:rPr>
        <w:t>זאת</w:t>
      </w:r>
      <w:r>
        <w:rPr>
          <w:rFonts w:hint="cs"/>
          <w:rtl/>
        </w:rPr>
        <w:t xml:space="preserve">" (ראו: שם, בעמ' 97-96; ההדגשה הוספה </w:t>
      </w:r>
      <w:r>
        <w:rPr>
          <w:rtl/>
        </w:rPr>
        <w:t>–</w:t>
      </w:r>
      <w:r>
        <w:rPr>
          <w:rFonts w:hint="cs"/>
          <w:rtl/>
        </w:rPr>
        <w:t xml:space="preserve"> א.ש.).</w:t>
      </w:r>
    </w:p>
    <w:p w:rsidR="008B3136" w:rsidRDefault="008B3136" w:rsidP="0049039C">
      <w:pPr>
        <w:pStyle w:val="Ruller41"/>
        <w:rPr>
          <w:rtl/>
        </w:rPr>
      </w:pPr>
    </w:p>
    <w:p w:rsidR="008B3136" w:rsidRDefault="008B3136" w:rsidP="008B3136">
      <w:pPr>
        <w:pStyle w:val="Ruller41"/>
        <w:rPr>
          <w:rtl/>
        </w:rPr>
      </w:pPr>
      <w:r>
        <w:rPr>
          <w:rtl/>
        </w:rPr>
        <w:tab/>
      </w:r>
      <w:r>
        <w:rPr>
          <w:rFonts w:hint="cs"/>
          <w:rtl/>
        </w:rPr>
        <w:t xml:space="preserve">תמיכה נוספת לתובנה זו מצויה במאמרו של </w:t>
      </w:r>
      <w:r w:rsidRPr="00B67C58">
        <w:rPr>
          <w:rFonts w:hint="eastAsia"/>
          <w:rtl/>
        </w:rPr>
        <w:t>ד</w:t>
      </w:r>
      <w:r w:rsidRPr="00B67C58">
        <w:rPr>
          <w:rtl/>
        </w:rPr>
        <w:t xml:space="preserve">"ר </w:t>
      </w:r>
      <w:r w:rsidRPr="00B67C58">
        <w:rPr>
          <w:rFonts w:hint="eastAsia"/>
          <w:rtl/>
        </w:rPr>
        <w:t>אלעד</w:t>
      </w:r>
      <w:r w:rsidRPr="00B67C58">
        <w:rPr>
          <w:rtl/>
        </w:rPr>
        <w:t xml:space="preserve"> פלד</w:t>
      </w:r>
      <w:r>
        <w:rPr>
          <w:rFonts w:hint="cs"/>
          <w:rtl/>
        </w:rPr>
        <w:t xml:space="preserve">, </w:t>
      </w:r>
      <w:r w:rsidRPr="00A14071">
        <w:rPr>
          <w:rFonts w:ascii="Century" w:hAnsi="Century" w:cs="Miriam" w:hint="eastAsia"/>
          <w:b/>
          <w:spacing w:val="0"/>
          <w:szCs w:val="24"/>
          <w:rtl/>
        </w:rPr>
        <w:t>עוולות</w:t>
      </w:r>
      <w:r w:rsidRPr="00A14071">
        <w:rPr>
          <w:rFonts w:ascii="Century" w:hAnsi="Century" w:cs="Miriam"/>
          <w:b/>
          <w:spacing w:val="0"/>
          <w:szCs w:val="24"/>
          <w:rtl/>
        </w:rPr>
        <w:t xml:space="preserve"> </w:t>
      </w:r>
      <w:r w:rsidRPr="00A14071">
        <w:rPr>
          <w:rFonts w:ascii="Century" w:hAnsi="Century" w:cs="Miriam" w:hint="eastAsia"/>
          <w:b/>
          <w:spacing w:val="0"/>
          <w:szCs w:val="24"/>
          <w:rtl/>
        </w:rPr>
        <w:t>מקוונות</w:t>
      </w:r>
      <w:r>
        <w:rPr>
          <w:rFonts w:hint="cs"/>
          <w:rtl/>
        </w:rPr>
        <w:t>:</w:t>
      </w:r>
      <w:r w:rsidRPr="00B67C58">
        <w:rPr>
          <w:rtl/>
        </w:rPr>
        <w:t xml:space="preserve"> </w:t>
      </w:r>
    </w:p>
    <w:p w:rsidR="008B3136" w:rsidRDefault="008B3136" w:rsidP="008B3136">
      <w:pPr>
        <w:pStyle w:val="Ruller41"/>
        <w:rPr>
          <w:rtl/>
        </w:rPr>
      </w:pPr>
    </w:p>
    <w:p w:rsidR="008B3136" w:rsidRPr="004610A8" w:rsidRDefault="008B3136" w:rsidP="008B3136">
      <w:pPr>
        <w:pStyle w:val="Ruller5"/>
        <w:rPr>
          <w:rtl/>
        </w:rPr>
      </w:pPr>
      <w:r>
        <w:rPr>
          <w:rFonts w:hint="cs"/>
          <w:rtl/>
        </w:rPr>
        <w:t>"[...]</w:t>
      </w:r>
      <w:r>
        <w:rPr>
          <w:rtl/>
        </w:rPr>
        <w:t xml:space="preserve"> </w:t>
      </w:r>
      <w:r>
        <w:rPr>
          <w:rFonts w:hint="eastAsia"/>
          <w:rtl/>
        </w:rPr>
        <w:t>בסיטואציה</w:t>
      </w:r>
      <w:r>
        <w:rPr>
          <w:rtl/>
        </w:rPr>
        <w:t xml:space="preserve"> </w:t>
      </w:r>
      <w:r>
        <w:rPr>
          <w:rFonts w:hint="eastAsia"/>
          <w:rtl/>
        </w:rPr>
        <w:t>שבה</w:t>
      </w:r>
      <w:r>
        <w:rPr>
          <w:rtl/>
        </w:rPr>
        <w:t xml:space="preserve"> </w:t>
      </w:r>
      <w:r>
        <w:rPr>
          <w:rFonts w:hint="eastAsia"/>
          <w:rtl/>
        </w:rPr>
        <w:t>חומר</w:t>
      </w:r>
      <w:r>
        <w:rPr>
          <w:rtl/>
        </w:rPr>
        <w:t xml:space="preserve"> </w:t>
      </w:r>
      <w:r>
        <w:rPr>
          <w:rFonts w:hint="eastAsia"/>
          <w:rtl/>
        </w:rPr>
        <w:t>המאוחס</w:t>
      </w:r>
      <w:r>
        <w:rPr>
          <w:rFonts w:hint="cs"/>
          <w:rtl/>
        </w:rPr>
        <w:t xml:space="preserve">ן </w:t>
      </w:r>
      <w:r>
        <w:rPr>
          <w:rFonts w:hint="eastAsia"/>
          <w:rtl/>
        </w:rPr>
        <w:t>במחשב</w:t>
      </w:r>
      <w:r>
        <w:rPr>
          <w:rtl/>
        </w:rPr>
        <w:t xml:space="preserve"> </w:t>
      </w:r>
      <w:r>
        <w:rPr>
          <w:rFonts w:hint="eastAsia"/>
          <w:rtl/>
        </w:rPr>
        <w:t>אחד</w:t>
      </w:r>
      <w:r>
        <w:rPr>
          <w:rtl/>
        </w:rPr>
        <w:t xml:space="preserve"> </w:t>
      </w:r>
      <w:r>
        <w:rPr>
          <w:rFonts w:hint="eastAsia"/>
          <w:rtl/>
        </w:rPr>
        <w:t>נית</w:t>
      </w:r>
      <w:r>
        <w:rPr>
          <w:rFonts w:hint="cs"/>
          <w:rtl/>
        </w:rPr>
        <w:t>ן</w:t>
      </w:r>
      <w:r>
        <w:rPr>
          <w:rtl/>
        </w:rPr>
        <w:t xml:space="preserve"> </w:t>
      </w:r>
      <w:r>
        <w:rPr>
          <w:rFonts w:hint="eastAsia"/>
          <w:rtl/>
        </w:rPr>
        <w:t>לצפייה</w:t>
      </w:r>
      <w:r>
        <w:rPr>
          <w:rtl/>
        </w:rPr>
        <w:t xml:space="preserve"> </w:t>
      </w:r>
      <w:r>
        <w:rPr>
          <w:rFonts w:hint="eastAsia"/>
          <w:rtl/>
        </w:rPr>
        <w:t>לאור</w:t>
      </w:r>
      <w:r>
        <w:rPr>
          <w:rFonts w:hint="cs"/>
          <w:rtl/>
        </w:rPr>
        <w:t xml:space="preserve">ך </w:t>
      </w:r>
      <w:r>
        <w:rPr>
          <w:rFonts w:hint="eastAsia"/>
          <w:rtl/>
        </w:rPr>
        <w:t>זמ</w:t>
      </w:r>
      <w:r>
        <w:rPr>
          <w:rFonts w:hint="cs"/>
          <w:rtl/>
        </w:rPr>
        <w:t>ן</w:t>
      </w:r>
      <w:r>
        <w:rPr>
          <w:rtl/>
        </w:rPr>
        <w:t xml:space="preserve"> </w:t>
      </w:r>
      <w:r>
        <w:rPr>
          <w:rFonts w:hint="eastAsia"/>
          <w:rtl/>
        </w:rPr>
        <w:t>על</w:t>
      </w:r>
      <w:r>
        <w:rPr>
          <w:rtl/>
        </w:rPr>
        <w:t xml:space="preserve"> </w:t>
      </w:r>
      <w:r>
        <w:rPr>
          <w:rFonts w:hint="eastAsia"/>
          <w:rtl/>
        </w:rPr>
        <w:t>ידי</w:t>
      </w:r>
      <w:r>
        <w:rPr>
          <w:rtl/>
        </w:rPr>
        <w:t xml:space="preserve"> </w:t>
      </w:r>
      <w:r>
        <w:rPr>
          <w:rFonts w:hint="eastAsia"/>
          <w:rtl/>
        </w:rPr>
        <w:t>גולשי</w:t>
      </w:r>
      <w:r>
        <w:rPr>
          <w:rtl/>
        </w:rPr>
        <w:t xml:space="preserve"> </w:t>
      </w:r>
      <w:r>
        <w:rPr>
          <w:rFonts w:hint="eastAsia"/>
          <w:rtl/>
        </w:rPr>
        <w:t>אינטרנט</w:t>
      </w:r>
      <w:r>
        <w:rPr>
          <w:rtl/>
        </w:rPr>
        <w:t xml:space="preserve"> </w:t>
      </w:r>
      <w:r>
        <w:rPr>
          <w:rFonts w:hint="eastAsia"/>
          <w:rtl/>
        </w:rPr>
        <w:t>בכל</w:t>
      </w:r>
      <w:r>
        <w:rPr>
          <w:rtl/>
        </w:rPr>
        <w:t xml:space="preserve"> </w:t>
      </w:r>
      <w:r>
        <w:rPr>
          <w:rFonts w:hint="eastAsia"/>
          <w:rtl/>
        </w:rPr>
        <w:t>מקו</w:t>
      </w:r>
      <w:r>
        <w:rPr>
          <w:rFonts w:hint="cs"/>
          <w:rtl/>
        </w:rPr>
        <w:t>ם</w:t>
      </w:r>
      <w:r>
        <w:rPr>
          <w:rtl/>
        </w:rPr>
        <w:t xml:space="preserve"> </w:t>
      </w:r>
      <w:r>
        <w:rPr>
          <w:rFonts w:hint="eastAsia"/>
          <w:rtl/>
        </w:rPr>
        <w:t>שהוא</w:t>
      </w:r>
      <w:r>
        <w:rPr>
          <w:rtl/>
        </w:rPr>
        <w:t xml:space="preserve">, </w:t>
      </w:r>
      <w:r>
        <w:rPr>
          <w:rFonts w:hint="eastAsia"/>
          <w:rtl/>
        </w:rPr>
        <w:t>אפשר</w:t>
      </w:r>
      <w:r>
        <w:rPr>
          <w:rtl/>
        </w:rPr>
        <w:t xml:space="preserve"> </w:t>
      </w:r>
      <w:r>
        <w:rPr>
          <w:rFonts w:hint="eastAsia"/>
          <w:rtl/>
        </w:rPr>
        <w:t>לראות</w:t>
      </w:r>
      <w:r>
        <w:rPr>
          <w:rtl/>
        </w:rPr>
        <w:t xml:space="preserve"> </w:t>
      </w:r>
      <w:r>
        <w:rPr>
          <w:rFonts w:hint="eastAsia"/>
          <w:rtl/>
        </w:rPr>
        <w:t>בהנגשת</w:t>
      </w:r>
      <w:r>
        <w:rPr>
          <w:rtl/>
        </w:rPr>
        <w:t xml:space="preserve"> </w:t>
      </w:r>
      <w:r>
        <w:rPr>
          <w:rFonts w:hint="eastAsia"/>
          <w:rtl/>
        </w:rPr>
        <w:t>החומר</w:t>
      </w:r>
      <w:r>
        <w:rPr>
          <w:rtl/>
        </w:rPr>
        <w:t xml:space="preserve"> </w:t>
      </w:r>
      <w:r>
        <w:rPr>
          <w:rFonts w:hint="eastAsia"/>
          <w:rtl/>
        </w:rPr>
        <w:t>לאחרי</w:t>
      </w:r>
      <w:r>
        <w:rPr>
          <w:rFonts w:hint="cs"/>
          <w:rtl/>
        </w:rPr>
        <w:t>ם</w:t>
      </w:r>
      <w:r>
        <w:rPr>
          <w:rtl/>
        </w:rPr>
        <w:t xml:space="preserve"> </w:t>
      </w:r>
      <w:r>
        <w:rPr>
          <w:rFonts w:hint="eastAsia"/>
          <w:rtl/>
        </w:rPr>
        <w:t>כמעי</w:t>
      </w:r>
      <w:r>
        <w:rPr>
          <w:rFonts w:hint="cs"/>
          <w:rtl/>
        </w:rPr>
        <w:t>ן</w:t>
      </w:r>
      <w:r>
        <w:rPr>
          <w:rtl/>
        </w:rPr>
        <w:t xml:space="preserve"> </w:t>
      </w:r>
      <w:r>
        <w:rPr>
          <w:rFonts w:hint="eastAsia"/>
          <w:rtl/>
        </w:rPr>
        <w:t>שידור</w:t>
      </w:r>
      <w:r>
        <w:rPr>
          <w:rtl/>
        </w:rPr>
        <w:t xml:space="preserve"> </w:t>
      </w:r>
      <w:r>
        <w:rPr>
          <w:rFonts w:hint="eastAsia"/>
          <w:rtl/>
        </w:rPr>
        <w:t>מתמש</w:t>
      </w:r>
      <w:r>
        <w:rPr>
          <w:rFonts w:hint="cs"/>
          <w:rtl/>
        </w:rPr>
        <w:t>ך</w:t>
      </w:r>
      <w:r>
        <w:rPr>
          <w:rtl/>
        </w:rPr>
        <w:t xml:space="preserve"> </w:t>
      </w:r>
      <w:r>
        <w:rPr>
          <w:rFonts w:hint="eastAsia"/>
          <w:rtl/>
        </w:rPr>
        <w:t>ג</w:t>
      </w:r>
      <w:r>
        <w:rPr>
          <w:rFonts w:hint="cs"/>
          <w:rtl/>
        </w:rPr>
        <w:t>ם</w:t>
      </w:r>
      <w:r>
        <w:rPr>
          <w:rtl/>
        </w:rPr>
        <w:t xml:space="preserve"> </w:t>
      </w:r>
      <w:r>
        <w:rPr>
          <w:rFonts w:hint="eastAsia"/>
          <w:rtl/>
        </w:rPr>
        <w:t>א</w:t>
      </w:r>
      <w:r>
        <w:rPr>
          <w:rFonts w:hint="cs"/>
          <w:rtl/>
        </w:rPr>
        <w:t>ם</w:t>
      </w:r>
      <w:r>
        <w:rPr>
          <w:rtl/>
        </w:rPr>
        <w:t xml:space="preserve"> </w:t>
      </w:r>
      <w:r>
        <w:rPr>
          <w:rFonts w:hint="eastAsia"/>
          <w:rtl/>
        </w:rPr>
        <w:t>כזה</w:t>
      </w:r>
      <w:r>
        <w:rPr>
          <w:rtl/>
        </w:rPr>
        <w:t xml:space="preserve"> </w:t>
      </w:r>
      <w:r>
        <w:rPr>
          <w:rFonts w:hint="eastAsia"/>
          <w:rtl/>
        </w:rPr>
        <w:t>שאיננו</w:t>
      </w:r>
      <w:r>
        <w:rPr>
          <w:rtl/>
        </w:rPr>
        <w:t xml:space="preserve"> </w:t>
      </w:r>
      <w:r>
        <w:rPr>
          <w:rFonts w:hint="eastAsia"/>
          <w:rtl/>
        </w:rPr>
        <w:t>תלוי</w:t>
      </w:r>
      <w:r>
        <w:rPr>
          <w:rtl/>
        </w:rPr>
        <w:t xml:space="preserve"> </w:t>
      </w:r>
      <w:r>
        <w:rPr>
          <w:rFonts w:hint="eastAsia"/>
          <w:rtl/>
        </w:rPr>
        <w:t>בפקודות</w:t>
      </w:r>
      <w:r>
        <w:rPr>
          <w:rtl/>
        </w:rPr>
        <w:t xml:space="preserve"> </w:t>
      </w:r>
      <w:r>
        <w:rPr>
          <w:rFonts w:hint="eastAsia"/>
          <w:rtl/>
        </w:rPr>
        <w:t>חוזרות</w:t>
      </w:r>
      <w:r>
        <w:rPr>
          <w:rtl/>
        </w:rPr>
        <w:t xml:space="preserve"> </w:t>
      </w:r>
      <w:r>
        <w:rPr>
          <w:rFonts w:hint="eastAsia"/>
          <w:rtl/>
        </w:rPr>
        <w:t>מצד</w:t>
      </w:r>
      <w:r>
        <w:rPr>
          <w:rtl/>
        </w:rPr>
        <w:t xml:space="preserve"> </w:t>
      </w:r>
      <w:r>
        <w:rPr>
          <w:rFonts w:hint="eastAsia"/>
          <w:rtl/>
        </w:rPr>
        <w:t>גור</w:t>
      </w:r>
      <w:r>
        <w:rPr>
          <w:rFonts w:hint="cs"/>
          <w:rtl/>
        </w:rPr>
        <w:t>ם</w:t>
      </w:r>
      <w:r>
        <w:rPr>
          <w:rtl/>
        </w:rPr>
        <w:t xml:space="preserve"> </w:t>
      </w:r>
      <w:r>
        <w:rPr>
          <w:rFonts w:hint="eastAsia"/>
          <w:rtl/>
        </w:rPr>
        <w:t>אנושי</w:t>
      </w:r>
      <w:r>
        <w:rPr>
          <w:rtl/>
        </w:rPr>
        <w:t xml:space="preserve"> </w:t>
      </w:r>
      <w:r>
        <w:rPr>
          <w:rFonts w:hint="eastAsia"/>
          <w:rtl/>
        </w:rPr>
        <w:t>כלשהו</w:t>
      </w:r>
      <w:r>
        <w:rPr>
          <w:rtl/>
        </w:rPr>
        <w:t xml:space="preserve">. </w:t>
      </w:r>
      <w:r>
        <w:rPr>
          <w:rFonts w:hint="eastAsia"/>
          <w:rtl/>
        </w:rPr>
        <w:t>יתר</w:t>
      </w:r>
      <w:r>
        <w:rPr>
          <w:rtl/>
        </w:rPr>
        <w:t xml:space="preserve"> </w:t>
      </w:r>
      <w:r>
        <w:rPr>
          <w:rFonts w:hint="eastAsia"/>
          <w:rtl/>
        </w:rPr>
        <w:t>על</w:t>
      </w:r>
      <w:r>
        <w:rPr>
          <w:rtl/>
        </w:rPr>
        <w:t xml:space="preserve"> </w:t>
      </w:r>
      <w:r>
        <w:rPr>
          <w:rFonts w:hint="eastAsia"/>
          <w:rtl/>
        </w:rPr>
        <w:t>כ</w:t>
      </w:r>
      <w:r>
        <w:rPr>
          <w:rFonts w:hint="cs"/>
          <w:rtl/>
        </w:rPr>
        <w:t>ן</w:t>
      </w:r>
      <w:r>
        <w:rPr>
          <w:rtl/>
        </w:rPr>
        <w:t>,</w:t>
      </w:r>
      <w:r>
        <w:rPr>
          <w:rFonts w:hint="cs"/>
          <w:rtl/>
        </w:rPr>
        <w:t xml:space="preserve"> </w:t>
      </w:r>
      <w:r w:rsidRPr="00621420">
        <w:rPr>
          <w:rFonts w:ascii="Century" w:hAnsi="Century" w:cs="Miriam" w:hint="eastAsia"/>
          <w:b/>
          <w:spacing w:val="0"/>
          <w:szCs w:val="24"/>
          <w:rtl/>
        </w:rPr>
        <w:t>למפרסמי</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רבי</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יכולת</w:t>
      </w:r>
      <w:r w:rsidRPr="00621420">
        <w:rPr>
          <w:rFonts w:ascii="Century" w:hAnsi="Century" w:cs="Miriam"/>
          <w:b/>
          <w:spacing w:val="0"/>
          <w:szCs w:val="24"/>
          <w:rtl/>
        </w:rPr>
        <w:t xml:space="preserve"> </w:t>
      </w:r>
      <w:r w:rsidRPr="00621420">
        <w:rPr>
          <w:rFonts w:ascii="Century" w:hAnsi="Century" w:cs="Miriam" w:hint="eastAsia"/>
          <w:b/>
          <w:spacing w:val="0"/>
          <w:szCs w:val="24"/>
          <w:rtl/>
        </w:rPr>
        <w:t>למנוע</w:t>
      </w:r>
      <w:r w:rsidRPr="00621420">
        <w:rPr>
          <w:rFonts w:ascii="Century" w:hAnsi="Century" w:cs="Miriam"/>
          <w:b/>
          <w:spacing w:val="0"/>
          <w:szCs w:val="24"/>
          <w:rtl/>
        </w:rPr>
        <w:t xml:space="preserve"> </w:t>
      </w:r>
      <w:r w:rsidRPr="00621420">
        <w:rPr>
          <w:rFonts w:ascii="Century" w:hAnsi="Century" w:cs="Miriam" w:hint="eastAsia"/>
          <w:b/>
          <w:spacing w:val="0"/>
          <w:szCs w:val="24"/>
          <w:rtl/>
        </w:rPr>
        <w:t>בכל</w:t>
      </w:r>
      <w:r w:rsidRPr="00621420">
        <w:rPr>
          <w:rFonts w:ascii="Century" w:hAnsi="Century" w:cs="Miriam"/>
          <w:b/>
          <w:spacing w:val="0"/>
          <w:szCs w:val="24"/>
          <w:rtl/>
        </w:rPr>
        <w:t xml:space="preserve"> </w:t>
      </w:r>
      <w:r w:rsidRPr="00621420">
        <w:rPr>
          <w:rFonts w:ascii="Century" w:hAnsi="Century" w:cs="Miriam" w:hint="eastAsia"/>
          <w:b/>
          <w:spacing w:val="0"/>
          <w:szCs w:val="24"/>
          <w:rtl/>
        </w:rPr>
        <w:t>רגע</w:t>
      </w:r>
      <w:r w:rsidRPr="00621420">
        <w:rPr>
          <w:rFonts w:ascii="Century" w:hAnsi="Century" w:cs="Miriam"/>
          <w:b/>
          <w:spacing w:val="0"/>
          <w:szCs w:val="24"/>
          <w:rtl/>
        </w:rPr>
        <w:t xml:space="preserve"> </w:t>
      </w:r>
      <w:r w:rsidRPr="00621420">
        <w:rPr>
          <w:rFonts w:ascii="Century" w:hAnsi="Century" w:cs="Miriam" w:hint="eastAsia"/>
          <w:b/>
          <w:spacing w:val="0"/>
          <w:szCs w:val="24"/>
          <w:rtl/>
        </w:rPr>
        <w:t>נתו</w:t>
      </w:r>
      <w:r w:rsidRPr="00621420">
        <w:rPr>
          <w:rFonts w:ascii="Century" w:hAnsi="Century" w:cs="Miriam" w:hint="cs"/>
          <w:b/>
          <w:spacing w:val="0"/>
          <w:szCs w:val="24"/>
          <w:rtl/>
        </w:rPr>
        <w:t>ן</w:t>
      </w:r>
      <w:r w:rsidRPr="00621420">
        <w:rPr>
          <w:rFonts w:ascii="Century" w:hAnsi="Century" w:cs="Miriam"/>
          <w:b/>
          <w:spacing w:val="0"/>
          <w:szCs w:val="24"/>
          <w:rtl/>
        </w:rPr>
        <w:t xml:space="preserve"> </w:t>
      </w:r>
      <w:r w:rsidRPr="00621420">
        <w:rPr>
          <w:rFonts w:ascii="Century" w:hAnsi="Century" w:cs="Miriam" w:hint="eastAsia"/>
          <w:b/>
          <w:spacing w:val="0"/>
          <w:szCs w:val="24"/>
          <w:rtl/>
        </w:rPr>
        <w:t>את</w:t>
      </w:r>
      <w:r w:rsidRPr="00621420">
        <w:rPr>
          <w:rFonts w:ascii="Century" w:hAnsi="Century" w:cs="Miriam"/>
          <w:b/>
          <w:spacing w:val="0"/>
          <w:szCs w:val="24"/>
          <w:rtl/>
        </w:rPr>
        <w:t xml:space="preserve"> </w:t>
      </w:r>
      <w:r w:rsidRPr="00621420">
        <w:rPr>
          <w:rFonts w:ascii="Century" w:hAnsi="Century" w:cs="Miriam" w:hint="eastAsia"/>
          <w:b/>
          <w:spacing w:val="0"/>
          <w:szCs w:val="24"/>
          <w:rtl/>
        </w:rPr>
        <w:t>המש</w:t>
      </w:r>
      <w:r w:rsidRPr="00621420">
        <w:rPr>
          <w:rFonts w:ascii="Century" w:hAnsi="Century" w:cs="Miriam" w:hint="cs"/>
          <w:b/>
          <w:spacing w:val="0"/>
          <w:szCs w:val="24"/>
          <w:rtl/>
        </w:rPr>
        <w:t>ך</w:t>
      </w:r>
      <w:r w:rsidRPr="00621420">
        <w:rPr>
          <w:rFonts w:ascii="Century" w:hAnsi="Century" w:cs="Miriam"/>
          <w:b/>
          <w:spacing w:val="0"/>
          <w:szCs w:val="24"/>
          <w:rtl/>
        </w:rPr>
        <w:t xml:space="preserve"> </w:t>
      </w:r>
      <w:r w:rsidRPr="00621420">
        <w:rPr>
          <w:rFonts w:ascii="Century" w:hAnsi="Century" w:cs="Miriam" w:hint="eastAsia"/>
          <w:b/>
          <w:spacing w:val="0"/>
          <w:szCs w:val="24"/>
          <w:rtl/>
        </w:rPr>
        <w:t>הפגיעה</w:t>
      </w:r>
      <w:r w:rsidRPr="00621420">
        <w:rPr>
          <w:rFonts w:ascii="Century" w:hAnsi="Century" w:cs="Miriam"/>
          <w:b/>
          <w:spacing w:val="0"/>
          <w:szCs w:val="24"/>
          <w:rtl/>
        </w:rPr>
        <w:t xml:space="preserve"> </w:t>
      </w:r>
      <w:r w:rsidRPr="00621420">
        <w:rPr>
          <w:rFonts w:ascii="Century" w:hAnsi="Century" w:cs="Miriam" w:hint="eastAsia"/>
          <w:b/>
          <w:spacing w:val="0"/>
          <w:szCs w:val="24"/>
          <w:rtl/>
        </w:rPr>
        <w:t>במושא</w:t>
      </w:r>
      <w:r w:rsidRPr="00621420">
        <w:rPr>
          <w:rFonts w:ascii="Century" w:hAnsi="Century" w:cs="Miriam"/>
          <w:b/>
          <w:spacing w:val="0"/>
          <w:szCs w:val="24"/>
          <w:rtl/>
        </w:rPr>
        <w:t xml:space="preserve"> </w:t>
      </w:r>
      <w:r w:rsidRPr="00621420">
        <w:rPr>
          <w:rFonts w:ascii="Century" w:hAnsi="Century" w:cs="Miriam" w:hint="eastAsia"/>
          <w:b/>
          <w:spacing w:val="0"/>
          <w:szCs w:val="24"/>
          <w:rtl/>
        </w:rPr>
        <w:t>הפרסו</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על</w:t>
      </w:r>
      <w:r w:rsidRPr="00621420">
        <w:rPr>
          <w:rFonts w:ascii="Century" w:hAnsi="Century" w:cs="Miriam"/>
          <w:b/>
          <w:spacing w:val="0"/>
          <w:szCs w:val="24"/>
          <w:rtl/>
        </w:rPr>
        <w:t xml:space="preserve"> </w:t>
      </w:r>
      <w:r w:rsidRPr="00621420">
        <w:rPr>
          <w:rFonts w:ascii="Century" w:hAnsi="Century" w:cs="Miriam" w:hint="eastAsia"/>
          <w:b/>
          <w:spacing w:val="0"/>
          <w:szCs w:val="24"/>
          <w:rtl/>
        </w:rPr>
        <w:t>ידי</w:t>
      </w:r>
      <w:r w:rsidRPr="00621420">
        <w:rPr>
          <w:rFonts w:ascii="Century" w:hAnsi="Century" w:cs="Miriam"/>
          <w:b/>
          <w:spacing w:val="0"/>
          <w:szCs w:val="24"/>
          <w:rtl/>
        </w:rPr>
        <w:t xml:space="preserve"> </w:t>
      </w:r>
      <w:r w:rsidRPr="00621420">
        <w:rPr>
          <w:rFonts w:ascii="Century" w:hAnsi="Century" w:cs="Miriam" w:hint="eastAsia"/>
          <w:b/>
          <w:spacing w:val="0"/>
          <w:szCs w:val="24"/>
          <w:rtl/>
        </w:rPr>
        <w:t>הסרת</w:t>
      </w:r>
      <w:r w:rsidRPr="00621420">
        <w:rPr>
          <w:rFonts w:ascii="Century" w:hAnsi="Century" w:cs="Miriam"/>
          <w:b/>
          <w:spacing w:val="0"/>
          <w:szCs w:val="24"/>
          <w:rtl/>
        </w:rPr>
        <w:t xml:space="preserve"> </w:t>
      </w:r>
      <w:r w:rsidRPr="00621420">
        <w:rPr>
          <w:rFonts w:ascii="Century" w:hAnsi="Century" w:cs="Miriam" w:hint="eastAsia"/>
          <w:b/>
          <w:spacing w:val="0"/>
          <w:szCs w:val="24"/>
          <w:rtl/>
        </w:rPr>
        <w:t>התוכ</w:t>
      </w:r>
      <w:r w:rsidRPr="00621420">
        <w:rPr>
          <w:rFonts w:ascii="Century" w:hAnsi="Century" w:cs="Miriam" w:hint="cs"/>
          <w:b/>
          <w:spacing w:val="0"/>
          <w:szCs w:val="24"/>
          <w:rtl/>
        </w:rPr>
        <w:t>ן</w:t>
      </w:r>
      <w:r w:rsidRPr="00621420">
        <w:rPr>
          <w:rFonts w:ascii="Century" w:hAnsi="Century" w:cs="Miriam"/>
          <w:b/>
          <w:spacing w:val="0"/>
          <w:szCs w:val="24"/>
          <w:rtl/>
        </w:rPr>
        <w:t xml:space="preserve"> </w:t>
      </w:r>
      <w:r w:rsidRPr="00621420">
        <w:rPr>
          <w:rFonts w:ascii="Century" w:hAnsi="Century" w:cs="Miriam" w:hint="eastAsia"/>
          <w:b/>
          <w:spacing w:val="0"/>
          <w:szCs w:val="24"/>
          <w:rtl/>
        </w:rPr>
        <w:t>הפוגעני</w:t>
      </w:r>
      <w:r w:rsidRPr="00621420">
        <w:rPr>
          <w:rFonts w:ascii="Century" w:hAnsi="Century" w:cs="Miriam"/>
          <w:b/>
          <w:spacing w:val="0"/>
          <w:szCs w:val="24"/>
          <w:rtl/>
        </w:rPr>
        <w:t xml:space="preserve"> </w:t>
      </w:r>
      <w:r w:rsidRPr="00621420">
        <w:rPr>
          <w:rFonts w:ascii="Century" w:hAnsi="Century" w:cs="Miriam" w:hint="eastAsia"/>
          <w:b/>
          <w:spacing w:val="0"/>
          <w:szCs w:val="24"/>
          <w:rtl/>
        </w:rPr>
        <w:t>מ</w:t>
      </w:r>
      <w:r w:rsidRPr="00621420">
        <w:rPr>
          <w:rFonts w:ascii="Century" w:hAnsi="Century" w:cs="Miriam" w:hint="cs"/>
          <w:b/>
          <w:spacing w:val="0"/>
          <w:szCs w:val="24"/>
          <w:rtl/>
        </w:rPr>
        <w:t>ן</w:t>
      </w:r>
      <w:r w:rsidRPr="00621420">
        <w:rPr>
          <w:rFonts w:ascii="Century" w:hAnsi="Century" w:cs="Miriam"/>
          <w:b/>
          <w:spacing w:val="0"/>
          <w:szCs w:val="24"/>
          <w:rtl/>
        </w:rPr>
        <w:t xml:space="preserve"> </w:t>
      </w:r>
      <w:r w:rsidRPr="00621420">
        <w:rPr>
          <w:rFonts w:ascii="Century" w:hAnsi="Century" w:cs="Miriam" w:hint="eastAsia"/>
          <w:b/>
          <w:spacing w:val="0"/>
          <w:szCs w:val="24"/>
          <w:rtl/>
        </w:rPr>
        <w:t>הרשת</w:t>
      </w:r>
      <w:r w:rsidRPr="00621420">
        <w:rPr>
          <w:rFonts w:ascii="Century" w:hAnsi="Century" w:cs="Miriam"/>
          <w:b/>
          <w:spacing w:val="0"/>
          <w:szCs w:val="24"/>
          <w:rtl/>
        </w:rPr>
        <w:t xml:space="preserve">. </w:t>
      </w:r>
      <w:r w:rsidRPr="00621420">
        <w:rPr>
          <w:rFonts w:ascii="Century" w:hAnsi="Century" w:cs="Miriam" w:hint="eastAsia"/>
          <w:b/>
          <w:spacing w:val="0"/>
          <w:szCs w:val="24"/>
          <w:rtl/>
        </w:rPr>
        <w:t>יכולת</w:t>
      </w:r>
      <w:r w:rsidRPr="00621420">
        <w:rPr>
          <w:rFonts w:ascii="Century" w:hAnsi="Century" w:cs="Miriam"/>
          <w:b/>
          <w:spacing w:val="0"/>
          <w:szCs w:val="24"/>
          <w:rtl/>
        </w:rPr>
        <w:t xml:space="preserve"> </w:t>
      </w:r>
      <w:r w:rsidRPr="00621420">
        <w:rPr>
          <w:rFonts w:ascii="Century" w:hAnsi="Century" w:cs="Miriam" w:hint="eastAsia"/>
          <w:b/>
          <w:spacing w:val="0"/>
          <w:szCs w:val="24"/>
          <w:rtl/>
        </w:rPr>
        <w:t>זו</w:t>
      </w:r>
      <w:r w:rsidRPr="00621420">
        <w:rPr>
          <w:rFonts w:ascii="Century" w:hAnsi="Century" w:cs="Miriam"/>
          <w:b/>
          <w:spacing w:val="0"/>
          <w:szCs w:val="24"/>
          <w:rtl/>
        </w:rPr>
        <w:t xml:space="preserve"> </w:t>
      </w:r>
      <w:r w:rsidRPr="00621420">
        <w:rPr>
          <w:rFonts w:ascii="Century" w:hAnsi="Century" w:cs="Miriam" w:hint="eastAsia"/>
          <w:b/>
          <w:spacing w:val="0"/>
          <w:szCs w:val="24"/>
          <w:rtl/>
        </w:rPr>
        <w:t>נתונה</w:t>
      </w:r>
      <w:r w:rsidRPr="00621420">
        <w:rPr>
          <w:rFonts w:ascii="Century" w:hAnsi="Century" w:cs="Miriam"/>
          <w:b/>
          <w:spacing w:val="0"/>
          <w:szCs w:val="24"/>
          <w:rtl/>
        </w:rPr>
        <w:t xml:space="preserve"> </w:t>
      </w:r>
      <w:r w:rsidRPr="00621420">
        <w:rPr>
          <w:rFonts w:ascii="Century" w:hAnsi="Century" w:cs="Miriam" w:hint="eastAsia"/>
          <w:b/>
          <w:spacing w:val="0"/>
          <w:szCs w:val="24"/>
          <w:rtl/>
        </w:rPr>
        <w:t>בעיקר</w:t>
      </w:r>
      <w:r w:rsidRPr="00621420">
        <w:rPr>
          <w:rFonts w:ascii="Century" w:hAnsi="Century" w:cs="Miriam"/>
          <w:b/>
          <w:spacing w:val="0"/>
          <w:szCs w:val="24"/>
          <w:rtl/>
        </w:rPr>
        <w:t xml:space="preserve"> </w:t>
      </w:r>
      <w:r w:rsidRPr="00621420">
        <w:rPr>
          <w:rFonts w:ascii="Century" w:hAnsi="Century" w:cs="Miriam" w:hint="eastAsia"/>
          <w:b/>
          <w:spacing w:val="0"/>
          <w:szCs w:val="24"/>
          <w:rtl/>
        </w:rPr>
        <w:t>למי</w:t>
      </w:r>
      <w:r w:rsidRPr="00621420">
        <w:rPr>
          <w:rFonts w:ascii="Century" w:hAnsi="Century" w:cs="Miriam"/>
          <w:b/>
          <w:spacing w:val="0"/>
          <w:szCs w:val="24"/>
          <w:rtl/>
        </w:rPr>
        <w:t xml:space="preserve"> </w:t>
      </w:r>
      <w:r w:rsidRPr="00621420">
        <w:rPr>
          <w:rFonts w:ascii="Century" w:hAnsi="Century" w:cs="Miriam" w:hint="eastAsia"/>
          <w:b/>
          <w:spacing w:val="0"/>
          <w:szCs w:val="24"/>
          <w:rtl/>
        </w:rPr>
        <w:t>שעשה</w:t>
      </w:r>
      <w:r w:rsidRPr="00621420">
        <w:rPr>
          <w:rFonts w:ascii="Century" w:hAnsi="Century" w:cs="Miriam"/>
          <w:b/>
          <w:spacing w:val="0"/>
          <w:szCs w:val="24"/>
          <w:rtl/>
        </w:rPr>
        <w:t xml:space="preserve"> </w:t>
      </w:r>
      <w:r w:rsidRPr="00621420">
        <w:rPr>
          <w:rFonts w:ascii="Century" w:hAnsi="Century" w:cs="Miriam" w:hint="eastAsia"/>
          <w:b/>
          <w:spacing w:val="0"/>
          <w:szCs w:val="24"/>
          <w:rtl/>
        </w:rPr>
        <w:t>את</w:t>
      </w:r>
      <w:r w:rsidRPr="00621420">
        <w:rPr>
          <w:rFonts w:ascii="Century" w:hAnsi="Century" w:cs="Miriam"/>
          <w:b/>
          <w:spacing w:val="0"/>
          <w:szCs w:val="24"/>
          <w:rtl/>
        </w:rPr>
        <w:t xml:space="preserve"> </w:t>
      </w:r>
      <w:r w:rsidRPr="00621420">
        <w:rPr>
          <w:rFonts w:ascii="Century" w:hAnsi="Century" w:cs="Miriam" w:hint="eastAsia"/>
          <w:b/>
          <w:spacing w:val="0"/>
          <w:szCs w:val="24"/>
          <w:rtl/>
        </w:rPr>
        <w:t>הפרסו</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באתר</w:t>
      </w:r>
      <w:r w:rsidRPr="00621420">
        <w:rPr>
          <w:rFonts w:ascii="Century" w:hAnsi="Century" w:cs="Miriam"/>
          <w:b/>
          <w:spacing w:val="0"/>
          <w:szCs w:val="24"/>
          <w:rtl/>
        </w:rPr>
        <w:t xml:space="preserve"> </w:t>
      </w:r>
      <w:r w:rsidRPr="00621420">
        <w:rPr>
          <w:rFonts w:ascii="Century" w:hAnsi="Century" w:cs="Miriam" w:hint="eastAsia"/>
          <w:b/>
          <w:spacing w:val="0"/>
          <w:szCs w:val="24"/>
          <w:rtl/>
        </w:rPr>
        <w:t>המנוהל</w:t>
      </w:r>
      <w:r w:rsidRPr="00621420">
        <w:rPr>
          <w:rFonts w:ascii="Century" w:hAnsi="Century" w:cs="Miriam"/>
          <w:b/>
          <w:spacing w:val="0"/>
          <w:szCs w:val="24"/>
          <w:rtl/>
        </w:rPr>
        <w:t xml:space="preserve"> </w:t>
      </w:r>
      <w:r w:rsidRPr="00621420">
        <w:rPr>
          <w:rFonts w:ascii="Century" w:hAnsi="Century" w:cs="Miriam" w:hint="eastAsia"/>
          <w:b/>
          <w:spacing w:val="0"/>
          <w:szCs w:val="24"/>
          <w:rtl/>
        </w:rPr>
        <w:t>על</w:t>
      </w:r>
      <w:r w:rsidRPr="00621420">
        <w:rPr>
          <w:rFonts w:ascii="Century" w:hAnsi="Century" w:cs="Miriam"/>
          <w:b/>
          <w:spacing w:val="0"/>
          <w:szCs w:val="24"/>
          <w:rtl/>
        </w:rPr>
        <w:t xml:space="preserve"> </w:t>
      </w:r>
      <w:r w:rsidRPr="00621420">
        <w:rPr>
          <w:rFonts w:ascii="Century" w:hAnsi="Century" w:cs="Miriam" w:hint="eastAsia"/>
          <w:b/>
          <w:spacing w:val="0"/>
          <w:szCs w:val="24"/>
          <w:rtl/>
        </w:rPr>
        <w:t>ידי</w:t>
      </w:r>
      <w:r w:rsidRPr="00621420">
        <w:rPr>
          <w:rFonts w:ascii="Century" w:hAnsi="Century" w:cs="Miriam" w:hint="cs"/>
          <w:b/>
          <w:spacing w:val="0"/>
          <w:szCs w:val="24"/>
          <w:rtl/>
        </w:rPr>
        <w:t>ו</w:t>
      </w:r>
      <w:r w:rsidRPr="00621420">
        <w:rPr>
          <w:rFonts w:ascii="Century" w:hAnsi="Century" w:cs="Miriam"/>
          <w:b/>
          <w:spacing w:val="0"/>
          <w:szCs w:val="24"/>
          <w:rtl/>
        </w:rPr>
        <w:t xml:space="preserve">, </w:t>
      </w:r>
      <w:r w:rsidRPr="00621420">
        <w:rPr>
          <w:rFonts w:ascii="Century" w:hAnsi="Century" w:cs="Miriam" w:hint="eastAsia"/>
          <w:b/>
          <w:spacing w:val="0"/>
          <w:szCs w:val="24"/>
          <w:rtl/>
        </w:rPr>
        <w:t>א</w:t>
      </w:r>
      <w:r w:rsidRPr="00621420">
        <w:rPr>
          <w:rFonts w:ascii="Century" w:hAnsi="Century" w:cs="Miriam" w:hint="cs"/>
          <w:b/>
          <w:spacing w:val="0"/>
          <w:szCs w:val="24"/>
          <w:rtl/>
        </w:rPr>
        <w:t>ך</w:t>
      </w:r>
      <w:r w:rsidRPr="00621420">
        <w:rPr>
          <w:rFonts w:ascii="Century" w:hAnsi="Century" w:cs="Miriam"/>
          <w:b/>
          <w:spacing w:val="0"/>
          <w:szCs w:val="24"/>
          <w:rtl/>
        </w:rPr>
        <w:t xml:space="preserve"> </w:t>
      </w:r>
      <w:r w:rsidRPr="00621420">
        <w:rPr>
          <w:rFonts w:ascii="Century" w:hAnsi="Century" w:cs="Miriam" w:hint="eastAsia"/>
          <w:b/>
          <w:spacing w:val="0"/>
          <w:szCs w:val="24"/>
          <w:rtl/>
        </w:rPr>
        <w:t>ג</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כאשר</w:t>
      </w:r>
      <w:r w:rsidRPr="00621420">
        <w:rPr>
          <w:rFonts w:ascii="Century" w:hAnsi="Century" w:cs="Miriam"/>
          <w:b/>
          <w:spacing w:val="0"/>
          <w:szCs w:val="24"/>
          <w:rtl/>
        </w:rPr>
        <w:t xml:space="preserve"> </w:t>
      </w:r>
      <w:r w:rsidRPr="00621420">
        <w:rPr>
          <w:rFonts w:ascii="Century" w:hAnsi="Century" w:cs="Miriam" w:hint="eastAsia"/>
          <w:b/>
          <w:spacing w:val="0"/>
          <w:szCs w:val="24"/>
          <w:rtl/>
        </w:rPr>
        <w:t>הפרסו</w:t>
      </w:r>
      <w:r w:rsidRPr="00621420">
        <w:rPr>
          <w:rFonts w:ascii="Century" w:hAnsi="Century" w:cs="Miriam" w:hint="cs"/>
          <w:b/>
          <w:spacing w:val="0"/>
          <w:szCs w:val="24"/>
          <w:rtl/>
        </w:rPr>
        <w:t xml:space="preserve">ם </w:t>
      </w:r>
      <w:r w:rsidRPr="00621420">
        <w:rPr>
          <w:rFonts w:ascii="Century" w:hAnsi="Century" w:cs="Miriam" w:hint="eastAsia"/>
          <w:b/>
          <w:spacing w:val="0"/>
          <w:szCs w:val="24"/>
          <w:rtl/>
        </w:rPr>
        <w:t>נעשה</w:t>
      </w:r>
      <w:r w:rsidRPr="00621420">
        <w:rPr>
          <w:rFonts w:ascii="Century" w:hAnsi="Century" w:cs="Miriam"/>
          <w:b/>
          <w:spacing w:val="0"/>
          <w:szCs w:val="24"/>
          <w:rtl/>
        </w:rPr>
        <w:t xml:space="preserve"> </w:t>
      </w:r>
      <w:r w:rsidRPr="00621420">
        <w:rPr>
          <w:rFonts w:ascii="Century" w:hAnsi="Century" w:cs="Miriam" w:hint="eastAsia"/>
          <w:b/>
          <w:spacing w:val="0"/>
          <w:szCs w:val="24"/>
          <w:rtl/>
        </w:rPr>
        <w:t>באתר</w:t>
      </w:r>
      <w:r w:rsidRPr="00621420">
        <w:rPr>
          <w:rFonts w:ascii="Century" w:hAnsi="Century" w:cs="Miriam"/>
          <w:b/>
          <w:spacing w:val="0"/>
          <w:szCs w:val="24"/>
          <w:rtl/>
        </w:rPr>
        <w:t xml:space="preserve"> </w:t>
      </w:r>
      <w:r w:rsidRPr="00621420">
        <w:rPr>
          <w:rFonts w:ascii="Century" w:hAnsi="Century" w:cs="Miriam" w:hint="eastAsia"/>
          <w:b/>
          <w:spacing w:val="0"/>
          <w:szCs w:val="24"/>
          <w:rtl/>
        </w:rPr>
        <w:t>המנוהל</w:t>
      </w:r>
      <w:r w:rsidRPr="00621420">
        <w:rPr>
          <w:rFonts w:ascii="Century" w:hAnsi="Century" w:cs="Miriam"/>
          <w:b/>
          <w:spacing w:val="0"/>
          <w:szCs w:val="24"/>
          <w:rtl/>
        </w:rPr>
        <w:t xml:space="preserve"> </w:t>
      </w:r>
      <w:r w:rsidRPr="00621420">
        <w:rPr>
          <w:rFonts w:ascii="Century" w:hAnsi="Century" w:cs="Miriam" w:hint="eastAsia"/>
          <w:b/>
          <w:spacing w:val="0"/>
          <w:szCs w:val="24"/>
          <w:rtl/>
        </w:rPr>
        <w:t>על</w:t>
      </w:r>
      <w:r w:rsidRPr="00621420">
        <w:rPr>
          <w:rFonts w:ascii="Century" w:hAnsi="Century" w:cs="Miriam"/>
          <w:b/>
          <w:spacing w:val="0"/>
          <w:szCs w:val="24"/>
          <w:rtl/>
        </w:rPr>
        <w:t xml:space="preserve"> </w:t>
      </w:r>
      <w:r w:rsidRPr="00621420">
        <w:rPr>
          <w:rFonts w:ascii="Century" w:hAnsi="Century" w:cs="Miriam" w:hint="eastAsia"/>
          <w:b/>
          <w:spacing w:val="0"/>
          <w:szCs w:val="24"/>
          <w:rtl/>
        </w:rPr>
        <w:t>ידי</w:t>
      </w:r>
      <w:r w:rsidRPr="00621420">
        <w:rPr>
          <w:rFonts w:ascii="Century" w:hAnsi="Century" w:cs="Miriam"/>
          <w:b/>
          <w:spacing w:val="0"/>
          <w:szCs w:val="24"/>
          <w:rtl/>
        </w:rPr>
        <w:t xml:space="preserve"> </w:t>
      </w:r>
      <w:r w:rsidRPr="00621420">
        <w:rPr>
          <w:rFonts w:ascii="Century" w:hAnsi="Century" w:cs="Miriam" w:hint="eastAsia"/>
          <w:b/>
          <w:spacing w:val="0"/>
          <w:szCs w:val="24"/>
          <w:rtl/>
        </w:rPr>
        <w:t>אחר</w:t>
      </w:r>
      <w:r w:rsidRPr="00621420">
        <w:rPr>
          <w:rFonts w:ascii="Century" w:hAnsi="Century" w:cs="Miriam"/>
          <w:b/>
          <w:spacing w:val="0"/>
          <w:szCs w:val="24"/>
          <w:rtl/>
        </w:rPr>
        <w:t xml:space="preserve"> </w:t>
      </w:r>
      <w:r w:rsidRPr="00621420">
        <w:rPr>
          <w:rFonts w:ascii="Century" w:hAnsi="Century" w:cs="Miriam" w:hint="eastAsia"/>
          <w:b/>
          <w:spacing w:val="0"/>
          <w:szCs w:val="24"/>
          <w:rtl/>
        </w:rPr>
        <w:t>לעתי</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קרובות</w:t>
      </w:r>
      <w:r w:rsidRPr="00621420">
        <w:rPr>
          <w:rFonts w:ascii="Century" w:hAnsi="Century" w:cs="Miriam" w:hint="cs"/>
          <w:b/>
          <w:spacing w:val="0"/>
          <w:szCs w:val="24"/>
          <w:rtl/>
        </w:rPr>
        <w:t xml:space="preserve"> </w:t>
      </w:r>
      <w:r w:rsidRPr="00621420">
        <w:rPr>
          <w:rFonts w:ascii="Century" w:hAnsi="Century" w:cs="Miriam" w:hint="eastAsia"/>
          <w:b/>
          <w:spacing w:val="0"/>
          <w:szCs w:val="24"/>
          <w:rtl/>
        </w:rPr>
        <w:t>מסוגל</w:t>
      </w:r>
      <w:r w:rsidRPr="00621420">
        <w:rPr>
          <w:rFonts w:ascii="Century" w:hAnsi="Century" w:cs="Miriam"/>
          <w:b/>
          <w:spacing w:val="0"/>
          <w:szCs w:val="24"/>
          <w:rtl/>
        </w:rPr>
        <w:t xml:space="preserve"> </w:t>
      </w:r>
      <w:r w:rsidRPr="00621420">
        <w:rPr>
          <w:rFonts w:ascii="Century" w:hAnsi="Century" w:cs="Miriam" w:hint="eastAsia"/>
          <w:b/>
          <w:spacing w:val="0"/>
          <w:szCs w:val="24"/>
          <w:rtl/>
        </w:rPr>
        <w:t>המפרס</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להסירו</w:t>
      </w:r>
      <w:r w:rsidRPr="00621420">
        <w:rPr>
          <w:rFonts w:ascii="Century" w:hAnsi="Century" w:cs="Miriam"/>
          <w:b/>
          <w:spacing w:val="0"/>
          <w:szCs w:val="24"/>
          <w:rtl/>
        </w:rPr>
        <w:t xml:space="preserve">, </w:t>
      </w:r>
      <w:r w:rsidRPr="00621420">
        <w:rPr>
          <w:rFonts w:ascii="Century" w:hAnsi="Century" w:cs="Miriam" w:hint="eastAsia"/>
          <w:b/>
          <w:spacing w:val="0"/>
          <w:szCs w:val="24"/>
          <w:rtl/>
        </w:rPr>
        <w:t>א</w:t>
      </w:r>
      <w:r w:rsidRPr="00621420">
        <w:rPr>
          <w:rFonts w:ascii="Century" w:hAnsi="Century" w:cs="Miriam" w:hint="cs"/>
          <w:b/>
          <w:spacing w:val="0"/>
          <w:szCs w:val="24"/>
          <w:rtl/>
        </w:rPr>
        <w:t>ם</w:t>
      </w:r>
      <w:r w:rsidRPr="00621420">
        <w:rPr>
          <w:rFonts w:ascii="Century" w:hAnsi="Century" w:cs="Miriam"/>
          <w:b/>
          <w:spacing w:val="0"/>
          <w:szCs w:val="24"/>
          <w:rtl/>
        </w:rPr>
        <w:t xml:space="preserve"> </w:t>
      </w:r>
      <w:r w:rsidRPr="00621420">
        <w:rPr>
          <w:rFonts w:ascii="Century" w:hAnsi="Century" w:cs="Miriam" w:hint="eastAsia"/>
          <w:b/>
          <w:spacing w:val="0"/>
          <w:szCs w:val="24"/>
          <w:rtl/>
        </w:rPr>
        <w:t>באמצעות</w:t>
      </w:r>
      <w:r w:rsidRPr="00621420">
        <w:rPr>
          <w:rFonts w:ascii="Century" w:hAnsi="Century" w:cs="Miriam"/>
          <w:b/>
          <w:spacing w:val="0"/>
          <w:szCs w:val="24"/>
          <w:rtl/>
        </w:rPr>
        <w:t xml:space="preserve"> </w:t>
      </w:r>
      <w:r w:rsidRPr="00621420">
        <w:rPr>
          <w:rFonts w:ascii="Century" w:hAnsi="Century" w:cs="Miriam" w:hint="eastAsia"/>
          <w:b/>
          <w:spacing w:val="0"/>
          <w:szCs w:val="24"/>
          <w:rtl/>
        </w:rPr>
        <w:t>פעולה</w:t>
      </w:r>
      <w:r w:rsidRPr="00621420">
        <w:rPr>
          <w:rFonts w:ascii="Century" w:hAnsi="Century" w:cs="Miriam"/>
          <w:b/>
          <w:spacing w:val="0"/>
          <w:szCs w:val="24"/>
          <w:rtl/>
        </w:rPr>
        <w:t xml:space="preserve"> </w:t>
      </w:r>
      <w:r w:rsidRPr="00621420">
        <w:rPr>
          <w:rFonts w:ascii="Century" w:hAnsi="Century" w:cs="Miriam" w:hint="eastAsia"/>
          <w:b/>
          <w:spacing w:val="0"/>
          <w:szCs w:val="24"/>
          <w:rtl/>
        </w:rPr>
        <w:t>טכנית</w:t>
      </w:r>
      <w:r w:rsidRPr="00621420">
        <w:rPr>
          <w:rFonts w:ascii="Century" w:hAnsi="Century" w:cs="Miriam"/>
          <w:b/>
          <w:spacing w:val="0"/>
          <w:szCs w:val="24"/>
          <w:rtl/>
        </w:rPr>
        <w:t xml:space="preserve"> </w:t>
      </w:r>
      <w:r w:rsidRPr="00621420">
        <w:rPr>
          <w:rFonts w:ascii="Century" w:hAnsi="Century" w:cs="Miriam" w:hint="eastAsia"/>
          <w:b/>
          <w:spacing w:val="0"/>
          <w:szCs w:val="24"/>
          <w:rtl/>
        </w:rPr>
        <w:t>פשוטה</w:t>
      </w:r>
      <w:r w:rsidRPr="00621420">
        <w:rPr>
          <w:rFonts w:ascii="Century" w:hAnsi="Century" w:cs="Miriam"/>
          <w:b/>
          <w:spacing w:val="0"/>
          <w:szCs w:val="24"/>
          <w:rtl/>
        </w:rPr>
        <w:t xml:space="preserve"> </w:t>
      </w:r>
      <w:r w:rsidRPr="00621420">
        <w:rPr>
          <w:rFonts w:ascii="Century" w:hAnsi="Century" w:cs="Miriam" w:hint="eastAsia"/>
          <w:b/>
          <w:spacing w:val="0"/>
          <w:szCs w:val="24"/>
          <w:rtl/>
        </w:rPr>
        <w:t>וא</w:t>
      </w:r>
      <w:r w:rsidRPr="00621420">
        <w:rPr>
          <w:rFonts w:ascii="Century" w:hAnsi="Century" w:cs="Miriam" w:hint="cs"/>
          <w:b/>
          <w:spacing w:val="0"/>
          <w:szCs w:val="24"/>
          <w:rtl/>
        </w:rPr>
        <w:t xml:space="preserve">ם </w:t>
      </w:r>
      <w:r w:rsidRPr="00621420">
        <w:rPr>
          <w:rFonts w:ascii="Century" w:hAnsi="Century" w:cs="Miriam" w:hint="eastAsia"/>
          <w:b/>
          <w:spacing w:val="0"/>
          <w:szCs w:val="24"/>
          <w:rtl/>
        </w:rPr>
        <w:t>באמצעות</w:t>
      </w:r>
      <w:r w:rsidRPr="00621420">
        <w:rPr>
          <w:rFonts w:ascii="Century" w:hAnsi="Century" w:cs="Miriam"/>
          <w:b/>
          <w:spacing w:val="0"/>
          <w:szCs w:val="24"/>
          <w:rtl/>
        </w:rPr>
        <w:t xml:space="preserve"> </w:t>
      </w:r>
      <w:r w:rsidRPr="00621420">
        <w:rPr>
          <w:rFonts w:ascii="Century" w:hAnsi="Century" w:cs="Miriam" w:hint="eastAsia"/>
          <w:b/>
          <w:spacing w:val="0"/>
          <w:szCs w:val="24"/>
          <w:rtl/>
        </w:rPr>
        <w:t>הגשת</w:t>
      </w:r>
      <w:r w:rsidRPr="00621420">
        <w:rPr>
          <w:rFonts w:ascii="Century" w:hAnsi="Century" w:cs="Miriam"/>
          <w:b/>
          <w:spacing w:val="0"/>
          <w:szCs w:val="24"/>
          <w:rtl/>
        </w:rPr>
        <w:t xml:space="preserve"> </w:t>
      </w:r>
      <w:r w:rsidRPr="00621420">
        <w:rPr>
          <w:rFonts w:ascii="Century" w:hAnsi="Century" w:cs="Miriam" w:hint="eastAsia"/>
          <w:b/>
          <w:spacing w:val="0"/>
          <w:szCs w:val="24"/>
          <w:rtl/>
        </w:rPr>
        <w:t>בקשה</w:t>
      </w:r>
      <w:r w:rsidRPr="00621420">
        <w:rPr>
          <w:rFonts w:ascii="Century" w:hAnsi="Century" w:cs="Miriam"/>
          <w:b/>
          <w:spacing w:val="0"/>
          <w:szCs w:val="24"/>
          <w:rtl/>
        </w:rPr>
        <w:t xml:space="preserve"> </w:t>
      </w:r>
      <w:r w:rsidRPr="00621420">
        <w:rPr>
          <w:rFonts w:ascii="Century" w:hAnsi="Century" w:cs="Miriam" w:hint="eastAsia"/>
          <w:b/>
          <w:spacing w:val="0"/>
          <w:szCs w:val="24"/>
          <w:rtl/>
        </w:rPr>
        <w:t>לגור</w:t>
      </w:r>
      <w:r w:rsidRPr="00621420">
        <w:rPr>
          <w:rFonts w:ascii="Century" w:hAnsi="Century" w:cs="Miriam" w:hint="cs"/>
          <w:b/>
          <w:spacing w:val="0"/>
          <w:szCs w:val="24"/>
          <w:rtl/>
        </w:rPr>
        <w:t xml:space="preserve">ם </w:t>
      </w:r>
      <w:r w:rsidRPr="00621420">
        <w:rPr>
          <w:rFonts w:ascii="Century" w:hAnsi="Century" w:cs="Miriam" w:hint="eastAsia"/>
          <w:b/>
          <w:spacing w:val="0"/>
          <w:szCs w:val="24"/>
          <w:rtl/>
        </w:rPr>
        <w:t>האחראי</w:t>
      </w:r>
      <w:r w:rsidRPr="00621420">
        <w:rPr>
          <w:rtl/>
        </w:rPr>
        <w:t xml:space="preserve"> </w:t>
      </w:r>
      <w:r>
        <w:rPr>
          <w:rtl/>
        </w:rPr>
        <w:t>(</w:t>
      </w:r>
      <w:r>
        <w:rPr>
          <w:rFonts w:hint="eastAsia"/>
          <w:rtl/>
        </w:rPr>
        <w:t>אשר</w:t>
      </w:r>
      <w:r>
        <w:rPr>
          <w:rtl/>
        </w:rPr>
        <w:t xml:space="preserve"> </w:t>
      </w:r>
      <w:r>
        <w:rPr>
          <w:rFonts w:hint="eastAsia"/>
          <w:rtl/>
        </w:rPr>
        <w:t>מצדו</w:t>
      </w:r>
      <w:r>
        <w:rPr>
          <w:rtl/>
        </w:rPr>
        <w:t xml:space="preserve"> </w:t>
      </w:r>
      <w:r>
        <w:rPr>
          <w:rFonts w:hint="eastAsia"/>
          <w:rtl/>
        </w:rPr>
        <w:t>לא</w:t>
      </w:r>
      <w:r>
        <w:rPr>
          <w:rtl/>
        </w:rPr>
        <w:t xml:space="preserve"> </w:t>
      </w:r>
      <w:r>
        <w:rPr>
          <w:rFonts w:hint="eastAsia"/>
          <w:rtl/>
        </w:rPr>
        <w:t>ייטה</w:t>
      </w:r>
      <w:r>
        <w:rPr>
          <w:rtl/>
        </w:rPr>
        <w:t xml:space="preserve"> </w:t>
      </w:r>
      <w:r>
        <w:rPr>
          <w:rFonts w:hint="eastAsia"/>
          <w:rtl/>
        </w:rPr>
        <w:t>לחשו</w:t>
      </w:r>
      <w:r>
        <w:rPr>
          <w:rFonts w:hint="cs"/>
          <w:rtl/>
        </w:rPr>
        <w:t>ף</w:t>
      </w:r>
      <w:r>
        <w:rPr>
          <w:rtl/>
        </w:rPr>
        <w:t xml:space="preserve"> </w:t>
      </w:r>
      <w:r>
        <w:rPr>
          <w:rFonts w:hint="eastAsia"/>
          <w:rtl/>
        </w:rPr>
        <w:t>עצמו</w:t>
      </w:r>
      <w:r>
        <w:rPr>
          <w:rtl/>
        </w:rPr>
        <w:t xml:space="preserve"> </w:t>
      </w:r>
      <w:r>
        <w:rPr>
          <w:rFonts w:hint="eastAsia"/>
          <w:rtl/>
        </w:rPr>
        <w:t>לסיכו</w:t>
      </w:r>
      <w:r>
        <w:rPr>
          <w:rFonts w:hint="cs"/>
          <w:rtl/>
        </w:rPr>
        <w:t>ן</w:t>
      </w:r>
      <w:r>
        <w:rPr>
          <w:rtl/>
        </w:rPr>
        <w:t xml:space="preserve"> </w:t>
      </w:r>
      <w:r>
        <w:rPr>
          <w:rFonts w:hint="eastAsia"/>
          <w:rtl/>
        </w:rPr>
        <w:t>משפטי</w:t>
      </w:r>
      <w:r>
        <w:rPr>
          <w:rtl/>
        </w:rPr>
        <w:t xml:space="preserve"> </w:t>
      </w:r>
      <w:r>
        <w:rPr>
          <w:rFonts w:hint="eastAsia"/>
          <w:rtl/>
        </w:rPr>
        <w:t>כאשר</w:t>
      </w:r>
      <w:r>
        <w:rPr>
          <w:rtl/>
        </w:rPr>
        <w:t xml:space="preserve"> </w:t>
      </w:r>
      <w:r>
        <w:rPr>
          <w:rFonts w:hint="eastAsia"/>
          <w:rtl/>
        </w:rPr>
        <w:t>המפרס</w:t>
      </w:r>
      <w:r>
        <w:rPr>
          <w:rFonts w:hint="cs"/>
          <w:rtl/>
        </w:rPr>
        <w:t>ם</w:t>
      </w:r>
      <w:r>
        <w:rPr>
          <w:rtl/>
        </w:rPr>
        <w:t xml:space="preserve"> </w:t>
      </w:r>
      <w:r>
        <w:rPr>
          <w:rFonts w:hint="eastAsia"/>
          <w:rtl/>
        </w:rPr>
        <w:t>גילה</w:t>
      </w:r>
      <w:r>
        <w:rPr>
          <w:rtl/>
        </w:rPr>
        <w:t xml:space="preserve"> </w:t>
      </w:r>
      <w:r>
        <w:rPr>
          <w:rFonts w:hint="eastAsia"/>
          <w:rtl/>
        </w:rPr>
        <w:t>דעתו</w:t>
      </w:r>
      <w:r>
        <w:rPr>
          <w:rtl/>
        </w:rPr>
        <w:t xml:space="preserve"> </w:t>
      </w:r>
      <w:r>
        <w:rPr>
          <w:rFonts w:hint="eastAsia"/>
          <w:rtl/>
        </w:rPr>
        <w:t>כי</w:t>
      </w:r>
      <w:r>
        <w:rPr>
          <w:rtl/>
        </w:rPr>
        <w:t xml:space="preserve"> </w:t>
      </w:r>
      <w:r>
        <w:rPr>
          <w:rFonts w:hint="eastAsia"/>
          <w:rtl/>
        </w:rPr>
        <w:t>הפרסו</w:t>
      </w:r>
      <w:r>
        <w:rPr>
          <w:rFonts w:hint="cs"/>
          <w:rtl/>
        </w:rPr>
        <w:t>ם</w:t>
      </w:r>
      <w:r>
        <w:rPr>
          <w:rtl/>
        </w:rPr>
        <w:t xml:space="preserve"> </w:t>
      </w:r>
      <w:r>
        <w:rPr>
          <w:rFonts w:hint="eastAsia"/>
          <w:rtl/>
        </w:rPr>
        <w:t>אינו</w:t>
      </w:r>
      <w:r>
        <w:rPr>
          <w:rtl/>
        </w:rPr>
        <w:t xml:space="preserve"> </w:t>
      </w:r>
      <w:r>
        <w:rPr>
          <w:rFonts w:hint="eastAsia"/>
          <w:rtl/>
        </w:rPr>
        <w:t>חוסה</w:t>
      </w:r>
      <w:r>
        <w:rPr>
          <w:rtl/>
        </w:rPr>
        <w:t xml:space="preserve"> </w:t>
      </w:r>
      <w:r>
        <w:rPr>
          <w:rFonts w:hint="eastAsia"/>
          <w:rtl/>
        </w:rPr>
        <w:t>תחת</w:t>
      </w:r>
      <w:r>
        <w:rPr>
          <w:rtl/>
        </w:rPr>
        <w:t xml:space="preserve"> </w:t>
      </w:r>
      <w:r>
        <w:rPr>
          <w:rFonts w:hint="eastAsia"/>
          <w:rtl/>
        </w:rPr>
        <w:t>הגנה</w:t>
      </w:r>
      <w:r>
        <w:rPr>
          <w:rtl/>
        </w:rPr>
        <w:t xml:space="preserve"> </w:t>
      </w:r>
      <w:r>
        <w:rPr>
          <w:rFonts w:hint="eastAsia"/>
          <w:rtl/>
        </w:rPr>
        <w:t>טובה</w:t>
      </w:r>
      <w:r>
        <w:rPr>
          <w:rFonts w:hint="cs"/>
          <w:rtl/>
        </w:rPr>
        <w:t>). [...]</w:t>
      </w:r>
      <w:r>
        <w:rPr>
          <w:rtl/>
        </w:rPr>
        <w:t xml:space="preserve"> </w:t>
      </w:r>
      <w:r w:rsidRPr="006C6C59">
        <w:rPr>
          <w:rFonts w:ascii="Century" w:hAnsi="Century" w:cs="Miriam" w:hint="eastAsia"/>
          <w:b/>
          <w:spacing w:val="0"/>
          <w:szCs w:val="24"/>
          <w:u w:val="single"/>
          <w:rtl/>
        </w:rPr>
        <w:t>כשפעולה</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אקטיבית</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בעלת</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השלכות</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ארוכות</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טווח</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מתחלפת</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במחדל</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שמשמעו</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השארת</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המצב</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העוולתי</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על</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כנו</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עשויי</w:t>
      </w:r>
      <w:r w:rsidRPr="006C6C59">
        <w:rPr>
          <w:rFonts w:ascii="Century" w:hAnsi="Century" w:cs="Miriam" w:hint="cs"/>
          <w:b/>
          <w:spacing w:val="0"/>
          <w:szCs w:val="24"/>
          <w:u w:val="single"/>
          <w:rtl/>
        </w:rPr>
        <w:t>ם</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הפעולה</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והמחדל</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להתמזג</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לכדי</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אש</w:t>
      </w:r>
      <w:r w:rsidRPr="006C6C59">
        <w:rPr>
          <w:rFonts w:ascii="Century" w:hAnsi="Century" w:cs="Miriam" w:hint="cs"/>
          <w:b/>
          <w:spacing w:val="0"/>
          <w:szCs w:val="24"/>
          <w:u w:val="single"/>
          <w:rtl/>
        </w:rPr>
        <w:t>ם</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מתמש</w:t>
      </w:r>
      <w:r w:rsidRPr="006C6C59">
        <w:rPr>
          <w:rFonts w:ascii="Century" w:hAnsi="Century" w:cs="Miriam" w:hint="cs"/>
          <w:b/>
          <w:spacing w:val="0"/>
          <w:szCs w:val="24"/>
          <w:u w:val="single"/>
          <w:rtl/>
        </w:rPr>
        <w:t>ך</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שאינו</w:t>
      </w:r>
      <w:r w:rsidRPr="006C6C59">
        <w:rPr>
          <w:rFonts w:ascii="Century" w:hAnsi="Century" w:cs="Miriam"/>
          <w:b/>
          <w:spacing w:val="0"/>
          <w:szCs w:val="24"/>
          <w:u w:val="single"/>
          <w:rtl/>
        </w:rPr>
        <w:t xml:space="preserve"> </w:t>
      </w:r>
      <w:r w:rsidRPr="006C6C59">
        <w:rPr>
          <w:rFonts w:ascii="Century" w:hAnsi="Century" w:cs="Miriam" w:hint="eastAsia"/>
          <w:b/>
          <w:spacing w:val="0"/>
          <w:szCs w:val="24"/>
          <w:u w:val="single"/>
          <w:rtl/>
        </w:rPr>
        <w:t>נית</w:t>
      </w:r>
      <w:r w:rsidRPr="006C6C59">
        <w:rPr>
          <w:rFonts w:ascii="Century" w:hAnsi="Century" w:cs="Miriam" w:hint="cs"/>
          <w:b/>
          <w:spacing w:val="0"/>
          <w:szCs w:val="24"/>
          <w:u w:val="single"/>
          <w:rtl/>
        </w:rPr>
        <w:t>ן</w:t>
      </w:r>
      <w:r w:rsidRPr="006C6C59">
        <w:rPr>
          <w:rFonts w:ascii="Century" w:hAnsi="Century" w:cs="Miriam"/>
          <w:b/>
          <w:spacing w:val="0"/>
          <w:szCs w:val="24"/>
          <w:u w:val="single"/>
          <w:rtl/>
        </w:rPr>
        <w:t xml:space="preserve"> </w:t>
      </w:r>
      <w:r w:rsidRPr="00564CA5">
        <w:rPr>
          <w:rFonts w:ascii="Century" w:hAnsi="Century" w:cs="Miriam" w:hint="eastAsia"/>
          <w:b/>
          <w:spacing w:val="0"/>
          <w:szCs w:val="24"/>
          <w:u w:val="single"/>
          <w:rtl/>
        </w:rPr>
        <w:t>לחלוק</w:t>
      </w:r>
      <w:r w:rsidRPr="00564CA5">
        <w:rPr>
          <w:rFonts w:ascii="Century" w:hAnsi="Century" w:cs="Miriam" w:hint="cs"/>
          <w:b/>
          <w:spacing w:val="0"/>
          <w:szCs w:val="24"/>
          <w:u w:val="single"/>
          <w:rtl/>
        </w:rPr>
        <w:t>ה</w:t>
      </w:r>
      <w:r w:rsidRPr="00564CA5">
        <w:rPr>
          <w:rFonts w:hint="cs"/>
          <w:rtl/>
        </w:rPr>
        <w:t>" (</w:t>
      </w:r>
      <w:r w:rsidRPr="00A14071">
        <w:rPr>
          <w:rFonts w:ascii="Century" w:hAnsi="Century" w:cs="Miriam" w:hint="eastAsia"/>
          <w:b/>
          <w:spacing w:val="0"/>
          <w:szCs w:val="24"/>
          <w:rtl/>
        </w:rPr>
        <w:t>שם</w:t>
      </w:r>
      <w:r w:rsidRPr="00564CA5">
        <w:rPr>
          <w:rtl/>
        </w:rPr>
        <w:t xml:space="preserve">, </w:t>
      </w:r>
      <w:r w:rsidRPr="00564CA5">
        <w:rPr>
          <w:rFonts w:hint="eastAsia"/>
          <w:rtl/>
        </w:rPr>
        <w:t>בעמ</w:t>
      </w:r>
      <w:r w:rsidRPr="00564CA5">
        <w:rPr>
          <w:rtl/>
        </w:rPr>
        <w:t>' 65</w:t>
      </w:r>
      <w:r w:rsidRPr="00564CA5">
        <w:rPr>
          <w:rFonts w:hint="cs"/>
          <w:rtl/>
        </w:rPr>
        <w:t xml:space="preserve">; ההדגשה הוספה </w:t>
      </w:r>
      <w:r w:rsidRPr="00564CA5">
        <w:rPr>
          <w:rtl/>
        </w:rPr>
        <w:t>–</w:t>
      </w:r>
      <w:r w:rsidRPr="004F2544">
        <w:rPr>
          <w:rFonts w:hint="cs"/>
          <w:rtl/>
        </w:rPr>
        <w:t>א.ש.).</w:t>
      </w:r>
    </w:p>
    <w:p w:rsidR="008B3136" w:rsidRPr="008A3BB8" w:rsidRDefault="008B3136" w:rsidP="008B3136">
      <w:pPr>
        <w:pStyle w:val="Ruller41"/>
      </w:pPr>
    </w:p>
    <w:p w:rsidR="008B3136" w:rsidRDefault="008B3136" w:rsidP="008B3136">
      <w:pPr>
        <w:pStyle w:val="Ruller4"/>
      </w:pPr>
      <w:r>
        <w:rPr>
          <w:rFonts w:hint="cs"/>
          <w:rtl/>
        </w:rPr>
        <w:t xml:space="preserve">השופט </w:t>
      </w:r>
      <w:r w:rsidRPr="005D38DE">
        <w:rPr>
          <w:rFonts w:ascii="Century" w:hAnsi="Century" w:cs="Miriam" w:hint="cs"/>
          <w:b/>
          <w:spacing w:val="0"/>
          <w:sz w:val="22"/>
          <w:szCs w:val="24"/>
          <w:rtl/>
        </w:rPr>
        <w:t>ט' חבקין</w:t>
      </w:r>
      <w:r>
        <w:rPr>
          <w:rFonts w:hint="cs"/>
          <w:rtl/>
        </w:rPr>
        <w:t xml:space="preserve">, שהקטע </w:t>
      </w:r>
      <w:r w:rsidRPr="00564CA5">
        <w:rPr>
          <w:rFonts w:hint="cs"/>
          <w:rtl/>
        </w:rPr>
        <w:t>ה</w:t>
      </w:r>
      <w:r w:rsidRPr="00564CA5">
        <w:rPr>
          <w:rFonts w:hint="eastAsia"/>
          <w:rtl/>
        </w:rPr>
        <w:t>רלבנט</w:t>
      </w:r>
      <w:r w:rsidRPr="00564CA5">
        <w:rPr>
          <w:rFonts w:hint="cs"/>
          <w:rtl/>
        </w:rPr>
        <w:t>י</w:t>
      </w:r>
      <w:r>
        <w:rPr>
          <w:rFonts w:hint="cs"/>
          <w:rtl/>
        </w:rPr>
        <w:t xml:space="preserve"> מספרו צוטט </w:t>
      </w:r>
      <w:r w:rsidRPr="00353635">
        <w:rPr>
          <w:rFonts w:hint="eastAsia"/>
          <w:rtl/>
        </w:rPr>
        <w:t>בהסכמה</w:t>
      </w:r>
      <w:r>
        <w:rPr>
          <w:rFonts w:hint="cs"/>
          <w:rtl/>
        </w:rPr>
        <w:t xml:space="preserve"> על ידי המשנה לנשיאה </w:t>
      </w:r>
      <w:r w:rsidRPr="007B6DEC">
        <w:rPr>
          <w:rFonts w:ascii="Century" w:hAnsi="Century" w:cs="Miriam" w:hint="cs"/>
          <w:b/>
          <w:spacing w:val="0"/>
          <w:sz w:val="22"/>
          <w:szCs w:val="24"/>
          <w:rtl/>
        </w:rPr>
        <w:t>א' רובינשטיין</w:t>
      </w:r>
      <w:r>
        <w:rPr>
          <w:rFonts w:hint="cs"/>
          <w:rtl/>
        </w:rPr>
        <w:t xml:space="preserve"> ברע"א 4892/15 </w:t>
      </w:r>
      <w:r w:rsidRPr="00D4362D">
        <w:rPr>
          <w:rFonts w:ascii="Century" w:hAnsi="Century" w:cs="Miriam" w:hint="cs"/>
          <w:b/>
          <w:spacing w:val="0"/>
          <w:sz w:val="22"/>
          <w:szCs w:val="24"/>
          <w:rtl/>
        </w:rPr>
        <w:t>המועצה הדתי</w:t>
      </w:r>
      <w:r>
        <w:rPr>
          <w:rFonts w:ascii="Century" w:hAnsi="Century" w:cs="Miriam" w:hint="cs"/>
          <w:b/>
          <w:spacing w:val="0"/>
          <w:sz w:val="22"/>
          <w:szCs w:val="24"/>
          <w:rtl/>
        </w:rPr>
        <w:t>ת</w:t>
      </w:r>
      <w:r w:rsidRPr="00D4362D">
        <w:rPr>
          <w:rFonts w:ascii="Century" w:hAnsi="Century" w:cs="Miriam" w:hint="cs"/>
          <w:b/>
          <w:spacing w:val="0"/>
          <w:sz w:val="22"/>
          <w:szCs w:val="24"/>
          <w:rtl/>
        </w:rPr>
        <w:t xml:space="preserve"> עכו נ' עיזבון חכון</w:t>
      </w:r>
      <w:r>
        <w:rPr>
          <w:rFonts w:hint="cs"/>
          <w:rtl/>
        </w:rPr>
        <w:t xml:space="preserve">, פסקה ז (16.8.2015), סבור כי עוולה נמשכת </w:t>
      </w:r>
      <w:r w:rsidRPr="003C476C">
        <w:rPr>
          <w:rFonts w:ascii="Century" w:hAnsi="Century" w:cs="Miriam" w:hint="cs"/>
          <w:b/>
          <w:spacing w:val="0"/>
          <w:sz w:val="22"/>
          <w:szCs w:val="24"/>
          <w:rtl/>
        </w:rPr>
        <w:t>צריכה</w:t>
      </w:r>
      <w:r>
        <w:rPr>
          <w:rFonts w:hint="cs"/>
          <w:rtl/>
        </w:rPr>
        <w:t xml:space="preserve"> לקיים את </w:t>
      </w:r>
      <w:r w:rsidRPr="00D4362D">
        <w:rPr>
          <w:rFonts w:ascii="Century" w:hAnsi="Century" w:cs="Miriam" w:hint="cs"/>
          <w:b/>
          <w:spacing w:val="0"/>
          <w:sz w:val="22"/>
          <w:szCs w:val="24"/>
          <w:rtl/>
        </w:rPr>
        <w:t>תכונות</w:t>
      </w:r>
      <w:r>
        <w:rPr>
          <w:rFonts w:hint="cs"/>
          <w:rtl/>
        </w:rPr>
        <w:t xml:space="preserve"> </w:t>
      </w:r>
      <w:r w:rsidRPr="005D38DE">
        <w:rPr>
          <w:rFonts w:ascii="Century" w:hAnsi="Century" w:cs="Miriam" w:hint="cs"/>
          <w:b/>
          <w:spacing w:val="0"/>
          <w:sz w:val="22"/>
          <w:szCs w:val="24"/>
          <w:rtl/>
        </w:rPr>
        <w:t>החזר</w:t>
      </w:r>
      <w:r>
        <w:rPr>
          <w:rFonts w:ascii="Century" w:hAnsi="Century" w:cs="Miriam" w:hint="cs"/>
          <w:b/>
          <w:spacing w:val="0"/>
          <w:sz w:val="22"/>
          <w:szCs w:val="24"/>
          <w:rtl/>
        </w:rPr>
        <w:t>ה</w:t>
      </w:r>
      <w:r w:rsidRPr="005D38DE">
        <w:rPr>
          <w:rFonts w:ascii="Century" w:hAnsi="Century" w:cs="Miriam" w:hint="cs"/>
          <w:b/>
          <w:spacing w:val="0"/>
          <w:sz w:val="22"/>
          <w:szCs w:val="24"/>
          <w:rtl/>
        </w:rPr>
        <w:t xml:space="preserve"> והרציפות</w:t>
      </w:r>
      <w:r w:rsidRPr="005D38DE">
        <w:rPr>
          <w:rFonts w:hint="cs"/>
          <w:rtl/>
        </w:rPr>
        <w:t xml:space="preserve"> </w:t>
      </w:r>
      <w:r>
        <w:rPr>
          <w:rFonts w:hint="cs"/>
          <w:rtl/>
        </w:rPr>
        <w:t xml:space="preserve">(ראו: </w:t>
      </w:r>
      <w:r w:rsidRPr="007B6DEC">
        <w:rPr>
          <w:rFonts w:ascii="Century" w:hAnsi="Century" w:cs="Miriam" w:hint="cs"/>
          <w:b/>
          <w:spacing w:val="0"/>
          <w:sz w:val="22"/>
          <w:szCs w:val="24"/>
          <w:rtl/>
        </w:rPr>
        <w:t>חבקין</w:t>
      </w:r>
      <w:r>
        <w:rPr>
          <w:rFonts w:hint="cs"/>
          <w:rtl/>
        </w:rPr>
        <w:t xml:space="preserve">, בעמ' 453). לטעמי, הגדרה זו איננה מדויקת דיה. מעשה נזיקין המסווג כעוולה נמשכת בהחלט יכול לקיים את תכונות החזרה והרציפות כעניין של עובדה אמפירית. ברם, מעשה נזיקין אינו חייב לכלול בתוכו תכונות אלה כדי להיחשב </w:t>
      </w:r>
      <w:r>
        <w:rPr>
          <w:rtl/>
        </w:rPr>
        <w:t>–</w:t>
      </w:r>
      <w:r>
        <w:rPr>
          <w:rFonts w:hint="cs"/>
          <w:rtl/>
        </w:rPr>
        <w:t xml:space="preserve"> על פי הדין </w:t>
      </w:r>
      <w:r>
        <w:rPr>
          <w:rtl/>
        </w:rPr>
        <w:t>–</w:t>
      </w:r>
      <w:r>
        <w:rPr>
          <w:rFonts w:hint="cs"/>
          <w:rtl/>
        </w:rPr>
        <w:t xml:space="preserve"> לעוולה נמשכת. הדין יכול לשוות מעמד של עוולה נמשכת למגוון רחב של מעשי נזיקין שמאפייניהם אינם כוללים בתוכם חזרתיות ורציפות כעניין של עובדה </w:t>
      </w:r>
      <w:r w:rsidRPr="00564CA5">
        <w:rPr>
          <w:rFonts w:hint="cs"/>
          <w:rtl/>
        </w:rPr>
        <w:t>אמפירית</w:t>
      </w:r>
      <w:r>
        <w:rPr>
          <w:rFonts w:hint="cs"/>
          <w:rtl/>
        </w:rPr>
        <w:t xml:space="preserve">. כפי שמבהיר פרופ' גלעד, </w:t>
      </w:r>
      <w:r w:rsidRPr="00D12175">
        <w:rPr>
          <w:rFonts w:ascii="Century" w:hAnsi="Century" w:cs="Miriam" w:hint="cs"/>
          <w:b/>
          <w:spacing w:val="0"/>
          <w:sz w:val="22"/>
          <w:szCs w:val="24"/>
          <w:rtl/>
        </w:rPr>
        <w:t>"</w:t>
      </w:r>
      <w:r w:rsidRPr="00D12175">
        <w:rPr>
          <w:rFonts w:ascii="Century" w:hAnsi="Century" w:cs="Miriam" w:hint="eastAsia"/>
          <w:b/>
          <w:spacing w:val="0"/>
          <w:sz w:val="22"/>
          <w:szCs w:val="24"/>
          <w:rtl/>
        </w:rPr>
        <w:t>אפשר</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ש</w:t>
      </w:r>
      <w:r w:rsidRPr="00D12175">
        <w:rPr>
          <w:rFonts w:ascii="Century" w:hAnsi="Century" w:cs="Miriam" w:hint="cs"/>
          <w:b/>
          <w:spacing w:val="0"/>
          <w:sz w:val="22"/>
          <w:szCs w:val="24"/>
          <w:rtl/>
        </w:rPr>
        <w:t>'</w:t>
      </w:r>
      <w:r w:rsidRPr="00D12175">
        <w:rPr>
          <w:rFonts w:ascii="Century" w:hAnsi="Century" w:cs="Miriam" w:hint="eastAsia"/>
          <w:b/>
          <w:spacing w:val="0"/>
          <w:sz w:val="22"/>
          <w:szCs w:val="24"/>
          <w:rtl/>
        </w:rPr>
        <w:t>אשם</w:t>
      </w:r>
      <w:r w:rsidRPr="00D12175">
        <w:rPr>
          <w:rFonts w:ascii="Century" w:hAnsi="Century" w:cs="Miriam" w:hint="cs"/>
          <w:b/>
          <w:spacing w:val="0"/>
          <w:sz w:val="22"/>
          <w:szCs w:val="24"/>
          <w:rtl/>
        </w:rPr>
        <w:t>'</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ייחשב</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כנמשך</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גם</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אם</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ההתנהגות</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אינה</w:t>
      </w:r>
      <w:r w:rsidRPr="00D12175">
        <w:rPr>
          <w:rFonts w:ascii="Century" w:hAnsi="Century" w:cs="Miriam"/>
          <w:b/>
          <w:spacing w:val="0"/>
          <w:sz w:val="22"/>
          <w:szCs w:val="24"/>
          <w:rtl/>
        </w:rPr>
        <w:t xml:space="preserve"> </w:t>
      </w:r>
      <w:r w:rsidRPr="00D12175">
        <w:rPr>
          <w:rFonts w:ascii="Century" w:hAnsi="Century" w:cs="Miriam" w:hint="eastAsia"/>
          <w:b/>
          <w:spacing w:val="0"/>
          <w:sz w:val="22"/>
          <w:szCs w:val="24"/>
          <w:rtl/>
        </w:rPr>
        <w:t>כזו</w:t>
      </w:r>
      <w:r w:rsidRPr="00D12175">
        <w:rPr>
          <w:rFonts w:ascii="Century" w:hAnsi="Century" w:cs="Miriam" w:hint="cs"/>
          <w:b/>
          <w:spacing w:val="0"/>
          <w:sz w:val="22"/>
          <w:szCs w:val="24"/>
          <w:rtl/>
        </w:rPr>
        <w:t>"</w:t>
      </w:r>
      <w:r w:rsidRPr="00564CA5">
        <w:rPr>
          <w:rFonts w:hint="cs"/>
          <w:rtl/>
        </w:rPr>
        <w:t xml:space="preserve"> </w:t>
      </w:r>
      <w:r>
        <w:rPr>
          <w:rFonts w:hint="cs"/>
          <w:rtl/>
        </w:rPr>
        <w:t>(</w:t>
      </w:r>
      <w:r w:rsidRPr="00564CA5">
        <w:rPr>
          <w:rFonts w:hint="cs"/>
          <w:rtl/>
        </w:rPr>
        <w:t xml:space="preserve">ראו: </w:t>
      </w:r>
      <w:r w:rsidRPr="00D12175">
        <w:rPr>
          <w:rFonts w:ascii="Century" w:hAnsi="Century" w:cs="Miriam" w:hint="cs"/>
          <w:b/>
          <w:spacing w:val="0"/>
          <w:sz w:val="22"/>
          <w:szCs w:val="24"/>
          <w:rtl/>
        </w:rPr>
        <w:t>גלעד, הצעה לשינוי החוק</w:t>
      </w:r>
      <w:r w:rsidRPr="00564CA5">
        <w:rPr>
          <w:rFonts w:hint="cs"/>
          <w:rtl/>
        </w:rPr>
        <w:t>, ב</w:t>
      </w:r>
      <w:r w:rsidRPr="00564CA5">
        <w:rPr>
          <w:rFonts w:hint="eastAsia"/>
          <w:rtl/>
        </w:rPr>
        <w:t>עמ</w:t>
      </w:r>
      <w:r w:rsidRPr="00564CA5">
        <w:rPr>
          <w:rtl/>
        </w:rPr>
        <w:t>' 97</w:t>
      </w:r>
      <w:r w:rsidRPr="004F2544">
        <w:rPr>
          <w:rtl/>
        </w:rPr>
        <w:t>)</w:t>
      </w:r>
      <w:r w:rsidRPr="004F2544">
        <w:rPr>
          <w:rFonts w:hint="cs"/>
          <w:rtl/>
        </w:rPr>
        <w:t>.</w:t>
      </w:r>
      <w:r w:rsidRPr="0089104E">
        <w:rPr>
          <w:rFonts w:hint="cs"/>
          <w:rtl/>
        </w:rPr>
        <w:t xml:space="preserve"> </w:t>
      </w:r>
      <w:r w:rsidRPr="00564CA5">
        <w:rPr>
          <w:rFonts w:hint="cs"/>
          <w:rtl/>
        </w:rPr>
        <w:t>במילים אחרות: הדין יכול לייחס חזרתיות ורציפות למעשה</w:t>
      </w:r>
      <w:r>
        <w:rPr>
          <w:rFonts w:hint="cs"/>
          <w:rtl/>
        </w:rPr>
        <w:t xml:space="preserve"> שאינו נראה על-פניו כמכיל תכונות אלה </w:t>
      </w:r>
      <w:r>
        <w:rPr>
          <w:rtl/>
        </w:rPr>
        <w:t>–</w:t>
      </w:r>
      <w:r>
        <w:rPr>
          <w:rFonts w:hint="cs"/>
          <w:rtl/>
        </w:rPr>
        <w:t xml:space="preserve"> וזאת, משיקולים נורמטיביים כאלה או אחרים. </w:t>
      </w:r>
    </w:p>
    <w:p w:rsidR="008B3136" w:rsidRPr="00D12175" w:rsidRDefault="008B3136" w:rsidP="008B3136">
      <w:pPr>
        <w:pStyle w:val="Ruller4"/>
        <w:numPr>
          <w:ilvl w:val="0"/>
          <w:numId w:val="0"/>
        </w:numPr>
      </w:pPr>
    </w:p>
    <w:p w:rsidR="008B3136" w:rsidRDefault="008B3136" w:rsidP="008B3136">
      <w:pPr>
        <w:pStyle w:val="Ruller4"/>
        <w:rPr>
          <w:rtl/>
        </w:rPr>
      </w:pPr>
      <w:r>
        <w:rPr>
          <w:rFonts w:hint="cs"/>
          <w:rtl/>
        </w:rPr>
        <w:t xml:space="preserve">חשבוּ על המקרה הבא: מעוול פלוני רוקן בקבוק רעל אל תוך באר מים בשגגה או במתכוון. מעשה זה אינו מתאפיין בחזרתיות וברציפות כעניין של עובדה אמפירית (מי שרואה דברים אחרת יתבונן נא בבקבוק הריק שנשאר בידי המעוול). דא עקא, המחוקק, שרצונו בכך, בהחלט יכול להגדיר את העוולה שבה עסקינן כ"זיהום באר" ולהטיל אחריות בנזיקין על המזהם כל אימת שהזיהום קיים והמזהם לא מסירוֹ ואינו מנקה את הבאר. </w:t>
      </w:r>
    </w:p>
    <w:p w:rsidR="008B3136" w:rsidRPr="003C476C" w:rsidRDefault="008B3136" w:rsidP="008B3136">
      <w:pPr>
        <w:pStyle w:val="Ruller41"/>
      </w:pPr>
    </w:p>
    <w:p w:rsidR="008B3136" w:rsidRDefault="008B3136" w:rsidP="008B3136">
      <w:pPr>
        <w:pStyle w:val="Ruller4"/>
        <w:numPr>
          <w:ilvl w:val="0"/>
          <w:numId w:val="0"/>
        </w:numPr>
        <w:rPr>
          <w:rtl/>
        </w:rPr>
      </w:pPr>
      <w:r>
        <w:rPr>
          <w:rtl/>
        </w:rPr>
        <w:tab/>
      </w:r>
      <w:r>
        <w:rPr>
          <w:rFonts w:hint="cs"/>
          <w:rtl/>
        </w:rPr>
        <w:t xml:space="preserve">כמוסבר במאמרו של </w:t>
      </w:r>
      <w:r w:rsidRPr="00A71A51">
        <w:rPr>
          <w:rFonts w:ascii="Century" w:hAnsi="Century" w:cs="Miriam" w:hint="cs"/>
          <w:b/>
          <w:spacing w:val="0"/>
          <w:sz w:val="22"/>
          <w:szCs w:val="24"/>
          <w:rtl/>
        </w:rPr>
        <w:t>גרהם</w:t>
      </w:r>
      <w:r>
        <w:rPr>
          <w:rFonts w:hint="cs"/>
          <w:rtl/>
        </w:rPr>
        <w:t xml:space="preserve"> </w:t>
      </w:r>
      <w:r>
        <w:rPr>
          <w:rtl/>
        </w:rPr>
        <w:t>–</w:t>
      </w:r>
      <w:r>
        <w:rPr>
          <w:rFonts w:hint="cs"/>
          <w:rtl/>
        </w:rPr>
        <w:t xml:space="preserve"> </w:t>
      </w:r>
    </w:p>
    <w:p w:rsidR="008B3136" w:rsidRDefault="008B3136" w:rsidP="008B3136">
      <w:pPr>
        <w:pStyle w:val="Ruller41"/>
        <w:rPr>
          <w:rtl/>
        </w:rPr>
      </w:pPr>
      <w:r>
        <w:rPr>
          <w:rFonts w:hint="cs"/>
          <w:rtl/>
        </w:rPr>
        <w:t xml:space="preserve"> </w:t>
      </w:r>
    </w:p>
    <w:p w:rsidR="008B3136" w:rsidRPr="00BF2D4B" w:rsidRDefault="008B3136" w:rsidP="008B3136">
      <w:pPr>
        <w:pStyle w:val="Ruller5"/>
        <w:rPr>
          <w:rFonts w:ascii="Century" w:hAnsi="Century"/>
          <w:highlight w:val="yellow"/>
          <w:rtl/>
        </w:rPr>
      </w:pPr>
      <w:r>
        <w:rPr>
          <w:rFonts w:asciiTheme="majorBidi" w:hAnsiTheme="majorBidi" w:cstheme="majorBidi"/>
          <w:sz w:val="24"/>
          <w:szCs w:val="24"/>
        </w:rPr>
        <w:t>"</w:t>
      </w:r>
      <w:r w:rsidRPr="00A71A51">
        <w:rPr>
          <w:rFonts w:asciiTheme="majorBidi" w:hAnsiTheme="majorBidi" w:cstheme="majorBidi"/>
          <w:sz w:val="24"/>
          <w:szCs w:val="24"/>
        </w:rPr>
        <w:t>In some situations, a single act of misconduct may produce a continuing duty to ameliorate the resulting state of affairs. One who falsely imprisons another has an ongoing</w:t>
      </w:r>
      <w:r>
        <w:rPr>
          <w:rFonts w:asciiTheme="majorBidi" w:hAnsiTheme="majorBidi" w:cstheme="majorBidi"/>
          <w:sz w:val="24"/>
          <w:szCs w:val="24"/>
        </w:rPr>
        <w:t xml:space="preserve"> duty to release the captive. </w:t>
      </w:r>
      <w:r w:rsidRPr="00A71A51">
        <w:rPr>
          <w:rFonts w:asciiTheme="majorBidi" w:hAnsiTheme="majorBidi" w:cstheme="majorBidi"/>
          <w:sz w:val="24"/>
          <w:szCs w:val="24"/>
        </w:rPr>
        <w:t>With a continuing nuisance, there may be a perpetual responsibility to</w:t>
      </w:r>
      <w:r>
        <w:rPr>
          <w:rFonts w:asciiTheme="majorBidi" w:hAnsiTheme="majorBidi" w:cstheme="majorBidi"/>
          <w:sz w:val="24"/>
          <w:szCs w:val="24"/>
        </w:rPr>
        <w:t xml:space="preserve"> fix the offensive condition. </w:t>
      </w:r>
      <w:r w:rsidRPr="00A71A51">
        <w:rPr>
          <w:rFonts w:asciiTheme="majorBidi" w:hAnsiTheme="majorBidi" w:cstheme="majorBidi"/>
          <w:sz w:val="24"/>
          <w:szCs w:val="24"/>
        </w:rPr>
        <w:t>An employer may have to fire a harassing employee, or face continued liability for the hostile work environme</w:t>
      </w:r>
      <w:r>
        <w:rPr>
          <w:rFonts w:asciiTheme="majorBidi" w:hAnsiTheme="majorBidi" w:cstheme="majorBidi"/>
          <w:sz w:val="24"/>
          <w:szCs w:val="24"/>
        </w:rPr>
        <w:t xml:space="preserve">nt his mere presence creates. </w:t>
      </w:r>
      <w:r w:rsidRPr="00A71A51">
        <w:rPr>
          <w:rFonts w:asciiTheme="majorBidi" w:hAnsiTheme="majorBidi" w:cstheme="majorBidi"/>
          <w:sz w:val="24"/>
          <w:szCs w:val="24"/>
        </w:rPr>
        <w:t xml:space="preserve">In each of these contexts, a defendant’s failure to take affirmative steps to improve a bad situation of his or her own making may prolong a claim or </w:t>
      </w:r>
      <w:r w:rsidRPr="00BF2D4B">
        <w:rPr>
          <w:rFonts w:asciiTheme="majorBidi" w:hAnsiTheme="majorBidi" w:cstheme="majorBidi"/>
          <w:sz w:val="24"/>
          <w:szCs w:val="24"/>
        </w:rPr>
        <w:t>give rise to new ones"</w:t>
      </w:r>
      <w:r w:rsidRPr="00BF2D4B">
        <w:rPr>
          <w:rFonts w:ascii="Century" w:hAnsi="Century" w:hint="cs"/>
          <w:rtl/>
        </w:rPr>
        <w:t xml:space="preserve"> (</w:t>
      </w:r>
      <w:r w:rsidRPr="00A14071">
        <w:rPr>
          <w:rFonts w:ascii="Century" w:hAnsi="Century" w:hint="eastAsia"/>
          <w:rtl/>
        </w:rPr>
        <w:t>ראו</w:t>
      </w:r>
      <w:r w:rsidRPr="00BF2D4B">
        <w:rPr>
          <w:rFonts w:ascii="Century" w:hAnsi="Century" w:hint="cs"/>
          <w:rtl/>
        </w:rPr>
        <w:t>:</w:t>
      </w:r>
      <w:r w:rsidRPr="00A14071">
        <w:rPr>
          <w:rFonts w:ascii="Century" w:hAnsi="Century"/>
          <w:rtl/>
        </w:rPr>
        <w:t xml:space="preserve"> שם, בעמ' 285 (</w:t>
      </w:r>
      <w:r>
        <w:rPr>
          <w:rFonts w:ascii="Century" w:hAnsi="Century" w:hint="cs"/>
          <w:rtl/>
        </w:rPr>
        <w:t>ה</w:t>
      </w:r>
      <w:r w:rsidRPr="00A14071">
        <w:rPr>
          <w:rFonts w:ascii="Century" w:hAnsi="Century"/>
          <w:rtl/>
        </w:rPr>
        <w:t>הפניות למקורות הוסרו – א.ש.)</w:t>
      </w:r>
      <w:r w:rsidRPr="00BF2D4B">
        <w:rPr>
          <w:rFonts w:ascii="Century" w:hAnsi="Century" w:hint="cs"/>
          <w:rtl/>
        </w:rPr>
        <w:t>)</w:t>
      </w:r>
      <w:r w:rsidRPr="00BF2D4B">
        <w:rPr>
          <w:rFonts w:ascii="Century" w:hAnsi="Century"/>
          <w:rtl/>
        </w:rPr>
        <w:t>.</w:t>
      </w:r>
    </w:p>
    <w:p w:rsidR="008B3136" w:rsidRDefault="008B3136" w:rsidP="008B3136">
      <w:pPr>
        <w:pStyle w:val="Ruller41"/>
        <w:bidi w:val="0"/>
      </w:pPr>
    </w:p>
    <w:p w:rsidR="008B3136" w:rsidRDefault="008B3136" w:rsidP="008B3136">
      <w:pPr>
        <w:pStyle w:val="Ruller4"/>
        <w:rPr>
          <w:rtl/>
        </w:rPr>
      </w:pPr>
      <w:r>
        <w:rPr>
          <w:rFonts w:hint="cs"/>
          <w:rtl/>
        </w:rPr>
        <w:t>בהקשר דנן, גם ההיפך יהא נכון: העובדה שמעשה עוולה כזה או אחר מתאפיין בחזרתיות וברציפות אינה מבטיחה את סיווג המעשה כאמור כעוולה נמשכת. למשל: טעויות סדרתיות בטיפול רפואי שניתן לחולה על ידי רופאוֹ יכול שתסווגנה כמעשי עוולה עצמאיים, ולא כרשלנות רפואית נמשכת (ראו:</w:t>
      </w:r>
      <w:r w:rsidRPr="00DC4BBE">
        <w:rPr>
          <w:rFonts w:asciiTheme="majorBidi" w:hAnsiTheme="majorBidi" w:cstheme="majorBidi"/>
        </w:rPr>
        <w:t>Cunningham v. Huffman, 609 N.E.2d 321, 325-326 (Ill. 1993)</w:t>
      </w:r>
      <w:r>
        <w:rPr>
          <w:rFonts w:hint="cs"/>
          <w:rtl/>
        </w:rPr>
        <w:t xml:space="preserve">). אחזור ואומר כי המחוקק, אם רצונו בכך, יכול להגדיר מעשה עוולה שמתאפיין בחזרתיות וברציפות כסדרה של עוולות יחידניות (ראו: </w:t>
      </w:r>
      <w:r w:rsidRPr="00DC4BBE">
        <w:rPr>
          <w:rFonts w:ascii="Century" w:hAnsi="Century" w:cs="Miriam" w:hint="cs"/>
          <w:b/>
          <w:spacing w:val="0"/>
          <w:sz w:val="22"/>
          <w:szCs w:val="24"/>
          <w:rtl/>
        </w:rPr>
        <w:t>גלעד</w:t>
      </w:r>
      <w:r w:rsidRPr="00C369DF">
        <w:rPr>
          <w:rFonts w:hint="cs"/>
          <w:rtl/>
        </w:rPr>
        <w:t>, בעמ' 223-222</w:t>
      </w:r>
      <w:r>
        <w:rPr>
          <w:rFonts w:hint="cs"/>
          <w:rtl/>
        </w:rPr>
        <w:t xml:space="preserve">); ובאומרי "המחוקק" </w:t>
      </w:r>
      <w:r>
        <w:rPr>
          <w:rtl/>
        </w:rPr>
        <w:t>–</w:t>
      </w:r>
      <w:r>
        <w:rPr>
          <w:rFonts w:hint="cs"/>
          <w:rtl/>
        </w:rPr>
        <w:t xml:space="preserve"> כאן וביחס לדוגמא הקודמת </w:t>
      </w:r>
      <w:r>
        <w:rPr>
          <w:rtl/>
        </w:rPr>
        <w:t>–</w:t>
      </w:r>
      <w:r>
        <w:rPr>
          <w:rFonts w:hint="cs"/>
          <w:rtl/>
        </w:rPr>
        <w:t xml:space="preserve"> כוונתי, כמובן, לא רק </w:t>
      </w:r>
      <w:r w:rsidRPr="00425ACA">
        <w:rPr>
          <w:rFonts w:hint="eastAsia"/>
          <w:rtl/>
        </w:rPr>
        <w:t>למחוקק</w:t>
      </w:r>
      <w:r w:rsidRPr="00425ACA">
        <w:rPr>
          <w:rtl/>
        </w:rPr>
        <w:t xml:space="preserve"> </w:t>
      </w:r>
      <w:r w:rsidRPr="00425ACA">
        <w:rPr>
          <w:rFonts w:hint="eastAsia"/>
          <w:rtl/>
        </w:rPr>
        <w:t>ככזה</w:t>
      </w:r>
      <w:r>
        <w:rPr>
          <w:rFonts w:hint="cs"/>
          <w:rtl/>
        </w:rPr>
        <w:t xml:space="preserve">, אלא גם לבתי המשפט אשר מעצבים דוקטרינות פסיקתיות בדל"ת אמות סמכויותיהם כחלק מהמשפט המקובל הישראלי (לדוגמאות ראו: </w:t>
      </w:r>
      <w:r w:rsidRPr="00DC4BBE">
        <w:rPr>
          <w:rFonts w:ascii="Century" w:hAnsi="Century" w:cs="Miriam" w:hint="cs"/>
          <w:b/>
          <w:spacing w:val="0"/>
          <w:sz w:val="22"/>
          <w:szCs w:val="24"/>
          <w:rtl/>
        </w:rPr>
        <w:t>גלעד</w:t>
      </w:r>
      <w:r>
        <w:rPr>
          <w:rFonts w:hint="cs"/>
          <w:rtl/>
        </w:rPr>
        <w:t xml:space="preserve">, שם; ובאשר למעמדו של "המשפט המקובל הישראלי" כדין לכל דבר ועניין, ראו: אהרן ברק "הקונסטיטוציונליזציה של המשפט המקובל בישראל" </w:t>
      </w:r>
      <w:r w:rsidRPr="00DC4BBE">
        <w:rPr>
          <w:rFonts w:ascii="Century" w:hAnsi="Century" w:cs="Miriam" w:hint="eastAsia"/>
          <w:b/>
          <w:spacing w:val="0"/>
          <w:sz w:val="22"/>
          <w:szCs w:val="24"/>
          <w:rtl/>
        </w:rPr>
        <w:t>הפרקליט</w:t>
      </w:r>
      <w:r>
        <w:rPr>
          <w:rFonts w:hint="cs"/>
          <w:rtl/>
        </w:rPr>
        <w:t xml:space="preserve"> נה 5, 13-7 (2022)).</w:t>
      </w:r>
    </w:p>
    <w:p w:rsidR="008B3136" w:rsidRDefault="008B3136" w:rsidP="008B3136">
      <w:pPr>
        <w:pStyle w:val="Ruller4"/>
        <w:numPr>
          <w:ilvl w:val="0"/>
          <w:numId w:val="0"/>
        </w:numPr>
      </w:pPr>
    </w:p>
    <w:p w:rsidR="008B3136" w:rsidRDefault="008B3136" w:rsidP="008B3136">
      <w:pPr>
        <w:pStyle w:val="Ruller4"/>
        <w:rPr>
          <w:rtl/>
        </w:rPr>
      </w:pPr>
      <w:r w:rsidRPr="003F3A49">
        <w:rPr>
          <w:rFonts w:ascii="Century" w:hAnsi="Century" w:cs="Miriam" w:hint="cs"/>
          <w:b/>
          <w:spacing w:val="0"/>
          <w:sz w:val="22"/>
          <w:szCs w:val="24"/>
          <w:rtl/>
        </w:rPr>
        <w:t xml:space="preserve">המענה הנכון לשאלה "האם עסקינן בעוולה נמשכת?" מצוי, </w:t>
      </w:r>
      <w:r>
        <w:rPr>
          <w:rFonts w:ascii="Century" w:hAnsi="Century" w:cs="Miriam" w:hint="cs"/>
          <w:b/>
          <w:spacing w:val="0"/>
          <w:sz w:val="22"/>
          <w:szCs w:val="24"/>
          <w:rtl/>
        </w:rPr>
        <w:t xml:space="preserve">אפוא, </w:t>
      </w:r>
      <w:r w:rsidRPr="003F3A49">
        <w:rPr>
          <w:rFonts w:ascii="Century" w:hAnsi="Century" w:cs="Miriam" w:hint="cs"/>
          <w:b/>
          <w:spacing w:val="0"/>
          <w:sz w:val="22"/>
          <w:szCs w:val="24"/>
          <w:rtl/>
        </w:rPr>
        <w:t xml:space="preserve">בראש ובראשונה, ברצונו של המחוקק </w:t>
      </w:r>
      <w:r w:rsidRPr="003F3A49">
        <w:rPr>
          <w:rFonts w:ascii="Century" w:hAnsi="Century" w:cs="Miriam"/>
          <w:b/>
          <w:spacing w:val="0"/>
          <w:sz w:val="22"/>
          <w:szCs w:val="24"/>
          <w:rtl/>
        </w:rPr>
        <w:t>–</w:t>
      </w:r>
      <w:r w:rsidRPr="003F3A49">
        <w:rPr>
          <w:rFonts w:ascii="Century" w:hAnsi="Century" w:cs="Miriam" w:hint="cs"/>
          <w:b/>
          <w:spacing w:val="0"/>
          <w:sz w:val="22"/>
          <w:szCs w:val="24"/>
          <w:rtl/>
        </w:rPr>
        <w:t xml:space="preserve"> כפי שזה בא לידי ביטוי בהוראות הדין </w:t>
      </w:r>
      <w:r w:rsidRPr="003F3A49">
        <w:rPr>
          <w:rFonts w:ascii="Century" w:hAnsi="Century" w:cs="Miriam"/>
          <w:b/>
          <w:spacing w:val="0"/>
          <w:sz w:val="22"/>
          <w:szCs w:val="24"/>
          <w:rtl/>
        </w:rPr>
        <w:t>–</w:t>
      </w:r>
      <w:r>
        <w:rPr>
          <w:rFonts w:ascii="Century" w:hAnsi="Century" w:cs="Miriam" w:hint="cs"/>
          <w:b/>
          <w:spacing w:val="0"/>
          <w:sz w:val="22"/>
          <w:szCs w:val="24"/>
          <w:rtl/>
        </w:rPr>
        <w:t xml:space="preserve"> ולא בעינ</w:t>
      </w:r>
      <w:r w:rsidRPr="003F3A49">
        <w:rPr>
          <w:rFonts w:ascii="Century" w:hAnsi="Century" w:cs="Miriam" w:hint="cs"/>
          <w:b/>
          <w:spacing w:val="0"/>
          <w:sz w:val="22"/>
          <w:szCs w:val="24"/>
          <w:rtl/>
        </w:rPr>
        <w:t>י המתבו</w:t>
      </w:r>
      <w:r>
        <w:rPr>
          <w:rFonts w:ascii="Century" w:hAnsi="Century" w:cs="Miriam" w:hint="cs"/>
          <w:b/>
          <w:spacing w:val="0"/>
          <w:sz w:val="22"/>
          <w:szCs w:val="24"/>
          <w:rtl/>
        </w:rPr>
        <w:t xml:space="preserve">נן במאפייניו העובדתיים של מעשה </w:t>
      </w:r>
      <w:r w:rsidRPr="003F3A49">
        <w:rPr>
          <w:rFonts w:ascii="Century" w:hAnsi="Century" w:cs="Miriam" w:hint="cs"/>
          <w:b/>
          <w:spacing w:val="0"/>
          <w:sz w:val="22"/>
          <w:szCs w:val="24"/>
          <w:rtl/>
        </w:rPr>
        <w:t>נזיקין</w:t>
      </w:r>
      <w:r>
        <w:rPr>
          <w:rFonts w:hint="cs"/>
          <w:rtl/>
        </w:rPr>
        <w:t xml:space="preserve">. דומה כי השופט </w:t>
      </w:r>
      <w:r w:rsidRPr="00330281">
        <w:rPr>
          <w:rFonts w:ascii="Century" w:hAnsi="Century" w:cs="Miriam" w:hint="cs"/>
          <w:b/>
          <w:spacing w:val="0"/>
          <w:sz w:val="22"/>
          <w:szCs w:val="24"/>
          <w:rtl/>
        </w:rPr>
        <w:t>חבקין</w:t>
      </w:r>
      <w:r>
        <w:rPr>
          <w:rFonts w:hint="cs"/>
          <w:rtl/>
        </w:rPr>
        <w:t xml:space="preserve"> היה ער לנקודה חשובה זו בציינו בספרו כי "השאלה אימתי מתקיימים תנאים אלה </w:t>
      </w:r>
      <w:r>
        <w:rPr>
          <w:rtl/>
        </w:rPr>
        <w:t>–</w:t>
      </w:r>
      <w:r>
        <w:rPr>
          <w:rFonts w:hint="cs"/>
          <w:rtl/>
        </w:rPr>
        <w:t xml:space="preserve"> חזרה ורציפות </w:t>
      </w:r>
      <w:r>
        <w:rPr>
          <w:rtl/>
        </w:rPr>
        <w:t>–</w:t>
      </w:r>
      <w:r>
        <w:rPr>
          <w:rFonts w:hint="cs"/>
          <w:rtl/>
        </w:rPr>
        <w:t xml:space="preserve"> היא </w:t>
      </w:r>
      <w:r w:rsidRPr="00330281">
        <w:rPr>
          <w:rFonts w:ascii="Century" w:hAnsi="Century" w:cs="Miriam" w:hint="cs"/>
          <w:b/>
          <w:spacing w:val="0"/>
          <w:sz w:val="22"/>
          <w:szCs w:val="24"/>
          <w:rtl/>
        </w:rPr>
        <w:t>שאלה נורמטיבית</w:t>
      </w:r>
      <w:r>
        <w:rPr>
          <w:rFonts w:hint="cs"/>
          <w:rtl/>
        </w:rPr>
        <w:t xml:space="preserve">" (ראו: שם, בעמ' 453; ההדגשה הוספה </w:t>
      </w:r>
      <w:r>
        <w:rPr>
          <w:rtl/>
        </w:rPr>
        <w:t>–</w:t>
      </w:r>
      <w:r>
        <w:rPr>
          <w:rFonts w:hint="cs"/>
          <w:rtl/>
        </w:rPr>
        <w:t xml:space="preserve"> א.ש.). ברם, לשיטתו, שאלה נורמטיבית זאת "נתונה לשיקול דעת בית המשפט" </w:t>
      </w:r>
      <w:r>
        <w:rPr>
          <w:rtl/>
        </w:rPr>
        <w:t>–</w:t>
      </w:r>
      <w:r>
        <w:rPr>
          <w:rFonts w:hint="cs"/>
          <w:rtl/>
        </w:rPr>
        <w:t xml:space="preserve"> דבר שיכול שיהא נכון ויכול גם שיהא בלתי נכון. קיומו או היעדרו של שיקול דעת שיפוטי בהכרעה בעניין משפטי כזה או אחר, גם הוא תלוי ברצון המחוקק, כפי שזה מוצא את ביטויו בהוראות הדין הרלבנטיות. המחוקק יכול להשאיר בידיהם של בתי המשפט שיקול דעת, ככל שרצונו בכך; אולם, הוא גם יכול שלא להשאיר שום שיקול דעת אצל שופטים או ליתן להם שיקול דעת מצומצם למדי </w:t>
      </w:r>
      <w:r>
        <w:rPr>
          <w:rtl/>
        </w:rPr>
        <w:t>–</w:t>
      </w:r>
      <w:r>
        <w:rPr>
          <w:rFonts w:hint="cs"/>
          <w:rtl/>
        </w:rPr>
        <w:t xml:space="preserve"> ובכל אחד מהמקרים הללו נעשה כדברו, ולא כראות עינינו.</w:t>
      </w:r>
    </w:p>
    <w:p w:rsidR="008B3136" w:rsidRPr="00B67AA5" w:rsidRDefault="008B3136" w:rsidP="008B3136">
      <w:pPr>
        <w:pStyle w:val="Ruller41"/>
      </w:pPr>
    </w:p>
    <w:p w:rsidR="008B3136" w:rsidRDefault="008B3136" w:rsidP="008B3136">
      <w:pPr>
        <w:pStyle w:val="Ruller4"/>
      </w:pPr>
      <w:r>
        <w:rPr>
          <w:rFonts w:hint="cs"/>
          <w:rtl/>
        </w:rPr>
        <w:t xml:space="preserve">המחוקק יכול להגדיר מעשה נזיקין כעוולה נמשכת ממגוון של טעמים. טעמים אלו כוללים את רצון המחוקק לשלול מהמעוול את הגנת ההתיישנות ולהותירו חשוף לתביעות נזיקין כל אימת שהלה אינו מתקן את עוולתו באופן מלא או, </w:t>
      </w:r>
      <w:r w:rsidRPr="00A25C33">
        <w:rPr>
          <w:rFonts w:hint="eastAsia"/>
          <w:rtl/>
        </w:rPr>
        <w:t>למצער</w:t>
      </w:r>
      <w:r>
        <w:rPr>
          <w:rFonts w:hint="cs"/>
          <w:rtl/>
        </w:rPr>
        <w:t xml:space="preserve">, אינו פועל בשקידה ראויה כדי להביא לתיקונו המרבי של המצב הקלוקל שיצר (ראו: </w:t>
      </w:r>
      <w:r w:rsidRPr="0084035C">
        <w:rPr>
          <w:rFonts w:ascii="Century" w:hAnsi="Century" w:cs="Miriam" w:hint="cs"/>
          <w:b/>
          <w:spacing w:val="0"/>
          <w:sz w:val="22"/>
          <w:szCs w:val="24"/>
          <w:rtl/>
        </w:rPr>
        <w:t>גלעד</w:t>
      </w:r>
      <w:r>
        <w:rPr>
          <w:rFonts w:hint="cs"/>
          <w:rtl/>
        </w:rPr>
        <w:t xml:space="preserve">, בעמ' 218-217; </w:t>
      </w:r>
      <w:r w:rsidRPr="0084035C">
        <w:rPr>
          <w:rFonts w:ascii="Century" w:hAnsi="Century" w:cs="Miriam" w:hint="cs"/>
          <w:b/>
          <w:spacing w:val="0"/>
          <w:sz w:val="22"/>
          <w:szCs w:val="24"/>
          <w:rtl/>
        </w:rPr>
        <w:t>גרהם</w:t>
      </w:r>
      <w:r>
        <w:rPr>
          <w:rFonts w:hint="cs"/>
          <w:rtl/>
        </w:rPr>
        <w:t xml:space="preserve">, בעמ' 278-277; </w:t>
      </w:r>
      <w:r w:rsidRPr="0084035C">
        <w:rPr>
          <w:rFonts w:ascii="Century" w:hAnsi="Century" w:cs="Miriam" w:hint="cs"/>
          <w:b/>
          <w:spacing w:val="0"/>
          <w:sz w:val="22"/>
          <w:szCs w:val="24"/>
          <w:rtl/>
        </w:rPr>
        <w:t>פלד</w:t>
      </w:r>
      <w:r>
        <w:rPr>
          <w:rFonts w:hint="cs"/>
          <w:rtl/>
        </w:rPr>
        <w:t xml:space="preserve">, בעמ' 352-349, 374-369). טעמים אלו כוללים גם את הרחבתו של חלון ההזדמנויות של התובעים הפרטיים להגשת תביעות נזיקין נגד המעוול (ראו: </w:t>
      </w:r>
      <w:r w:rsidRPr="00C405CC">
        <w:rPr>
          <w:rFonts w:ascii="Century" w:hAnsi="Century" w:cs="Miriam" w:hint="cs"/>
          <w:b/>
          <w:spacing w:val="0"/>
          <w:sz w:val="22"/>
          <w:szCs w:val="24"/>
          <w:rtl/>
        </w:rPr>
        <w:t>פלד</w:t>
      </w:r>
      <w:r>
        <w:rPr>
          <w:rFonts w:hint="cs"/>
          <w:rtl/>
        </w:rPr>
        <w:t xml:space="preserve">, בעמ' 375-374) </w:t>
      </w:r>
      <w:r>
        <w:rPr>
          <w:rtl/>
        </w:rPr>
        <w:t>–</w:t>
      </w:r>
      <w:r>
        <w:rPr>
          <w:rFonts w:hint="cs"/>
          <w:rtl/>
        </w:rPr>
        <w:t xml:space="preserve"> זאת, במיוחד כאשר מדובר בתובעים חסרי מידע ודלי אמצעים (ראו והשוו:</w:t>
      </w:r>
      <w:r w:rsidRPr="00C46E98">
        <w:rPr>
          <w:rFonts w:asciiTheme="majorBidi" w:hAnsiTheme="majorBidi" w:cstheme="majorBidi"/>
        </w:rPr>
        <w:t xml:space="preserve">Gideon Parchomovsky &amp; Alex Stein, </w:t>
      </w:r>
      <w:r w:rsidRPr="00C46E98">
        <w:rPr>
          <w:rFonts w:asciiTheme="majorBidi" w:hAnsiTheme="majorBidi" w:cstheme="majorBidi"/>
          <w:i/>
          <w:iCs/>
        </w:rPr>
        <w:t>Empowering Individual Plaintiffs</w:t>
      </w:r>
      <w:r w:rsidRPr="00C46E98">
        <w:rPr>
          <w:rFonts w:asciiTheme="majorBidi" w:hAnsiTheme="majorBidi" w:cstheme="majorBidi"/>
        </w:rPr>
        <w:t xml:space="preserve">, 102 </w:t>
      </w:r>
      <w:r w:rsidRPr="00C46E98">
        <w:rPr>
          <w:rFonts w:asciiTheme="majorBidi" w:hAnsiTheme="majorBidi" w:cstheme="majorBidi"/>
          <w:smallCaps/>
        </w:rPr>
        <w:t>Cornell L. Rev.</w:t>
      </w:r>
      <w:r w:rsidRPr="00C46E98">
        <w:rPr>
          <w:rFonts w:asciiTheme="majorBidi" w:hAnsiTheme="majorBidi" w:cstheme="majorBidi"/>
        </w:rPr>
        <w:t xml:space="preserve"> 1319 (2017)</w:t>
      </w:r>
      <w:r>
        <w:rPr>
          <w:rFonts w:hint="cs"/>
          <w:rtl/>
        </w:rPr>
        <w:t xml:space="preserve">). ברי הוא </w:t>
      </w:r>
      <w:r w:rsidRPr="00425ACA">
        <w:rPr>
          <w:rFonts w:hint="eastAsia"/>
          <w:rtl/>
        </w:rPr>
        <w:t>גם</w:t>
      </w:r>
      <w:r>
        <w:rPr>
          <w:rFonts w:hint="cs"/>
          <w:rtl/>
        </w:rPr>
        <w:t xml:space="preserve"> כי המחוקק יכול להגדיר מעשה נזיקין כעוולה נמשכת </w:t>
      </w:r>
      <w:r w:rsidRPr="00425ACA">
        <w:rPr>
          <w:rFonts w:hint="eastAsia"/>
          <w:rtl/>
        </w:rPr>
        <w:t>גם</w:t>
      </w:r>
      <w:r>
        <w:rPr>
          <w:rFonts w:hint="cs"/>
          <w:rtl/>
        </w:rPr>
        <w:t xml:space="preserve"> מטעמים נוספים: למשל, כדי לשוות למעשה כאמור משנה חומרה אשר מצדיקה הטלת פיצויים עונשיים, או </w:t>
      </w:r>
      <w:r w:rsidRPr="00144033">
        <w:rPr>
          <w:rFonts w:hint="eastAsia"/>
          <w:rtl/>
        </w:rPr>
        <w:t>פיצויים</w:t>
      </w:r>
      <w:r w:rsidRPr="00144033">
        <w:rPr>
          <w:rtl/>
        </w:rPr>
        <w:t xml:space="preserve"> </w:t>
      </w:r>
      <w:r w:rsidRPr="00144033">
        <w:rPr>
          <w:rFonts w:hint="eastAsia"/>
          <w:rtl/>
        </w:rPr>
        <w:t>לדוגמא</w:t>
      </w:r>
      <w:r w:rsidRPr="00144033">
        <w:rPr>
          <w:rtl/>
        </w:rPr>
        <w:t xml:space="preserve">, </w:t>
      </w:r>
      <w:r w:rsidRPr="00144033">
        <w:rPr>
          <w:rFonts w:hint="eastAsia"/>
          <w:rtl/>
        </w:rPr>
        <w:t>על</w:t>
      </w:r>
      <w:r w:rsidRPr="00144033">
        <w:rPr>
          <w:rtl/>
        </w:rPr>
        <w:t xml:space="preserve"> </w:t>
      </w:r>
      <w:r w:rsidRPr="00144033">
        <w:rPr>
          <w:rFonts w:hint="eastAsia"/>
          <w:rtl/>
        </w:rPr>
        <w:t>המעוול</w:t>
      </w:r>
      <w:r>
        <w:rPr>
          <w:rFonts w:hint="cs"/>
          <w:rtl/>
        </w:rPr>
        <w:t xml:space="preserve"> (ראו והשוו: עניין </w:t>
      </w:r>
      <w:r w:rsidRPr="00A14071">
        <w:rPr>
          <w:rFonts w:ascii="Century" w:hAnsi="Century" w:cs="Miriam" w:hint="eastAsia"/>
          <w:b/>
          <w:spacing w:val="0"/>
          <w:sz w:val="22"/>
          <w:szCs w:val="24"/>
          <w:rtl/>
        </w:rPr>
        <w:t>ניידלי</w:t>
      </w:r>
      <w:r>
        <w:rPr>
          <w:rFonts w:hint="cs"/>
          <w:rtl/>
        </w:rPr>
        <w:t xml:space="preserve">, בפסקה 45; ע"א 89/04 </w:t>
      </w:r>
      <w:r w:rsidRPr="00A14071">
        <w:rPr>
          <w:rFonts w:ascii="Century" w:hAnsi="Century" w:cs="Miriam" w:hint="eastAsia"/>
          <w:b/>
          <w:spacing w:val="0"/>
          <w:sz w:val="22"/>
          <w:szCs w:val="24"/>
          <w:rtl/>
        </w:rPr>
        <w:t>נודלמן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שרנסקי</w:t>
      </w:r>
      <w:r>
        <w:rPr>
          <w:rFonts w:hint="cs"/>
          <w:rtl/>
        </w:rPr>
        <w:t xml:space="preserve">, פסקאות 53, 66 (4.8.2008) (להלן: עניין </w:t>
      </w:r>
      <w:r w:rsidRPr="00A14071">
        <w:rPr>
          <w:rFonts w:ascii="Century" w:hAnsi="Century" w:cs="Miriam" w:hint="eastAsia"/>
          <w:b/>
          <w:spacing w:val="0"/>
          <w:sz w:val="22"/>
          <w:szCs w:val="24"/>
          <w:rtl/>
        </w:rPr>
        <w:t>שרנסקי</w:t>
      </w:r>
      <w:r>
        <w:rPr>
          <w:rFonts w:hint="cs"/>
          <w:rtl/>
        </w:rPr>
        <w:t xml:space="preserve">); </w:t>
      </w:r>
      <w:r w:rsidRPr="00494E71">
        <w:rPr>
          <w:rFonts w:ascii="Century" w:hAnsi="Century" w:cs="Miriam" w:hint="eastAsia"/>
          <w:b/>
          <w:spacing w:val="0"/>
          <w:sz w:val="22"/>
          <w:szCs w:val="24"/>
          <w:rtl/>
        </w:rPr>
        <w:t>לשון</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הרע</w:t>
      </w:r>
      <w:r w:rsidRPr="00494E71">
        <w:rPr>
          <w:rFonts w:ascii="Century" w:hAnsi="Century" w:cs="Miriam"/>
          <w:b/>
          <w:spacing w:val="0"/>
          <w:sz w:val="22"/>
          <w:szCs w:val="24"/>
          <w:rtl/>
        </w:rPr>
        <w:t xml:space="preserve"> – </w:t>
      </w:r>
      <w:r w:rsidRPr="00494E71">
        <w:rPr>
          <w:rFonts w:ascii="Century" w:hAnsi="Century" w:cs="Miriam" w:hint="eastAsia"/>
          <w:b/>
          <w:spacing w:val="0"/>
          <w:sz w:val="22"/>
          <w:szCs w:val="24"/>
          <w:rtl/>
        </w:rPr>
        <w:t>הדין</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המצוי</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והדין</w:t>
      </w:r>
      <w:r w:rsidRPr="00494E71">
        <w:rPr>
          <w:rFonts w:ascii="Century" w:hAnsi="Century" w:cs="Miriam"/>
          <w:b/>
          <w:spacing w:val="0"/>
          <w:sz w:val="22"/>
          <w:szCs w:val="24"/>
          <w:rtl/>
        </w:rPr>
        <w:t xml:space="preserve"> </w:t>
      </w:r>
      <w:r w:rsidRPr="00494E71">
        <w:rPr>
          <w:rFonts w:ascii="Century" w:hAnsi="Century" w:cs="Miriam" w:hint="eastAsia"/>
          <w:b/>
          <w:spacing w:val="0"/>
          <w:sz w:val="22"/>
          <w:szCs w:val="24"/>
          <w:rtl/>
        </w:rPr>
        <w:t>הרצוי</w:t>
      </w:r>
      <w:r w:rsidRPr="00355FAE">
        <w:rPr>
          <w:rFonts w:ascii="Century" w:hAnsi="Century" w:hint="cs"/>
          <w:sz w:val="22"/>
          <w:rtl/>
        </w:rPr>
        <w:t>,</w:t>
      </w:r>
      <w:r>
        <w:rPr>
          <w:rFonts w:ascii="Century" w:hAnsi="Century" w:hint="cs"/>
          <w:sz w:val="22"/>
          <w:rtl/>
        </w:rPr>
        <w:t xml:space="preserve"> בעמ'</w:t>
      </w:r>
      <w:r w:rsidRPr="00A14071">
        <w:rPr>
          <w:rFonts w:ascii="Century" w:hAnsi="Century" w:hint="eastAsia"/>
          <w:sz w:val="22"/>
          <w:rtl/>
        </w:rPr>
        <w:t xml:space="preserve"> </w:t>
      </w:r>
      <w:r>
        <w:rPr>
          <w:rFonts w:hint="cs"/>
          <w:rtl/>
        </w:rPr>
        <w:t>455-452; אריאל פורת</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נזיקין</w:t>
      </w:r>
      <w:r>
        <w:rPr>
          <w:rFonts w:hint="cs"/>
          <w:rtl/>
        </w:rPr>
        <w:t xml:space="preserve"> א</w:t>
      </w:r>
      <w:r w:rsidRPr="00537DCE">
        <w:rPr>
          <w:rFonts w:hint="cs"/>
          <w:rtl/>
        </w:rPr>
        <w:t xml:space="preserve"> </w:t>
      </w:r>
      <w:r>
        <w:rPr>
          <w:rFonts w:hint="cs"/>
          <w:rtl/>
        </w:rPr>
        <w:t xml:space="preserve">514 (2013) (להלן: </w:t>
      </w:r>
      <w:r w:rsidRPr="00A14071">
        <w:rPr>
          <w:rFonts w:ascii="Century" w:hAnsi="Century" w:cs="Miriam" w:hint="eastAsia"/>
          <w:b/>
          <w:spacing w:val="0"/>
          <w:sz w:val="22"/>
          <w:szCs w:val="24"/>
          <w:rtl/>
        </w:rPr>
        <w:t>פורת</w:t>
      </w:r>
      <w:r>
        <w:rPr>
          <w:rFonts w:hint="cs"/>
          <w:rtl/>
        </w:rPr>
        <w:t xml:space="preserve">); וכן ישראל גלעד </w:t>
      </w:r>
      <w:r w:rsidRPr="00A14071">
        <w:rPr>
          <w:rFonts w:ascii="Century" w:hAnsi="Century" w:cs="Miriam" w:hint="eastAsia"/>
          <w:b/>
          <w:spacing w:val="0"/>
          <w:sz w:val="22"/>
          <w:szCs w:val="24"/>
          <w:rtl/>
        </w:rPr>
        <w:t>דיני</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נזיקין</w:t>
      </w:r>
      <w:r w:rsidRPr="00A14071">
        <w:rPr>
          <w:rFonts w:ascii="Century" w:hAnsi="Century" w:cs="Miriam"/>
          <w:b/>
          <w:spacing w:val="0"/>
          <w:sz w:val="22"/>
          <w:szCs w:val="24"/>
          <w:rtl/>
        </w:rPr>
        <w:t xml:space="preserve"> – </w:t>
      </w:r>
      <w:r w:rsidRPr="00A14071">
        <w:rPr>
          <w:rFonts w:ascii="Century" w:hAnsi="Century" w:cs="Miriam" w:hint="eastAsia"/>
          <w:b/>
          <w:spacing w:val="0"/>
          <w:sz w:val="22"/>
          <w:szCs w:val="24"/>
          <w:rtl/>
        </w:rPr>
        <w:t>גבולות</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האחריות</w:t>
      </w:r>
      <w:r w:rsidRPr="00537DCE">
        <w:rPr>
          <w:rFonts w:hint="cs"/>
          <w:rtl/>
        </w:rPr>
        <w:t xml:space="preserve"> </w:t>
      </w:r>
      <w:r>
        <w:rPr>
          <w:rFonts w:hint="cs"/>
          <w:rtl/>
        </w:rPr>
        <w:t xml:space="preserve">221 והאסמכתאות שם (2012)). </w:t>
      </w:r>
    </w:p>
    <w:p w:rsidR="008B3136" w:rsidRPr="00537DCE" w:rsidRDefault="008B3136" w:rsidP="008B3136">
      <w:pPr>
        <w:pStyle w:val="Ruller4"/>
        <w:numPr>
          <w:ilvl w:val="0"/>
          <w:numId w:val="0"/>
        </w:numPr>
      </w:pPr>
    </w:p>
    <w:p w:rsidR="008B3136" w:rsidRDefault="008B3136" w:rsidP="008B3136">
      <w:pPr>
        <w:pStyle w:val="Ruller4"/>
        <w:rPr>
          <w:rtl/>
        </w:rPr>
      </w:pPr>
      <w:r>
        <w:rPr>
          <w:rFonts w:hint="cs"/>
          <w:rtl/>
        </w:rPr>
        <w:t xml:space="preserve">פרופ' גלעד מציג בספרו על התיישנות ניתוח נורמטיבי מאלף בשאלה אימתי יהא זה נכון לקבוע בדין עוולות נמשכות (ראו: </w:t>
      </w:r>
      <w:r w:rsidRPr="00103D92">
        <w:rPr>
          <w:rFonts w:ascii="Century" w:hAnsi="Century" w:cs="Miriam" w:hint="cs"/>
          <w:b/>
          <w:spacing w:val="0"/>
          <w:sz w:val="22"/>
          <w:szCs w:val="24"/>
          <w:rtl/>
        </w:rPr>
        <w:t>גלעד</w:t>
      </w:r>
      <w:r>
        <w:rPr>
          <w:rFonts w:hint="cs"/>
          <w:rtl/>
        </w:rPr>
        <w:t xml:space="preserve">, בעמ' 220-217). בסופו של ניתוח זה </w:t>
      </w:r>
      <w:r>
        <w:rPr>
          <w:rtl/>
        </w:rPr>
        <w:t>–</w:t>
      </w:r>
      <w:r>
        <w:rPr>
          <w:rFonts w:hint="cs"/>
          <w:rtl/>
        </w:rPr>
        <w:t xml:space="preserve"> </w:t>
      </w:r>
      <w:r w:rsidRPr="004D0CFD">
        <w:rPr>
          <w:rFonts w:hint="eastAsia"/>
          <w:rtl/>
        </w:rPr>
        <w:t>שכ</w:t>
      </w:r>
      <w:r>
        <w:rPr>
          <w:rFonts w:hint="cs"/>
          <w:rtl/>
        </w:rPr>
        <w:t>מו ה</w:t>
      </w:r>
      <w:r w:rsidRPr="004D0CFD">
        <w:rPr>
          <w:rFonts w:hint="eastAsia"/>
          <w:rtl/>
        </w:rPr>
        <w:t>ספר</w:t>
      </w:r>
      <w:r w:rsidRPr="004D0CFD">
        <w:rPr>
          <w:rtl/>
        </w:rPr>
        <w:t xml:space="preserve"> </w:t>
      </w:r>
      <w:r>
        <w:rPr>
          <w:rFonts w:hint="cs"/>
          <w:rtl/>
        </w:rPr>
        <w:t xml:space="preserve">כולו </w:t>
      </w:r>
      <w:r w:rsidRPr="004D0CFD">
        <w:rPr>
          <w:rFonts w:hint="eastAsia"/>
          <w:rtl/>
        </w:rPr>
        <w:t>מתמקד</w:t>
      </w:r>
      <w:r w:rsidRPr="004D0CFD">
        <w:rPr>
          <w:rtl/>
        </w:rPr>
        <w:t xml:space="preserve"> </w:t>
      </w:r>
      <w:r>
        <w:rPr>
          <w:rFonts w:hint="cs"/>
          <w:rtl/>
        </w:rPr>
        <w:t xml:space="preserve">בהיבטיו השונים של מוסד ההתיישנות </w:t>
      </w:r>
      <w:r>
        <w:rPr>
          <w:rtl/>
        </w:rPr>
        <w:t>–</w:t>
      </w:r>
      <w:r>
        <w:rPr>
          <w:rFonts w:hint="cs"/>
          <w:rtl/>
        </w:rPr>
        <w:t xml:space="preserve"> מביע פרופ' גלעד דעה כי הכרה בעוולות נמשכות כבסיס לקביעת תחילתו של מרוץ ההתיישנות במועד החדילה ממעשה העוולה (להלן: </w:t>
      </w:r>
      <w:r w:rsidRPr="00871710">
        <w:rPr>
          <w:rFonts w:ascii="Century" w:hAnsi="Century" w:cs="Miriam" w:hint="cs"/>
          <w:b/>
          <w:spacing w:val="0"/>
          <w:sz w:val="22"/>
          <w:szCs w:val="24"/>
          <w:rtl/>
        </w:rPr>
        <w:t>דחיסה לפנים</w:t>
      </w:r>
      <w:r>
        <w:rPr>
          <w:rFonts w:hint="cs"/>
          <w:rtl/>
        </w:rPr>
        <w:t xml:space="preserve">) איננה רצויה </w:t>
      </w:r>
      <w:r>
        <w:rPr>
          <w:rtl/>
        </w:rPr>
        <w:t>–</w:t>
      </w:r>
      <w:r>
        <w:rPr>
          <w:rFonts w:hint="cs"/>
          <w:rtl/>
        </w:rPr>
        <w:t xml:space="preserve"> זאת, מאחר שהיא "מיטיבה עם תובעים ומרעה עם נתבעים" (ראו: שם, בעמ' 218). דעתי בעניין זה הינה שונה. הכרה במעשה עוולה כעוולה נמשכת יכול שתוצדק בלא מעט מקרים מהטעמים שמניתי לעיל; ואם יבוא בפניי נתבע וישאלני "כיצד ייתכן שהכרה כאמור מרעה עמי?", אענה לו כי הדבר נעשה על-מנת ליתן לו הזדמנות פז לחדול מעוולתו ולתקן את אשר מוטל עליו לתקן </w:t>
      </w:r>
      <w:r w:rsidRPr="00A12012">
        <w:rPr>
          <w:rFonts w:ascii="Century" w:hAnsi="Century" w:cs="Miriam" w:hint="cs"/>
          <w:b/>
          <w:spacing w:val="0"/>
          <w:sz w:val="22"/>
          <w:szCs w:val="24"/>
          <w:rtl/>
        </w:rPr>
        <w:t>מהר ככל שניתן</w:t>
      </w:r>
      <w:r>
        <w:rPr>
          <w:rFonts w:hint="cs"/>
          <w:rtl/>
        </w:rPr>
        <w:t xml:space="preserve"> </w:t>
      </w:r>
      <w:r>
        <w:rPr>
          <w:rtl/>
        </w:rPr>
        <w:t>–</w:t>
      </w:r>
      <w:r>
        <w:rPr>
          <w:rFonts w:hint="cs"/>
          <w:rtl/>
        </w:rPr>
        <w:t xml:space="preserve"> והברירה נתונה בידו. בהקשר זה ובכל הקשר אחר, אל לנו להסיט את מבטנו ממטרת-העל של דיני הנזיקין, אלו שעניינם אחריות ואלו אשר נסובו על כללי הדיון בבתי המשפט. מטרה זו היא מזעור סך כל העלויות החברתיות אשר מורכבות משלושת אלה: (1) עלות הנזקים ועלות מניעתם; (2) החיסרון האישי אשר נגרם למי שהדין מסמנוֹ כנושא בעלות הנזק </w:t>
      </w:r>
      <w:r w:rsidRPr="00715EBA">
        <w:rPr>
          <w:rFonts w:hint="eastAsia"/>
          <w:rtl/>
        </w:rPr>
        <w:t>ובעלות</w:t>
      </w:r>
      <w:r w:rsidRPr="00715EBA">
        <w:rPr>
          <w:rtl/>
        </w:rPr>
        <w:t xml:space="preserve"> </w:t>
      </w:r>
      <w:r w:rsidRPr="00715EBA">
        <w:rPr>
          <w:rFonts w:hint="eastAsia"/>
          <w:rtl/>
        </w:rPr>
        <w:t>מניעתו</w:t>
      </w:r>
      <w:r>
        <w:rPr>
          <w:rFonts w:hint="cs"/>
          <w:rtl/>
        </w:rPr>
        <w:t xml:space="preserve">; וכן (3) העלויות האדמיניסטרטיביות של מערכת המשפט, אשר כוללות, בראש ובראשונה, את מחירן הכולל של התדיינויות בבתי המשפט לפרט ולחברה (ראו: </w:t>
      </w:r>
      <w:r w:rsidRPr="007A7678">
        <w:rPr>
          <w:rFonts w:asciiTheme="majorBidi" w:hAnsiTheme="majorBidi" w:cstheme="majorBidi"/>
          <w:smallCaps/>
        </w:rPr>
        <w:t>Guido Calabresi, The Cost</w:t>
      </w:r>
      <w:r>
        <w:rPr>
          <w:rFonts w:asciiTheme="majorBidi" w:hAnsiTheme="majorBidi" w:cstheme="majorBidi"/>
          <w:smallCaps/>
        </w:rPr>
        <w:t>s</w:t>
      </w:r>
      <w:r w:rsidRPr="007A7678">
        <w:rPr>
          <w:rFonts w:asciiTheme="majorBidi" w:hAnsiTheme="majorBidi" w:cstheme="majorBidi"/>
          <w:smallCaps/>
        </w:rPr>
        <w:t xml:space="preserve"> of Accidents</w:t>
      </w:r>
      <w:r>
        <w:rPr>
          <w:rFonts w:asciiTheme="majorBidi" w:hAnsiTheme="majorBidi" w:cstheme="majorBidi"/>
        </w:rPr>
        <w:t xml:space="preserve">: </w:t>
      </w:r>
      <w:r w:rsidRPr="00A12012">
        <w:rPr>
          <w:rFonts w:asciiTheme="majorBidi" w:hAnsiTheme="majorBidi" w:cstheme="majorBidi"/>
          <w:smallCaps/>
        </w:rPr>
        <w:t>A Legal and Economic Analysis</w:t>
      </w:r>
      <w:r>
        <w:rPr>
          <w:rFonts w:asciiTheme="majorBidi" w:hAnsiTheme="majorBidi" w:cstheme="majorBidi"/>
        </w:rPr>
        <w:t>,</w:t>
      </w:r>
      <w:r w:rsidRPr="007A7678">
        <w:rPr>
          <w:rFonts w:asciiTheme="majorBidi" w:hAnsiTheme="majorBidi" w:cstheme="majorBidi"/>
        </w:rPr>
        <w:t xml:space="preserve"> </w:t>
      </w:r>
      <w:r>
        <w:rPr>
          <w:rFonts w:asciiTheme="majorBidi" w:hAnsiTheme="majorBidi" w:cstheme="majorBidi"/>
        </w:rPr>
        <w:t xml:space="preserve">26-31, </w:t>
      </w:r>
      <w:r w:rsidRPr="00A12012">
        <w:rPr>
          <w:rFonts w:asciiTheme="majorBidi" w:hAnsiTheme="majorBidi" w:cstheme="majorBidi"/>
        </w:rPr>
        <w:t>95</w:t>
      </w:r>
      <w:r>
        <w:rPr>
          <w:rFonts w:asciiTheme="majorBidi" w:hAnsiTheme="majorBidi" w:cstheme="majorBidi"/>
        </w:rPr>
        <w:t>-</w:t>
      </w:r>
      <w:r w:rsidRPr="00A12012">
        <w:rPr>
          <w:rFonts w:asciiTheme="majorBidi" w:hAnsiTheme="majorBidi" w:cstheme="majorBidi"/>
        </w:rPr>
        <w:t>129, 174</w:t>
      </w:r>
      <w:r>
        <w:rPr>
          <w:rFonts w:asciiTheme="majorBidi" w:hAnsiTheme="majorBidi" w:cstheme="majorBidi"/>
        </w:rPr>
        <w:t>-1</w:t>
      </w:r>
      <w:r w:rsidRPr="00A12012">
        <w:rPr>
          <w:rFonts w:asciiTheme="majorBidi" w:hAnsiTheme="majorBidi" w:cstheme="majorBidi"/>
        </w:rPr>
        <w:t>97, 266</w:t>
      </w:r>
      <w:r>
        <w:rPr>
          <w:rFonts w:asciiTheme="majorBidi" w:hAnsiTheme="majorBidi" w:cstheme="majorBidi"/>
        </w:rPr>
        <w:t>-2</w:t>
      </w:r>
      <w:r w:rsidRPr="00A12012">
        <w:rPr>
          <w:rFonts w:asciiTheme="majorBidi" w:hAnsiTheme="majorBidi" w:cstheme="majorBidi"/>
        </w:rPr>
        <w:t>73 (1970)</w:t>
      </w:r>
      <w:r w:rsidRPr="00F32C89">
        <w:rPr>
          <w:rFonts w:hint="cs"/>
          <w:rtl/>
        </w:rPr>
        <w:t>)</w:t>
      </w:r>
      <w:r>
        <w:rPr>
          <w:rFonts w:hint="cs"/>
          <w:rtl/>
        </w:rPr>
        <w:t>. כך או אחרת, בערעור אשר מונח לפנינו כאן עסקינן בדין המצוי, שאותו עלינו לפרש וליישם כמות שהוא בכל מקרה ומקרה; ובזאת אעסוק.</w:t>
      </w:r>
    </w:p>
    <w:p w:rsidR="008B3136" w:rsidRPr="00B67AA5" w:rsidRDefault="008B3136" w:rsidP="008B3136">
      <w:pPr>
        <w:pStyle w:val="Ruller41"/>
      </w:pPr>
    </w:p>
    <w:p w:rsidR="008B3136" w:rsidRDefault="008B3136" w:rsidP="008B3136">
      <w:pPr>
        <w:pStyle w:val="Ruller4"/>
      </w:pPr>
      <w:r>
        <w:rPr>
          <w:rFonts w:hint="cs"/>
          <w:rtl/>
        </w:rPr>
        <w:t xml:space="preserve">אמור מעתה: </w:t>
      </w:r>
      <w:r w:rsidRPr="00A75546">
        <w:rPr>
          <w:rFonts w:ascii="Century" w:hAnsi="Century" w:cs="Miriam" w:hint="cs"/>
          <w:b/>
          <w:spacing w:val="0"/>
          <w:sz w:val="22"/>
          <w:szCs w:val="24"/>
          <w:rtl/>
        </w:rPr>
        <w:t>מעשה נזיקין ייחשב לעוולה נמשכת כאשר הדין המצוי מגדירו ככזה בכללי הנזיקין שעניינ</w:t>
      </w:r>
      <w:r>
        <w:rPr>
          <w:rFonts w:ascii="Century" w:hAnsi="Century" w:cs="Miriam" w:hint="cs"/>
          <w:b/>
          <w:spacing w:val="0"/>
          <w:sz w:val="22"/>
          <w:szCs w:val="24"/>
          <w:rtl/>
        </w:rPr>
        <w:t>ם</w:t>
      </w:r>
      <w:r w:rsidRPr="00A75546">
        <w:rPr>
          <w:rFonts w:ascii="Century" w:hAnsi="Century" w:cs="Miriam" w:hint="cs"/>
          <w:b/>
          <w:spacing w:val="0"/>
          <w:sz w:val="22"/>
          <w:szCs w:val="24"/>
          <w:rtl/>
        </w:rPr>
        <w:t xml:space="preserve"> הגדרה של עוולה, </w:t>
      </w:r>
      <w:r>
        <w:rPr>
          <w:rFonts w:ascii="Century" w:hAnsi="Century" w:cs="Miriam" w:hint="cs"/>
          <w:b/>
          <w:spacing w:val="0"/>
          <w:sz w:val="22"/>
          <w:szCs w:val="24"/>
          <w:rtl/>
        </w:rPr>
        <w:t xml:space="preserve">וכן הגדרות </w:t>
      </w:r>
      <w:r w:rsidRPr="00A75546">
        <w:rPr>
          <w:rFonts w:ascii="Century" w:hAnsi="Century" w:cs="Miriam" w:hint="cs"/>
          <w:b/>
          <w:spacing w:val="0"/>
          <w:sz w:val="22"/>
          <w:szCs w:val="24"/>
          <w:rtl/>
        </w:rPr>
        <w:t>של נזק וקשר סיבתי</w:t>
      </w:r>
      <w:r w:rsidRPr="00DD58A4">
        <w:rPr>
          <w:rFonts w:ascii="Century" w:hAnsi="Century" w:cs="Miriam" w:hint="cs"/>
          <w:b/>
          <w:spacing w:val="0"/>
          <w:sz w:val="22"/>
          <w:szCs w:val="24"/>
          <w:rtl/>
        </w:rPr>
        <w:t xml:space="preserve"> </w:t>
      </w:r>
      <w:r w:rsidRPr="00DD58A4">
        <w:rPr>
          <w:rFonts w:ascii="Century" w:hAnsi="Century" w:cs="Miriam"/>
          <w:b/>
          <w:spacing w:val="0"/>
          <w:sz w:val="22"/>
          <w:szCs w:val="24"/>
          <w:rtl/>
        </w:rPr>
        <w:t>–</w:t>
      </w:r>
      <w:r w:rsidRPr="00DD58A4">
        <w:rPr>
          <w:rFonts w:ascii="Century" w:hAnsi="Century" w:cs="Miriam" w:hint="cs"/>
          <w:b/>
          <w:spacing w:val="0"/>
          <w:sz w:val="22"/>
          <w:szCs w:val="24"/>
          <w:rtl/>
        </w:rPr>
        <w:t xml:space="preserve"> ככל שאלו נדרשים להתהוות העוולה</w:t>
      </w:r>
      <w:r>
        <w:rPr>
          <w:rFonts w:hint="cs"/>
          <w:rtl/>
        </w:rPr>
        <w:t>.</w:t>
      </w:r>
    </w:p>
    <w:p w:rsidR="008B3136" w:rsidRDefault="008B3136" w:rsidP="008B3136">
      <w:pPr>
        <w:pStyle w:val="Ruller4"/>
        <w:numPr>
          <w:ilvl w:val="0"/>
          <w:numId w:val="0"/>
        </w:numPr>
        <w:rPr>
          <w:rtl/>
        </w:rPr>
      </w:pPr>
    </w:p>
    <w:p w:rsidR="008B3136" w:rsidRPr="00B67AA5" w:rsidRDefault="008B3136" w:rsidP="008B3136">
      <w:pPr>
        <w:pStyle w:val="Ruller41"/>
        <w:rPr>
          <w:rFonts w:ascii="Century" w:hAnsi="Century" w:cs="Miriam"/>
          <w:b/>
          <w:spacing w:val="0"/>
          <w:szCs w:val="24"/>
          <w:rtl/>
        </w:rPr>
      </w:pPr>
      <w:r>
        <w:rPr>
          <w:rFonts w:ascii="Century" w:hAnsi="Century" w:cs="Miriam" w:hint="cs"/>
          <w:b/>
          <w:spacing w:val="0"/>
          <w:szCs w:val="24"/>
          <w:rtl/>
        </w:rPr>
        <w:t>חוק לשון הרע ודיני הנזיקין הכלליים</w:t>
      </w:r>
    </w:p>
    <w:p w:rsidR="008B3136" w:rsidRPr="00A75546" w:rsidRDefault="008B3136" w:rsidP="008B3136">
      <w:pPr>
        <w:pStyle w:val="Ruller41"/>
      </w:pPr>
    </w:p>
    <w:p w:rsidR="008B3136" w:rsidRDefault="008B3136" w:rsidP="008B3136">
      <w:pPr>
        <w:pStyle w:val="Ruller4"/>
        <w:rPr>
          <w:rtl/>
        </w:rPr>
      </w:pPr>
      <w:r>
        <w:rPr>
          <w:rFonts w:hint="cs"/>
          <w:rtl/>
        </w:rPr>
        <w:t>אחריות המעוול ללשון הרע מוגדרת בסעיף 7 לחוק לשון הרע, אשר קובע לאמור:</w:t>
      </w:r>
    </w:p>
    <w:p w:rsidR="008B3136" w:rsidRDefault="008B3136" w:rsidP="008B3136">
      <w:pPr>
        <w:pStyle w:val="Ruller41"/>
        <w:rPr>
          <w:rtl/>
        </w:rPr>
      </w:pPr>
    </w:p>
    <w:p w:rsidR="008B3136" w:rsidRDefault="008B3136" w:rsidP="008B3136">
      <w:pPr>
        <w:pStyle w:val="Ruller5"/>
        <w:rPr>
          <w:rtl/>
        </w:rPr>
      </w:pPr>
      <w:r w:rsidRPr="00F32C89">
        <w:rPr>
          <w:rtl/>
        </w:rPr>
        <w:t>"</w:t>
      </w:r>
      <w:r w:rsidRPr="00F32C89">
        <w:rPr>
          <w:rFonts w:hint="eastAsia"/>
          <w:rtl/>
        </w:rPr>
        <w:t>פרסום</w:t>
      </w:r>
      <w:r w:rsidRPr="00F32C89">
        <w:rPr>
          <w:rtl/>
        </w:rPr>
        <w:t xml:space="preserve"> </w:t>
      </w:r>
      <w:r w:rsidRPr="00F32C89">
        <w:rPr>
          <w:rFonts w:hint="eastAsia"/>
          <w:rtl/>
        </w:rPr>
        <w:t>לשון</w:t>
      </w:r>
      <w:r w:rsidRPr="00F32C89">
        <w:rPr>
          <w:rtl/>
        </w:rPr>
        <w:t xml:space="preserve"> </w:t>
      </w:r>
      <w:r w:rsidRPr="00F32C89">
        <w:rPr>
          <w:rFonts w:hint="eastAsia"/>
          <w:rtl/>
        </w:rPr>
        <w:t>הרע</w:t>
      </w:r>
      <w:r w:rsidRPr="00F32C89">
        <w:rPr>
          <w:rtl/>
        </w:rPr>
        <w:t xml:space="preserve"> </w:t>
      </w:r>
      <w:r w:rsidRPr="00F32C89">
        <w:rPr>
          <w:rFonts w:hint="eastAsia"/>
          <w:rtl/>
        </w:rPr>
        <w:t>לאדם</w:t>
      </w:r>
      <w:r w:rsidRPr="00F32C89">
        <w:rPr>
          <w:rtl/>
        </w:rPr>
        <w:t xml:space="preserve"> </w:t>
      </w:r>
      <w:r w:rsidRPr="00F32C89">
        <w:rPr>
          <w:rFonts w:hint="eastAsia"/>
          <w:rtl/>
        </w:rPr>
        <w:t>או</w:t>
      </w:r>
      <w:r w:rsidRPr="00F32C89">
        <w:rPr>
          <w:rtl/>
        </w:rPr>
        <w:t xml:space="preserve"> </w:t>
      </w:r>
      <w:r w:rsidRPr="00F32C89">
        <w:rPr>
          <w:rFonts w:hint="eastAsia"/>
          <w:rtl/>
        </w:rPr>
        <w:t>יותר</w:t>
      </w:r>
      <w:r w:rsidRPr="00F32C89">
        <w:rPr>
          <w:rtl/>
        </w:rPr>
        <w:t xml:space="preserve"> </w:t>
      </w:r>
      <w:r w:rsidRPr="00F32C89">
        <w:rPr>
          <w:rFonts w:hint="eastAsia"/>
          <w:rtl/>
        </w:rPr>
        <w:t>זולת</w:t>
      </w:r>
      <w:r w:rsidRPr="00F32C89">
        <w:rPr>
          <w:rtl/>
        </w:rPr>
        <w:t xml:space="preserve"> </w:t>
      </w:r>
      <w:r w:rsidRPr="00F32C89">
        <w:rPr>
          <w:rFonts w:hint="eastAsia"/>
          <w:rtl/>
        </w:rPr>
        <w:t>הנפגע</w:t>
      </w:r>
      <w:r w:rsidRPr="00F32C89">
        <w:rPr>
          <w:rtl/>
        </w:rPr>
        <w:t xml:space="preserve"> </w:t>
      </w:r>
      <w:r w:rsidRPr="00F32C89">
        <w:rPr>
          <w:rFonts w:hint="eastAsia"/>
          <w:rtl/>
        </w:rPr>
        <w:t>תהא</w:t>
      </w:r>
      <w:r w:rsidRPr="00F32C89">
        <w:rPr>
          <w:rtl/>
        </w:rPr>
        <w:t xml:space="preserve"> </w:t>
      </w:r>
      <w:r w:rsidRPr="00F32C89">
        <w:rPr>
          <w:rFonts w:hint="eastAsia"/>
          <w:rtl/>
        </w:rPr>
        <w:t>עוולה</w:t>
      </w:r>
      <w:r w:rsidRPr="00F32C89">
        <w:rPr>
          <w:rtl/>
        </w:rPr>
        <w:t xml:space="preserve"> </w:t>
      </w:r>
      <w:r w:rsidRPr="00F32C89">
        <w:rPr>
          <w:rFonts w:hint="eastAsia"/>
          <w:rtl/>
        </w:rPr>
        <w:t>אזרחית</w:t>
      </w:r>
      <w:r w:rsidRPr="00F32C89">
        <w:rPr>
          <w:rtl/>
        </w:rPr>
        <w:t xml:space="preserve">, </w:t>
      </w:r>
      <w:r w:rsidRPr="00F32C89">
        <w:rPr>
          <w:rFonts w:hint="eastAsia"/>
          <w:rtl/>
        </w:rPr>
        <w:t>ובכפוף</w:t>
      </w:r>
      <w:r w:rsidRPr="00F32C89">
        <w:rPr>
          <w:rtl/>
        </w:rPr>
        <w:t xml:space="preserve"> </w:t>
      </w:r>
      <w:r w:rsidRPr="00F32C89">
        <w:rPr>
          <w:rFonts w:hint="eastAsia"/>
          <w:rtl/>
        </w:rPr>
        <w:t>להוראות</w:t>
      </w:r>
      <w:r w:rsidRPr="00F32C89">
        <w:rPr>
          <w:rtl/>
        </w:rPr>
        <w:t xml:space="preserve"> </w:t>
      </w:r>
      <w:r w:rsidRPr="00F32C89">
        <w:rPr>
          <w:rFonts w:hint="eastAsia"/>
          <w:rtl/>
        </w:rPr>
        <w:t>חוק</w:t>
      </w:r>
      <w:r w:rsidRPr="00F32C89">
        <w:rPr>
          <w:rtl/>
        </w:rPr>
        <w:t xml:space="preserve"> </w:t>
      </w:r>
      <w:r w:rsidRPr="00F32C89">
        <w:rPr>
          <w:rFonts w:hint="eastAsia"/>
          <w:rtl/>
        </w:rPr>
        <w:t>זה</w:t>
      </w:r>
      <w:r w:rsidRPr="00F32C89">
        <w:rPr>
          <w:rtl/>
        </w:rPr>
        <w:t xml:space="preserve"> </w:t>
      </w:r>
      <w:r w:rsidRPr="00F32C89">
        <w:rPr>
          <w:rFonts w:hint="eastAsia"/>
          <w:rtl/>
        </w:rPr>
        <w:t>יחולו</w:t>
      </w:r>
      <w:r w:rsidRPr="00F32C89">
        <w:rPr>
          <w:rtl/>
        </w:rPr>
        <w:t xml:space="preserve"> </w:t>
      </w:r>
      <w:r w:rsidRPr="00F32C89">
        <w:rPr>
          <w:rFonts w:hint="eastAsia"/>
          <w:rtl/>
        </w:rPr>
        <w:t>עליה</w:t>
      </w:r>
      <w:r w:rsidRPr="00F32C89">
        <w:rPr>
          <w:rtl/>
        </w:rPr>
        <w:t xml:space="preserve"> </w:t>
      </w:r>
      <w:r w:rsidRPr="00F32C89">
        <w:rPr>
          <w:rFonts w:hint="eastAsia"/>
          <w:rtl/>
        </w:rPr>
        <w:t>הוראות</w:t>
      </w:r>
      <w:r w:rsidRPr="00F32C89">
        <w:rPr>
          <w:rtl/>
        </w:rPr>
        <w:t xml:space="preserve"> </w:t>
      </w:r>
      <w:r w:rsidRPr="00F32C89">
        <w:rPr>
          <w:rFonts w:hint="eastAsia"/>
          <w:rtl/>
        </w:rPr>
        <w:t>הסעיפים</w:t>
      </w:r>
      <w:r w:rsidRPr="00F32C89">
        <w:rPr>
          <w:rtl/>
        </w:rPr>
        <w:t xml:space="preserve"> 2(2) </w:t>
      </w:r>
      <w:r w:rsidRPr="00F32C89">
        <w:rPr>
          <w:rFonts w:hint="eastAsia"/>
          <w:rtl/>
        </w:rPr>
        <w:t>עד</w:t>
      </w:r>
      <w:r w:rsidRPr="00F32C89">
        <w:rPr>
          <w:rtl/>
        </w:rPr>
        <w:t xml:space="preserve"> 15, 55</w:t>
      </w:r>
      <w:r w:rsidRPr="00F32C89">
        <w:rPr>
          <w:rFonts w:hint="eastAsia"/>
          <w:rtl/>
        </w:rPr>
        <w:t>ב</w:t>
      </w:r>
      <w:r w:rsidRPr="00F32C89">
        <w:rPr>
          <w:rtl/>
        </w:rPr>
        <w:t xml:space="preserve">, 58 </w:t>
      </w:r>
      <w:r w:rsidRPr="00F32C89">
        <w:rPr>
          <w:rFonts w:hint="eastAsia"/>
          <w:rtl/>
        </w:rPr>
        <w:t>עד</w:t>
      </w:r>
      <w:r w:rsidRPr="00F32C89">
        <w:rPr>
          <w:rtl/>
        </w:rPr>
        <w:t xml:space="preserve"> 61 </w:t>
      </w:r>
      <w:r w:rsidRPr="00F32C89">
        <w:rPr>
          <w:rFonts w:hint="eastAsia"/>
          <w:rtl/>
        </w:rPr>
        <w:t>ו</w:t>
      </w:r>
      <w:r w:rsidRPr="00F32C89">
        <w:rPr>
          <w:rtl/>
        </w:rPr>
        <w:t xml:space="preserve">-63 </w:t>
      </w:r>
      <w:r w:rsidRPr="00F32C89">
        <w:rPr>
          <w:rFonts w:hint="eastAsia"/>
          <w:rtl/>
        </w:rPr>
        <w:t>עד</w:t>
      </w:r>
      <w:r w:rsidRPr="00F32C89">
        <w:rPr>
          <w:rtl/>
        </w:rPr>
        <w:t xml:space="preserve"> 68</w:t>
      </w:r>
      <w:r w:rsidRPr="00F32C89">
        <w:rPr>
          <w:rFonts w:hint="eastAsia"/>
          <w:rtl/>
        </w:rPr>
        <w:t>א</w:t>
      </w:r>
      <w:r w:rsidRPr="00F32C89">
        <w:rPr>
          <w:rtl/>
        </w:rPr>
        <w:t xml:space="preserve"> </w:t>
      </w:r>
      <w:r w:rsidRPr="00F32C89">
        <w:rPr>
          <w:rFonts w:hint="eastAsia"/>
          <w:rtl/>
        </w:rPr>
        <w:t>לפקודת</w:t>
      </w:r>
      <w:r w:rsidRPr="00F32C89">
        <w:rPr>
          <w:rtl/>
        </w:rPr>
        <w:t xml:space="preserve"> </w:t>
      </w:r>
      <w:r w:rsidRPr="00F32C89">
        <w:rPr>
          <w:rFonts w:hint="eastAsia"/>
          <w:rtl/>
        </w:rPr>
        <w:t>הנזיקים</w:t>
      </w:r>
      <w:r w:rsidRPr="00F32C89">
        <w:rPr>
          <w:rtl/>
        </w:rPr>
        <w:t xml:space="preserve"> </w:t>
      </w:r>
      <w:r w:rsidRPr="00F32C89">
        <w:rPr>
          <w:rFonts w:hint="eastAsia"/>
          <w:rtl/>
        </w:rPr>
        <w:t>האזרחיים</w:t>
      </w:r>
      <w:r w:rsidRPr="00F32C89">
        <w:rPr>
          <w:rtl/>
        </w:rPr>
        <w:t>, 1944".</w:t>
      </w:r>
    </w:p>
    <w:p w:rsidR="008B3136" w:rsidRPr="00576B22" w:rsidRDefault="008B3136" w:rsidP="008B3136">
      <w:pPr>
        <w:pStyle w:val="Ruller41"/>
      </w:pPr>
    </w:p>
    <w:p w:rsidR="008B3136" w:rsidRDefault="008B3136" w:rsidP="008B3136">
      <w:pPr>
        <w:pStyle w:val="Ruller4"/>
      </w:pPr>
      <w:r>
        <w:rPr>
          <w:rFonts w:hint="cs"/>
          <w:rtl/>
        </w:rPr>
        <w:t xml:space="preserve"> הוראה זו, יחד עם סעיף 1 לחוק </w:t>
      </w:r>
      <w:r>
        <w:rPr>
          <w:rtl/>
        </w:rPr>
        <w:t>–</w:t>
      </w:r>
      <w:r>
        <w:rPr>
          <w:rFonts w:hint="cs"/>
          <w:rtl/>
        </w:rPr>
        <w:t xml:space="preserve"> אשר קובע, בין היתר, כי "</w:t>
      </w:r>
      <w:r>
        <w:rPr>
          <w:rFonts w:hint="eastAsia"/>
          <w:rtl/>
        </w:rPr>
        <w:t>לשון</w:t>
      </w:r>
      <w:r>
        <w:rPr>
          <w:rtl/>
        </w:rPr>
        <w:t xml:space="preserve"> </w:t>
      </w:r>
      <w:r>
        <w:rPr>
          <w:rFonts w:hint="eastAsia"/>
          <w:rtl/>
        </w:rPr>
        <w:t>הרע</w:t>
      </w:r>
      <w:r>
        <w:rPr>
          <w:rtl/>
        </w:rPr>
        <w:t xml:space="preserve"> </w:t>
      </w:r>
      <w:r>
        <w:rPr>
          <w:rFonts w:hint="eastAsia"/>
          <w:rtl/>
        </w:rPr>
        <w:t>היא</w:t>
      </w:r>
      <w:r>
        <w:rPr>
          <w:rtl/>
        </w:rPr>
        <w:t xml:space="preserve"> </w:t>
      </w:r>
      <w:r>
        <w:rPr>
          <w:rFonts w:hint="eastAsia"/>
          <w:rtl/>
        </w:rPr>
        <w:t>דבר</w:t>
      </w:r>
      <w:r>
        <w:rPr>
          <w:rtl/>
        </w:rPr>
        <w:t xml:space="preserve"> </w:t>
      </w:r>
      <w:r>
        <w:rPr>
          <w:rFonts w:hint="eastAsia"/>
          <w:rtl/>
        </w:rPr>
        <w:t>שפרסומו</w:t>
      </w:r>
      <w:r>
        <w:rPr>
          <w:rtl/>
        </w:rPr>
        <w:t xml:space="preserve"> </w:t>
      </w:r>
      <w:r w:rsidRPr="00DD58A4">
        <w:rPr>
          <w:rFonts w:ascii="Century" w:hAnsi="Century" w:cs="Miriam" w:hint="eastAsia"/>
          <w:b/>
          <w:spacing w:val="0"/>
          <w:sz w:val="22"/>
          <w:szCs w:val="24"/>
          <w:rtl/>
        </w:rPr>
        <w:t>עלול</w:t>
      </w:r>
      <w:r w:rsidRPr="00DD58A4">
        <w:rPr>
          <w:rFonts w:ascii="Century" w:hAnsi="Century" w:cs="Miriam"/>
          <w:b/>
          <w:spacing w:val="0"/>
          <w:sz w:val="22"/>
          <w:szCs w:val="24"/>
          <w:rtl/>
        </w:rPr>
        <w:t xml:space="preserve"> </w:t>
      </w:r>
      <w:r w:rsidRPr="00DD58A4">
        <w:rPr>
          <w:rFonts w:ascii="Century" w:hAnsi="Century" w:cs="Miriam" w:hint="eastAsia"/>
          <w:b/>
          <w:spacing w:val="0"/>
          <w:sz w:val="22"/>
          <w:szCs w:val="24"/>
          <w:rtl/>
        </w:rPr>
        <w:t>להשפיל</w:t>
      </w:r>
      <w:r>
        <w:rPr>
          <w:rtl/>
        </w:rPr>
        <w:t xml:space="preserve"> </w:t>
      </w:r>
      <w:r>
        <w:rPr>
          <w:rFonts w:hint="eastAsia"/>
          <w:rtl/>
        </w:rPr>
        <w:t>אדם</w:t>
      </w:r>
      <w:r>
        <w:rPr>
          <w:rtl/>
        </w:rPr>
        <w:t xml:space="preserve"> </w:t>
      </w:r>
      <w:r>
        <w:rPr>
          <w:rFonts w:hint="eastAsia"/>
          <w:rtl/>
        </w:rPr>
        <w:t>בעיני</w:t>
      </w:r>
      <w:r>
        <w:rPr>
          <w:rtl/>
        </w:rPr>
        <w:t xml:space="preserve"> </w:t>
      </w:r>
      <w:r>
        <w:rPr>
          <w:rFonts w:hint="eastAsia"/>
          <w:rtl/>
        </w:rPr>
        <w:t>הבריות</w:t>
      </w:r>
      <w:r>
        <w:rPr>
          <w:rtl/>
        </w:rPr>
        <w:t xml:space="preserve"> </w:t>
      </w:r>
      <w:r>
        <w:rPr>
          <w:rFonts w:hint="eastAsia"/>
          <w:rtl/>
        </w:rPr>
        <w:t>או</w:t>
      </w:r>
      <w:r>
        <w:rPr>
          <w:rtl/>
        </w:rPr>
        <w:t xml:space="preserve"> </w:t>
      </w:r>
      <w:r>
        <w:rPr>
          <w:rFonts w:hint="eastAsia"/>
          <w:rtl/>
        </w:rPr>
        <w:t>לעשותו</w:t>
      </w:r>
      <w:r>
        <w:rPr>
          <w:rtl/>
        </w:rPr>
        <w:t xml:space="preserve"> </w:t>
      </w:r>
      <w:r>
        <w:rPr>
          <w:rFonts w:hint="eastAsia"/>
          <w:rtl/>
        </w:rPr>
        <w:t>מטרה</w:t>
      </w:r>
      <w:r>
        <w:rPr>
          <w:rtl/>
        </w:rPr>
        <w:t xml:space="preserve"> </w:t>
      </w:r>
      <w:r>
        <w:rPr>
          <w:rFonts w:hint="eastAsia"/>
          <w:rtl/>
        </w:rPr>
        <w:t>לשנאה</w:t>
      </w:r>
      <w:r>
        <w:rPr>
          <w:rtl/>
        </w:rPr>
        <w:t xml:space="preserve">, </w:t>
      </w:r>
      <w:r>
        <w:rPr>
          <w:rFonts w:hint="eastAsia"/>
          <w:rtl/>
        </w:rPr>
        <w:t>לבוז</w:t>
      </w:r>
      <w:r>
        <w:rPr>
          <w:rtl/>
        </w:rPr>
        <w:t xml:space="preserve"> </w:t>
      </w:r>
      <w:r>
        <w:rPr>
          <w:rFonts w:hint="eastAsia"/>
          <w:rtl/>
        </w:rPr>
        <w:t>או</w:t>
      </w:r>
      <w:r>
        <w:rPr>
          <w:rtl/>
        </w:rPr>
        <w:t xml:space="preserve"> </w:t>
      </w:r>
      <w:r>
        <w:rPr>
          <w:rFonts w:hint="eastAsia"/>
          <w:rtl/>
        </w:rPr>
        <w:t>ללעג</w:t>
      </w:r>
      <w:r>
        <w:rPr>
          <w:rtl/>
        </w:rPr>
        <w:t xml:space="preserve"> </w:t>
      </w:r>
      <w:r>
        <w:rPr>
          <w:rFonts w:hint="eastAsia"/>
          <w:rtl/>
        </w:rPr>
        <w:t>מצדם</w:t>
      </w:r>
      <w:r>
        <w:rPr>
          <w:rFonts w:hint="cs"/>
          <w:rtl/>
        </w:rPr>
        <w:t xml:space="preserve">" (ההדגשה הוספה </w:t>
      </w:r>
      <w:r>
        <w:rPr>
          <w:rtl/>
        </w:rPr>
        <w:t>–</w:t>
      </w:r>
      <w:r>
        <w:rPr>
          <w:rFonts w:hint="cs"/>
          <w:rtl/>
        </w:rPr>
        <w:t xml:space="preserve"> א.ש.) </w:t>
      </w:r>
      <w:r>
        <w:rPr>
          <w:rtl/>
        </w:rPr>
        <w:t>–</w:t>
      </w:r>
      <w:r>
        <w:rPr>
          <w:rFonts w:hint="cs"/>
          <w:rtl/>
        </w:rPr>
        <w:t xml:space="preserve"> מבהירים כי לשון הרע היא </w:t>
      </w:r>
      <w:r w:rsidRPr="00633954">
        <w:rPr>
          <w:rFonts w:ascii="Century" w:hAnsi="Century" w:cs="Miriam" w:hint="cs"/>
          <w:b/>
          <w:spacing w:val="0"/>
          <w:sz w:val="22"/>
          <w:szCs w:val="24"/>
          <w:rtl/>
        </w:rPr>
        <w:t>עוולה שאינה תלויית נזק</w:t>
      </w:r>
      <w:r>
        <w:rPr>
          <w:rFonts w:hint="cs"/>
          <w:rtl/>
        </w:rPr>
        <w:t xml:space="preserve"> במובן זה שקרות הנזק אצל הנפגע מלשון הרע אינו מהווה תנאי מוקדם להתגבשות זכותו לתבוע את המפרסם ולקבל סעדים כאלה או אחרים שהחוק מקנה (ראו: </w:t>
      </w:r>
      <w:r w:rsidRPr="00633954">
        <w:rPr>
          <w:rFonts w:ascii="Century" w:hAnsi="Century" w:cs="Miriam" w:hint="cs"/>
          <w:b/>
          <w:spacing w:val="0"/>
          <w:sz w:val="22"/>
          <w:szCs w:val="24"/>
          <w:rtl/>
        </w:rPr>
        <w:t>גלעד</w:t>
      </w:r>
      <w:r>
        <w:rPr>
          <w:rFonts w:hint="cs"/>
          <w:rtl/>
        </w:rPr>
        <w:t xml:space="preserve">, בעמ' 228). לעניין חשוב זה עוד אחזור בהמשך דבריי. בנקודה זו, סדר הניתוח המשפטי הנכון מחייבני לעמוד על הקשר שבין חוק לשון הרע לבין דיני הנזיקין הכלליים; וכך אעשה. </w:t>
      </w:r>
    </w:p>
    <w:p w:rsidR="008B3136" w:rsidRDefault="008B3136" w:rsidP="008B3136">
      <w:pPr>
        <w:pStyle w:val="Ruller4"/>
        <w:numPr>
          <w:ilvl w:val="0"/>
          <w:numId w:val="0"/>
        </w:numPr>
      </w:pPr>
    </w:p>
    <w:p w:rsidR="008B3136" w:rsidRDefault="008B3136" w:rsidP="008B3136">
      <w:pPr>
        <w:pStyle w:val="Ruller4"/>
      </w:pPr>
      <w:r>
        <w:rPr>
          <w:rFonts w:hint="cs"/>
          <w:rtl/>
        </w:rPr>
        <w:t xml:space="preserve">בטרם אעבור לדיון בדיני הנזיקין הכלליים, אחזור על האמור בסעיף 2(ב)(2) לחוק לשון הרע. כפי שכבר ציינתי, סעיף זה מגדיר "פרסום" ככל "כתב", לרבות סרט, אשר "עשוי היה [...] </w:t>
      </w:r>
      <w:r w:rsidRPr="00325E44">
        <w:rPr>
          <w:rFonts w:hint="eastAsia"/>
          <w:rtl/>
        </w:rPr>
        <w:t>להגיע</w:t>
      </w:r>
      <w:r w:rsidRPr="00325E44">
        <w:rPr>
          <w:rtl/>
        </w:rPr>
        <w:t xml:space="preserve"> </w:t>
      </w:r>
      <w:r w:rsidRPr="00325E44">
        <w:rPr>
          <w:rFonts w:hint="eastAsia"/>
          <w:rtl/>
        </w:rPr>
        <w:t>לאדם</w:t>
      </w:r>
      <w:r w:rsidRPr="00325E44">
        <w:rPr>
          <w:rtl/>
        </w:rPr>
        <w:t xml:space="preserve"> </w:t>
      </w:r>
      <w:r w:rsidRPr="00325E44">
        <w:rPr>
          <w:rFonts w:hint="eastAsia"/>
          <w:rtl/>
        </w:rPr>
        <w:t>זולת</w:t>
      </w:r>
      <w:r w:rsidRPr="00325E44">
        <w:rPr>
          <w:rtl/>
        </w:rPr>
        <w:t xml:space="preserve"> </w:t>
      </w:r>
      <w:r w:rsidRPr="00325E44">
        <w:rPr>
          <w:rFonts w:hint="eastAsia"/>
          <w:rtl/>
        </w:rPr>
        <w:t>הנפגע</w:t>
      </w:r>
      <w:r>
        <w:rPr>
          <w:rFonts w:hint="cs"/>
          <w:rtl/>
        </w:rPr>
        <w:t xml:space="preserve">". מכאן עולה בבירור כי הצבתו של סרט שמכיל בתוכו לשון הרע במרחב הציבורי </w:t>
      </w:r>
      <w:r>
        <w:rPr>
          <w:rtl/>
        </w:rPr>
        <w:t>–</w:t>
      </w:r>
      <w:r>
        <w:rPr>
          <w:rFonts w:hint="cs"/>
          <w:rtl/>
        </w:rPr>
        <w:t xml:space="preserve"> למעשה, בכל מקום מחוץ למרחבו הפרטי של יוצר הסרט </w:t>
      </w:r>
      <w:r>
        <w:rPr>
          <w:rtl/>
        </w:rPr>
        <w:t>–</w:t>
      </w:r>
      <w:r>
        <w:rPr>
          <w:rFonts w:hint="cs"/>
          <w:rtl/>
        </w:rPr>
        <w:t xml:space="preserve"> הוא בגדר עוולה לפי חוק לשון הרע, כל אימת שקיימת היתכנות שאדם כלשהו, זולת הנפגע ויוצר הסרט עצמו, יצפה בסרט. הווה אומר: מדובר בעוולת נזיקין נמשכת, ועל כך עוד אעמוד בהמשך דבריי.</w:t>
      </w:r>
    </w:p>
    <w:p w:rsidR="008B3136" w:rsidRPr="00F015CE" w:rsidRDefault="008B3136" w:rsidP="008B3136">
      <w:pPr>
        <w:pStyle w:val="Ruller4"/>
        <w:numPr>
          <w:ilvl w:val="0"/>
          <w:numId w:val="0"/>
        </w:numPr>
      </w:pPr>
    </w:p>
    <w:p w:rsidR="008B3136" w:rsidRDefault="008B3136" w:rsidP="008B3136">
      <w:pPr>
        <w:pStyle w:val="Ruller4"/>
        <w:rPr>
          <w:rtl/>
        </w:rPr>
      </w:pPr>
      <w:r>
        <w:rPr>
          <w:rFonts w:hint="cs"/>
          <w:rtl/>
        </w:rPr>
        <w:t xml:space="preserve">הוראותיה הרלבנטיות של פקודת הנזיקים האזרחיים משנת 1944, אליהן מפנה סעיף 7 לחוק לשון הרע, קובעות כדלקמן </w:t>
      </w:r>
      <w:r>
        <w:rPr>
          <w:rtl/>
        </w:rPr>
        <w:t>–</w:t>
      </w:r>
    </w:p>
    <w:p w:rsidR="008B3136" w:rsidRDefault="008B3136" w:rsidP="008B3136">
      <w:pPr>
        <w:pStyle w:val="Ruller41"/>
        <w:rPr>
          <w:rtl/>
        </w:rPr>
      </w:pPr>
    </w:p>
    <w:p w:rsidR="008B3136" w:rsidRDefault="008B3136" w:rsidP="008B3136">
      <w:pPr>
        <w:pStyle w:val="Ruller41"/>
        <w:rPr>
          <w:rtl/>
        </w:rPr>
      </w:pPr>
      <w:r>
        <w:rPr>
          <w:rFonts w:ascii="Century" w:hAnsi="Century" w:cs="Miriam"/>
          <w:b/>
          <w:spacing w:val="0"/>
          <w:szCs w:val="24"/>
          <w:rtl/>
        </w:rPr>
        <w:tab/>
      </w:r>
      <w:r w:rsidRPr="004D3C2B">
        <w:rPr>
          <w:rFonts w:ascii="Century" w:hAnsi="Century" w:cs="Miriam" w:hint="cs"/>
          <w:b/>
          <w:spacing w:val="0"/>
          <w:szCs w:val="24"/>
          <w:rtl/>
        </w:rPr>
        <w:t>סעיף 2(1)</w:t>
      </w:r>
      <w:r>
        <w:rPr>
          <w:rFonts w:hint="cs"/>
          <w:rtl/>
        </w:rPr>
        <w:t>, מקבילו של סעיף 1 לפקודת הנזיקין, אשר נכנסה לתוקף ביום 1.10.1968, כשלוש שנים אחרי חקיקתו של חוק לשון הרע:</w:t>
      </w:r>
    </w:p>
    <w:p w:rsidR="008B3136" w:rsidRDefault="008B3136" w:rsidP="008B3136">
      <w:pPr>
        <w:pStyle w:val="Ruller5"/>
        <w:rPr>
          <w:rtl/>
        </w:rPr>
      </w:pPr>
    </w:p>
    <w:p w:rsidR="008B3136" w:rsidRDefault="008B3136" w:rsidP="008B3136">
      <w:pPr>
        <w:pStyle w:val="Ruller5"/>
        <w:rPr>
          <w:rFonts w:ascii="Century" w:hAnsi="Century"/>
          <w:rtl/>
        </w:rPr>
      </w:pPr>
      <w:r w:rsidRPr="00A14071">
        <w:rPr>
          <w:rFonts w:ascii="FrankRuehl" w:hAnsi="FrankRuehl"/>
          <w:color w:val="000000"/>
          <w:sz w:val="28"/>
          <w:rtl/>
        </w:rPr>
        <w:t>"פקודת הפירושים תחול על פקודה זו, ותתפרש מתוך כפיפות לה,</w:t>
      </w:r>
      <w:r>
        <w:rPr>
          <w:rFonts w:ascii="FrankRuehl" w:hAnsi="FrankRuehl"/>
          <w:color w:val="000000"/>
          <w:sz w:val="26"/>
          <w:szCs w:val="26"/>
          <w:rtl/>
        </w:rPr>
        <w:t xml:space="preserve"> </w:t>
      </w:r>
      <w:r w:rsidRPr="00D34D53">
        <w:rPr>
          <w:rFonts w:ascii="Century" w:hAnsi="Century" w:cs="Miriam"/>
          <w:b/>
          <w:spacing w:val="0"/>
          <w:szCs w:val="24"/>
          <w:rtl/>
        </w:rPr>
        <w:t xml:space="preserve">בהתאם לעקרונות הפרשנות המשפטית הקיימים </w:t>
      </w:r>
      <w:r w:rsidRPr="00D34D53">
        <w:rPr>
          <w:rFonts w:ascii="Century" w:hAnsi="Century" w:cs="Miriam"/>
          <w:b/>
          <w:spacing w:val="0"/>
          <w:szCs w:val="24"/>
          <w:u w:val="single"/>
          <w:rtl/>
        </w:rPr>
        <w:t>באנגליה</w:t>
      </w:r>
      <w:r w:rsidRPr="00A14071">
        <w:rPr>
          <w:rFonts w:ascii="FrankRuehl" w:hAnsi="FrankRuehl"/>
          <w:color w:val="000000"/>
          <w:sz w:val="28"/>
          <w:rtl/>
        </w:rPr>
        <w:t xml:space="preserve">, וצריך יהיה להניח כי הביטויים, המשמשים בה, משמשים – במידה שהדבר מתיישב עם נוסח הכתוב, ופרט לאותם שלהם ניתן פירוש אחר במפורש – </w:t>
      </w:r>
      <w:r>
        <w:rPr>
          <w:rFonts w:ascii="Century" w:hAnsi="Century" w:cs="Miriam"/>
          <w:b/>
          <w:spacing w:val="0"/>
          <w:szCs w:val="24"/>
          <w:rtl/>
        </w:rPr>
        <w:t>במובן הניתן להם</w:t>
      </w:r>
      <w:r>
        <w:rPr>
          <w:rFonts w:ascii="Century" w:hAnsi="Century" w:cs="Miriam" w:hint="cs"/>
          <w:b/>
          <w:spacing w:val="0"/>
          <w:szCs w:val="24"/>
          <w:rtl/>
        </w:rPr>
        <w:t xml:space="preserve"> </w:t>
      </w:r>
      <w:r w:rsidRPr="00A12FF0">
        <w:rPr>
          <w:rFonts w:ascii="Century" w:hAnsi="Century" w:cs="Miriam"/>
          <w:b/>
          <w:spacing w:val="0"/>
          <w:szCs w:val="24"/>
          <w:u w:val="single"/>
          <w:rtl/>
        </w:rPr>
        <w:t>בחוק האנגלי</w:t>
      </w:r>
      <w:r w:rsidRPr="00A12FF0">
        <w:rPr>
          <w:rFonts w:ascii="Century" w:hAnsi="Century" w:cs="Miriam"/>
          <w:b/>
          <w:spacing w:val="0"/>
          <w:szCs w:val="24"/>
          <w:rtl/>
        </w:rPr>
        <w:t>, ויתבארו בהתאם לכך</w:t>
      </w:r>
      <w:r>
        <w:rPr>
          <w:rFonts w:ascii="Century" w:hAnsi="Century" w:hint="cs"/>
          <w:rtl/>
        </w:rPr>
        <w:t xml:space="preserve">" (ההדגשה הוספה </w:t>
      </w:r>
      <w:r>
        <w:rPr>
          <w:rFonts w:ascii="Century" w:hAnsi="Century"/>
          <w:rtl/>
        </w:rPr>
        <w:t>–</w:t>
      </w:r>
      <w:r>
        <w:rPr>
          <w:rFonts w:ascii="Century" w:hAnsi="Century" w:hint="cs"/>
          <w:rtl/>
        </w:rPr>
        <w:t xml:space="preserve"> א.ש.).</w:t>
      </w:r>
    </w:p>
    <w:p w:rsidR="008B3136" w:rsidRDefault="008B3136" w:rsidP="0049039C">
      <w:pPr>
        <w:pStyle w:val="Ruller41"/>
        <w:rPr>
          <w:rtl/>
        </w:rPr>
      </w:pPr>
    </w:p>
    <w:p w:rsidR="008B3136" w:rsidRPr="008D36F6" w:rsidRDefault="008B3136" w:rsidP="008B3136">
      <w:pPr>
        <w:pStyle w:val="Ruller41"/>
        <w:rPr>
          <w:rtl/>
        </w:rPr>
      </w:pPr>
      <w:r>
        <w:rPr>
          <w:rFonts w:cs="Miriam"/>
          <w:b/>
          <w:spacing w:val="0"/>
          <w:szCs w:val="24"/>
          <w:rtl/>
        </w:rPr>
        <w:tab/>
      </w:r>
      <w:r w:rsidRPr="004D3C2B">
        <w:rPr>
          <w:rFonts w:cs="Miriam" w:hint="cs"/>
          <w:b/>
          <w:spacing w:val="0"/>
          <w:szCs w:val="24"/>
          <w:rtl/>
        </w:rPr>
        <w:t>סעיף 2(2)</w:t>
      </w:r>
      <w:r>
        <w:rPr>
          <w:rFonts w:hint="cs"/>
          <w:rtl/>
        </w:rPr>
        <w:t>, מקבילו של סעיף 2 לפקודת הנזיקין:</w:t>
      </w:r>
    </w:p>
    <w:p w:rsidR="008B3136" w:rsidRPr="008D36F6" w:rsidRDefault="008B3136" w:rsidP="008B3136">
      <w:pPr>
        <w:pStyle w:val="Ruller5"/>
        <w:rPr>
          <w:rFonts w:ascii="Century" w:hAnsi="Century"/>
          <w:rtl/>
        </w:rPr>
      </w:pPr>
    </w:p>
    <w:p w:rsidR="008B3136" w:rsidRPr="00DA4050" w:rsidRDefault="008B3136" w:rsidP="008B3136">
      <w:pPr>
        <w:pStyle w:val="Ruller5"/>
        <w:rPr>
          <w:rFonts w:ascii="Century" w:hAnsi="Century"/>
          <w:rtl/>
        </w:rPr>
      </w:pPr>
      <w:r w:rsidRPr="00DA4050">
        <w:rPr>
          <w:rFonts w:ascii="Century" w:hAnsi="Century" w:hint="cs"/>
          <w:rtl/>
        </w:rPr>
        <w:t>"[...]</w:t>
      </w:r>
    </w:p>
    <w:p w:rsidR="008B3136" w:rsidRPr="00DA4050" w:rsidRDefault="008B3136" w:rsidP="008B3136">
      <w:pPr>
        <w:pStyle w:val="Ruller5"/>
        <w:rPr>
          <w:rFonts w:ascii="Century" w:hAnsi="Century"/>
          <w:rtl/>
        </w:rPr>
      </w:pPr>
    </w:p>
    <w:p w:rsidR="008B3136" w:rsidRPr="00DA4050" w:rsidRDefault="008B3136" w:rsidP="008B3136">
      <w:pPr>
        <w:pStyle w:val="Ruller5"/>
        <w:rPr>
          <w:rFonts w:ascii="Century" w:hAnsi="Century"/>
          <w:rtl/>
        </w:rPr>
      </w:pPr>
      <w:r w:rsidRPr="00DA4050">
        <w:rPr>
          <w:rFonts w:ascii="Century" w:hAnsi="Century" w:hint="cs"/>
          <w:rtl/>
        </w:rPr>
        <w:t>'</w:t>
      </w:r>
      <w:r w:rsidRPr="00DA4050">
        <w:rPr>
          <w:rFonts w:ascii="Century" w:hAnsi="Century"/>
          <w:rtl/>
        </w:rPr>
        <w:t>נזק</w:t>
      </w:r>
      <w:r w:rsidRPr="00DA4050">
        <w:rPr>
          <w:rFonts w:ascii="Century" w:hAnsi="Century" w:hint="cs"/>
          <w:rtl/>
        </w:rPr>
        <w:t>'</w:t>
      </w:r>
      <w:r w:rsidRPr="00DA4050">
        <w:rPr>
          <w:rFonts w:ascii="Century" w:hAnsi="Century"/>
          <w:rtl/>
        </w:rPr>
        <w:t xml:space="preserve"> מובנו אבדן חיים, או אבדן או היזק של כל רכוש, נוחות, רווחה גופנית, שם-טוב או כל אבדן או היזק אחר כיוצא באלה</w:t>
      </w:r>
      <w:r w:rsidRPr="00DA4050">
        <w:rPr>
          <w:rFonts w:ascii="Century" w:hAnsi="Century" w:hint="cs"/>
          <w:rtl/>
        </w:rPr>
        <w:t>;</w:t>
      </w:r>
    </w:p>
    <w:p w:rsidR="008B3136" w:rsidRPr="00DA4050" w:rsidRDefault="008B3136" w:rsidP="008B3136">
      <w:pPr>
        <w:pStyle w:val="Ruller5"/>
        <w:rPr>
          <w:rFonts w:ascii="Century" w:hAnsi="Century"/>
          <w:rtl/>
        </w:rPr>
      </w:pPr>
    </w:p>
    <w:p w:rsidR="008B3136" w:rsidRPr="00DA4050" w:rsidRDefault="008B3136" w:rsidP="008B3136">
      <w:pPr>
        <w:pStyle w:val="Ruller5"/>
        <w:rPr>
          <w:rFonts w:ascii="Century" w:hAnsi="Century"/>
          <w:rtl/>
        </w:rPr>
      </w:pPr>
      <w:r w:rsidRPr="00DA4050">
        <w:rPr>
          <w:rFonts w:ascii="Century" w:hAnsi="Century" w:hint="cs"/>
          <w:rtl/>
        </w:rPr>
        <w:t>[...]</w:t>
      </w:r>
    </w:p>
    <w:p w:rsidR="008B3136" w:rsidRPr="00DA4050" w:rsidRDefault="008B3136" w:rsidP="008B3136">
      <w:pPr>
        <w:pStyle w:val="Ruller5"/>
        <w:rPr>
          <w:rFonts w:ascii="Century" w:hAnsi="Century"/>
          <w:rtl/>
        </w:rPr>
      </w:pPr>
    </w:p>
    <w:p w:rsidR="008B3136" w:rsidRDefault="008B3136" w:rsidP="008B3136">
      <w:pPr>
        <w:pStyle w:val="Ruller5"/>
        <w:rPr>
          <w:rFonts w:ascii="Century" w:hAnsi="Century"/>
          <w:rtl/>
        </w:rPr>
      </w:pPr>
      <w:r w:rsidRPr="00DA4050">
        <w:rPr>
          <w:rFonts w:ascii="Century" w:hAnsi="Century" w:hint="cs"/>
          <w:rtl/>
        </w:rPr>
        <w:t>'</w:t>
      </w:r>
      <w:r w:rsidRPr="00DA4050">
        <w:rPr>
          <w:rFonts w:ascii="Century" w:hAnsi="Century"/>
          <w:rtl/>
        </w:rPr>
        <w:t>פגיעה</w:t>
      </w:r>
      <w:r w:rsidRPr="00DA4050">
        <w:rPr>
          <w:rFonts w:ascii="Century" w:hAnsi="Century" w:hint="cs"/>
          <w:rtl/>
        </w:rPr>
        <w:t>'</w:t>
      </w:r>
      <w:r w:rsidRPr="00DA4050">
        <w:rPr>
          <w:rFonts w:ascii="Century" w:hAnsi="Century"/>
          <w:rtl/>
        </w:rPr>
        <w:t xml:space="preserve"> פירושה כל התערבות בלתי-חוקית בזכות חוקית</w:t>
      </w:r>
      <w:r>
        <w:rPr>
          <w:rFonts w:ascii="Century" w:hAnsi="Century" w:hint="cs"/>
          <w:rtl/>
        </w:rPr>
        <w:t>"</w:t>
      </w:r>
      <w:r w:rsidRPr="00DA4050">
        <w:rPr>
          <w:rFonts w:ascii="Century" w:hAnsi="Century" w:hint="cs"/>
          <w:rtl/>
        </w:rPr>
        <w:t>.</w:t>
      </w:r>
    </w:p>
    <w:p w:rsidR="008B3136" w:rsidRDefault="008B3136" w:rsidP="0049039C">
      <w:pPr>
        <w:pStyle w:val="Ruller41"/>
        <w:rPr>
          <w:rtl/>
        </w:rPr>
      </w:pPr>
    </w:p>
    <w:p w:rsidR="008B3136" w:rsidRPr="008D36F6" w:rsidRDefault="008B3136" w:rsidP="008B3136">
      <w:pPr>
        <w:pStyle w:val="Ruller41"/>
        <w:rPr>
          <w:rtl/>
        </w:rPr>
      </w:pPr>
      <w:r>
        <w:rPr>
          <w:rFonts w:cs="Miriam"/>
          <w:b/>
          <w:spacing w:val="0"/>
          <w:szCs w:val="24"/>
          <w:rtl/>
        </w:rPr>
        <w:tab/>
      </w:r>
      <w:r w:rsidRPr="009D4CD0">
        <w:rPr>
          <w:rFonts w:cs="Miriam" w:hint="cs"/>
          <w:b/>
          <w:spacing w:val="0"/>
          <w:szCs w:val="24"/>
          <w:rtl/>
        </w:rPr>
        <w:t>סעיף 3</w:t>
      </w:r>
      <w:r>
        <w:rPr>
          <w:rFonts w:hint="cs"/>
          <w:rtl/>
        </w:rPr>
        <w:t>, מקבילו של סעיף 3 לפקודת הנזיקין:</w:t>
      </w:r>
    </w:p>
    <w:p w:rsidR="008B3136" w:rsidRDefault="008B3136" w:rsidP="008B3136">
      <w:pPr>
        <w:pStyle w:val="Ruller5"/>
        <w:rPr>
          <w:rFonts w:ascii="Century" w:hAnsi="Century"/>
          <w:rtl/>
        </w:rPr>
      </w:pPr>
    </w:p>
    <w:p w:rsidR="008B3136" w:rsidRDefault="008B3136" w:rsidP="008B3136">
      <w:pPr>
        <w:pStyle w:val="Ruller5"/>
        <w:rPr>
          <w:rFonts w:ascii="Century" w:hAnsi="Century"/>
          <w:rtl/>
        </w:rPr>
      </w:pPr>
      <w:r>
        <w:rPr>
          <w:rFonts w:ascii="Century" w:hAnsi="Century" w:hint="cs"/>
          <w:rtl/>
        </w:rPr>
        <w:t>"</w:t>
      </w:r>
      <w:r w:rsidRPr="00AE5D1D">
        <w:rPr>
          <w:rFonts w:ascii="Century" w:hAnsi="Century" w:hint="eastAsia"/>
          <w:rtl/>
        </w:rPr>
        <w:t>העניינים</w:t>
      </w:r>
      <w:r w:rsidRPr="00AE5D1D">
        <w:rPr>
          <w:rFonts w:ascii="Century" w:hAnsi="Century"/>
          <w:rtl/>
        </w:rPr>
        <w:t xml:space="preserve"> </w:t>
      </w:r>
      <w:r w:rsidRPr="00AE5D1D">
        <w:rPr>
          <w:rFonts w:ascii="Century" w:hAnsi="Century" w:hint="eastAsia"/>
          <w:rtl/>
        </w:rPr>
        <w:t>המנויים</w:t>
      </w:r>
      <w:r w:rsidRPr="00AE5D1D">
        <w:rPr>
          <w:rFonts w:ascii="Century" w:hAnsi="Century"/>
          <w:rtl/>
        </w:rPr>
        <w:t xml:space="preserve"> </w:t>
      </w:r>
      <w:r w:rsidRPr="00AE5D1D">
        <w:rPr>
          <w:rFonts w:ascii="Century" w:hAnsi="Century" w:hint="eastAsia"/>
          <w:rtl/>
        </w:rPr>
        <w:t>בפקודה</w:t>
      </w:r>
      <w:r w:rsidRPr="00AE5D1D">
        <w:rPr>
          <w:rFonts w:ascii="Century" w:hAnsi="Century"/>
          <w:rtl/>
        </w:rPr>
        <w:t xml:space="preserve"> </w:t>
      </w:r>
      <w:r w:rsidRPr="00AE5D1D">
        <w:rPr>
          <w:rFonts w:ascii="Century" w:hAnsi="Century" w:hint="eastAsia"/>
          <w:rtl/>
        </w:rPr>
        <w:t>הזאת</w:t>
      </w:r>
      <w:r w:rsidRPr="00AE5D1D">
        <w:rPr>
          <w:rFonts w:ascii="Century" w:hAnsi="Century"/>
          <w:rtl/>
        </w:rPr>
        <w:t xml:space="preserve"> </w:t>
      </w:r>
      <w:r w:rsidRPr="00AE5D1D">
        <w:rPr>
          <w:rFonts w:ascii="Century" w:hAnsi="Century" w:hint="eastAsia"/>
          <w:rtl/>
        </w:rPr>
        <w:t>להלן</w:t>
      </w:r>
      <w:r w:rsidRPr="00AE5D1D">
        <w:rPr>
          <w:rFonts w:ascii="Century" w:hAnsi="Century"/>
          <w:rtl/>
        </w:rPr>
        <w:t xml:space="preserve"> </w:t>
      </w:r>
      <w:r w:rsidRPr="00AE5D1D">
        <w:rPr>
          <w:rFonts w:ascii="Century" w:hAnsi="Century" w:hint="eastAsia"/>
          <w:rtl/>
        </w:rPr>
        <w:t>יהיו</w:t>
      </w:r>
      <w:r w:rsidRPr="00AE5D1D">
        <w:rPr>
          <w:rFonts w:ascii="Century" w:hAnsi="Century"/>
          <w:rtl/>
        </w:rPr>
        <w:t xml:space="preserve"> </w:t>
      </w:r>
      <w:r w:rsidRPr="00AE5D1D">
        <w:rPr>
          <w:rFonts w:ascii="Century" w:hAnsi="Century" w:hint="eastAsia"/>
          <w:rtl/>
        </w:rPr>
        <w:t>נזיקים</w:t>
      </w:r>
      <w:r w:rsidRPr="00AE5D1D">
        <w:rPr>
          <w:rFonts w:ascii="Century" w:hAnsi="Century"/>
          <w:rtl/>
        </w:rPr>
        <w:t xml:space="preserve"> </w:t>
      </w:r>
      <w:r w:rsidRPr="00AE5D1D">
        <w:rPr>
          <w:rFonts w:ascii="Century" w:hAnsi="Century" w:hint="eastAsia"/>
          <w:rtl/>
        </w:rPr>
        <w:t>אזרחיים</w:t>
      </w:r>
      <w:r w:rsidRPr="00AE5D1D">
        <w:rPr>
          <w:rFonts w:ascii="Century" w:hAnsi="Century"/>
          <w:rtl/>
        </w:rPr>
        <w:t xml:space="preserve">, </w:t>
      </w:r>
      <w:r w:rsidRPr="00AE5D1D">
        <w:rPr>
          <w:rFonts w:ascii="Century" w:hAnsi="Century" w:hint="eastAsia"/>
          <w:rtl/>
        </w:rPr>
        <w:t>ומתוך</w:t>
      </w:r>
      <w:r w:rsidRPr="00AE5D1D">
        <w:rPr>
          <w:rFonts w:ascii="Century" w:hAnsi="Century"/>
          <w:rtl/>
        </w:rPr>
        <w:t xml:space="preserve"> </w:t>
      </w:r>
      <w:r w:rsidRPr="00AE5D1D">
        <w:rPr>
          <w:rFonts w:ascii="Century" w:hAnsi="Century" w:hint="eastAsia"/>
          <w:rtl/>
        </w:rPr>
        <w:t>כפיפות</w:t>
      </w:r>
      <w:r w:rsidRPr="00AE5D1D">
        <w:rPr>
          <w:rFonts w:ascii="Century" w:hAnsi="Century"/>
          <w:rtl/>
        </w:rPr>
        <w:t xml:space="preserve"> </w:t>
      </w:r>
      <w:r w:rsidRPr="00AE5D1D">
        <w:rPr>
          <w:rFonts w:ascii="Century" w:hAnsi="Century" w:hint="eastAsia"/>
          <w:rtl/>
        </w:rPr>
        <w:t>להוראותיה</w:t>
      </w:r>
      <w:r w:rsidRPr="00AE5D1D">
        <w:rPr>
          <w:rFonts w:ascii="Century" w:hAnsi="Century"/>
          <w:rtl/>
        </w:rPr>
        <w:t xml:space="preserve"> </w:t>
      </w:r>
      <w:r w:rsidRPr="00AE5D1D">
        <w:rPr>
          <w:rFonts w:ascii="Century" w:hAnsi="Century" w:hint="eastAsia"/>
          <w:rtl/>
        </w:rPr>
        <w:t>של</w:t>
      </w:r>
      <w:r w:rsidRPr="00AE5D1D">
        <w:rPr>
          <w:rFonts w:ascii="Century" w:hAnsi="Century"/>
          <w:rtl/>
        </w:rPr>
        <w:t xml:space="preserve"> </w:t>
      </w:r>
      <w:r w:rsidRPr="00AE5D1D">
        <w:rPr>
          <w:rFonts w:ascii="Century" w:hAnsi="Century" w:hint="eastAsia"/>
          <w:rtl/>
        </w:rPr>
        <w:t>פקודה</w:t>
      </w:r>
      <w:r w:rsidRPr="00AE5D1D">
        <w:rPr>
          <w:rFonts w:ascii="Century" w:hAnsi="Century"/>
          <w:rtl/>
        </w:rPr>
        <w:t xml:space="preserve"> </w:t>
      </w:r>
      <w:r w:rsidRPr="00AE5D1D">
        <w:rPr>
          <w:rFonts w:ascii="Century" w:hAnsi="Century" w:hint="eastAsia"/>
          <w:rtl/>
        </w:rPr>
        <w:t>זו</w:t>
      </w:r>
      <w:r w:rsidRPr="00AE5D1D">
        <w:rPr>
          <w:rFonts w:ascii="Century" w:hAnsi="Century"/>
          <w:rtl/>
        </w:rPr>
        <w:t xml:space="preserve"> </w:t>
      </w:r>
      <w:r w:rsidRPr="00AE5D1D">
        <w:rPr>
          <w:rFonts w:ascii="Century" w:hAnsi="Century" w:hint="eastAsia"/>
          <w:rtl/>
        </w:rPr>
        <w:t>יהיה</w:t>
      </w:r>
      <w:r w:rsidRPr="00AE5D1D">
        <w:rPr>
          <w:rFonts w:ascii="Century" w:hAnsi="Century"/>
          <w:rtl/>
        </w:rPr>
        <w:t xml:space="preserve"> </w:t>
      </w:r>
      <w:r w:rsidRPr="00AE5D1D">
        <w:rPr>
          <w:rFonts w:ascii="Century" w:hAnsi="Century" w:hint="eastAsia"/>
          <w:rtl/>
        </w:rPr>
        <w:t>כל</w:t>
      </w:r>
      <w:r w:rsidRPr="00AE5D1D">
        <w:rPr>
          <w:rFonts w:ascii="Century" w:hAnsi="Century"/>
          <w:rtl/>
        </w:rPr>
        <w:t xml:space="preserve"> </w:t>
      </w:r>
      <w:r w:rsidRPr="00AE5D1D">
        <w:rPr>
          <w:rFonts w:ascii="Century" w:hAnsi="Century" w:hint="eastAsia"/>
          <w:rtl/>
        </w:rPr>
        <w:t>אדם</w:t>
      </w:r>
      <w:r w:rsidRPr="00AE5D1D">
        <w:rPr>
          <w:rFonts w:ascii="Century" w:hAnsi="Century"/>
          <w:rtl/>
        </w:rPr>
        <w:t xml:space="preserve">, </w:t>
      </w:r>
      <w:r w:rsidRPr="00AE5D1D">
        <w:rPr>
          <w:rFonts w:ascii="Century" w:hAnsi="Century" w:hint="eastAsia"/>
          <w:rtl/>
        </w:rPr>
        <w:t>שנגרמים</w:t>
      </w:r>
      <w:r w:rsidRPr="00AE5D1D">
        <w:rPr>
          <w:rFonts w:ascii="Century" w:hAnsi="Century"/>
          <w:rtl/>
        </w:rPr>
        <w:t xml:space="preserve"> </w:t>
      </w:r>
      <w:r w:rsidRPr="00AE5D1D">
        <w:rPr>
          <w:rFonts w:ascii="Century" w:hAnsi="Century" w:hint="eastAsia"/>
          <w:rtl/>
        </w:rPr>
        <w:t>לו</w:t>
      </w:r>
      <w:r w:rsidRPr="00AE5D1D">
        <w:rPr>
          <w:rFonts w:ascii="Century" w:hAnsi="Century"/>
          <w:rtl/>
        </w:rPr>
        <w:t xml:space="preserve"> </w:t>
      </w:r>
      <w:r w:rsidRPr="00AE5D1D">
        <w:rPr>
          <w:rFonts w:ascii="Century" w:hAnsi="Century" w:hint="eastAsia"/>
          <w:rtl/>
        </w:rPr>
        <w:t>פגיעה</w:t>
      </w:r>
      <w:r w:rsidRPr="00AE5D1D">
        <w:rPr>
          <w:rFonts w:ascii="Century" w:hAnsi="Century"/>
          <w:rtl/>
        </w:rPr>
        <w:t xml:space="preserve"> </w:t>
      </w:r>
      <w:r w:rsidRPr="00AE5D1D">
        <w:rPr>
          <w:rFonts w:ascii="Century" w:hAnsi="Century" w:hint="eastAsia"/>
          <w:rtl/>
        </w:rPr>
        <w:t>או</w:t>
      </w:r>
      <w:r w:rsidRPr="00AE5D1D">
        <w:rPr>
          <w:rFonts w:ascii="Century" w:hAnsi="Century"/>
          <w:rtl/>
        </w:rPr>
        <w:t xml:space="preserve"> </w:t>
      </w:r>
      <w:r w:rsidRPr="00AE5D1D">
        <w:rPr>
          <w:rFonts w:ascii="Century" w:hAnsi="Century" w:hint="eastAsia"/>
          <w:rtl/>
        </w:rPr>
        <w:t>נזק</w:t>
      </w:r>
      <w:r w:rsidRPr="00AE5D1D">
        <w:rPr>
          <w:rFonts w:ascii="Century" w:hAnsi="Century"/>
          <w:rtl/>
        </w:rPr>
        <w:t xml:space="preserve"> </w:t>
      </w:r>
      <w:r w:rsidRPr="00AE5D1D">
        <w:rPr>
          <w:rFonts w:ascii="Century" w:hAnsi="Century" w:hint="eastAsia"/>
          <w:rtl/>
        </w:rPr>
        <w:t>מפאת</w:t>
      </w:r>
      <w:r w:rsidRPr="00AE5D1D">
        <w:rPr>
          <w:rFonts w:ascii="Century" w:hAnsi="Century"/>
          <w:rtl/>
        </w:rPr>
        <w:t xml:space="preserve"> </w:t>
      </w:r>
      <w:r w:rsidRPr="00AE5D1D">
        <w:rPr>
          <w:rFonts w:ascii="Century" w:hAnsi="Century" w:hint="eastAsia"/>
          <w:rtl/>
        </w:rPr>
        <w:t>נזיקים</w:t>
      </w:r>
      <w:r w:rsidRPr="00AE5D1D">
        <w:rPr>
          <w:rFonts w:ascii="Century" w:hAnsi="Century"/>
          <w:rtl/>
        </w:rPr>
        <w:t xml:space="preserve"> </w:t>
      </w:r>
      <w:r w:rsidRPr="00AE5D1D">
        <w:rPr>
          <w:rFonts w:ascii="Century" w:hAnsi="Century" w:hint="eastAsia"/>
          <w:rtl/>
        </w:rPr>
        <w:t>אזרחיים</w:t>
      </w:r>
      <w:r w:rsidRPr="00AE5D1D">
        <w:rPr>
          <w:rFonts w:ascii="Century" w:hAnsi="Century"/>
          <w:rtl/>
        </w:rPr>
        <w:t xml:space="preserve"> </w:t>
      </w:r>
      <w:r w:rsidRPr="00AE5D1D">
        <w:rPr>
          <w:rFonts w:ascii="Century" w:hAnsi="Century" w:hint="eastAsia"/>
          <w:rtl/>
        </w:rPr>
        <w:t>כל</w:t>
      </w:r>
      <w:r w:rsidRPr="00AE5D1D">
        <w:rPr>
          <w:rFonts w:ascii="Century" w:hAnsi="Century"/>
          <w:rtl/>
        </w:rPr>
        <w:t>-</w:t>
      </w:r>
      <w:r w:rsidRPr="00AE5D1D">
        <w:rPr>
          <w:rFonts w:ascii="Century" w:hAnsi="Century" w:hint="eastAsia"/>
          <w:rtl/>
        </w:rPr>
        <w:t>שהם</w:t>
      </w:r>
      <w:r w:rsidRPr="00AE5D1D">
        <w:rPr>
          <w:rFonts w:ascii="Century" w:hAnsi="Century"/>
          <w:rtl/>
        </w:rPr>
        <w:t xml:space="preserve">, </w:t>
      </w:r>
      <w:r w:rsidRPr="00AE5D1D">
        <w:rPr>
          <w:rFonts w:ascii="Century" w:hAnsi="Century" w:hint="eastAsia"/>
          <w:rtl/>
        </w:rPr>
        <w:t>שנעשו</w:t>
      </w:r>
      <w:r w:rsidRPr="00AE5D1D">
        <w:rPr>
          <w:rFonts w:ascii="Century" w:hAnsi="Century"/>
          <w:rtl/>
        </w:rPr>
        <w:t xml:space="preserve"> </w:t>
      </w:r>
      <w:r w:rsidRPr="00AE5D1D">
        <w:rPr>
          <w:rFonts w:ascii="Century" w:hAnsi="Century" w:hint="eastAsia"/>
          <w:rtl/>
        </w:rPr>
        <w:t>בפלשתינה</w:t>
      </w:r>
      <w:r w:rsidRPr="00AE5D1D">
        <w:rPr>
          <w:rFonts w:ascii="Century" w:hAnsi="Century"/>
          <w:rtl/>
        </w:rPr>
        <w:t xml:space="preserve"> (</w:t>
      </w:r>
      <w:r w:rsidRPr="00AE5D1D">
        <w:rPr>
          <w:rFonts w:ascii="Century" w:hAnsi="Century" w:hint="eastAsia"/>
          <w:rtl/>
        </w:rPr>
        <w:t>א</w:t>
      </w:r>
      <w:r w:rsidRPr="00AE5D1D">
        <w:rPr>
          <w:rFonts w:ascii="Century" w:hAnsi="Century"/>
          <w:rtl/>
        </w:rPr>
        <w:t>"</w:t>
      </w:r>
      <w:r w:rsidRPr="00AE5D1D">
        <w:rPr>
          <w:rFonts w:ascii="Century" w:hAnsi="Century" w:hint="eastAsia"/>
          <w:rtl/>
        </w:rPr>
        <w:t>י</w:t>
      </w:r>
      <w:r w:rsidRPr="00AE5D1D">
        <w:rPr>
          <w:rFonts w:ascii="Century" w:hAnsi="Century"/>
          <w:rtl/>
        </w:rPr>
        <w:t xml:space="preserve">), </w:t>
      </w:r>
      <w:r w:rsidRPr="00AE5D1D">
        <w:rPr>
          <w:rFonts w:ascii="Century" w:hAnsi="Century" w:hint="eastAsia"/>
          <w:rtl/>
        </w:rPr>
        <w:t>זכאי</w:t>
      </w:r>
      <w:r w:rsidRPr="00AE5D1D">
        <w:rPr>
          <w:rFonts w:ascii="Century" w:hAnsi="Century"/>
          <w:rtl/>
        </w:rPr>
        <w:t xml:space="preserve"> </w:t>
      </w:r>
      <w:r w:rsidRPr="00AE5D1D">
        <w:rPr>
          <w:rFonts w:ascii="Century" w:hAnsi="Century" w:hint="eastAsia"/>
          <w:rtl/>
        </w:rPr>
        <w:t>בתקו</w:t>
      </w:r>
      <w:r>
        <w:rPr>
          <w:rFonts w:ascii="Century" w:hAnsi="Century" w:hint="cs"/>
          <w:rtl/>
        </w:rPr>
        <w:t>ּ</w:t>
      </w:r>
      <w:r w:rsidRPr="00AE5D1D">
        <w:rPr>
          <w:rFonts w:ascii="Century" w:hAnsi="Century" w:hint="eastAsia"/>
          <w:rtl/>
        </w:rPr>
        <w:t>נו</w:t>
      </w:r>
      <w:r>
        <w:rPr>
          <w:rFonts w:ascii="Century" w:hAnsi="Century" w:hint="cs"/>
          <w:rtl/>
        </w:rPr>
        <w:t>ֹ</w:t>
      </w:r>
      <w:r w:rsidRPr="00AE5D1D">
        <w:rPr>
          <w:rFonts w:ascii="Century" w:hAnsi="Century" w:hint="eastAsia"/>
          <w:rtl/>
        </w:rPr>
        <w:t>ת</w:t>
      </w:r>
      <w:r w:rsidRPr="00AE5D1D">
        <w:rPr>
          <w:rFonts w:ascii="Century" w:hAnsi="Century"/>
          <w:rtl/>
        </w:rPr>
        <w:t xml:space="preserve"> </w:t>
      </w:r>
      <w:r w:rsidRPr="00AE5D1D">
        <w:rPr>
          <w:rFonts w:ascii="Century" w:hAnsi="Century" w:hint="eastAsia"/>
          <w:rtl/>
        </w:rPr>
        <w:t>הנקובות</w:t>
      </w:r>
      <w:r w:rsidRPr="00AE5D1D">
        <w:rPr>
          <w:rFonts w:ascii="Century" w:hAnsi="Century"/>
          <w:rtl/>
        </w:rPr>
        <w:t xml:space="preserve"> </w:t>
      </w:r>
      <w:r w:rsidRPr="00AE5D1D">
        <w:rPr>
          <w:rFonts w:ascii="Century" w:hAnsi="Century" w:hint="eastAsia"/>
          <w:rtl/>
        </w:rPr>
        <w:t>להלן</w:t>
      </w:r>
      <w:r w:rsidRPr="00AE5D1D">
        <w:rPr>
          <w:rFonts w:ascii="Century" w:hAnsi="Century"/>
          <w:rtl/>
        </w:rPr>
        <w:t xml:space="preserve"> </w:t>
      </w:r>
      <w:r w:rsidRPr="00AE5D1D">
        <w:rPr>
          <w:rFonts w:ascii="Century" w:hAnsi="Century" w:hint="eastAsia"/>
          <w:rtl/>
        </w:rPr>
        <w:t>לחובתו</w:t>
      </w:r>
      <w:r w:rsidRPr="00AE5D1D">
        <w:rPr>
          <w:rFonts w:ascii="Century" w:hAnsi="Century"/>
          <w:rtl/>
        </w:rPr>
        <w:t xml:space="preserve"> </w:t>
      </w:r>
      <w:r w:rsidRPr="00AE5D1D">
        <w:rPr>
          <w:rFonts w:ascii="Century" w:hAnsi="Century" w:hint="eastAsia"/>
          <w:rtl/>
        </w:rPr>
        <w:t>של</w:t>
      </w:r>
      <w:r w:rsidRPr="00AE5D1D">
        <w:rPr>
          <w:rFonts w:ascii="Century" w:hAnsi="Century"/>
          <w:rtl/>
        </w:rPr>
        <w:t xml:space="preserve"> </w:t>
      </w:r>
      <w:r w:rsidRPr="00AE5D1D">
        <w:rPr>
          <w:rFonts w:ascii="Century" w:hAnsi="Century" w:hint="eastAsia"/>
          <w:rtl/>
        </w:rPr>
        <w:t>האדם</w:t>
      </w:r>
      <w:r w:rsidRPr="00AE5D1D">
        <w:rPr>
          <w:rFonts w:ascii="Century" w:hAnsi="Century"/>
          <w:rtl/>
        </w:rPr>
        <w:t xml:space="preserve"> </w:t>
      </w:r>
      <w:r w:rsidRPr="00AE5D1D">
        <w:rPr>
          <w:rFonts w:ascii="Century" w:hAnsi="Century" w:hint="eastAsia"/>
          <w:rtl/>
        </w:rPr>
        <w:t>שגרם</w:t>
      </w:r>
      <w:r w:rsidRPr="00AE5D1D">
        <w:rPr>
          <w:rFonts w:ascii="Century" w:hAnsi="Century"/>
          <w:rtl/>
        </w:rPr>
        <w:t xml:space="preserve"> </w:t>
      </w:r>
      <w:r w:rsidRPr="00AE5D1D">
        <w:rPr>
          <w:rFonts w:ascii="Century" w:hAnsi="Century" w:hint="eastAsia"/>
          <w:rtl/>
        </w:rPr>
        <w:t>נזיקים</w:t>
      </w:r>
      <w:r w:rsidRPr="00AE5D1D">
        <w:rPr>
          <w:rFonts w:ascii="Century" w:hAnsi="Century"/>
          <w:rtl/>
        </w:rPr>
        <w:t xml:space="preserve"> </w:t>
      </w:r>
      <w:r w:rsidRPr="00AE5D1D">
        <w:rPr>
          <w:rFonts w:ascii="Century" w:hAnsi="Century" w:hint="eastAsia"/>
          <w:rtl/>
        </w:rPr>
        <w:t>אזרחיים</w:t>
      </w:r>
      <w:r w:rsidRPr="00AE5D1D">
        <w:rPr>
          <w:rFonts w:ascii="Century" w:hAnsi="Century"/>
          <w:rtl/>
        </w:rPr>
        <w:t xml:space="preserve"> </w:t>
      </w:r>
      <w:r w:rsidRPr="00AE5D1D">
        <w:rPr>
          <w:rFonts w:ascii="Century" w:hAnsi="Century" w:hint="eastAsia"/>
          <w:rtl/>
        </w:rPr>
        <w:t>כאלה</w:t>
      </w:r>
      <w:r w:rsidRPr="00AE5D1D">
        <w:rPr>
          <w:rFonts w:ascii="Century" w:hAnsi="Century"/>
          <w:rtl/>
        </w:rPr>
        <w:t xml:space="preserve"> </w:t>
      </w:r>
      <w:r w:rsidRPr="00AE5D1D">
        <w:rPr>
          <w:rFonts w:ascii="Century" w:hAnsi="Century" w:hint="eastAsia"/>
          <w:rtl/>
        </w:rPr>
        <w:t>או</w:t>
      </w:r>
      <w:r w:rsidRPr="00AE5D1D">
        <w:rPr>
          <w:rFonts w:ascii="Century" w:hAnsi="Century"/>
          <w:rtl/>
        </w:rPr>
        <w:t xml:space="preserve"> </w:t>
      </w:r>
      <w:r w:rsidRPr="00AE5D1D">
        <w:rPr>
          <w:rFonts w:ascii="Century" w:hAnsi="Century" w:hint="eastAsia"/>
          <w:rtl/>
        </w:rPr>
        <w:t>שהוא</w:t>
      </w:r>
      <w:r w:rsidRPr="00AE5D1D">
        <w:rPr>
          <w:rFonts w:ascii="Century" w:hAnsi="Century"/>
          <w:rtl/>
        </w:rPr>
        <w:t xml:space="preserve"> </w:t>
      </w:r>
      <w:r w:rsidRPr="00AE5D1D">
        <w:rPr>
          <w:rFonts w:ascii="Century" w:hAnsi="Century" w:hint="eastAsia"/>
          <w:rtl/>
        </w:rPr>
        <w:t>אחראי</w:t>
      </w:r>
      <w:r w:rsidRPr="00AE5D1D">
        <w:rPr>
          <w:rFonts w:ascii="Century" w:hAnsi="Century"/>
          <w:rtl/>
        </w:rPr>
        <w:t xml:space="preserve"> </w:t>
      </w:r>
      <w:r w:rsidRPr="00AE5D1D">
        <w:rPr>
          <w:rFonts w:ascii="Century" w:hAnsi="Century" w:hint="eastAsia"/>
          <w:rtl/>
        </w:rPr>
        <w:t>להם</w:t>
      </w:r>
      <w:r>
        <w:rPr>
          <w:rFonts w:ascii="Century" w:hAnsi="Century" w:hint="cs"/>
          <w:rtl/>
        </w:rPr>
        <w:t>".</w:t>
      </w:r>
    </w:p>
    <w:p w:rsidR="008B3136" w:rsidRDefault="008B3136" w:rsidP="0049039C">
      <w:pPr>
        <w:pStyle w:val="Ruller41"/>
        <w:rPr>
          <w:rtl/>
        </w:rPr>
      </w:pPr>
    </w:p>
    <w:p w:rsidR="008B3136" w:rsidRDefault="008B3136" w:rsidP="008B3136">
      <w:pPr>
        <w:pStyle w:val="Ruller41"/>
        <w:rPr>
          <w:rtl/>
        </w:rPr>
      </w:pPr>
      <w:r>
        <w:rPr>
          <w:rFonts w:cs="Miriam"/>
          <w:b/>
          <w:spacing w:val="0"/>
          <w:szCs w:val="24"/>
          <w:rtl/>
        </w:rPr>
        <w:tab/>
      </w:r>
      <w:r w:rsidRPr="00AC38E1">
        <w:rPr>
          <w:rFonts w:cs="Miriam" w:hint="cs"/>
          <w:b/>
          <w:spacing w:val="0"/>
          <w:szCs w:val="24"/>
          <w:rtl/>
        </w:rPr>
        <w:t>סעיף 55ב(1)(</w:t>
      </w:r>
      <w:r w:rsidRPr="00A14071">
        <w:rPr>
          <w:rFonts w:cs="Miriam"/>
          <w:bCs/>
          <w:spacing w:val="0"/>
          <w:szCs w:val="24"/>
        </w:rPr>
        <w:t>ii</w:t>
      </w:r>
      <w:r w:rsidRPr="00AC38E1">
        <w:rPr>
          <w:rFonts w:cs="Miriam" w:hint="cs"/>
          <w:b/>
          <w:spacing w:val="0"/>
          <w:szCs w:val="24"/>
          <w:rtl/>
        </w:rPr>
        <w:t>)</w:t>
      </w:r>
      <w:r>
        <w:rPr>
          <w:rFonts w:hint="cs"/>
          <w:rtl/>
        </w:rPr>
        <w:t xml:space="preserve">, מקבילו של סעיף 64(2) לפקודת הנזיקין: </w:t>
      </w:r>
    </w:p>
    <w:p w:rsidR="008B3136" w:rsidRDefault="008B3136" w:rsidP="008B3136">
      <w:pPr>
        <w:pStyle w:val="Ruller5"/>
        <w:rPr>
          <w:rFonts w:ascii="Century" w:hAnsi="Century"/>
          <w:rtl/>
        </w:rPr>
      </w:pPr>
    </w:p>
    <w:p w:rsidR="008B3136" w:rsidRPr="00A14071" w:rsidRDefault="008B3136" w:rsidP="008B3136">
      <w:pPr>
        <w:pStyle w:val="Ruller5"/>
        <w:rPr>
          <w:rFonts w:ascii="Century" w:hAnsi="Century"/>
          <w:sz w:val="28"/>
          <w:rtl/>
        </w:rPr>
      </w:pPr>
      <w:r w:rsidRPr="00A14071">
        <w:rPr>
          <w:rFonts w:ascii="FrankRuehl" w:hAnsi="FrankRuehl"/>
          <w:color w:val="000000"/>
          <w:sz w:val="28"/>
          <w:rtl/>
        </w:rPr>
        <w:t>"יהיו רואים אדם כאילו גרם לנזק על-ידי משגהו, כשמשמש משגהו סיבתו, או אחת מסיבותיו, של הנזק; אולם לא יהיו רואים אדם כאילו גרם לנזק על-ידי משגהו א</w:t>
      </w:r>
      <w:r w:rsidRPr="00A14071">
        <w:rPr>
          <w:rFonts w:ascii="FrankRuehl" w:hAnsi="FrankRuehl" w:hint="eastAsia"/>
          <w:color w:val="000000"/>
          <w:sz w:val="28"/>
          <w:rtl/>
        </w:rPr>
        <w:t>ם</w:t>
      </w:r>
      <w:r w:rsidRPr="00A14071">
        <w:rPr>
          <w:rFonts w:ascii="FrankRuehl" w:hAnsi="FrankRuehl"/>
          <w:color w:val="000000"/>
          <w:sz w:val="28"/>
          <w:rtl/>
        </w:rPr>
        <w:t xml:space="preserve"> – [...]</w:t>
      </w:r>
      <w:r w:rsidRPr="00A14071">
        <w:rPr>
          <w:rFonts w:ascii="Century" w:hAnsi="Century"/>
          <w:sz w:val="28"/>
          <w:rtl/>
        </w:rPr>
        <w:t xml:space="preserve"> </w:t>
      </w:r>
      <w:r w:rsidRPr="00A14071">
        <w:rPr>
          <w:rFonts w:ascii="Century" w:hAnsi="Century" w:hint="eastAsia"/>
          <w:sz w:val="28"/>
          <w:rtl/>
        </w:rPr>
        <w:t>א</w:t>
      </w:r>
      <w:r w:rsidRPr="00A14071">
        <w:rPr>
          <w:rFonts w:ascii="FrankRuehl" w:hAnsi="FrankRuehl"/>
          <w:color w:val="000000"/>
          <w:sz w:val="28"/>
          <w:rtl/>
        </w:rPr>
        <w:t>ף-על-פי ששגה, היה זה משגהו של איזה אדם אחר שהיה סיבתו המכריעה של הנזק</w:t>
      </w:r>
      <w:r>
        <w:rPr>
          <w:rFonts w:ascii="FrankRuehl" w:hAnsi="FrankRuehl" w:hint="cs"/>
          <w:color w:val="000000"/>
          <w:sz w:val="28"/>
          <w:rtl/>
        </w:rPr>
        <w:t>"</w:t>
      </w:r>
      <w:r w:rsidRPr="00A14071">
        <w:rPr>
          <w:rFonts w:ascii="Century" w:hAnsi="Century"/>
          <w:sz w:val="28"/>
          <w:rtl/>
        </w:rPr>
        <w:t>.</w:t>
      </w:r>
    </w:p>
    <w:p w:rsidR="008B3136" w:rsidRDefault="008B3136" w:rsidP="008B3136">
      <w:pPr>
        <w:pStyle w:val="Ruller5"/>
        <w:rPr>
          <w:rFonts w:ascii="Century" w:hAnsi="Century"/>
          <w:rtl/>
        </w:rPr>
      </w:pPr>
    </w:p>
    <w:p w:rsidR="008B3136" w:rsidRDefault="008B3136" w:rsidP="008B3136">
      <w:pPr>
        <w:pStyle w:val="Ruller41"/>
        <w:rPr>
          <w:rtl/>
        </w:rPr>
      </w:pPr>
      <w:r>
        <w:rPr>
          <w:rFonts w:cs="Miriam"/>
          <w:b/>
          <w:spacing w:val="0"/>
          <w:szCs w:val="24"/>
          <w:rtl/>
        </w:rPr>
        <w:tab/>
      </w:r>
      <w:r w:rsidRPr="00503971">
        <w:rPr>
          <w:rFonts w:cs="Miriam" w:hint="cs"/>
          <w:b/>
          <w:spacing w:val="0"/>
          <w:szCs w:val="24"/>
          <w:rtl/>
        </w:rPr>
        <w:t>סעיף 68א(א)</w:t>
      </w:r>
      <w:r>
        <w:rPr>
          <w:rFonts w:hint="cs"/>
          <w:rtl/>
        </w:rPr>
        <w:t>, מקבילו של סעיף 89(1) לפקודת הנזיקין:</w:t>
      </w:r>
    </w:p>
    <w:p w:rsidR="008B3136" w:rsidRDefault="008B3136" w:rsidP="008B3136">
      <w:pPr>
        <w:pStyle w:val="Ruller5"/>
        <w:rPr>
          <w:rFonts w:ascii="Century" w:hAnsi="Century"/>
          <w:rtl/>
        </w:rPr>
      </w:pPr>
    </w:p>
    <w:p w:rsidR="008B3136" w:rsidRPr="008D36F6" w:rsidRDefault="008B3136" w:rsidP="008B3136">
      <w:pPr>
        <w:pStyle w:val="Ruller5"/>
        <w:rPr>
          <w:rFonts w:ascii="Century" w:hAnsi="Century"/>
          <w:rtl/>
        </w:rPr>
      </w:pPr>
      <w:r>
        <w:rPr>
          <w:rFonts w:ascii="Century" w:hAnsi="Century" w:hint="cs"/>
          <w:rtl/>
        </w:rPr>
        <w:t>"'</w:t>
      </w:r>
      <w:r w:rsidRPr="00D91DE9">
        <w:rPr>
          <w:rFonts w:ascii="Century" w:hAnsi="Century" w:hint="eastAsia"/>
          <w:rtl/>
        </w:rPr>
        <w:t>היום</w:t>
      </w:r>
      <w:r w:rsidRPr="00D91DE9">
        <w:rPr>
          <w:rFonts w:ascii="Century" w:hAnsi="Century"/>
          <w:rtl/>
        </w:rPr>
        <w:t xml:space="preserve"> </w:t>
      </w:r>
      <w:r w:rsidRPr="00D91DE9">
        <w:rPr>
          <w:rFonts w:ascii="Century" w:hAnsi="Century" w:hint="eastAsia"/>
          <w:rtl/>
        </w:rPr>
        <w:t>שנולדה</w:t>
      </w:r>
      <w:r w:rsidRPr="00D91DE9">
        <w:rPr>
          <w:rFonts w:ascii="Century" w:hAnsi="Century"/>
          <w:rtl/>
        </w:rPr>
        <w:t xml:space="preserve"> </w:t>
      </w:r>
      <w:r w:rsidRPr="00D91DE9">
        <w:rPr>
          <w:rFonts w:ascii="Century" w:hAnsi="Century" w:hint="eastAsia"/>
          <w:rtl/>
        </w:rPr>
        <w:t>עילת</w:t>
      </w:r>
      <w:r w:rsidRPr="00D91DE9">
        <w:rPr>
          <w:rFonts w:ascii="Century" w:hAnsi="Century"/>
          <w:rtl/>
        </w:rPr>
        <w:t xml:space="preserve"> </w:t>
      </w:r>
      <w:r w:rsidRPr="00D91DE9">
        <w:rPr>
          <w:rFonts w:ascii="Century" w:hAnsi="Century" w:hint="eastAsia"/>
          <w:rtl/>
        </w:rPr>
        <w:t>התובענה</w:t>
      </w:r>
      <w:r>
        <w:rPr>
          <w:rFonts w:ascii="Century" w:hAnsi="Century" w:hint="cs"/>
          <w:rtl/>
        </w:rPr>
        <w:t>'</w:t>
      </w:r>
      <w:r w:rsidRPr="00D91DE9">
        <w:rPr>
          <w:rFonts w:ascii="Century" w:hAnsi="Century"/>
          <w:rtl/>
        </w:rPr>
        <w:t xml:space="preserve"> </w:t>
      </w:r>
      <w:r w:rsidRPr="00D91DE9">
        <w:rPr>
          <w:rFonts w:ascii="Century" w:hAnsi="Century" w:hint="eastAsia"/>
          <w:rtl/>
        </w:rPr>
        <w:t>הוא</w:t>
      </w:r>
      <w:r w:rsidRPr="00D91DE9">
        <w:rPr>
          <w:rFonts w:ascii="Century" w:hAnsi="Century"/>
          <w:rtl/>
        </w:rPr>
        <w:t xml:space="preserve">, </w:t>
      </w:r>
      <w:r w:rsidRPr="00D91DE9">
        <w:rPr>
          <w:rFonts w:ascii="Century" w:hAnsi="Century" w:hint="eastAsia"/>
          <w:rtl/>
        </w:rPr>
        <w:t>לענין</w:t>
      </w:r>
      <w:r w:rsidRPr="00D91DE9">
        <w:rPr>
          <w:rFonts w:ascii="Century" w:hAnsi="Century"/>
          <w:rtl/>
        </w:rPr>
        <w:t xml:space="preserve"> </w:t>
      </w:r>
      <w:r w:rsidRPr="00D91DE9">
        <w:rPr>
          <w:rFonts w:ascii="Century" w:hAnsi="Century" w:hint="eastAsia"/>
          <w:rtl/>
        </w:rPr>
        <w:t>תקופת</w:t>
      </w:r>
      <w:r w:rsidRPr="00D91DE9">
        <w:rPr>
          <w:rFonts w:ascii="Century" w:hAnsi="Century"/>
          <w:rtl/>
        </w:rPr>
        <w:t xml:space="preserve"> </w:t>
      </w:r>
      <w:r w:rsidRPr="00D91DE9">
        <w:rPr>
          <w:rFonts w:ascii="Century" w:hAnsi="Century" w:hint="eastAsia"/>
          <w:rtl/>
        </w:rPr>
        <w:t>ההתיישנות</w:t>
      </w:r>
      <w:r w:rsidRPr="00D91DE9">
        <w:rPr>
          <w:rFonts w:ascii="Century" w:hAnsi="Century"/>
          <w:rtl/>
        </w:rPr>
        <w:t xml:space="preserve"> </w:t>
      </w:r>
      <w:r w:rsidRPr="00D91DE9">
        <w:rPr>
          <w:rFonts w:ascii="Century" w:hAnsi="Century" w:hint="eastAsia"/>
          <w:rtl/>
        </w:rPr>
        <w:t>בתובענה</w:t>
      </w:r>
      <w:r w:rsidRPr="00D91DE9">
        <w:rPr>
          <w:rFonts w:ascii="Century" w:hAnsi="Century"/>
          <w:rtl/>
        </w:rPr>
        <w:t xml:space="preserve"> </w:t>
      </w:r>
      <w:r w:rsidRPr="00D91DE9">
        <w:rPr>
          <w:rFonts w:ascii="Century" w:hAnsi="Century" w:hint="eastAsia"/>
          <w:rtl/>
        </w:rPr>
        <w:t>על</w:t>
      </w:r>
      <w:r w:rsidRPr="00D91DE9">
        <w:rPr>
          <w:rFonts w:ascii="Century" w:hAnsi="Century"/>
          <w:rtl/>
        </w:rPr>
        <w:t xml:space="preserve"> </w:t>
      </w:r>
      <w:r w:rsidRPr="00D91DE9">
        <w:rPr>
          <w:rFonts w:ascii="Century" w:hAnsi="Century" w:hint="eastAsia"/>
          <w:rtl/>
        </w:rPr>
        <w:t>נזיקין</w:t>
      </w:r>
      <w:r w:rsidRPr="00D91DE9">
        <w:rPr>
          <w:rFonts w:ascii="Century" w:hAnsi="Century"/>
          <w:rtl/>
        </w:rPr>
        <w:t xml:space="preserve"> </w:t>
      </w:r>
      <w:r w:rsidRPr="00D91DE9">
        <w:rPr>
          <w:rFonts w:ascii="Century" w:hAnsi="Century" w:hint="eastAsia"/>
          <w:rtl/>
        </w:rPr>
        <w:t>אזרחיים</w:t>
      </w:r>
      <w:r w:rsidRPr="00D91DE9">
        <w:rPr>
          <w:rFonts w:ascii="Century" w:hAnsi="Century"/>
          <w:rtl/>
        </w:rPr>
        <w:t xml:space="preserve">, </w:t>
      </w:r>
      <w:r w:rsidRPr="00D91DE9">
        <w:rPr>
          <w:rFonts w:ascii="Century" w:hAnsi="Century" w:hint="eastAsia"/>
          <w:rtl/>
        </w:rPr>
        <w:t>אחד</w:t>
      </w:r>
      <w:r w:rsidRPr="00D91DE9">
        <w:rPr>
          <w:rFonts w:ascii="Century" w:hAnsi="Century"/>
          <w:rtl/>
        </w:rPr>
        <w:t xml:space="preserve"> </w:t>
      </w:r>
      <w:r w:rsidRPr="00D91DE9">
        <w:rPr>
          <w:rFonts w:ascii="Century" w:hAnsi="Century" w:hint="eastAsia"/>
          <w:rtl/>
        </w:rPr>
        <w:t>מאלה</w:t>
      </w:r>
      <w:r w:rsidRPr="00D91DE9">
        <w:rPr>
          <w:rFonts w:ascii="Century" w:hAnsi="Century"/>
          <w:rtl/>
        </w:rPr>
        <w:t>:</w:t>
      </w:r>
      <w:r>
        <w:rPr>
          <w:rFonts w:ascii="Century" w:hAnsi="Century" w:hint="cs"/>
          <w:rtl/>
        </w:rPr>
        <w:t xml:space="preserve"> [...] </w:t>
      </w:r>
      <w:r w:rsidRPr="00D91DE9">
        <w:rPr>
          <w:rFonts w:ascii="Century" w:hAnsi="Century" w:hint="eastAsia"/>
          <w:rtl/>
        </w:rPr>
        <w:t>מקום</w:t>
      </w:r>
      <w:r w:rsidRPr="00D91DE9">
        <w:rPr>
          <w:rFonts w:ascii="Century" w:hAnsi="Century"/>
          <w:rtl/>
        </w:rPr>
        <w:t xml:space="preserve"> </w:t>
      </w:r>
      <w:r w:rsidRPr="00D91DE9">
        <w:rPr>
          <w:rFonts w:ascii="Century" w:hAnsi="Century" w:hint="eastAsia"/>
          <w:rtl/>
        </w:rPr>
        <w:t>שעילת</w:t>
      </w:r>
      <w:r w:rsidRPr="00D91DE9">
        <w:rPr>
          <w:rFonts w:ascii="Century" w:hAnsi="Century"/>
          <w:rtl/>
        </w:rPr>
        <w:t xml:space="preserve"> </w:t>
      </w:r>
      <w:r w:rsidRPr="00D91DE9">
        <w:rPr>
          <w:rFonts w:ascii="Century" w:hAnsi="Century" w:hint="eastAsia"/>
          <w:rtl/>
        </w:rPr>
        <w:t>התובענה</w:t>
      </w:r>
      <w:r w:rsidRPr="00D91DE9">
        <w:rPr>
          <w:rFonts w:ascii="Century" w:hAnsi="Century"/>
          <w:rtl/>
        </w:rPr>
        <w:t xml:space="preserve"> </w:t>
      </w:r>
      <w:r w:rsidRPr="00D91DE9">
        <w:rPr>
          <w:rFonts w:ascii="Century" w:hAnsi="Century" w:hint="eastAsia"/>
          <w:rtl/>
        </w:rPr>
        <w:t>היא</w:t>
      </w:r>
      <w:r w:rsidRPr="00D91DE9">
        <w:rPr>
          <w:rFonts w:ascii="Century" w:hAnsi="Century"/>
          <w:rtl/>
        </w:rPr>
        <w:t xml:space="preserve"> </w:t>
      </w:r>
      <w:r w:rsidRPr="00D91DE9">
        <w:rPr>
          <w:rFonts w:ascii="Century" w:hAnsi="Century" w:hint="eastAsia"/>
          <w:rtl/>
        </w:rPr>
        <w:t>מעשה</w:t>
      </w:r>
      <w:r w:rsidRPr="00D91DE9">
        <w:rPr>
          <w:rFonts w:ascii="Century" w:hAnsi="Century"/>
          <w:rtl/>
        </w:rPr>
        <w:t xml:space="preserve"> </w:t>
      </w:r>
      <w:r w:rsidRPr="00D91DE9">
        <w:rPr>
          <w:rFonts w:ascii="Century" w:hAnsi="Century" w:hint="eastAsia"/>
          <w:rtl/>
        </w:rPr>
        <w:t>או</w:t>
      </w:r>
      <w:r w:rsidRPr="00D91DE9">
        <w:rPr>
          <w:rFonts w:ascii="Century" w:hAnsi="Century"/>
          <w:rtl/>
        </w:rPr>
        <w:t xml:space="preserve"> </w:t>
      </w:r>
      <w:r w:rsidRPr="00D91DE9">
        <w:rPr>
          <w:rFonts w:ascii="Century" w:hAnsi="Century" w:hint="eastAsia"/>
          <w:rtl/>
        </w:rPr>
        <w:t>מחדל</w:t>
      </w:r>
      <w:r w:rsidRPr="00D91DE9">
        <w:rPr>
          <w:rFonts w:ascii="Century" w:hAnsi="Century"/>
          <w:rtl/>
        </w:rPr>
        <w:t xml:space="preserve"> – </w:t>
      </w:r>
      <w:r w:rsidRPr="00D91DE9">
        <w:rPr>
          <w:rFonts w:ascii="Century" w:hAnsi="Century" w:hint="eastAsia"/>
          <w:rtl/>
        </w:rPr>
        <w:t>היום</w:t>
      </w:r>
      <w:r w:rsidRPr="00D91DE9">
        <w:rPr>
          <w:rFonts w:ascii="Century" w:hAnsi="Century"/>
          <w:rtl/>
        </w:rPr>
        <w:t xml:space="preserve"> </w:t>
      </w:r>
      <w:r w:rsidRPr="00D91DE9">
        <w:rPr>
          <w:rFonts w:ascii="Century" w:hAnsi="Century" w:hint="eastAsia"/>
          <w:rtl/>
        </w:rPr>
        <w:t>שבו</w:t>
      </w:r>
      <w:r w:rsidRPr="00D91DE9">
        <w:rPr>
          <w:rFonts w:ascii="Century" w:hAnsi="Century"/>
          <w:rtl/>
        </w:rPr>
        <w:t xml:space="preserve"> </w:t>
      </w:r>
      <w:r w:rsidRPr="00D91DE9">
        <w:rPr>
          <w:rFonts w:ascii="Century" w:hAnsi="Century" w:hint="eastAsia"/>
          <w:rtl/>
        </w:rPr>
        <w:t>אירע</w:t>
      </w:r>
      <w:r w:rsidRPr="00D91DE9">
        <w:rPr>
          <w:rFonts w:ascii="Century" w:hAnsi="Century"/>
          <w:rtl/>
        </w:rPr>
        <w:t xml:space="preserve"> </w:t>
      </w:r>
      <w:r w:rsidRPr="00D91DE9">
        <w:rPr>
          <w:rFonts w:ascii="Century" w:hAnsi="Century" w:hint="eastAsia"/>
          <w:rtl/>
        </w:rPr>
        <w:t>אותו</w:t>
      </w:r>
      <w:r w:rsidRPr="00D91DE9">
        <w:rPr>
          <w:rFonts w:ascii="Century" w:hAnsi="Century"/>
          <w:rtl/>
        </w:rPr>
        <w:t xml:space="preserve"> </w:t>
      </w:r>
      <w:r w:rsidRPr="00D91DE9">
        <w:rPr>
          <w:rFonts w:ascii="Century" w:hAnsi="Century" w:hint="eastAsia"/>
          <w:rtl/>
        </w:rPr>
        <w:t>מעשה</w:t>
      </w:r>
      <w:r w:rsidRPr="00D91DE9">
        <w:rPr>
          <w:rFonts w:ascii="Century" w:hAnsi="Century"/>
          <w:rtl/>
        </w:rPr>
        <w:t xml:space="preserve"> </w:t>
      </w:r>
      <w:r w:rsidRPr="00D91DE9">
        <w:rPr>
          <w:rFonts w:ascii="Century" w:hAnsi="Century" w:hint="eastAsia"/>
          <w:rtl/>
        </w:rPr>
        <w:t>או</w:t>
      </w:r>
      <w:r w:rsidRPr="00D91DE9">
        <w:rPr>
          <w:rFonts w:ascii="Century" w:hAnsi="Century"/>
          <w:rtl/>
        </w:rPr>
        <w:t xml:space="preserve"> </w:t>
      </w:r>
      <w:r w:rsidRPr="00D91DE9">
        <w:rPr>
          <w:rFonts w:ascii="Century" w:hAnsi="Century" w:hint="eastAsia"/>
          <w:rtl/>
        </w:rPr>
        <w:t>מחדל</w:t>
      </w:r>
      <w:r w:rsidRPr="00D91DE9">
        <w:rPr>
          <w:rFonts w:ascii="Century" w:hAnsi="Century"/>
          <w:rtl/>
        </w:rPr>
        <w:t xml:space="preserve">; </w:t>
      </w:r>
      <w:r w:rsidRPr="005937AC">
        <w:rPr>
          <w:rFonts w:ascii="Century" w:hAnsi="Century" w:cs="Miriam" w:hint="eastAsia"/>
          <w:b/>
          <w:spacing w:val="0"/>
          <w:szCs w:val="24"/>
          <w:rtl/>
        </w:rPr>
        <w:t>היה</w:t>
      </w:r>
      <w:r w:rsidRPr="005937AC">
        <w:rPr>
          <w:rFonts w:ascii="Century" w:hAnsi="Century" w:cs="Miriam"/>
          <w:b/>
          <w:spacing w:val="0"/>
          <w:szCs w:val="24"/>
          <w:rtl/>
        </w:rPr>
        <w:t xml:space="preserve"> </w:t>
      </w:r>
      <w:r w:rsidRPr="005937AC">
        <w:rPr>
          <w:rFonts w:ascii="Century" w:hAnsi="Century" w:cs="Miriam" w:hint="eastAsia"/>
          <w:b/>
          <w:spacing w:val="0"/>
          <w:szCs w:val="24"/>
          <w:rtl/>
        </w:rPr>
        <w:t>המעשה</w:t>
      </w:r>
      <w:r w:rsidRPr="005937AC">
        <w:rPr>
          <w:rFonts w:ascii="Century" w:hAnsi="Century" w:cs="Miriam"/>
          <w:b/>
          <w:spacing w:val="0"/>
          <w:szCs w:val="24"/>
          <w:rtl/>
        </w:rPr>
        <w:t xml:space="preserve"> </w:t>
      </w:r>
      <w:r w:rsidRPr="005937AC">
        <w:rPr>
          <w:rFonts w:ascii="Century" w:hAnsi="Century" w:cs="Miriam" w:hint="eastAsia"/>
          <w:b/>
          <w:spacing w:val="0"/>
          <w:szCs w:val="24"/>
          <w:rtl/>
        </w:rPr>
        <w:t>או</w:t>
      </w:r>
      <w:r w:rsidRPr="005937AC">
        <w:rPr>
          <w:rFonts w:ascii="Century" w:hAnsi="Century" w:cs="Miriam"/>
          <w:b/>
          <w:spacing w:val="0"/>
          <w:szCs w:val="24"/>
          <w:rtl/>
        </w:rPr>
        <w:t xml:space="preserve"> </w:t>
      </w:r>
      <w:r w:rsidRPr="005937AC">
        <w:rPr>
          <w:rFonts w:ascii="Century" w:hAnsi="Century" w:cs="Miriam" w:hint="eastAsia"/>
          <w:b/>
          <w:spacing w:val="0"/>
          <w:szCs w:val="24"/>
          <w:rtl/>
        </w:rPr>
        <w:t>המחדל</w:t>
      </w:r>
      <w:r w:rsidRPr="005937AC">
        <w:rPr>
          <w:rFonts w:ascii="Century" w:hAnsi="Century" w:cs="Miriam"/>
          <w:b/>
          <w:spacing w:val="0"/>
          <w:szCs w:val="24"/>
          <w:rtl/>
        </w:rPr>
        <w:t xml:space="preserve"> </w:t>
      </w:r>
      <w:r w:rsidRPr="005937AC">
        <w:rPr>
          <w:rFonts w:ascii="Century" w:hAnsi="Century" w:cs="Miriam" w:hint="eastAsia"/>
          <w:b/>
          <w:spacing w:val="0"/>
          <w:szCs w:val="24"/>
          <w:rtl/>
        </w:rPr>
        <w:t>נמשך</w:t>
      </w:r>
      <w:r w:rsidRPr="005937AC">
        <w:rPr>
          <w:rFonts w:ascii="Century" w:hAnsi="Century" w:cs="Miriam"/>
          <w:b/>
          <w:spacing w:val="0"/>
          <w:szCs w:val="24"/>
          <w:rtl/>
        </w:rPr>
        <w:t xml:space="preserve"> </w:t>
      </w:r>
      <w:r w:rsidRPr="005937AC">
        <w:rPr>
          <w:rFonts w:ascii="Century" w:hAnsi="Century" w:cs="Miriam" w:hint="eastAsia"/>
          <w:b/>
          <w:spacing w:val="0"/>
          <w:szCs w:val="24"/>
          <w:rtl/>
        </w:rPr>
        <w:t>והולך</w:t>
      </w:r>
      <w:r w:rsidRPr="005937AC">
        <w:rPr>
          <w:rFonts w:ascii="Century" w:hAnsi="Century" w:cs="Miriam"/>
          <w:b/>
          <w:spacing w:val="0"/>
          <w:szCs w:val="24"/>
          <w:rtl/>
        </w:rPr>
        <w:t xml:space="preserve"> – </w:t>
      </w:r>
      <w:r w:rsidRPr="005937AC">
        <w:rPr>
          <w:rFonts w:ascii="Century" w:hAnsi="Century" w:cs="Miriam" w:hint="eastAsia"/>
          <w:b/>
          <w:spacing w:val="0"/>
          <w:szCs w:val="24"/>
          <w:rtl/>
        </w:rPr>
        <w:t>היום</w:t>
      </w:r>
      <w:r w:rsidRPr="005937AC">
        <w:rPr>
          <w:rFonts w:ascii="Century" w:hAnsi="Century" w:cs="Miriam"/>
          <w:b/>
          <w:spacing w:val="0"/>
          <w:szCs w:val="24"/>
          <w:rtl/>
        </w:rPr>
        <w:t xml:space="preserve"> </w:t>
      </w:r>
      <w:r w:rsidRPr="005937AC">
        <w:rPr>
          <w:rFonts w:ascii="Century" w:hAnsi="Century" w:cs="Miriam" w:hint="eastAsia"/>
          <w:b/>
          <w:spacing w:val="0"/>
          <w:szCs w:val="24"/>
          <w:rtl/>
        </w:rPr>
        <w:t>שבו</w:t>
      </w:r>
      <w:r w:rsidRPr="005937AC">
        <w:rPr>
          <w:rFonts w:ascii="Century" w:hAnsi="Century" w:cs="Miriam"/>
          <w:b/>
          <w:spacing w:val="0"/>
          <w:szCs w:val="24"/>
          <w:rtl/>
        </w:rPr>
        <w:t xml:space="preserve"> </w:t>
      </w:r>
      <w:r w:rsidRPr="005937AC">
        <w:rPr>
          <w:rFonts w:ascii="Century" w:hAnsi="Century" w:cs="Miriam" w:hint="eastAsia"/>
          <w:b/>
          <w:spacing w:val="0"/>
          <w:szCs w:val="24"/>
          <w:rtl/>
        </w:rPr>
        <w:t>חדל</w:t>
      </w:r>
      <w:r>
        <w:rPr>
          <w:rFonts w:ascii="Century" w:hAnsi="Century" w:hint="cs"/>
          <w:rtl/>
        </w:rPr>
        <w:t xml:space="preserve">" (ההדגשה הוספה </w:t>
      </w:r>
      <w:r>
        <w:rPr>
          <w:rFonts w:ascii="Century" w:hAnsi="Century"/>
          <w:rtl/>
        </w:rPr>
        <w:t>–</w:t>
      </w:r>
      <w:r>
        <w:rPr>
          <w:rFonts w:ascii="Century" w:hAnsi="Century" w:hint="cs"/>
          <w:rtl/>
        </w:rPr>
        <w:t xml:space="preserve"> א.ש.).</w:t>
      </w:r>
    </w:p>
    <w:p w:rsidR="008B3136" w:rsidRPr="00D34D53" w:rsidRDefault="008B3136" w:rsidP="008B3136">
      <w:pPr>
        <w:pStyle w:val="Ruller41"/>
      </w:pPr>
    </w:p>
    <w:p w:rsidR="008B3136" w:rsidRDefault="008B3136" w:rsidP="008B3136">
      <w:pPr>
        <w:pStyle w:val="Ruller4"/>
        <w:rPr>
          <w:rtl/>
        </w:rPr>
      </w:pPr>
      <w:r>
        <w:rPr>
          <w:rFonts w:hint="cs"/>
          <w:rtl/>
        </w:rPr>
        <w:t xml:space="preserve">מהוראות אלה של פקודת הנזיקין </w:t>
      </w:r>
      <w:r>
        <w:rPr>
          <w:rtl/>
        </w:rPr>
        <w:t>–</w:t>
      </w:r>
      <w:r>
        <w:rPr>
          <w:rFonts w:hint="cs"/>
          <w:rtl/>
        </w:rPr>
        <w:t xml:space="preserve"> בכל אחד מנוסחיה, הישן והחדש </w:t>
      </w:r>
      <w:r>
        <w:rPr>
          <w:rtl/>
        </w:rPr>
        <w:t>–</w:t>
      </w:r>
      <w:r>
        <w:rPr>
          <w:rFonts w:hint="cs"/>
          <w:rtl/>
        </w:rPr>
        <w:t xml:space="preserve"> עולים כללי אחריות כדלקמן:</w:t>
      </w:r>
    </w:p>
    <w:p w:rsidR="008B3136" w:rsidRDefault="008B3136" w:rsidP="008B3136">
      <w:pPr>
        <w:pStyle w:val="Ruller41"/>
        <w:rPr>
          <w:rtl/>
        </w:rPr>
      </w:pPr>
    </w:p>
    <w:p w:rsidR="008B3136" w:rsidRDefault="008B3136" w:rsidP="008B3136">
      <w:pPr>
        <w:pStyle w:val="Ruller41"/>
        <w:numPr>
          <w:ilvl w:val="0"/>
          <w:numId w:val="24"/>
        </w:numPr>
      </w:pPr>
      <w:r>
        <w:rPr>
          <w:rFonts w:hint="cs"/>
          <w:rtl/>
        </w:rPr>
        <w:t xml:space="preserve">כל נזק או פגיעה שנגרמו על ידי עוולת נזיקין מזכים את הנפגע, ביחסיו עם המעוול, בתרופות בדמות פיצויים וצווי עשה </w:t>
      </w:r>
      <w:r w:rsidRPr="00F2192D">
        <w:rPr>
          <w:rFonts w:hint="eastAsia"/>
          <w:rtl/>
        </w:rPr>
        <w:t>ולא</w:t>
      </w:r>
      <w:r w:rsidRPr="00F2192D">
        <w:rPr>
          <w:rtl/>
        </w:rPr>
        <w:t>-</w:t>
      </w:r>
      <w:r w:rsidRPr="00F2192D">
        <w:rPr>
          <w:rFonts w:hint="eastAsia"/>
          <w:rtl/>
        </w:rPr>
        <w:t>תעשה</w:t>
      </w:r>
      <w:r>
        <w:rPr>
          <w:rFonts w:hint="cs"/>
          <w:rtl/>
        </w:rPr>
        <w:t xml:space="preserve"> (ראו: יצחק אנגלרד, אהרן ברק ומישאל חשין </w:t>
      </w:r>
      <w:r w:rsidRPr="00A14071">
        <w:rPr>
          <w:rFonts w:ascii="Century" w:hAnsi="Century" w:cs="Miriam" w:hint="eastAsia"/>
          <w:b/>
          <w:spacing w:val="0"/>
          <w:szCs w:val="24"/>
          <w:rtl/>
        </w:rPr>
        <w:t>דיני</w:t>
      </w:r>
      <w:r w:rsidRPr="00A14071">
        <w:rPr>
          <w:rFonts w:ascii="Century" w:hAnsi="Century" w:cs="Miriam"/>
          <w:b/>
          <w:spacing w:val="0"/>
          <w:szCs w:val="24"/>
          <w:rtl/>
        </w:rPr>
        <w:t xml:space="preserve"> </w:t>
      </w:r>
      <w:r w:rsidRPr="00A14071">
        <w:rPr>
          <w:rFonts w:ascii="Century" w:hAnsi="Century" w:cs="Miriam" w:hint="eastAsia"/>
          <w:b/>
          <w:spacing w:val="0"/>
          <w:szCs w:val="24"/>
          <w:rtl/>
        </w:rPr>
        <w:t>הנזיקין</w:t>
      </w:r>
      <w:r w:rsidRPr="00A14071">
        <w:rPr>
          <w:rFonts w:ascii="Century" w:hAnsi="Century" w:cs="Miriam"/>
          <w:b/>
          <w:spacing w:val="0"/>
          <w:szCs w:val="24"/>
          <w:rtl/>
        </w:rPr>
        <w:t xml:space="preserve"> – תורת </w:t>
      </w:r>
      <w:r w:rsidRPr="00A14071">
        <w:rPr>
          <w:rFonts w:ascii="Century" w:hAnsi="Century" w:cs="Miriam" w:hint="eastAsia"/>
          <w:b/>
          <w:spacing w:val="0"/>
          <w:szCs w:val="24"/>
          <w:rtl/>
        </w:rPr>
        <w:t>הנזיקין</w:t>
      </w:r>
      <w:r w:rsidRPr="00A14071">
        <w:rPr>
          <w:rFonts w:ascii="Century" w:hAnsi="Century" w:cs="Miriam"/>
          <w:b/>
          <w:spacing w:val="0"/>
          <w:szCs w:val="24"/>
          <w:rtl/>
        </w:rPr>
        <w:t xml:space="preserve"> הכללית</w:t>
      </w:r>
      <w:r>
        <w:rPr>
          <w:rFonts w:hint="cs"/>
          <w:rtl/>
        </w:rPr>
        <w:t xml:space="preserve"> 25, 547-544 (מהדורה שנייה, גד טדסקי עורך, 1976) (להלן: </w:t>
      </w:r>
      <w:r w:rsidRPr="009A5A81">
        <w:rPr>
          <w:rFonts w:ascii="Century" w:hAnsi="Century" w:cs="Miriam" w:hint="cs"/>
          <w:b/>
          <w:spacing w:val="0"/>
          <w:szCs w:val="24"/>
          <w:rtl/>
        </w:rPr>
        <w:t>דיני נזיקין</w:t>
      </w:r>
      <w:r>
        <w:rPr>
          <w:rFonts w:hint="cs"/>
          <w:rtl/>
        </w:rPr>
        <w:t>)).</w:t>
      </w:r>
    </w:p>
    <w:p w:rsidR="008B3136" w:rsidRDefault="008B3136" w:rsidP="008B3136">
      <w:pPr>
        <w:pStyle w:val="Ruller41"/>
        <w:ind w:left="720"/>
      </w:pPr>
    </w:p>
    <w:p w:rsidR="008B3136" w:rsidRDefault="008B3136" w:rsidP="008B3136">
      <w:pPr>
        <w:pStyle w:val="Ruller41"/>
        <w:numPr>
          <w:ilvl w:val="0"/>
          <w:numId w:val="24"/>
        </w:numPr>
      </w:pPr>
      <w:r>
        <w:rPr>
          <w:rFonts w:hint="cs"/>
          <w:rtl/>
        </w:rPr>
        <w:t xml:space="preserve">מעוול שגרם לנזק או לפגיעה כאמור יישא באחריות בגינם אם מעשהו או מחדלו הוא </w:t>
      </w:r>
      <w:r>
        <w:rPr>
          <w:rFonts w:ascii="Century" w:hAnsi="Century" w:cs="Miriam" w:hint="cs"/>
          <w:b/>
          <w:spacing w:val="0"/>
          <w:szCs w:val="24"/>
          <w:rtl/>
        </w:rPr>
        <w:t xml:space="preserve">אחת </w:t>
      </w:r>
      <w:r w:rsidRPr="00931B00">
        <w:rPr>
          <w:rFonts w:ascii="Century" w:hAnsi="Century" w:cs="Miriam" w:hint="cs"/>
          <w:b/>
          <w:spacing w:val="0"/>
          <w:szCs w:val="24"/>
          <w:rtl/>
        </w:rPr>
        <w:t>הסיבות</w:t>
      </w:r>
      <w:r>
        <w:rPr>
          <w:rFonts w:hint="cs"/>
          <w:rtl/>
        </w:rPr>
        <w:t xml:space="preserve"> לקרות הנזק או הפגיעה, זולת אם גורם מתערב זר היה בגדר סיבה מכרעת לנזק או לפגיעה (ראו: </w:t>
      </w:r>
      <w:r w:rsidRPr="009A5A81">
        <w:rPr>
          <w:rFonts w:ascii="Century" w:hAnsi="Century" w:cs="Miriam" w:hint="cs"/>
          <w:b/>
          <w:spacing w:val="0"/>
          <w:szCs w:val="24"/>
          <w:rtl/>
        </w:rPr>
        <w:t>דיני נזיקין</w:t>
      </w:r>
      <w:r>
        <w:rPr>
          <w:rFonts w:ascii="Century" w:hAnsi="Century" w:hint="cs"/>
          <w:rtl/>
        </w:rPr>
        <w:t>,</w:t>
      </w:r>
      <w:r>
        <w:rPr>
          <w:rFonts w:hint="cs"/>
          <w:rtl/>
        </w:rPr>
        <w:t xml:space="preserve"> בעמ' 195-193).</w:t>
      </w:r>
    </w:p>
    <w:p w:rsidR="008B3136" w:rsidRDefault="008B3136" w:rsidP="008B3136">
      <w:pPr>
        <w:pStyle w:val="Ruller41"/>
        <w:ind w:left="720"/>
      </w:pPr>
    </w:p>
    <w:p w:rsidR="008B3136" w:rsidRDefault="008B3136" w:rsidP="008B3136">
      <w:pPr>
        <w:pStyle w:val="Ruller41"/>
        <w:numPr>
          <w:ilvl w:val="0"/>
          <w:numId w:val="24"/>
        </w:numPr>
      </w:pPr>
      <w:r>
        <w:rPr>
          <w:rFonts w:hint="cs"/>
          <w:rtl/>
        </w:rPr>
        <w:t xml:space="preserve">עוולה נמשכת דוחה את תחילתו של מרוץ ההתיישנות למועד שבו העוולה חדלה מלהתבצע </w:t>
      </w:r>
      <w:r>
        <w:rPr>
          <w:rtl/>
        </w:rPr>
        <w:t>–</w:t>
      </w:r>
      <w:r>
        <w:rPr>
          <w:rFonts w:hint="cs"/>
          <w:rtl/>
        </w:rPr>
        <w:t xml:space="preserve"> קרי: ליום החדילה של המעוול ממעשהו או ממחדלו, בהתאם לעיקרון הדחיסה לפנים (ראו: </w:t>
      </w:r>
      <w:r w:rsidRPr="00C052D4">
        <w:rPr>
          <w:rFonts w:ascii="Century" w:hAnsi="Century" w:cs="Miriam" w:hint="cs"/>
          <w:b/>
          <w:spacing w:val="0"/>
          <w:szCs w:val="24"/>
          <w:rtl/>
        </w:rPr>
        <w:t>גלעד</w:t>
      </w:r>
      <w:r>
        <w:rPr>
          <w:rFonts w:hint="cs"/>
          <w:rtl/>
        </w:rPr>
        <w:t xml:space="preserve">, בעמ' 221). </w:t>
      </w:r>
      <w:r w:rsidRPr="00C052D4">
        <w:rPr>
          <w:rFonts w:ascii="Century" w:hAnsi="Century" w:cs="Miriam" w:hint="cs"/>
          <w:b/>
          <w:spacing w:val="0"/>
          <w:szCs w:val="24"/>
          <w:rtl/>
        </w:rPr>
        <w:t>זאת, כל אימת שמדובר בעוולה שנזק אינו רכיב מרכיביה</w:t>
      </w:r>
      <w:r>
        <w:rPr>
          <w:rFonts w:hint="cs"/>
          <w:rtl/>
        </w:rPr>
        <w:t xml:space="preserve">, להבדיל מעוולות שבהן נזק אצל הנפגע הוא תנאי להתגבשות האחריות הנזיקית (ראו: </w:t>
      </w:r>
      <w:r w:rsidRPr="009A5A81">
        <w:rPr>
          <w:rFonts w:ascii="Century" w:hAnsi="Century" w:cs="Miriam" w:hint="cs"/>
          <w:b/>
          <w:spacing w:val="0"/>
          <w:szCs w:val="24"/>
          <w:rtl/>
        </w:rPr>
        <w:t>דיני</w:t>
      </w:r>
      <w:r>
        <w:rPr>
          <w:rFonts w:ascii="Century" w:hAnsi="Century" w:cs="Miriam" w:hint="cs"/>
          <w:b/>
          <w:spacing w:val="0"/>
          <w:szCs w:val="24"/>
          <w:rtl/>
        </w:rPr>
        <w:t xml:space="preserve"> </w:t>
      </w:r>
      <w:r w:rsidRPr="009A5A81">
        <w:rPr>
          <w:rFonts w:ascii="Century" w:hAnsi="Century" w:cs="Miriam" w:hint="cs"/>
          <w:b/>
          <w:spacing w:val="0"/>
          <w:szCs w:val="24"/>
          <w:rtl/>
        </w:rPr>
        <w:t>נזיקין</w:t>
      </w:r>
      <w:r>
        <w:rPr>
          <w:rFonts w:ascii="Century" w:hAnsi="Century" w:hint="cs"/>
          <w:rtl/>
        </w:rPr>
        <w:t xml:space="preserve">, בעמ' 725-722; </w:t>
      </w:r>
      <w:r w:rsidRPr="009A5A81">
        <w:rPr>
          <w:rFonts w:ascii="Century" w:hAnsi="Century" w:cs="Miriam" w:hint="cs"/>
          <w:b/>
          <w:spacing w:val="0"/>
          <w:szCs w:val="24"/>
          <w:rtl/>
        </w:rPr>
        <w:t>גלעד</w:t>
      </w:r>
      <w:r>
        <w:rPr>
          <w:rFonts w:hint="cs"/>
          <w:rtl/>
        </w:rPr>
        <w:t>, שם).</w:t>
      </w:r>
    </w:p>
    <w:p w:rsidR="008B3136" w:rsidRDefault="008B3136" w:rsidP="008B3136">
      <w:pPr>
        <w:pStyle w:val="Ruller41"/>
        <w:ind w:left="720"/>
      </w:pPr>
    </w:p>
    <w:p w:rsidR="008B3136" w:rsidRDefault="008B3136" w:rsidP="008B3136">
      <w:pPr>
        <w:pStyle w:val="Ruller41"/>
        <w:numPr>
          <w:ilvl w:val="0"/>
          <w:numId w:val="24"/>
        </w:numPr>
        <w:rPr>
          <w:rtl/>
        </w:rPr>
      </w:pPr>
      <w:r>
        <w:rPr>
          <w:rFonts w:hint="cs"/>
          <w:rtl/>
        </w:rPr>
        <w:t>ככל שקיים צורך לפרש כללים אלה, בית המשפט חייב לפרשם בהתאם למקביליהם במשפט המקובל האנגלי (ראו:</w:t>
      </w:r>
      <w:r w:rsidRPr="00537DCE">
        <w:rPr>
          <w:rFonts w:hint="cs"/>
          <w:rtl/>
        </w:rPr>
        <w:t xml:space="preserve"> </w:t>
      </w:r>
      <w:r>
        <w:rPr>
          <w:rFonts w:hint="cs"/>
          <w:rtl/>
        </w:rPr>
        <w:t xml:space="preserve">עניין </w:t>
      </w:r>
      <w:r w:rsidRPr="00A14071">
        <w:rPr>
          <w:rFonts w:ascii="Century" w:hAnsi="Century" w:cs="Miriam" w:hint="eastAsia"/>
          <w:b/>
          <w:spacing w:val="0"/>
          <w:szCs w:val="24"/>
          <w:rtl/>
        </w:rPr>
        <w:t>קלינמן</w:t>
      </w:r>
      <w:r w:rsidRPr="00A14071">
        <w:rPr>
          <w:rFonts w:ascii="Century" w:hAnsi="Century"/>
          <w:rtl/>
        </w:rPr>
        <w:t xml:space="preserve">, </w:t>
      </w:r>
      <w:r w:rsidRPr="00A14071">
        <w:rPr>
          <w:rFonts w:ascii="Century" w:hAnsi="Century" w:hint="eastAsia"/>
          <w:rtl/>
        </w:rPr>
        <w:t>בעמ</w:t>
      </w:r>
      <w:r w:rsidRPr="00A14071">
        <w:rPr>
          <w:rFonts w:ascii="Century" w:hAnsi="Century"/>
          <w:rtl/>
        </w:rPr>
        <w:t>' 936-934</w:t>
      </w:r>
      <w:r>
        <w:rPr>
          <w:rFonts w:hint="cs"/>
          <w:rtl/>
        </w:rPr>
        <w:t xml:space="preserve">; </w:t>
      </w:r>
      <w:r w:rsidRPr="009A5A81">
        <w:rPr>
          <w:rFonts w:ascii="Century" w:hAnsi="Century" w:cs="Miriam" w:hint="cs"/>
          <w:b/>
          <w:spacing w:val="0"/>
          <w:szCs w:val="24"/>
          <w:rtl/>
        </w:rPr>
        <w:t>דיני נזיקין</w:t>
      </w:r>
      <w:r>
        <w:rPr>
          <w:rFonts w:hint="cs"/>
          <w:rtl/>
        </w:rPr>
        <w:t>, בעמ' 51, 55).</w:t>
      </w:r>
    </w:p>
    <w:p w:rsidR="008B3136" w:rsidRDefault="008B3136" w:rsidP="008B3136">
      <w:pPr>
        <w:pStyle w:val="Ruller41"/>
        <w:rPr>
          <w:rtl/>
        </w:rPr>
      </w:pPr>
    </w:p>
    <w:p w:rsidR="008B3136" w:rsidRDefault="008B3136" w:rsidP="008B3136">
      <w:pPr>
        <w:pStyle w:val="Ruller4"/>
      </w:pPr>
      <w:r>
        <w:rPr>
          <w:rFonts w:hint="cs"/>
          <w:rtl/>
        </w:rPr>
        <w:t xml:space="preserve">כללים אלה מהווים, כאמור, חלק אינטגרלי מחוק לשון הרע מכוח אימוצם בסעיף 7 לחוק. </w:t>
      </w:r>
    </w:p>
    <w:p w:rsidR="008B3136" w:rsidRDefault="008B3136" w:rsidP="008B3136">
      <w:pPr>
        <w:pStyle w:val="Ruller4"/>
        <w:numPr>
          <w:ilvl w:val="0"/>
          <w:numId w:val="0"/>
        </w:numPr>
        <w:rPr>
          <w:rtl/>
        </w:rPr>
      </w:pPr>
    </w:p>
    <w:p w:rsidR="008B3136" w:rsidRPr="00503D18" w:rsidRDefault="008B3136" w:rsidP="008B3136">
      <w:pPr>
        <w:pStyle w:val="Ruller4"/>
        <w:numPr>
          <w:ilvl w:val="0"/>
          <w:numId w:val="0"/>
        </w:numPr>
        <w:rPr>
          <w:rFonts w:ascii="Century" w:hAnsi="Century" w:cs="Miriam"/>
          <w:b/>
          <w:spacing w:val="0"/>
          <w:sz w:val="22"/>
          <w:szCs w:val="24"/>
        </w:rPr>
      </w:pPr>
      <w:r w:rsidRPr="00503D18">
        <w:rPr>
          <w:rFonts w:ascii="Century" w:hAnsi="Century" w:cs="Miriam" w:hint="cs"/>
          <w:b/>
          <w:spacing w:val="0"/>
          <w:sz w:val="22"/>
          <w:szCs w:val="24"/>
          <w:rtl/>
        </w:rPr>
        <w:t>לשון הרע כעוולה נמשכת</w:t>
      </w:r>
      <w:r w:rsidRPr="00503D18">
        <w:rPr>
          <w:rFonts w:ascii="Century" w:hAnsi="Century" w:cs="Miriam"/>
          <w:b/>
          <w:spacing w:val="0"/>
          <w:sz w:val="22"/>
          <w:szCs w:val="24"/>
          <w:rtl/>
        </w:rPr>
        <w:br/>
      </w:r>
    </w:p>
    <w:p w:rsidR="008B3136" w:rsidRDefault="008B3136" w:rsidP="008B3136">
      <w:pPr>
        <w:pStyle w:val="Ruller4"/>
      </w:pPr>
      <w:r>
        <w:rPr>
          <w:rFonts w:hint="cs"/>
          <w:rtl/>
        </w:rPr>
        <w:t xml:space="preserve">האם לשון הרע שבה עסקינן מהווה עוולה נמשכת לאור האמור בכללי היסוד שמניתי זה עתה? במילים אחרות: האם יצירת סרט הכזבים על ידי המערער והעמדתו להקרנות במרחב הציבורי מהווה עוולה נמשכת? </w:t>
      </w:r>
    </w:p>
    <w:p w:rsidR="008B3136" w:rsidRDefault="008B3136" w:rsidP="008B3136">
      <w:pPr>
        <w:pStyle w:val="Ruller4"/>
        <w:numPr>
          <w:ilvl w:val="0"/>
          <w:numId w:val="0"/>
        </w:numPr>
      </w:pPr>
    </w:p>
    <w:p w:rsidR="008B3136" w:rsidRDefault="008B3136" w:rsidP="008B3136">
      <w:pPr>
        <w:pStyle w:val="Ruller4"/>
      </w:pPr>
      <w:r>
        <w:rPr>
          <w:rFonts w:hint="cs"/>
          <w:rtl/>
        </w:rPr>
        <w:t xml:space="preserve">אפתח את הדיון בשאלות אלה על ידי חזרה על מה שכבר נאמר על ידי: סרט קולנועי או אחר שמכיל בתוכו לשון הרע מתגבש לכדי עוולת נזיקין בהגעתו לכלל "פרסום" </w:t>
      </w:r>
      <w:r>
        <w:rPr>
          <w:rtl/>
        </w:rPr>
        <w:t>–</w:t>
      </w:r>
      <w:r>
        <w:rPr>
          <w:rFonts w:hint="cs"/>
          <w:rtl/>
        </w:rPr>
        <w:t xml:space="preserve"> כאשר יוצר הסרט או מי שפועל מטעמו יוצר היתכנות לכך שאדם אחר, שאיננו הנפגע עצמו, יצפה בסרט (ראו: סעיף 2(ב)(2) לחוק לשון הרע). </w:t>
      </w:r>
      <w:r w:rsidRPr="00C53822">
        <w:rPr>
          <w:rFonts w:ascii="Century" w:hAnsi="Century" w:cs="Miriam" w:hint="cs"/>
          <w:b/>
          <w:spacing w:val="0"/>
          <w:sz w:val="22"/>
          <w:szCs w:val="24"/>
          <w:rtl/>
        </w:rPr>
        <w:t>כל אימת שהיתכנות כאמור נמשכת, נמשך הפרסום</w:t>
      </w:r>
      <w:r>
        <w:rPr>
          <w:rFonts w:hint="cs"/>
          <w:rtl/>
        </w:rPr>
        <w:t xml:space="preserve"> </w:t>
      </w:r>
      <w:r w:rsidRPr="00C53822">
        <w:rPr>
          <w:rFonts w:ascii="Century" w:hAnsi="Century" w:cs="Miriam" w:hint="cs"/>
          <w:b/>
          <w:spacing w:val="0"/>
          <w:sz w:val="22"/>
          <w:szCs w:val="24"/>
          <w:rtl/>
        </w:rPr>
        <w:t>שמהווה לשון הרע</w:t>
      </w:r>
      <w:r>
        <w:rPr>
          <w:rFonts w:hint="cs"/>
          <w:rtl/>
        </w:rPr>
        <w:t>.</w:t>
      </w:r>
    </w:p>
    <w:p w:rsidR="008B3136" w:rsidRDefault="008B3136" w:rsidP="008B3136">
      <w:pPr>
        <w:pStyle w:val="Ruller4"/>
        <w:numPr>
          <w:ilvl w:val="0"/>
          <w:numId w:val="0"/>
        </w:numPr>
      </w:pPr>
    </w:p>
    <w:p w:rsidR="008B3136" w:rsidRDefault="008B3136" w:rsidP="008B3136">
      <w:pPr>
        <w:pStyle w:val="Ruller4"/>
      </w:pPr>
      <w:r>
        <w:rPr>
          <w:rFonts w:hint="cs"/>
          <w:rtl/>
        </w:rPr>
        <w:t>כמו כן, אפנה לאמור בסעיף 9(א) לחוק לשון הרע:</w:t>
      </w:r>
    </w:p>
    <w:p w:rsidR="008B3136" w:rsidRDefault="008B3136" w:rsidP="008B3136">
      <w:pPr>
        <w:pStyle w:val="Ruller4"/>
        <w:numPr>
          <w:ilvl w:val="0"/>
          <w:numId w:val="0"/>
        </w:numPr>
      </w:pPr>
      <w:r>
        <w:rPr>
          <w:rFonts w:hint="cs"/>
          <w:rtl/>
        </w:rPr>
        <w:t xml:space="preserve"> </w:t>
      </w:r>
    </w:p>
    <w:p w:rsidR="008B3136" w:rsidRDefault="008B3136" w:rsidP="008B3136">
      <w:pPr>
        <w:pStyle w:val="Ruller5"/>
        <w:rPr>
          <w:rtl/>
        </w:rPr>
      </w:pPr>
      <w:r>
        <w:rPr>
          <w:rFonts w:hint="cs"/>
          <w:rtl/>
        </w:rPr>
        <w:t>"נוסף לכל [...] סעד אחר רשאי בית המשפט, במשפט [...] אזרחי בשל לשון הרע, לצוות –</w:t>
      </w:r>
    </w:p>
    <w:p w:rsidR="008B3136" w:rsidRDefault="008B3136" w:rsidP="008B3136">
      <w:pPr>
        <w:pStyle w:val="Ruller5"/>
      </w:pPr>
    </w:p>
    <w:p w:rsidR="008B3136" w:rsidRDefault="008B3136" w:rsidP="008B3136">
      <w:pPr>
        <w:pStyle w:val="Ruller5"/>
        <w:rPr>
          <w:rtl/>
        </w:rPr>
      </w:pPr>
      <w:r>
        <w:rPr>
          <w:rFonts w:hint="cs"/>
          <w:rtl/>
        </w:rPr>
        <w:t>(1) על איסור הפצה של עותקי הפרסום המכיל את לשון הרע או על החרמתם; צו החרמה לפי פסקה זו כוחו יפה כלפי כל אדם שברשותו נמצאים עותקים כאלה לשם מכירה, הפצה או החסנה, גם אם אותו אדם לא היה צד למשפט; ציווה בית המשפט על החרמה, יורה מה ייעשה בעותקים שהוחרמו;</w:t>
      </w:r>
    </w:p>
    <w:p w:rsidR="008B3136" w:rsidRDefault="008B3136" w:rsidP="008B3136">
      <w:pPr>
        <w:pStyle w:val="Ruller5"/>
      </w:pPr>
    </w:p>
    <w:p w:rsidR="008B3136" w:rsidRDefault="008B3136" w:rsidP="008B3136">
      <w:pPr>
        <w:pStyle w:val="Ruller5"/>
      </w:pPr>
      <w:r>
        <w:rPr>
          <w:rFonts w:hint="cs"/>
          <w:rtl/>
        </w:rPr>
        <w:t>(2) על פרסום תיקון או הכחשה של דבר המהווה לשון הרע או על פרסום פסק הדין, כולו או מקצתו; הפרסום ייעשה על חשבון הנאשם או הנתבע, במקום, במידה ובדרך שיקבע בית המשפט".</w:t>
      </w:r>
    </w:p>
    <w:p w:rsidR="008B3136" w:rsidRPr="006A6D91" w:rsidRDefault="008B3136" w:rsidP="008B3136">
      <w:pPr>
        <w:pStyle w:val="Ruller41"/>
        <w:rPr>
          <w:rtl/>
        </w:rPr>
      </w:pPr>
    </w:p>
    <w:p w:rsidR="008B3136" w:rsidRDefault="008B3136" w:rsidP="008B3136">
      <w:pPr>
        <w:pStyle w:val="Ruller4"/>
      </w:pPr>
      <w:r>
        <w:rPr>
          <w:rFonts w:hint="cs"/>
          <w:rtl/>
        </w:rPr>
        <w:t xml:space="preserve">הוראת חוק זו, אף היא מהווה אינדיקציה לכך שבפנינו עוולה נמשכת. ההוראה קובעת כי בכל נקודה ונקודה הממוקמת בציר הזמן של חיי הפרסום הפוגעני, חשיפת הנפגע לבוז, ללעג או להשפלה מצד אלו שסובבים אותו הולכת ונמשכת. בית המשפט מוסמך על כן לחייב את המעוול בהסרת הפרסום הפוגעני, וכן בפרסום תיקון או הכחשה (ראו: בג"ץ 6218/93 </w:t>
      </w:r>
      <w:r w:rsidRPr="00C663F8">
        <w:rPr>
          <w:rFonts w:ascii="Century" w:hAnsi="Century" w:cs="Miriam" w:hint="eastAsia"/>
          <w:b/>
          <w:spacing w:val="0"/>
          <w:sz w:val="22"/>
          <w:szCs w:val="24"/>
          <w:rtl/>
        </w:rPr>
        <w:t>כהן</w:t>
      </w:r>
      <w:r w:rsidRPr="00C663F8">
        <w:rPr>
          <w:rFonts w:ascii="Century" w:hAnsi="Century" w:cs="Miriam"/>
          <w:b/>
          <w:spacing w:val="0"/>
          <w:sz w:val="22"/>
          <w:szCs w:val="24"/>
          <w:rtl/>
        </w:rPr>
        <w:t xml:space="preserve"> </w:t>
      </w:r>
      <w:r w:rsidRPr="00C663F8">
        <w:rPr>
          <w:rFonts w:ascii="Century" w:hAnsi="Century" w:cs="Miriam" w:hint="eastAsia"/>
          <w:b/>
          <w:spacing w:val="0"/>
          <w:sz w:val="22"/>
          <w:szCs w:val="24"/>
          <w:rtl/>
        </w:rPr>
        <w:t>נ</w:t>
      </w:r>
      <w:r w:rsidRPr="00C663F8">
        <w:rPr>
          <w:rFonts w:ascii="Century" w:hAnsi="Century" w:cs="Miriam"/>
          <w:b/>
          <w:spacing w:val="0"/>
          <w:sz w:val="22"/>
          <w:szCs w:val="24"/>
          <w:rtl/>
        </w:rPr>
        <w:t xml:space="preserve">' </w:t>
      </w:r>
      <w:r w:rsidRPr="00C663F8">
        <w:rPr>
          <w:rFonts w:ascii="Century" w:hAnsi="Century" w:cs="Miriam" w:hint="eastAsia"/>
          <w:b/>
          <w:spacing w:val="0"/>
          <w:sz w:val="22"/>
          <w:szCs w:val="24"/>
          <w:rtl/>
        </w:rPr>
        <w:t>לשכת</w:t>
      </w:r>
      <w:r w:rsidRPr="00C663F8">
        <w:rPr>
          <w:rFonts w:ascii="Century" w:hAnsi="Century" w:cs="Miriam"/>
          <w:b/>
          <w:spacing w:val="0"/>
          <w:sz w:val="22"/>
          <w:szCs w:val="24"/>
          <w:rtl/>
        </w:rPr>
        <w:t xml:space="preserve"> </w:t>
      </w:r>
      <w:r w:rsidRPr="00C663F8">
        <w:rPr>
          <w:rFonts w:ascii="Century" w:hAnsi="Century" w:cs="Miriam" w:hint="eastAsia"/>
          <w:b/>
          <w:spacing w:val="0"/>
          <w:sz w:val="22"/>
          <w:szCs w:val="24"/>
          <w:rtl/>
        </w:rPr>
        <w:t>עורכי</w:t>
      </w:r>
      <w:r w:rsidRPr="00C663F8">
        <w:rPr>
          <w:rFonts w:ascii="Century" w:hAnsi="Century" w:cs="Miriam"/>
          <w:b/>
          <w:spacing w:val="0"/>
          <w:sz w:val="22"/>
          <w:szCs w:val="24"/>
          <w:rtl/>
        </w:rPr>
        <w:t xml:space="preserve"> </w:t>
      </w:r>
      <w:r w:rsidRPr="00C663F8">
        <w:rPr>
          <w:rFonts w:ascii="Century" w:hAnsi="Century" w:cs="Miriam" w:hint="eastAsia"/>
          <w:b/>
          <w:spacing w:val="0"/>
          <w:sz w:val="22"/>
          <w:szCs w:val="24"/>
          <w:rtl/>
        </w:rPr>
        <w:t>הדין</w:t>
      </w:r>
      <w:r>
        <w:rPr>
          <w:rFonts w:hint="cs"/>
          <w:rtl/>
        </w:rPr>
        <w:t>, פ"ד מט(2) 529, 554 (1995); כמו כן, ראו את האמור בסעיף 10 לחוק לשון הרע, לפיו בית המשפט גם רשאי להטיל על המעוול חיוב כאמור בגדרו של צו-ביניים כאשר פרסומה של לשון הרע על ידי המעוול אינו במחלוקת). ברי הוא כי אילו היה מדובר בעוולה שהופסקה ובלשון הרע אשר התפוגגה וחדלה מלהתקיים בסמוך לאחר הפצתה הראשונה, בסעדים האמורים לא היה טעם רב, אם בכלל.</w:t>
      </w:r>
    </w:p>
    <w:p w:rsidR="008B3136" w:rsidRPr="00C369DF" w:rsidRDefault="008B3136" w:rsidP="008B3136">
      <w:pPr>
        <w:pStyle w:val="Ruller4"/>
        <w:numPr>
          <w:ilvl w:val="0"/>
          <w:numId w:val="0"/>
        </w:numPr>
      </w:pPr>
    </w:p>
    <w:p w:rsidR="008B3136" w:rsidRPr="002447D5" w:rsidRDefault="008B3136" w:rsidP="008B3136">
      <w:pPr>
        <w:pStyle w:val="Ruller4"/>
        <w:rPr>
          <w:rtl/>
        </w:rPr>
      </w:pPr>
      <w:r w:rsidRPr="00715EBA">
        <w:rPr>
          <w:rFonts w:hint="cs"/>
          <w:rtl/>
        </w:rPr>
        <w:t>במילים אחרות</w:t>
      </w:r>
      <w:r>
        <w:rPr>
          <w:rFonts w:hint="cs"/>
          <w:rtl/>
        </w:rPr>
        <w:t xml:space="preserve">, אשר חוזרות על דוגמת הבאר המורעלת: המחוקק רואה בפרסומה של דיבה ברבים, </w:t>
      </w:r>
      <w:r w:rsidRPr="00C53822">
        <w:rPr>
          <w:rFonts w:ascii="Century" w:hAnsi="Century" w:cs="Miriam" w:hint="cs"/>
          <w:b/>
          <w:spacing w:val="0"/>
          <w:sz w:val="22"/>
          <w:szCs w:val="24"/>
          <w:rtl/>
        </w:rPr>
        <w:t>כל אימת שהפרסום המשמיץ נשאר נגיש</w:t>
      </w:r>
      <w:r>
        <w:rPr>
          <w:rFonts w:ascii="Century" w:hAnsi="Century" w:cs="Miriam"/>
          <w:b/>
          <w:spacing w:val="0"/>
          <w:sz w:val="22"/>
          <w:szCs w:val="24"/>
        </w:rPr>
        <w:t xml:space="preserve"> </w:t>
      </w:r>
      <w:r>
        <w:rPr>
          <w:rFonts w:ascii="Century" w:hAnsi="Century" w:cs="Miriam" w:hint="cs"/>
          <w:b/>
          <w:spacing w:val="0"/>
          <w:sz w:val="22"/>
          <w:szCs w:val="24"/>
          <w:rtl/>
        </w:rPr>
        <w:t xml:space="preserve">לכל </w:t>
      </w:r>
      <w:r w:rsidRPr="00C53822">
        <w:rPr>
          <w:rFonts w:ascii="Century" w:hAnsi="Century" w:cs="Miriam" w:hint="cs"/>
          <w:b/>
          <w:spacing w:val="0"/>
          <w:sz w:val="22"/>
          <w:szCs w:val="24"/>
          <w:rtl/>
        </w:rPr>
        <w:t xml:space="preserve">אדם שאיננו הנפגע </w:t>
      </w:r>
      <w:r>
        <w:rPr>
          <w:rFonts w:ascii="Century" w:hAnsi="Century" w:cs="Miriam" w:hint="cs"/>
          <w:b/>
          <w:spacing w:val="0"/>
          <w:sz w:val="22"/>
          <w:szCs w:val="24"/>
          <w:rtl/>
        </w:rPr>
        <w:t>ע</w:t>
      </w:r>
      <w:r w:rsidRPr="00C53822">
        <w:rPr>
          <w:rFonts w:ascii="Century" w:hAnsi="Century" w:cs="Miriam" w:hint="cs"/>
          <w:b/>
          <w:spacing w:val="0"/>
          <w:sz w:val="22"/>
          <w:szCs w:val="24"/>
          <w:rtl/>
        </w:rPr>
        <w:t>צמו</w:t>
      </w:r>
      <w:r>
        <w:rPr>
          <w:rFonts w:hint="cs"/>
          <w:rtl/>
        </w:rPr>
        <w:t xml:space="preserve">, הרעלת השיח הציבורי, ועל כן הוא דורש מ"מפיץ הרעל" </w:t>
      </w:r>
      <w:r>
        <w:rPr>
          <w:rtl/>
        </w:rPr>
        <w:t>–</w:t>
      </w:r>
      <w:r>
        <w:rPr>
          <w:rFonts w:hint="cs"/>
          <w:rtl/>
        </w:rPr>
        <w:t xml:space="preserve"> יוצר הפרסום הכוזב והפוגעני </w:t>
      </w:r>
      <w:r>
        <w:rPr>
          <w:rtl/>
        </w:rPr>
        <w:t>–</w:t>
      </w:r>
      <w:r>
        <w:rPr>
          <w:rFonts w:hint="cs"/>
          <w:rtl/>
        </w:rPr>
        <w:t xml:space="preserve"> לנקות את השיח מהרעל עד כמה שניתן. חובת ההסרה כאמור קמה בעקבות הקלקול אשר נגרם על ידי מפיצהּ של לשון הרע </w:t>
      </w:r>
      <w:r>
        <w:rPr>
          <w:rtl/>
        </w:rPr>
        <w:t>–</w:t>
      </w:r>
      <w:r>
        <w:rPr>
          <w:rFonts w:hint="cs"/>
          <w:rtl/>
        </w:rPr>
        <w:t xml:space="preserve"> זאת, בהתאם לעיקרון הכללי של דיני הנזיקין אשר מטיל על יוצר המפגע או הסיכון לנזק את החובה להסיר את המפגע ואת הסיכון או, למצער, את החובה לפעול בשקידה ראויה להסרתם </w:t>
      </w:r>
      <w:r w:rsidRPr="002447D5">
        <w:rPr>
          <w:rtl/>
        </w:rPr>
        <w:t>(</w:t>
      </w:r>
      <w:r w:rsidRPr="002447D5">
        <w:rPr>
          <w:rFonts w:hint="eastAsia"/>
          <w:rtl/>
        </w:rPr>
        <w:t>ראו</w:t>
      </w:r>
      <w:r w:rsidRPr="002447D5">
        <w:rPr>
          <w:rtl/>
        </w:rPr>
        <w:t xml:space="preserve">: </w:t>
      </w:r>
      <w:r w:rsidRPr="00C53822">
        <w:rPr>
          <w:rFonts w:ascii="Century" w:hAnsi="Century" w:cs="Miriam" w:hint="eastAsia"/>
          <w:b/>
          <w:spacing w:val="0"/>
          <w:sz w:val="22"/>
          <w:szCs w:val="24"/>
          <w:rtl/>
        </w:rPr>
        <w:t>פורת</w:t>
      </w:r>
      <w:r w:rsidRPr="002447D5">
        <w:rPr>
          <w:rtl/>
        </w:rPr>
        <w:t xml:space="preserve">, </w:t>
      </w:r>
      <w:r w:rsidRPr="002447D5">
        <w:rPr>
          <w:rFonts w:hint="eastAsia"/>
          <w:rtl/>
        </w:rPr>
        <w:t>בעמ</w:t>
      </w:r>
      <w:r w:rsidRPr="002447D5">
        <w:rPr>
          <w:rtl/>
        </w:rPr>
        <w:t xml:space="preserve">' 55; </w:t>
      </w:r>
      <w:r w:rsidRPr="002447D5">
        <w:rPr>
          <w:rFonts w:hint="eastAsia"/>
          <w:rtl/>
        </w:rPr>
        <w:t>ד</w:t>
      </w:r>
      <w:r w:rsidRPr="002447D5">
        <w:rPr>
          <w:rtl/>
        </w:rPr>
        <w:t>"</w:t>
      </w:r>
      <w:r w:rsidRPr="002447D5">
        <w:rPr>
          <w:rFonts w:hint="eastAsia"/>
          <w:rtl/>
        </w:rPr>
        <w:t>נ</w:t>
      </w:r>
      <w:r w:rsidRPr="002447D5">
        <w:rPr>
          <w:rtl/>
        </w:rPr>
        <w:t xml:space="preserve"> 15/88 </w:t>
      </w:r>
      <w:r w:rsidRPr="00C53822">
        <w:rPr>
          <w:rFonts w:ascii="Century" w:hAnsi="Century" w:cs="Miriam" w:hint="eastAsia"/>
          <w:b/>
          <w:spacing w:val="0"/>
          <w:sz w:val="22"/>
          <w:szCs w:val="24"/>
          <w:rtl/>
        </w:rPr>
        <w:t>מלך</w:t>
      </w:r>
      <w:r w:rsidRPr="00C53822">
        <w:rPr>
          <w:rFonts w:ascii="Century" w:hAnsi="Century" w:cs="Miriam"/>
          <w:b/>
          <w:spacing w:val="0"/>
          <w:sz w:val="22"/>
          <w:szCs w:val="24"/>
          <w:rtl/>
        </w:rPr>
        <w:t xml:space="preserve"> </w:t>
      </w:r>
      <w:r w:rsidRPr="00C53822">
        <w:rPr>
          <w:rFonts w:ascii="Century" w:hAnsi="Century" w:cs="Miriam" w:hint="eastAsia"/>
          <w:b/>
          <w:spacing w:val="0"/>
          <w:sz w:val="22"/>
          <w:szCs w:val="24"/>
          <w:rtl/>
        </w:rPr>
        <w:t>נ</w:t>
      </w:r>
      <w:r w:rsidRPr="00C53822">
        <w:rPr>
          <w:rFonts w:ascii="Century" w:hAnsi="Century" w:cs="Miriam"/>
          <w:b/>
          <w:spacing w:val="0"/>
          <w:sz w:val="22"/>
          <w:szCs w:val="24"/>
          <w:rtl/>
        </w:rPr>
        <w:t xml:space="preserve">' </w:t>
      </w:r>
      <w:r w:rsidRPr="00C53822">
        <w:rPr>
          <w:rFonts w:ascii="Century" w:hAnsi="Century" w:cs="Miriam" w:hint="eastAsia"/>
          <w:b/>
          <w:spacing w:val="0"/>
          <w:sz w:val="22"/>
          <w:szCs w:val="24"/>
          <w:rtl/>
        </w:rPr>
        <w:t>קורנהויזר</w:t>
      </w:r>
      <w:r w:rsidRPr="002447D5">
        <w:rPr>
          <w:rtl/>
        </w:rPr>
        <w:t xml:space="preserve">, </w:t>
      </w:r>
      <w:r w:rsidRPr="002447D5">
        <w:rPr>
          <w:rFonts w:hint="eastAsia"/>
          <w:rtl/>
        </w:rPr>
        <w:t>פ</w:t>
      </w:r>
      <w:r w:rsidRPr="002447D5">
        <w:rPr>
          <w:rtl/>
        </w:rPr>
        <w:t>"</w:t>
      </w:r>
      <w:r w:rsidRPr="002447D5">
        <w:rPr>
          <w:rFonts w:hint="eastAsia"/>
          <w:rtl/>
        </w:rPr>
        <w:t>ד</w:t>
      </w:r>
      <w:r w:rsidRPr="002447D5">
        <w:rPr>
          <w:rtl/>
        </w:rPr>
        <w:t xml:space="preserve"> </w:t>
      </w:r>
      <w:r w:rsidRPr="002447D5">
        <w:rPr>
          <w:rFonts w:hint="eastAsia"/>
          <w:rtl/>
        </w:rPr>
        <w:t>מד</w:t>
      </w:r>
      <w:r w:rsidRPr="002447D5">
        <w:rPr>
          <w:rtl/>
        </w:rPr>
        <w:t>(2) 89, 122 (1990)).</w:t>
      </w:r>
    </w:p>
    <w:p w:rsidR="008B3136" w:rsidRDefault="008B3136" w:rsidP="008B3136">
      <w:pPr>
        <w:pStyle w:val="Ruller41"/>
        <w:rPr>
          <w:rtl/>
        </w:rPr>
      </w:pPr>
    </w:p>
    <w:p w:rsidR="008B3136" w:rsidRDefault="008B3136" w:rsidP="008B3136">
      <w:pPr>
        <w:pStyle w:val="Ruller4"/>
        <w:rPr>
          <w:rtl/>
        </w:rPr>
      </w:pPr>
      <w:r>
        <w:rPr>
          <w:rFonts w:hint="cs"/>
          <w:rtl/>
        </w:rPr>
        <w:t xml:space="preserve">העוולה הנמשכת שבה קא עסקינן מורכבת אפוא ממעשה חד-פעמי </w:t>
      </w:r>
      <w:r>
        <w:rPr>
          <w:rtl/>
        </w:rPr>
        <w:t>–</w:t>
      </w:r>
      <w:r>
        <w:rPr>
          <w:rFonts w:hint="cs"/>
          <w:rtl/>
        </w:rPr>
        <w:t xml:space="preserve"> פרסומה של לשון הרע במרחב הציבורי </w:t>
      </w:r>
      <w:r>
        <w:rPr>
          <w:rtl/>
        </w:rPr>
        <w:t>–</w:t>
      </w:r>
      <w:r>
        <w:rPr>
          <w:rFonts w:hint="cs"/>
          <w:rtl/>
        </w:rPr>
        <w:t xml:space="preserve"> וממחדל מתמשך שבאי-הסרת הפרסום ובאי-תיקונו (ראו: עניין </w:t>
      </w:r>
      <w:r w:rsidRPr="00122CEF">
        <w:rPr>
          <w:rFonts w:ascii="Century" w:hAnsi="Century" w:cs="Miriam" w:hint="eastAsia"/>
          <w:b/>
          <w:spacing w:val="0"/>
          <w:szCs w:val="24"/>
          <w:rtl/>
        </w:rPr>
        <w:t>סביר</w:t>
      </w:r>
      <w:r>
        <w:rPr>
          <w:rFonts w:hint="cs"/>
          <w:rtl/>
        </w:rPr>
        <w:t>, בפסקה 10).</w:t>
      </w:r>
    </w:p>
    <w:p w:rsidR="008B3136" w:rsidRPr="006A6D91" w:rsidRDefault="008B3136" w:rsidP="008B3136">
      <w:pPr>
        <w:pStyle w:val="Ruller41"/>
      </w:pPr>
    </w:p>
    <w:p w:rsidR="008B3136" w:rsidRDefault="008B3136" w:rsidP="008B3136">
      <w:pPr>
        <w:pStyle w:val="Ruller4"/>
      </w:pPr>
      <w:r>
        <w:rPr>
          <w:rFonts w:hint="cs"/>
          <w:rtl/>
        </w:rPr>
        <w:t>זאת ועוד: לפי סעיף 19(4) לחוק לשון הרע, מעוול אשר "</w:t>
      </w:r>
      <w:r w:rsidRPr="00C602BE">
        <w:rPr>
          <w:rFonts w:hint="eastAsia"/>
          <w:rtl/>
        </w:rPr>
        <w:t>תיקן</w:t>
      </w:r>
      <w:r w:rsidRPr="00C602BE">
        <w:rPr>
          <w:rtl/>
        </w:rPr>
        <w:t xml:space="preserve"> </w:t>
      </w:r>
      <w:r w:rsidRPr="00C602BE">
        <w:rPr>
          <w:rFonts w:hint="eastAsia"/>
          <w:rtl/>
        </w:rPr>
        <w:t>או</w:t>
      </w:r>
      <w:r w:rsidRPr="00C602BE">
        <w:rPr>
          <w:rtl/>
        </w:rPr>
        <w:t xml:space="preserve"> </w:t>
      </w:r>
      <w:r w:rsidRPr="00C602BE">
        <w:rPr>
          <w:rFonts w:hint="eastAsia"/>
          <w:rtl/>
        </w:rPr>
        <w:t>הכחיש</w:t>
      </w:r>
      <w:r w:rsidRPr="00C602BE">
        <w:rPr>
          <w:rtl/>
        </w:rPr>
        <w:t xml:space="preserve"> </w:t>
      </w:r>
      <w:r w:rsidRPr="00C602BE">
        <w:rPr>
          <w:rFonts w:hint="eastAsia"/>
          <w:rtl/>
        </w:rPr>
        <w:t>את</w:t>
      </w:r>
      <w:r w:rsidRPr="00C602BE">
        <w:rPr>
          <w:rtl/>
        </w:rPr>
        <w:t xml:space="preserve"> </w:t>
      </w:r>
      <w:r w:rsidRPr="00C602BE">
        <w:rPr>
          <w:rFonts w:hint="eastAsia"/>
          <w:rtl/>
        </w:rPr>
        <w:t>הדבר</w:t>
      </w:r>
      <w:r w:rsidRPr="00C602BE">
        <w:rPr>
          <w:rtl/>
        </w:rPr>
        <w:t xml:space="preserve"> </w:t>
      </w:r>
      <w:r w:rsidRPr="00C602BE">
        <w:rPr>
          <w:rFonts w:hint="eastAsia"/>
          <w:rtl/>
        </w:rPr>
        <w:t>המהווה</w:t>
      </w:r>
      <w:r w:rsidRPr="00C602BE">
        <w:rPr>
          <w:rtl/>
        </w:rPr>
        <w:t xml:space="preserve"> </w:t>
      </w:r>
      <w:r w:rsidRPr="00C602BE">
        <w:rPr>
          <w:rFonts w:hint="eastAsia"/>
          <w:rtl/>
        </w:rPr>
        <w:t>לשון</w:t>
      </w:r>
      <w:r w:rsidRPr="00C602BE">
        <w:rPr>
          <w:rtl/>
        </w:rPr>
        <w:t xml:space="preserve"> </w:t>
      </w:r>
      <w:r w:rsidRPr="00C602BE">
        <w:rPr>
          <w:rFonts w:hint="eastAsia"/>
          <w:rtl/>
        </w:rPr>
        <w:t>הרע</w:t>
      </w:r>
      <w:r w:rsidRPr="00C602BE">
        <w:rPr>
          <w:rtl/>
        </w:rPr>
        <w:t xml:space="preserve"> </w:t>
      </w:r>
      <w:r w:rsidRPr="00C602BE">
        <w:rPr>
          <w:rFonts w:hint="eastAsia"/>
          <w:rtl/>
        </w:rPr>
        <w:t>או</w:t>
      </w:r>
      <w:r w:rsidRPr="00C602BE">
        <w:rPr>
          <w:rtl/>
        </w:rPr>
        <w:t xml:space="preserve"> </w:t>
      </w:r>
      <w:r w:rsidRPr="00C602BE">
        <w:rPr>
          <w:rFonts w:hint="eastAsia"/>
          <w:rtl/>
        </w:rPr>
        <w:t>נקט</w:t>
      </w:r>
      <w:r w:rsidRPr="00C602BE">
        <w:rPr>
          <w:rtl/>
        </w:rPr>
        <w:t xml:space="preserve"> </w:t>
      </w:r>
      <w:r w:rsidRPr="00C602BE">
        <w:rPr>
          <w:rFonts w:hint="eastAsia"/>
          <w:rtl/>
        </w:rPr>
        <w:t>צעדים</w:t>
      </w:r>
      <w:r w:rsidRPr="00C602BE">
        <w:rPr>
          <w:rtl/>
        </w:rPr>
        <w:t xml:space="preserve"> </w:t>
      </w:r>
      <w:r w:rsidRPr="00C602BE">
        <w:rPr>
          <w:rFonts w:hint="eastAsia"/>
          <w:rtl/>
        </w:rPr>
        <w:t>להפסקת</w:t>
      </w:r>
      <w:r w:rsidRPr="00C602BE">
        <w:rPr>
          <w:rtl/>
        </w:rPr>
        <w:t xml:space="preserve"> </w:t>
      </w:r>
      <w:r w:rsidRPr="00C602BE">
        <w:rPr>
          <w:rFonts w:hint="eastAsia"/>
          <w:rtl/>
        </w:rPr>
        <w:t>מכירתו</w:t>
      </w:r>
      <w:r w:rsidRPr="00C602BE">
        <w:rPr>
          <w:rtl/>
        </w:rPr>
        <w:t xml:space="preserve"> </w:t>
      </w:r>
      <w:r w:rsidRPr="00C602BE">
        <w:rPr>
          <w:rFonts w:hint="eastAsia"/>
          <w:rtl/>
        </w:rPr>
        <w:t>או</w:t>
      </w:r>
      <w:r w:rsidRPr="00C602BE">
        <w:rPr>
          <w:rtl/>
        </w:rPr>
        <w:t xml:space="preserve"> </w:t>
      </w:r>
      <w:r w:rsidRPr="00C602BE">
        <w:rPr>
          <w:rFonts w:hint="eastAsia"/>
          <w:rtl/>
        </w:rPr>
        <w:t>הפצתו</w:t>
      </w:r>
      <w:r w:rsidRPr="00C602BE">
        <w:rPr>
          <w:rtl/>
        </w:rPr>
        <w:t xml:space="preserve"> </w:t>
      </w:r>
      <w:r w:rsidRPr="00C602BE">
        <w:rPr>
          <w:rFonts w:hint="eastAsia"/>
          <w:rtl/>
        </w:rPr>
        <w:t>של</w:t>
      </w:r>
      <w:r w:rsidRPr="00C602BE">
        <w:rPr>
          <w:rtl/>
        </w:rPr>
        <w:t xml:space="preserve"> </w:t>
      </w:r>
      <w:r w:rsidRPr="00C602BE">
        <w:rPr>
          <w:rFonts w:hint="eastAsia"/>
          <w:rtl/>
        </w:rPr>
        <w:t>עותק</w:t>
      </w:r>
      <w:r w:rsidRPr="00C602BE">
        <w:rPr>
          <w:rtl/>
        </w:rPr>
        <w:t xml:space="preserve"> </w:t>
      </w:r>
      <w:r w:rsidRPr="00C602BE">
        <w:rPr>
          <w:rFonts w:hint="eastAsia"/>
          <w:rtl/>
        </w:rPr>
        <w:t>הפרסום</w:t>
      </w:r>
      <w:r w:rsidRPr="00C602BE">
        <w:rPr>
          <w:rtl/>
        </w:rPr>
        <w:t xml:space="preserve"> </w:t>
      </w:r>
      <w:r w:rsidRPr="00C602BE">
        <w:rPr>
          <w:rFonts w:hint="eastAsia"/>
          <w:rtl/>
        </w:rPr>
        <w:t>המכיל</w:t>
      </w:r>
      <w:r w:rsidRPr="00C602BE">
        <w:rPr>
          <w:rtl/>
        </w:rPr>
        <w:t xml:space="preserve"> </w:t>
      </w:r>
      <w:r w:rsidRPr="00C602BE">
        <w:rPr>
          <w:rFonts w:hint="eastAsia"/>
          <w:rtl/>
        </w:rPr>
        <w:t>את</w:t>
      </w:r>
      <w:r w:rsidRPr="00C602BE">
        <w:rPr>
          <w:rtl/>
        </w:rPr>
        <w:t xml:space="preserve"> </w:t>
      </w:r>
      <w:r w:rsidRPr="00C602BE">
        <w:rPr>
          <w:rFonts w:hint="eastAsia"/>
          <w:rtl/>
        </w:rPr>
        <w:t>לשון</w:t>
      </w:r>
      <w:r w:rsidRPr="00C602BE">
        <w:rPr>
          <w:rtl/>
        </w:rPr>
        <w:t xml:space="preserve"> </w:t>
      </w:r>
      <w:r w:rsidRPr="00C602BE">
        <w:rPr>
          <w:rFonts w:hint="eastAsia"/>
          <w:rtl/>
        </w:rPr>
        <w:t>הרע</w:t>
      </w:r>
      <w:r>
        <w:rPr>
          <w:rFonts w:hint="cs"/>
          <w:rtl/>
        </w:rPr>
        <w:t xml:space="preserve">" יהא זכאי להפחתת הפיצויים שעליו לשלם לנפגע (בעניין זה ראו: עניין </w:t>
      </w:r>
      <w:r w:rsidRPr="00A14071">
        <w:rPr>
          <w:rFonts w:ascii="Century" w:hAnsi="Century" w:cs="Miriam" w:hint="eastAsia"/>
          <w:b/>
          <w:spacing w:val="0"/>
          <w:sz w:val="22"/>
          <w:szCs w:val="24"/>
          <w:rtl/>
        </w:rPr>
        <w:t>ניידלי</w:t>
      </w:r>
      <w:r>
        <w:rPr>
          <w:rFonts w:hint="cs"/>
          <w:rtl/>
        </w:rPr>
        <w:t xml:space="preserve">, בפסקה 64; ע"א 2668/97 </w:t>
      </w:r>
      <w:r w:rsidRPr="00A14071">
        <w:rPr>
          <w:rFonts w:ascii="Century" w:hAnsi="Century" w:cs="Miriam" w:hint="eastAsia"/>
          <w:b/>
          <w:spacing w:val="0"/>
          <w:sz w:val="22"/>
          <w:szCs w:val="24"/>
          <w:rtl/>
        </w:rPr>
        <w:t>רופין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גלובס</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פבלישר</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עיתונות</w:t>
      </w:r>
      <w:r w:rsidRPr="00A14071">
        <w:rPr>
          <w:rFonts w:ascii="Century" w:hAnsi="Century" w:cs="Miriam"/>
          <w:b/>
          <w:spacing w:val="0"/>
          <w:sz w:val="22"/>
          <w:szCs w:val="24"/>
          <w:rtl/>
        </w:rPr>
        <w:t xml:space="preserve"> (1983) </w:t>
      </w:r>
      <w:r w:rsidRPr="00A14071">
        <w:rPr>
          <w:rFonts w:ascii="Century" w:hAnsi="Century" w:cs="Miriam" w:hint="eastAsia"/>
          <w:b/>
          <w:spacing w:val="0"/>
          <w:sz w:val="22"/>
          <w:szCs w:val="24"/>
          <w:rtl/>
        </w:rPr>
        <w:t>בע</w:t>
      </w:r>
      <w:r w:rsidRPr="00A14071">
        <w:rPr>
          <w:rFonts w:ascii="Century" w:hAnsi="Century" w:cs="Miriam"/>
          <w:b/>
          <w:spacing w:val="0"/>
          <w:sz w:val="22"/>
          <w:szCs w:val="24"/>
          <w:rtl/>
        </w:rPr>
        <w:t>"</w:t>
      </w:r>
      <w:r w:rsidRPr="00A14071">
        <w:rPr>
          <w:rFonts w:ascii="Century" w:hAnsi="Century" w:cs="Miriam" w:hint="eastAsia"/>
          <w:b/>
          <w:spacing w:val="0"/>
          <w:sz w:val="22"/>
          <w:szCs w:val="24"/>
          <w:rtl/>
        </w:rPr>
        <w:t>מ</w:t>
      </w:r>
      <w:r>
        <w:rPr>
          <w:rFonts w:hint="cs"/>
          <w:rtl/>
        </w:rPr>
        <w:t xml:space="preserve">, פ"ד נה(1) 721, 727 (1998); </w:t>
      </w:r>
      <w:r w:rsidRPr="00122CEF">
        <w:rPr>
          <w:rFonts w:ascii="Century" w:hAnsi="Century" w:cs="Miriam" w:hint="eastAsia"/>
          <w:b/>
          <w:spacing w:val="0"/>
          <w:sz w:val="22"/>
          <w:szCs w:val="24"/>
          <w:rtl/>
        </w:rPr>
        <w:t>שנהר</w:t>
      </w:r>
      <w:r>
        <w:rPr>
          <w:rFonts w:hint="cs"/>
          <w:rtl/>
        </w:rPr>
        <w:t xml:space="preserve">, בעמ' 399-396). ודוק: הקלה זו ניתנת למעוול גם כאשר אינו מצליח להקטין את הנזק שנגרם לנפגע על ידי לשון הרע (ראו בעניין זה דבריה של השופטת </w:t>
      </w:r>
      <w:r w:rsidRPr="00A14071">
        <w:rPr>
          <w:rFonts w:ascii="Century" w:hAnsi="Century" w:cs="Miriam" w:hint="eastAsia"/>
          <w:b/>
          <w:spacing w:val="0"/>
          <w:sz w:val="22"/>
          <w:szCs w:val="24"/>
          <w:rtl/>
        </w:rPr>
        <w:t>ד</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ברק</w:t>
      </w:r>
      <w:r w:rsidRPr="00A14071">
        <w:rPr>
          <w:rFonts w:ascii="Century" w:hAnsi="Century" w:cs="Miriam"/>
          <w:b/>
          <w:spacing w:val="0"/>
          <w:sz w:val="22"/>
          <w:szCs w:val="24"/>
          <w:rtl/>
        </w:rPr>
        <w:t>-</w:t>
      </w:r>
      <w:r w:rsidRPr="00A14071">
        <w:rPr>
          <w:rFonts w:ascii="Century" w:hAnsi="Century" w:cs="Miriam" w:hint="eastAsia"/>
          <w:b/>
          <w:spacing w:val="0"/>
          <w:sz w:val="22"/>
          <w:szCs w:val="24"/>
          <w:rtl/>
        </w:rPr>
        <w:t>ארז</w:t>
      </w:r>
      <w:r w:rsidRPr="009F77AF">
        <w:rPr>
          <w:rFonts w:hint="cs"/>
          <w:rtl/>
        </w:rPr>
        <w:t xml:space="preserve"> </w:t>
      </w:r>
      <w:r>
        <w:rPr>
          <w:rFonts w:hint="cs"/>
          <w:rtl/>
        </w:rPr>
        <w:t xml:space="preserve">בעניין </w:t>
      </w:r>
      <w:r w:rsidRPr="00A14071">
        <w:rPr>
          <w:rFonts w:ascii="Century" w:hAnsi="Century" w:cs="Miriam" w:hint="eastAsia"/>
          <w:b/>
          <w:spacing w:val="0"/>
          <w:sz w:val="22"/>
          <w:szCs w:val="24"/>
          <w:rtl/>
        </w:rPr>
        <w:t>ניידלי</w:t>
      </w:r>
      <w:r w:rsidRPr="00A14071">
        <w:rPr>
          <w:rFonts w:ascii="Century" w:hAnsi="Century"/>
          <w:sz w:val="22"/>
          <w:rtl/>
        </w:rPr>
        <w:t>:</w:t>
      </w:r>
      <w:r>
        <w:rPr>
          <w:rFonts w:hint="cs"/>
          <w:rtl/>
        </w:rPr>
        <w:t xml:space="preserve"> "כאשר המשתף מסיר בעצמו את השיתוף שלו </w:t>
      </w:r>
      <w:r>
        <w:rPr>
          <w:rtl/>
        </w:rPr>
        <w:t>–</w:t>
      </w:r>
      <w:r>
        <w:rPr>
          <w:rFonts w:hint="cs"/>
          <w:rtl/>
        </w:rPr>
        <w:t xml:space="preserve"> גם אם הפרסום המקורי עצמו לא הוסר [...] </w:t>
      </w:r>
      <w:r>
        <w:rPr>
          <w:rtl/>
        </w:rPr>
        <w:t>–</w:t>
      </w:r>
      <w:r>
        <w:rPr>
          <w:rFonts w:hint="cs"/>
          <w:rtl/>
        </w:rPr>
        <w:t xml:space="preserve"> יש מקום להכיר בתחולתה של ההקלה" (שם, בפסקה 64)). </w:t>
      </w:r>
      <w:r w:rsidRPr="00537DCE">
        <w:rPr>
          <w:rFonts w:ascii="Century" w:hAnsi="Century" w:cs="Miriam" w:hint="cs"/>
          <w:b/>
          <w:spacing w:val="0"/>
          <w:sz w:val="22"/>
          <w:szCs w:val="24"/>
          <w:rtl/>
        </w:rPr>
        <w:t>מכאן עולה שסיבת ההקלה נעוצה בחדילת המעוול ממעשה העוולה ה</w:t>
      </w:r>
      <w:r w:rsidRPr="00B67C58">
        <w:rPr>
          <w:rFonts w:ascii="Century" w:hAnsi="Century" w:cs="Miriam" w:hint="cs"/>
          <w:b/>
          <w:spacing w:val="0"/>
          <w:sz w:val="22"/>
          <w:szCs w:val="24"/>
          <w:rtl/>
        </w:rPr>
        <w:t>הולך-ו</w:t>
      </w:r>
      <w:r w:rsidRPr="003528E2">
        <w:rPr>
          <w:rFonts w:ascii="Century" w:hAnsi="Century" w:cs="Miriam" w:hint="eastAsia"/>
          <w:b/>
          <w:spacing w:val="0"/>
          <w:sz w:val="22"/>
          <w:szCs w:val="24"/>
          <w:rtl/>
        </w:rPr>
        <w:t>נמשך</w:t>
      </w:r>
      <w:r w:rsidRPr="003528E2">
        <w:rPr>
          <w:rFonts w:ascii="Century" w:hAnsi="Century" w:cs="Miriam"/>
          <w:b/>
          <w:spacing w:val="0"/>
          <w:sz w:val="22"/>
          <w:szCs w:val="24"/>
          <w:rtl/>
        </w:rPr>
        <w:t>:</w:t>
      </w:r>
      <w:r>
        <w:rPr>
          <w:rFonts w:hint="cs"/>
          <w:rtl/>
        </w:rPr>
        <w:t xml:space="preserve"> פרסומה של לשון הרע ברבים. לפיכך, בדוגמא שמביא חברי, השופט </w:t>
      </w:r>
      <w:r w:rsidRPr="00537DCE">
        <w:rPr>
          <w:rFonts w:ascii="Century" w:hAnsi="Century" w:cs="Miriam" w:hint="cs"/>
          <w:b/>
          <w:spacing w:val="0"/>
          <w:sz w:val="22"/>
          <w:szCs w:val="24"/>
          <w:rtl/>
        </w:rPr>
        <w:t>עמית</w:t>
      </w:r>
      <w:r>
        <w:rPr>
          <w:rFonts w:hint="cs"/>
          <w:rtl/>
        </w:rPr>
        <w:t xml:space="preserve">, מעוול אשר תולה ברבים מודעה המוציאה את דיבתו של הנפגע רעה, מבצע עוולה נמשכת כל אימת שאותו מעוול אינו מסיר את המודעה, אינו מתקנה ואינו מכחיש את הכתוב בה בהכחשה פומבית וברורה. ודוק: סיווג זה של העוולה אינו נגזר מרציפותו או מחזרתיותו של מעשה הנזיקין שבו עסקינן, אלא מעמדתו הנורמטיבית של המחוקק כלפיו, כפי שבאה לידי ביטוי, בין היתר, בסעיפים 2(ב)(2), 9(א), 10 ו-19(4) לחוק לשון הרע. פרסומה של דיבה, כמשמעו בחוק לשון הרע, הוא בגדר עוולה נמשכת כי כך ראה אותו המחוקק, ולנו לא נותר אלא לראותו באופן זהה. </w:t>
      </w:r>
    </w:p>
    <w:p w:rsidR="008B3136" w:rsidRDefault="008B3136" w:rsidP="008B3136">
      <w:pPr>
        <w:pStyle w:val="Ruller4"/>
        <w:numPr>
          <w:ilvl w:val="0"/>
          <w:numId w:val="0"/>
        </w:numPr>
      </w:pPr>
    </w:p>
    <w:p w:rsidR="008B3136" w:rsidRDefault="008B3136" w:rsidP="008B3136">
      <w:pPr>
        <w:pStyle w:val="Ruller4"/>
        <w:rPr>
          <w:rtl/>
        </w:rPr>
      </w:pPr>
      <w:r>
        <w:rPr>
          <w:rFonts w:hint="cs"/>
          <w:rtl/>
        </w:rPr>
        <w:t xml:space="preserve">אוסיף ואבהיר, כי הנפגע מלשון הרע רשאי להגיש תובענה אזרחית נגד המפרסם מיד אחרי הפרסום וכן בכל עת ועת </w:t>
      </w:r>
      <w:r>
        <w:rPr>
          <w:rtl/>
        </w:rPr>
        <w:t>–</w:t>
      </w:r>
      <w:r>
        <w:rPr>
          <w:rFonts w:hint="cs"/>
          <w:rtl/>
        </w:rPr>
        <w:t xml:space="preserve"> כל אימת שהפרסום לא הוסר או לא תוקן כדבעי ונשאר נגיש לאנשים אחרים. זכאות זו אינה משנה את מהותו המשפטית של הפרסום הפוגעני, הנגיש לציבור, כעוולה נמשכת. </w:t>
      </w:r>
    </w:p>
    <w:p w:rsidR="008B3136" w:rsidRPr="00B400CB" w:rsidRDefault="008B3136" w:rsidP="008B3136">
      <w:pPr>
        <w:pStyle w:val="Ruller41"/>
      </w:pPr>
    </w:p>
    <w:p w:rsidR="008B3136" w:rsidRPr="00B400CB" w:rsidRDefault="008B3136" w:rsidP="008B3136">
      <w:pPr>
        <w:pStyle w:val="Ruller4"/>
        <w:rPr>
          <w:rtl/>
        </w:rPr>
      </w:pPr>
      <w:r>
        <w:rPr>
          <w:rFonts w:hint="cs"/>
          <w:rtl/>
        </w:rPr>
        <w:t xml:space="preserve">באשר לאמירה חד-פעמית ובלתי מתועדת שעולה כדי לשון הרע </w:t>
      </w:r>
      <w:r>
        <w:rPr>
          <w:rtl/>
        </w:rPr>
        <w:t>–</w:t>
      </w:r>
      <w:r>
        <w:rPr>
          <w:rFonts w:hint="cs"/>
          <w:rtl/>
        </w:rPr>
        <w:t xml:space="preserve"> אמירה כזאת תיחשב לעוולה יחידנית ולא נמשכת, אם אומרה אינו חוזר עליה ואינו מאשררה בשום דרך, מפורשת או משתמעת. זאת, מאחר שמחולל העוולה, אשר זרק את האמירה הפוגענית לחלל האוויר, חדל ממעשהו ועל ידי כך מנע את המשך הפגיעה בנפגע. באין חדילה כאמור, וכל אימת שהפרסום הפוגעני נמצא במרחב הציבורי ואינו מוּסר ממנו, ייחשב הפרסום לעוולה נמשכת. כך מורה לנו הדין ולפיו נפסוק כאן ובמקרים אחרים אשר יובאו לפנינו.</w:t>
      </w:r>
    </w:p>
    <w:p w:rsidR="008B3136" w:rsidRDefault="008B3136" w:rsidP="008B3136">
      <w:pPr>
        <w:pStyle w:val="Ruller41"/>
        <w:rPr>
          <w:rtl/>
        </w:rPr>
      </w:pPr>
    </w:p>
    <w:p w:rsidR="008B3136" w:rsidRDefault="008B3136" w:rsidP="008B3136">
      <w:pPr>
        <w:pStyle w:val="Ruller4"/>
        <w:rPr>
          <w:rtl/>
        </w:rPr>
      </w:pPr>
      <w:r>
        <w:rPr>
          <w:rFonts w:hint="cs"/>
          <w:rtl/>
        </w:rPr>
        <w:t xml:space="preserve">ודוק: ההבחנה בין פרסום חד-פעמי של לשון הרע לבין פרסום לשון הרע שהדין מורנו לסווגו כעוולה נמשכת </w:t>
      </w:r>
      <w:r w:rsidRPr="009B7663">
        <w:rPr>
          <w:rFonts w:ascii="Century" w:hAnsi="Century" w:hint="cs"/>
          <w:sz w:val="22"/>
          <w:rtl/>
        </w:rPr>
        <w:t>נעוץ</w:t>
      </w:r>
      <w:r>
        <w:rPr>
          <w:rFonts w:ascii="Century" w:hAnsi="Century" w:hint="cs"/>
          <w:sz w:val="22"/>
          <w:rtl/>
        </w:rPr>
        <w:t>, במידה רבה,</w:t>
      </w:r>
      <w:r w:rsidRPr="00A14071">
        <w:rPr>
          <w:rFonts w:ascii="Century" w:hAnsi="Century" w:cs="Miriam" w:hint="cs"/>
          <w:b/>
          <w:spacing w:val="0"/>
          <w:sz w:val="22"/>
          <w:szCs w:val="24"/>
          <w:rtl/>
        </w:rPr>
        <w:t xml:space="preserve"> בהנצחת התוכן</w:t>
      </w:r>
      <w:r>
        <w:rPr>
          <w:rFonts w:hint="cs"/>
          <w:rtl/>
        </w:rPr>
        <w:t xml:space="preserve">. ככל שהפרסום הפוגעני ממשיך להתקיים במרחב הציבורי </w:t>
      </w:r>
      <w:r>
        <w:rPr>
          <w:rtl/>
        </w:rPr>
        <w:t>–</w:t>
      </w:r>
      <w:r>
        <w:rPr>
          <w:rFonts w:hint="cs"/>
          <w:rtl/>
        </w:rPr>
        <w:t xml:space="preserve"> באינטרנט, בסרט שמטבעו נועד להקרנות חוזרות או בכל דרך אחרת </w:t>
      </w:r>
      <w:r>
        <w:rPr>
          <w:rtl/>
        </w:rPr>
        <w:t>–</w:t>
      </w:r>
      <w:r>
        <w:rPr>
          <w:rFonts w:hint="cs"/>
          <w:rtl/>
        </w:rPr>
        <w:t xml:space="preserve"> כך שהוא אינו מאפשר לנפגע להשתחרר מהשלכותיו, מדובר בעוולה נמשכת. לעומת זאת, אם עסקינן בפרסום חד-פעמי שלא נשאר זמין ונגיש לציבור, ושאינו משכפל את עצמו </w:t>
      </w:r>
      <w:r>
        <w:rPr>
          <w:rtl/>
        </w:rPr>
        <w:t>–</w:t>
      </w:r>
      <w:r>
        <w:rPr>
          <w:rFonts w:hint="cs"/>
          <w:rtl/>
        </w:rPr>
        <w:t xml:space="preserve"> כגון אמירת דברי לשון הרע בעל-פה באוזני אדם אחר </w:t>
      </w:r>
      <w:r>
        <w:rPr>
          <w:rtl/>
        </w:rPr>
        <w:t>–</w:t>
      </w:r>
      <w:r>
        <w:rPr>
          <w:rFonts w:hint="cs"/>
          <w:rtl/>
        </w:rPr>
        <w:t xml:space="preserve"> לא נראה בו עוולה נמשכת. במילים אחרות: כאשר הפרסום המשמיץ נותר חקוק במרחב הציבורי </w:t>
      </w:r>
      <w:r>
        <w:rPr>
          <w:rtl/>
        </w:rPr>
        <w:t>–</w:t>
      </w:r>
      <w:r>
        <w:rPr>
          <w:rFonts w:hint="cs"/>
          <w:rtl/>
        </w:rPr>
        <w:t xml:space="preserve"> כל אימת שאינו מוסר משם, העוולה שנגרמת לנפגע אינה מסתיימת ביום בו פורסם הפרסום לראשונה. הפרסום כובל אליו את הנפגע שעלול לסבול מהשלכותיו עד אשר יתוקן או יוסר, ומטעם זה ראוי לסווג את מעשה הפרסום כעוולה נמשכת. קביעה זו תחול ביתר שאת כאשר עסקינן בפרסומי לשון הרע אשר מוצאים ביטוי במרחב האינטרנטי המקוון. פרסומים משמיצים, כאלה או אחרים, שבעבר היו יורדים, במוקדם או במאוחר, לתהום הנשייה נוטעים את שורשיהם הרעים במרחב זה ונשארים נגישים לציבור במשך זמן רב, אם לא לעולמי-עד.</w:t>
      </w:r>
    </w:p>
    <w:p w:rsidR="008B3136" w:rsidRPr="002D4012" w:rsidRDefault="008B3136" w:rsidP="008B3136">
      <w:pPr>
        <w:pStyle w:val="Ruller41"/>
        <w:rPr>
          <w:rtl/>
        </w:rPr>
      </w:pPr>
    </w:p>
    <w:p w:rsidR="008B3136" w:rsidRDefault="008B3136" w:rsidP="008B3136">
      <w:pPr>
        <w:pStyle w:val="Ruller4"/>
        <w:rPr>
          <w:rtl/>
        </w:rPr>
      </w:pPr>
      <w:r>
        <w:rPr>
          <w:rtl/>
        </w:rPr>
        <w:tab/>
      </w:r>
      <w:r>
        <w:rPr>
          <w:rFonts w:hint="cs"/>
          <w:rtl/>
        </w:rPr>
        <w:t xml:space="preserve">על השלכותיה של הנצחת התוכן הפוגעני, בהקשרה של תופעת הביוש בעידן הדיגיטלי, עמדה ד"ר מיכל לביא במאמרה "ביוש לנצח" </w:t>
      </w:r>
      <w:r w:rsidRPr="003D5739">
        <w:rPr>
          <w:rFonts w:ascii="Century" w:hAnsi="Century" w:cs="Miriam" w:hint="eastAsia"/>
          <w:b/>
          <w:spacing w:val="0"/>
          <w:sz w:val="22"/>
          <w:szCs w:val="24"/>
          <w:rtl/>
        </w:rPr>
        <w:t>משפטים</w:t>
      </w:r>
      <w:r>
        <w:rPr>
          <w:rFonts w:hint="cs"/>
          <w:rtl/>
        </w:rPr>
        <w:t xml:space="preserve"> מט 439 (2019); ודבריה יפים גם לענייננו-שלנו:</w:t>
      </w:r>
    </w:p>
    <w:p w:rsidR="008B3136" w:rsidRDefault="008B3136" w:rsidP="008B3136">
      <w:pPr>
        <w:pStyle w:val="Ruller41"/>
        <w:rPr>
          <w:rtl/>
        </w:rPr>
      </w:pPr>
    </w:p>
    <w:p w:rsidR="008B3136" w:rsidRPr="002D4012" w:rsidRDefault="008B3136" w:rsidP="008B3136">
      <w:pPr>
        <w:pStyle w:val="Ruller5"/>
      </w:pPr>
      <w:r>
        <w:rPr>
          <w:rFonts w:hint="cs"/>
          <w:rtl/>
        </w:rPr>
        <w:t>"כיום חלק נכבד מפעילותנו מתועד. כל אחד יכול [...] לפרסם מידע, דעות או שמועות ולשתף בהם. כמו כן אפשר לחפש ולמצוא מידע בקלות, באמצעות מנועי החיפוש, אשר שינו את מחזור החיים של המידע ואפשרו לאתרו שנים לאחר שהופץ. לאפשרות לאתר מידע יתרונות מרחיקי לכת, אולם לצידם עידן זה הוביל להפרטה של הזיכרון החברתי, ל'קץ השכחה' ולאובדן יתרונות והטבות רבים שהשכחה מאפשרת. [...] לאחר שהסתיים גינוי המבויש באתרי האינטרנ</w:t>
      </w:r>
      <w:r>
        <w:rPr>
          <w:rFonts w:hint="eastAsia"/>
          <w:rtl/>
        </w:rPr>
        <w:t>ט</w:t>
      </w:r>
      <w:r>
        <w:rPr>
          <w:rFonts w:hint="cs"/>
          <w:rtl/>
        </w:rPr>
        <w:t xml:space="preserve"> עצמם, התיעוד נותר ומתאר מצב בנקודת זמן אחת. [...] היעדר נקודת סיום לביוש אף עלול לפגוע בכבוד המבויש ללא מידתיות. גם חופש הביטוי של המבויש והאוטונומיה שלו עלולים להיפגע מאחר שהמידע המופץ על אודותיו יישאר זמין לנצח באתרים ובמאגרים דיגיטליים, ואפשר יהיה לאתרו בנקל באמצעות מנועי החיפוש" (שם, בעמ' 466-465).</w:t>
      </w:r>
    </w:p>
    <w:p w:rsidR="008B3136" w:rsidRPr="00B400CB" w:rsidRDefault="008B3136" w:rsidP="008B3136">
      <w:pPr>
        <w:pStyle w:val="Ruller4"/>
        <w:numPr>
          <w:ilvl w:val="0"/>
          <w:numId w:val="0"/>
        </w:numPr>
        <w:rPr>
          <w:rtl/>
        </w:rPr>
      </w:pPr>
    </w:p>
    <w:p w:rsidR="008B3136" w:rsidRDefault="008B3136" w:rsidP="008B3136">
      <w:pPr>
        <w:pStyle w:val="Ruller4"/>
        <w:numPr>
          <w:ilvl w:val="0"/>
          <w:numId w:val="0"/>
        </w:numPr>
        <w:rPr>
          <w:rtl/>
        </w:rPr>
      </w:pPr>
      <w:r>
        <w:rPr>
          <w:rtl/>
        </w:rPr>
        <w:tab/>
      </w:r>
      <w:r>
        <w:rPr>
          <w:rFonts w:hint="cs"/>
          <w:rtl/>
        </w:rPr>
        <w:t>ראו גם דבריו הנכוחים של השופט</w:t>
      </w:r>
      <w:r w:rsidRPr="00161913">
        <w:rPr>
          <w:rFonts w:ascii="Century" w:hAnsi="Century" w:cs="Miriam" w:hint="cs"/>
          <w:b/>
          <w:spacing w:val="0"/>
          <w:sz w:val="22"/>
          <w:szCs w:val="24"/>
          <w:rtl/>
        </w:rPr>
        <w:t xml:space="preserve"> </w:t>
      </w:r>
      <w:r w:rsidRPr="002B3FBF">
        <w:rPr>
          <w:rFonts w:ascii="Century" w:hAnsi="Century" w:cs="Miriam" w:hint="cs"/>
          <w:b/>
          <w:spacing w:val="0"/>
          <w:sz w:val="22"/>
          <w:szCs w:val="24"/>
          <w:rtl/>
        </w:rPr>
        <w:t>ע' פוגלמן</w:t>
      </w:r>
      <w:r>
        <w:rPr>
          <w:rFonts w:hint="cs"/>
          <w:rtl/>
        </w:rPr>
        <w:t xml:space="preserve"> בעניין </w:t>
      </w:r>
      <w:r w:rsidRPr="00A14071">
        <w:rPr>
          <w:rFonts w:ascii="Century" w:hAnsi="Century" w:cs="Miriam" w:hint="eastAsia"/>
          <w:b/>
          <w:spacing w:val="0"/>
          <w:sz w:val="22"/>
          <w:szCs w:val="24"/>
          <w:rtl/>
        </w:rPr>
        <w:t>דיין</w:t>
      </w:r>
      <w:r>
        <w:rPr>
          <w:rFonts w:hint="cs"/>
          <w:rtl/>
        </w:rPr>
        <w:t>, בהתייחסו להבחנה הדרושה בין פרסומים חד-פעמיים לבין פרסומים במרחב המקוון שמטבע הדברים זמינים לאורך זמן:</w:t>
      </w:r>
    </w:p>
    <w:p w:rsidR="008B3136" w:rsidRPr="00B400CB" w:rsidRDefault="008B3136" w:rsidP="008B3136">
      <w:pPr>
        <w:pStyle w:val="Ruller41"/>
        <w:rPr>
          <w:rtl/>
        </w:rPr>
      </w:pPr>
    </w:p>
    <w:p w:rsidR="008B3136" w:rsidRDefault="008B3136" w:rsidP="008B3136">
      <w:pPr>
        <w:pStyle w:val="Ruller5"/>
        <w:rPr>
          <w:rtl/>
        </w:rPr>
      </w:pPr>
      <w:r>
        <w:rPr>
          <w:rFonts w:hint="cs"/>
          <w:rtl/>
        </w:rPr>
        <w:t xml:space="preserve">"[...] </w:t>
      </w:r>
      <w:r w:rsidRPr="00321573">
        <w:rPr>
          <w:rtl/>
        </w:rPr>
        <w:t xml:space="preserve">לפרסומים המבוצעים ברשת האינטרנט, שלגביהם תיתכן טענה כי מדובר בפרסומים שנכון לראותם כפרסומים מתחדשים או כפרסומים שמתפרסמים שוב מידי יום. השקפה על פרסום המופיע באינטרנט כעל פרסום שהמפרסם נושא באחריות לו ככל שהוא מוסיף להיות זמין ברשת (להבדיל מראיית הפרסום כפרסום חד-פעמי שמועד עשייתו הוא המועד שבו עלה המידע לראשונה לרשת) עשויה להניב מסקנות שונות בעניין החובה </w:t>
      </w:r>
      <w:r>
        <w:rPr>
          <w:rtl/>
        </w:rPr>
        <w:t xml:space="preserve">לתקן ולעדכן את המידע במקרים של </w:t>
      </w:r>
      <w:r>
        <w:rPr>
          <w:rFonts w:hint="cs"/>
          <w:rtl/>
        </w:rPr>
        <w:t>'</w:t>
      </w:r>
      <w:r w:rsidRPr="00321573">
        <w:rPr>
          <w:rtl/>
        </w:rPr>
        <w:t>התפתחות ראייתית</w:t>
      </w:r>
      <w:r>
        <w:rPr>
          <w:rFonts w:hint="cs"/>
          <w:rtl/>
        </w:rPr>
        <w:t>'" (שם, בעמ' 769).</w:t>
      </w:r>
    </w:p>
    <w:p w:rsidR="008B3136" w:rsidRDefault="008B3136" w:rsidP="008B3136">
      <w:pPr>
        <w:pStyle w:val="Ruller41"/>
      </w:pPr>
    </w:p>
    <w:p w:rsidR="008B3136" w:rsidRDefault="008B3136" w:rsidP="008B3136">
      <w:pPr>
        <w:pStyle w:val="Ruller4"/>
      </w:pPr>
      <w:r>
        <w:rPr>
          <w:rFonts w:hint="cs"/>
          <w:rtl/>
        </w:rPr>
        <w:t xml:space="preserve">מסקנתי כי בפנינו עוולה נמשכת עולה, כאמור, בבירור מהוראות החקיקה אשר חלות בענייננו. למעלה מן הנדרש, אוסיף ואעיר כי ככל שקיים ספק במסקנה המשפטית אליה הגעתי, בא המחוקק ומצווה עלינו להסיר את הספק על ידי פנייה להוראות המקבילות שבמשפט המקובל האנגלי ולעקרונות הפרשנות המשפטית אשר חלים באנגליה (ראו: </w:t>
      </w:r>
      <w:r w:rsidRPr="00FC5B5E">
        <w:rPr>
          <w:rFonts w:hint="eastAsia"/>
          <w:rtl/>
        </w:rPr>
        <w:t>סעיף</w:t>
      </w:r>
      <w:r>
        <w:rPr>
          <w:rtl/>
        </w:rPr>
        <w:t xml:space="preserve"> 2(1)</w:t>
      </w:r>
      <w:r>
        <w:rPr>
          <w:rFonts w:hint="cs"/>
          <w:rtl/>
        </w:rPr>
        <w:t xml:space="preserve"> לפקודת הנזיקים האזרחיים, וכן סעיף 1 לפקודת הנזיקין; וראו גם: </w:t>
      </w:r>
      <w:r w:rsidRPr="003D5739">
        <w:rPr>
          <w:rFonts w:ascii="Century" w:hAnsi="Century" w:cs="Miriam" w:hint="cs"/>
          <w:b/>
          <w:spacing w:val="0"/>
          <w:sz w:val="22"/>
          <w:szCs w:val="24"/>
          <w:rtl/>
        </w:rPr>
        <w:t>דיני נזיקין</w:t>
      </w:r>
      <w:r w:rsidRPr="00F42ABC">
        <w:rPr>
          <w:rFonts w:hint="cs"/>
          <w:rtl/>
        </w:rPr>
        <w:t>, בעמ' 51, 55)</w:t>
      </w:r>
      <w:r>
        <w:rPr>
          <w:rFonts w:hint="cs"/>
          <w:rtl/>
        </w:rPr>
        <w:t xml:space="preserve">. בהקשר זה, אציין כי בית משפט זה כבר נזקק לדין האנגלי כבסיס לאבחנה בין עוולות נמשכות ולבין עוולות מתחדשות (ראו: עניין </w:t>
      </w:r>
      <w:r w:rsidRPr="003D5739">
        <w:rPr>
          <w:rFonts w:ascii="Century" w:hAnsi="Century" w:cs="Miriam" w:hint="cs"/>
          <w:b/>
          <w:spacing w:val="0"/>
          <w:sz w:val="22"/>
          <w:szCs w:val="24"/>
          <w:rtl/>
        </w:rPr>
        <w:t>קלינמן</w:t>
      </w:r>
      <w:r>
        <w:rPr>
          <w:rFonts w:hint="cs"/>
          <w:rtl/>
        </w:rPr>
        <w:t xml:space="preserve">, בעמ' 936-934; </w:t>
      </w:r>
      <w:r w:rsidRPr="003D5739">
        <w:rPr>
          <w:rFonts w:ascii="Century" w:hAnsi="Century" w:cs="Miriam" w:hint="cs"/>
          <w:b/>
          <w:spacing w:val="0"/>
          <w:sz w:val="22"/>
          <w:szCs w:val="24"/>
          <w:rtl/>
        </w:rPr>
        <w:t>גלעד</w:t>
      </w:r>
      <w:r>
        <w:rPr>
          <w:rFonts w:hint="cs"/>
          <w:rtl/>
        </w:rPr>
        <w:t>, בעמ' 222); ועלינו להתמיד וללכת לפי מתווה זה כל אימת שנדרשים אנו להסיר ערפל משפטי בסוגיה נזיקית כזאת או אחרת.</w:t>
      </w:r>
    </w:p>
    <w:p w:rsidR="008B3136" w:rsidRDefault="008B3136" w:rsidP="008B3136">
      <w:pPr>
        <w:pStyle w:val="Ruller4"/>
        <w:numPr>
          <w:ilvl w:val="0"/>
          <w:numId w:val="0"/>
        </w:numPr>
      </w:pPr>
    </w:p>
    <w:p w:rsidR="008B3136" w:rsidRDefault="008B3136" w:rsidP="008B3136">
      <w:pPr>
        <w:pStyle w:val="Ruller4"/>
        <w:rPr>
          <w:rtl/>
        </w:rPr>
      </w:pPr>
      <w:r>
        <w:rPr>
          <w:rFonts w:hint="cs"/>
          <w:rtl/>
        </w:rPr>
        <w:t>הבה נעשה כן.</w:t>
      </w:r>
    </w:p>
    <w:p w:rsidR="008B3136" w:rsidRPr="00FC5B5E" w:rsidRDefault="008B3136" w:rsidP="008B3136">
      <w:pPr>
        <w:pStyle w:val="Ruller41"/>
        <w:rPr>
          <w:rtl/>
        </w:rPr>
      </w:pPr>
    </w:p>
    <w:p w:rsidR="008B3136" w:rsidRDefault="008B3136" w:rsidP="008B3136">
      <w:pPr>
        <w:pStyle w:val="Ruller4"/>
        <w:rPr>
          <w:rFonts w:ascii="Century" w:hAnsi="Century"/>
          <w:sz w:val="22"/>
        </w:rPr>
      </w:pPr>
      <w:r>
        <w:rPr>
          <w:rFonts w:hint="cs"/>
          <w:rtl/>
        </w:rPr>
        <w:t xml:space="preserve">המשפט המקובל </w:t>
      </w:r>
      <w:r w:rsidRPr="00075B60">
        <w:rPr>
          <w:rFonts w:hint="cs"/>
          <w:rtl/>
        </w:rPr>
        <w:t xml:space="preserve">האנגלי קבע באופן חד-משמעי כי </w:t>
      </w:r>
      <w:r>
        <w:rPr>
          <w:rFonts w:hint="cs"/>
          <w:rtl/>
        </w:rPr>
        <w:t>לשון הרע</w:t>
      </w:r>
      <w:r w:rsidRPr="00075B60">
        <w:rPr>
          <w:rFonts w:hint="cs"/>
          <w:rtl/>
        </w:rPr>
        <w:t xml:space="preserve"> </w:t>
      </w:r>
      <w:r>
        <w:rPr>
          <w:rFonts w:hint="cs"/>
          <w:rtl/>
        </w:rPr>
        <w:t xml:space="preserve">היא </w:t>
      </w:r>
      <w:r w:rsidRPr="00075B60">
        <w:rPr>
          <w:rFonts w:hint="cs"/>
          <w:rtl/>
        </w:rPr>
        <w:t xml:space="preserve">בגדר </w:t>
      </w:r>
      <w:r w:rsidRPr="00430AFB">
        <w:rPr>
          <w:rFonts w:hint="eastAsia"/>
          <w:rtl/>
        </w:rPr>
        <w:t>עוולה</w:t>
      </w:r>
      <w:r w:rsidRPr="00430AFB">
        <w:rPr>
          <w:rtl/>
        </w:rPr>
        <w:t xml:space="preserve"> </w:t>
      </w:r>
      <w:r>
        <w:rPr>
          <w:rFonts w:hint="cs"/>
          <w:rtl/>
        </w:rPr>
        <w:t xml:space="preserve">שמחדשת את עצמה בהתקיים מעשה המגיע כדי "פרסום" דיבה, כמשמעו בדין. הלכה זו נקבעה לראשונה בפסק הדין </w:t>
      </w:r>
      <w:r w:rsidRPr="006D624E">
        <w:rPr>
          <w:rFonts w:asciiTheme="majorBidi" w:hAnsiTheme="majorBidi" w:cstheme="majorBidi"/>
        </w:rPr>
        <w:t>Duke of Brunswick v. Harmer, 14 Q.B. 185 (1849)</w:t>
      </w:r>
      <w:r w:rsidRPr="006D624E">
        <w:rPr>
          <w:rFonts w:ascii="Century" w:hAnsi="Century" w:hint="cs"/>
          <w:sz w:val="22"/>
          <w:rtl/>
        </w:rPr>
        <w:t>, אשר</w:t>
      </w:r>
      <w:r>
        <w:rPr>
          <w:rFonts w:ascii="Century" w:hAnsi="Century" w:hint="cs"/>
          <w:sz w:val="22"/>
          <w:rtl/>
        </w:rPr>
        <w:t xml:space="preserve"> ניתן לפני למעלה מ-170 שנה (להלן: </w:t>
      </w:r>
      <w:r w:rsidRPr="004D3E54">
        <w:rPr>
          <w:rFonts w:asciiTheme="majorBidi" w:hAnsiTheme="majorBidi" w:cstheme="majorBidi"/>
          <w:i/>
          <w:iCs/>
          <w:szCs w:val="24"/>
        </w:rPr>
        <w:t>Duke of Brunswick</w:t>
      </w:r>
      <w:r>
        <w:rPr>
          <w:rFonts w:ascii="Century" w:hAnsi="Century" w:hint="cs"/>
          <w:sz w:val="22"/>
          <w:rtl/>
        </w:rPr>
        <w:t xml:space="preserve">). </w:t>
      </w:r>
      <w:r w:rsidRPr="004D3E54">
        <w:rPr>
          <w:rFonts w:ascii="Century" w:hAnsi="Century" w:hint="cs"/>
          <w:sz w:val="22"/>
          <w:rtl/>
        </w:rPr>
        <w:t xml:space="preserve">במקרה זה מדובר היה בלשון הרע אודות התובע אשר פורסמה בשנת 1830 בעיתון </w:t>
      </w:r>
      <w:r w:rsidRPr="004D3E54">
        <w:rPr>
          <w:rFonts w:asciiTheme="majorBidi" w:hAnsiTheme="majorBidi" w:cstheme="majorBidi"/>
          <w:szCs w:val="24"/>
        </w:rPr>
        <w:t>Weekly Dispatch</w:t>
      </w:r>
      <w:r w:rsidRPr="004D3E54">
        <w:rPr>
          <w:rFonts w:ascii="Century" w:hAnsi="Century" w:hint="cs"/>
          <w:sz w:val="22"/>
          <w:rtl/>
        </w:rPr>
        <w:t xml:space="preserve">. עותק מהעיתון תויק בארכיון המוזיאון הבריטי שזמינותו לציבור לא התבררה. </w:t>
      </w:r>
      <w:r>
        <w:rPr>
          <w:rFonts w:ascii="Century" w:hAnsi="Century" w:hint="cs"/>
          <w:sz w:val="22"/>
          <w:rtl/>
        </w:rPr>
        <w:t xml:space="preserve">השאלה האם מאן דהוא קרא את הכתבה בעיתון, שכאמור הכילה לשון הרע, בהיותו בין כותלי המוזיאון בין השנים 1830 ו-1849, לא התבררה אף היא. לעניינים אלו יכלה להיות חשיבות לנוכח הגדרת ה"פרסום" במשפט המקובל האנגלי, לפיה ניתן פסק הדין בעניין </w:t>
      </w:r>
      <w:r w:rsidRPr="004D3E54">
        <w:rPr>
          <w:rFonts w:asciiTheme="majorBidi" w:hAnsiTheme="majorBidi" w:cstheme="majorBidi"/>
          <w:i/>
          <w:iCs/>
          <w:szCs w:val="24"/>
        </w:rPr>
        <w:t>Duke of Brunswick</w:t>
      </w:r>
      <w:r w:rsidRPr="00DF36E4">
        <w:rPr>
          <w:rFonts w:ascii="Century" w:hAnsi="Century" w:hint="cs"/>
          <w:sz w:val="22"/>
          <w:rtl/>
        </w:rPr>
        <w:t>.</w:t>
      </w:r>
      <w:r>
        <w:rPr>
          <w:rFonts w:ascii="Century" w:hAnsi="Century" w:hint="cs"/>
          <w:sz w:val="22"/>
          <w:rtl/>
        </w:rPr>
        <w:t xml:space="preserve"> לפי הגדרה זו, לשון הרע בכתובים התגבשה לכדי "פרסום" בהגיעה לידי קורא או צופה </w:t>
      </w:r>
      <w:r>
        <w:rPr>
          <w:rFonts w:ascii="Century" w:hAnsi="Century"/>
          <w:sz w:val="22"/>
          <w:rtl/>
        </w:rPr>
        <w:t>–</w:t>
      </w:r>
      <w:r>
        <w:rPr>
          <w:rFonts w:ascii="Century" w:hAnsi="Century" w:hint="cs"/>
          <w:sz w:val="22"/>
          <w:rtl/>
        </w:rPr>
        <w:t xml:space="preserve"> בשונה מהגדרת ה"פרסום" שבחוק לשון הרע שלנו, שכאמור מסתפקת בעצם נגישות הקורא או הצופה, שאינו הנפגע עצמו, לחומר הכתוב ובהיתכנות שהלה יקרא את הפרסום או יצפה בו (ראו: סעיף 2(ב)(2) לחוק לשון הרע). </w:t>
      </w:r>
    </w:p>
    <w:p w:rsidR="008B3136" w:rsidRDefault="008B3136" w:rsidP="008B3136">
      <w:pPr>
        <w:pStyle w:val="Ruller4"/>
        <w:numPr>
          <w:ilvl w:val="0"/>
          <w:numId w:val="0"/>
        </w:numPr>
        <w:rPr>
          <w:rFonts w:ascii="Century" w:hAnsi="Century"/>
          <w:sz w:val="22"/>
        </w:rPr>
      </w:pPr>
    </w:p>
    <w:p w:rsidR="008B3136" w:rsidRPr="0055162C" w:rsidRDefault="008B3136" w:rsidP="008B3136">
      <w:pPr>
        <w:pStyle w:val="Ruller4"/>
        <w:rPr>
          <w:rFonts w:ascii="Century" w:hAnsi="Century"/>
          <w:sz w:val="22"/>
          <w:rtl/>
        </w:rPr>
      </w:pPr>
      <w:r>
        <w:rPr>
          <w:rFonts w:ascii="Century" w:hAnsi="Century" w:hint="cs"/>
          <w:sz w:val="22"/>
          <w:rtl/>
        </w:rPr>
        <w:t>עניינים אלו לא התבררו</w:t>
      </w:r>
      <w:r w:rsidRPr="00575BF7">
        <w:rPr>
          <w:rFonts w:ascii="Century" w:hAnsi="Century" w:hint="cs"/>
          <w:sz w:val="22"/>
          <w:rtl/>
        </w:rPr>
        <w:t xml:space="preserve"> מאחר ששליחו של התובע רכש עותק אחר של העיתון בשנת 1</w:t>
      </w:r>
      <w:r>
        <w:rPr>
          <w:rFonts w:ascii="Century" w:hAnsi="Century" w:hint="cs"/>
          <w:sz w:val="22"/>
          <w:rtl/>
        </w:rPr>
        <w:t>8</w:t>
      </w:r>
      <w:r w:rsidRPr="00575BF7">
        <w:rPr>
          <w:rFonts w:ascii="Century" w:hAnsi="Century" w:hint="cs"/>
          <w:sz w:val="22"/>
          <w:rtl/>
        </w:rPr>
        <w:t xml:space="preserve">48, בסמוך להגשת </w:t>
      </w:r>
      <w:r>
        <w:rPr>
          <w:rFonts w:ascii="Century" w:hAnsi="Century" w:hint="cs"/>
          <w:sz w:val="22"/>
          <w:rtl/>
        </w:rPr>
        <w:t>ה</w:t>
      </w:r>
      <w:r w:rsidRPr="00575BF7">
        <w:rPr>
          <w:rFonts w:ascii="Century" w:hAnsi="Century" w:hint="cs"/>
          <w:sz w:val="22"/>
          <w:rtl/>
        </w:rPr>
        <w:t>תביעה, במשרדי הנתבע</w:t>
      </w:r>
      <w:r>
        <w:rPr>
          <w:rFonts w:ascii="Century" w:hAnsi="Century" w:hint="cs"/>
          <w:sz w:val="22"/>
          <w:rtl/>
        </w:rPr>
        <w:t xml:space="preserve">, בעלי העיתון, </w:t>
      </w:r>
      <w:r w:rsidRPr="0055162C">
        <w:rPr>
          <w:rFonts w:ascii="Century" w:hAnsi="Century" w:hint="cs"/>
          <w:sz w:val="22"/>
          <w:rtl/>
        </w:rPr>
        <w:t xml:space="preserve">מבלי לגלות </w:t>
      </w:r>
      <w:r>
        <w:rPr>
          <w:rFonts w:ascii="Century" w:hAnsi="Century" w:hint="cs"/>
          <w:sz w:val="22"/>
          <w:rtl/>
        </w:rPr>
        <w:t xml:space="preserve">לנתבע </w:t>
      </w:r>
      <w:r w:rsidRPr="0055162C">
        <w:rPr>
          <w:rFonts w:ascii="Century" w:hAnsi="Century" w:hint="cs"/>
          <w:sz w:val="22"/>
          <w:rtl/>
        </w:rPr>
        <w:t xml:space="preserve">את דבר השליחות. בית המשפט לערעורים קבע כי שופט הערכאה הדיונית לא טעה כאשר הדריך את חבר המושבעים באומרו שמכירת העיתון לשליחו של התובע מהווה פרסום של לשון הרע, שלהבדיל מהפרסום המקורי משנת 1830 לא התיישן. בהקשר זה נקבע כי מעשה הפרסום האחרון </w:t>
      </w:r>
      <w:r w:rsidRPr="0055162C">
        <w:rPr>
          <w:rFonts w:ascii="Century" w:hAnsi="Century"/>
          <w:sz w:val="22"/>
          <w:rtl/>
        </w:rPr>
        <w:t>–</w:t>
      </w:r>
      <w:r w:rsidRPr="0055162C">
        <w:rPr>
          <w:rFonts w:ascii="Century" w:hAnsi="Century" w:hint="cs"/>
          <w:sz w:val="22"/>
          <w:rtl/>
        </w:rPr>
        <w:t xml:space="preserve"> מכירת עותק מהעיתון</w:t>
      </w:r>
      <w:r>
        <w:rPr>
          <w:rFonts w:ascii="Century" w:hAnsi="Century" w:hint="cs"/>
          <w:sz w:val="22"/>
          <w:rtl/>
        </w:rPr>
        <w:t>,</w:t>
      </w:r>
      <w:r w:rsidRPr="0055162C">
        <w:rPr>
          <w:rFonts w:ascii="Century" w:hAnsi="Century" w:hint="cs"/>
          <w:sz w:val="22"/>
          <w:rtl/>
        </w:rPr>
        <w:t xml:space="preserve"> שכאמור הכיל כתבה פוגענית </w:t>
      </w:r>
      <w:r w:rsidRPr="0055162C">
        <w:rPr>
          <w:rFonts w:ascii="Century" w:hAnsi="Century"/>
          <w:sz w:val="22"/>
          <w:rtl/>
        </w:rPr>
        <w:t>–</w:t>
      </w:r>
      <w:r w:rsidRPr="0055162C">
        <w:rPr>
          <w:rFonts w:ascii="Century" w:hAnsi="Century" w:hint="cs"/>
          <w:sz w:val="22"/>
          <w:rtl/>
        </w:rPr>
        <w:t xml:space="preserve"> פגע במוניטין של התובע בעיני השליח, וכי די בכך כדי לקבוע שמדובר בלש</w:t>
      </w:r>
      <w:r>
        <w:rPr>
          <w:rFonts w:ascii="Century" w:hAnsi="Century" w:hint="cs"/>
          <w:sz w:val="22"/>
          <w:rtl/>
        </w:rPr>
        <w:t xml:space="preserve">ון הרע </w:t>
      </w:r>
      <w:r w:rsidRPr="0055162C">
        <w:rPr>
          <w:rFonts w:ascii="Century" w:hAnsi="Century" w:hint="cs"/>
          <w:sz w:val="22"/>
          <w:rtl/>
        </w:rPr>
        <w:t xml:space="preserve">(ראו </w:t>
      </w:r>
      <w:r w:rsidRPr="004D3E54">
        <w:rPr>
          <w:rFonts w:asciiTheme="majorBidi" w:hAnsiTheme="majorBidi" w:cstheme="majorBidi"/>
          <w:i/>
          <w:iCs/>
          <w:szCs w:val="24"/>
        </w:rPr>
        <w:t>Duke of Brunswick</w:t>
      </w:r>
      <w:r w:rsidRPr="0055162C">
        <w:rPr>
          <w:rFonts w:ascii="Century" w:hAnsi="Century" w:hint="cs"/>
          <w:sz w:val="22"/>
          <w:rtl/>
        </w:rPr>
        <w:t xml:space="preserve">, בעמ' </w:t>
      </w:r>
      <w:r>
        <w:rPr>
          <w:rFonts w:ascii="Century" w:hAnsi="Century" w:hint="cs"/>
          <w:sz w:val="22"/>
          <w:rtl/>
        </w:rPr>
        <w:t>190-189</w:t>
      </w:r>
      <w:r w:rsidRPr="0055162C">
        <w:rPr>
          <w:rFonts w:ascii="Century" w:hAnsi="Century" w:hint="cs"/>
          <w:sz w:val="22"/>
          <w:rtl/>
        </w:rPr>
        <w:t>). יתרה מכך: בית המשפט לערעורים דחה את טענת הנתבע כי הקביעה האחרונה חייבה את שופט הערכאה הדיונית לומר למושבעים כי עליהם להגביל את הפיצויים שמגיעים לתובע</w:t>
      </w:r>
      <w:r>
        <w:rPr>
          <w:rFonts w:ascii="Century" w:hAnsi="Century" w:hint="cs"/>
          <w:sz w:val="22"/>
          <w:rtl/>
        </w:rPr>
        <w:t xml:space="preserve"> לשווי הפגיעה במוניטין שלו בעינ</w:t>
      </w:r>
      <w:r w:rsidRPr="0055162C">
        <w:rPr>
          <w:rFonts w:ascii="Century" w:hAnsi="Century" w:hint="cs"/>
          <w:sz w:val="22"/>
          <w:rtl/>
        </w:rPr>
        <w:t xml:space="preserve">י שולחו בלבד, דבר שהיה מוביל לפסיקת פיצויים סמליים, ותו לא, להבדיל מסכום הפיצויים המשמעותי </w:t>
      </w:r>
      <w:r w:rsidRPr="0055162C">
        <w:rPr>
          <w:rFonts w:ascii="Century" w:hAnsi="Century"/>
          <w:sz w:val="22"/>
          <w:rtl/>
        </w:rPr>
        <w:t>–</w:t>
      </w:r>
      <w:r w:rsidRPr="0055162C">
        <w:rPr>
          <w:rFonts w:ascii="Century" w:hAnsi="Century" w:hint="cs"/>
          <w:sz w:val="22"/>
          <w:rtl/>
        </w:rPr>
        <w:t xml:space="preserve"> 500 ליש"ט, כ-70,000 ליש"ט בערכים </w:t>
      </w:r>
      <w:r>
        <w:rPr>
          <w:rFonts w:ascii="Century" w:hAnsi="Century" w:hint="cs"/>
          <w:sz w:val="22"/>
          <w:rtl/>
        </w:rPr>
        <w:t xml:space="preserve">דהאידנא </w:t>
      </w:r>
      <w:r w:rsidRPr="0055162C">
        <w:rPr>
          <w:rFonts w:ascii="Century" w:hAnsi="Century"/>
          <w:sz w:val="22"/>
          <w:rtl/>
        </w:rPr>
        <w:t>–</w:t>
      </w:r>
      <w:r w:rsidRPr="0055162C">
        <w:rPr>
          <w:rFonts w:ascii="Century" w:hAnsi="Century" w:hint="cs"/>
          <w:sz w:val="22"/>
          <w:rtl/>
        </w:rPr>
        <w:t xml:space="preserve"> אשר נפסק לטובת התובע (ראו שם, בעמ' 187, 190-189). בית המשפט לערעורים פסק כי השופט צדק באפשרו למושבעים לאמוד את נזקו של התובע לאור מכלול הנסיבות, כולל הפרסום המקורי משנת 1830, מבלי לכבול את שיקול דעתם (ראו שם, בעמ' 190-189). </w:t>
      </w:r>
    </w:p>
    <w:p w:rsidR="008B3136" w:rsidRDefault="008B3136" w:rsidP="008B3136">
      <w:pPr>
        <w:pStyle w:val="Ruller41"/>
        <w:rPr>
          <w:rtl/>
        </w:rPr>
      </w:pPr>
    </w:p>
    <w:p w:rsidR="008B3136" w:rsidRDefault="008B3136" w:rsidP="008B3136">
      <w:pPr>
        <w:pStyle w:val="Ruller41"/>
        <w:rPr>
          <w:rtl/>
        </w:rPr>
      </w:pPr>
      <w:r>
        <w:rPr>
          <w:rtl/>
        </w:rPr>
        <w:tab/>
      </w:r>
      <w:r>
        <w:rPr>
          <w:rFonts w:hint="cs"/>
          <w:rtl/>
        </w:rPr>
        <w:t>וזה היה דברו של בית המשפט לערעורים בעניין הפיצויים:</w:t>
      </w:r>
    </w:p>
    <w:p w:rsidR="008B3136" w:rsidRDefault="008B3136" w:rsidP="008B3136">
      <w:pPr>
        <w:pStyle w:val="Ruller41"/>
        <w:rPr>
          <w:rtl/>
        </w:rPr>
      </w:pPr>
    </w:p>
    <w:p w:rsidR="008B3136" w:rsidRDefault="008B3136" w:rsidP="008B3136">
      <w:pPr>
        <w:pStyle w:val="Ruller5"/>
        <w:bidi w:val="0"/>
        <w:rPr>
          <w:rFonts w:asciiTheme="majorBidi" w:hAnsiTheme="majorBidi" w:cstheme="majorBidi"/>
          <w:sz w:val="24"/>
          <w:szCs w:val="24"/>
        </w:rPr>
      </w:pPr>
      <w:r w:rsidRPr="007B6760">
        <w:rPr>
          <w:rFonts w:asciiTheme="majorBidi" w:hAnsiTheme="majorBidi" w:cstheme="majorBidi"/>
          <w:sz w:val="24"/>
          <w:szCs w:val="24"/>
        </w:rPr>
        <w:t xml:space="preserve">"Sir Frederick Thesiger urged, secondly, that, in directing the jury as to the damages, Lord Denman should have expressly cautioned the jury to limit the amount to be given on this count to what injury they might believe to have been occasioned by the single publication proved. This, of course, would have necessitated the separation of the damages given on this count from those on the other counts, which were for other libels: and this, in the present instance, was scarcely possible, as some of the latter counts referred to, and in some sense incorporated, the libel in the first count with those for which they were themselves framed. But we know no reason why the ordinary rule should not have been pursued in this case. We have no doubt the jury were sufficiently informed as to the peculiar circumstances of the case; and, considering these, and the nature of the libel itself, they were to draw their conclusion as to the amount of injury resulting, and the proper compensation to be given. </w:t>
      </w:r>
    </w:p>
    <w:p w:rsidR="008B3136" w:rsidRDefault="008B3136" w:rsidP="008B3136">
      <w:pPr>
        <w:pStyle w:val="Ruller5"/>
        <w:bidi w:val="0"/>
        <w:rPr>
          <w:rFonts w:asciiTheme="majorBidi" w:hAnsiTheme="majorBidi" w:cstheme="majorBidi"/>
          <w:sz w:val="24"/>
          <w:szCs w:val="24"/>
        </w:rPr>
      </w:pPr>
    </w:p>
    <w:p w:rsidR="008B3136" w:rsidRDefault="008B3136" w:rsidP="008B3136">
      <w:pPr>
        <w:pStyle w:val="Ruller5"/>
        <w:bidi w:val="0"/>
        <w:rPr>
          <w:rFonts w:asciiTheme="majorBidi" w:hAnsiTheme="majorBidi" w:cstheme="majorBidi"/>
          <w:sz w:val="24"/>
          <w:szCs w:val="24"/>
        </w:rPr>
      </w:pPr>
      <w:r w:rsidRPr="007B6760">
        <w:rPr>
          <w:rFonts w:asciiTheme="majorBidi" w:hAnsiTheme="majorBidi" w:cstheme="majorBidi"/>
          <w:sz w:val="24"/>
          <w:szCs w:val="24"/>
        </w:rPr>
        <w:t>We see no ground, therefore, on either point, for thinking there was any misdirection.</w:t>
      </w:r>
    </w:p>
    <w:p w:rsidR="008B3136" w:rsidRPr="007B6760" w:rsidRDefault="008B3136" w:rsidP="008B3136">
      <w:pPr>
        <w:pStyle w:val="Ruller5"/>
        <w:bidi w:val="0"/>
        <w:rPr>
          <w:rFonts w:asciiTheme="majorBidi" w:hAnsiTheme="majorBidi" w:cstheme="majorBidi"/>
          <w:sz w:val="24"/>
          <w:szCs w:val="24"/>
        </w:rPr>
      </w:pPr>
    </w:p>
    <w:p w:rsidR="008B3136" w:rsidRDefault="008B3136" w:rsidP="008B3136">
      <w:pPr>
        <w:pStyle w:val="Ruller5"/>
        <w:bidi w:val="0"/>
      </w:pPr>
      <w:r w:rsidRPr="007B6760">
        <w:rPr>
          <w:rFonts w:asciiTheme="majorBidi" w:hAnsiTheme="majorBidi" w:cstheme="majorBidi"/>
          <w:sz w:val="24"/>
          <w:szCs w:val="24"/>
        </w:rPr>
        <w:t>As to the damages, Lord Denman is not dissatisfied with the amount: and, on reading the libels, we entirely agree with him"</w:t>
      </w:r>
      <w:r>
        <w:rPr>
          <w:rFonts w:asciiTheme="majorBidi" w:hAnsiTheme="majorBidi" w:cstheme="majorBidi"/>
          <w:sz w:val="24"/>
          <w:szCs w:val="24"/>
        </w:rPr>
        <w:t>.</w:t>
      </w:r>
    </w:p>
    <w:p w:rsidR="008B3136" w:rsidRDefault="008B3136" w:rsidP="008B3136">
      <w:pPr>
        <w:pStyle w:val="Ruller5"/>
        <w:bidi w:val="0"/>
      </w:pPr>
    </w:p>
    <w:p w:rsidR="008B3136" w:rsidRDefault="008B3136" w:rsidP="008B3136">
      <w:pPr>
        <w:pStyle w:val="Ruller5"/>
        <w:rPr>
          <w:rFonts w:asciiTheme="majorBidi" w:hAnsiTheme="majorBidi" w:cstheme="majorBidi"/>
          <w:szCs w:val="24"/>
          <w:rtl/>
        </w:rPr>
      </w:pPr>
      <w:r>
        <w:rPr>
          <w:rFonts w:hint="cs"/>
          <w:rtl/>
        </w:rPr>
        <w:t>ראו שם.</w:t>
      </w:r>
    </w:p>
    <w:p w:rsidR="008B3136" w:rsidRDefault="008B3136" w:rsidP="00CD0DD7">
      <w:pPr>
        <w:pStyle w:val="Ruller41"/>
        <w:rPr>
          <w:rtl/>
        </w:rPr>
      </w:pPr>
    </w:p>
    <w:p w:rsidR="008B3136" w:rsidRDefault="008B3136" w:rsidP="008B3136">
      <w:pPr>
        <w:pStyle w:val="Ruller4"/>
      </w:pPr>
      <w:r>
        <w:rPr>
          <w:rFonts w:hint="cs"/>
          <w:rtl/>
        </w:rPr>
        <w:t xml:space="preserve">אופן זה של קביעת הפיצויים מראה שבית המשפט התייחס ללשון הרע ממנה נפגע התובע כאל מסכת אחת שלמה לעניין הפיצויים, שתחילתה בפרסום המקורי. הזכות לקבל פיצויים כאמור קמה עם הפרסום החוזר, שנעשה על ידי מכירת העיתון לשליחו הסמוי של התובע. יתרה מכך: מפסק הדין בעניין </w:t>
      </w:r>
      <w:r w:rsidRPr="00AA521C">
        <w:rPr>
          <w:rFonts w:asciiTheme="majorBidi" w:hAnsiTheme="majorBidi" w:cstheme="majorBidi"/>
          <w:i/>
          <w:iCs/>
        </w:rPr>
        <w:t>Duke of Brunswick</w:t>
      </w:r>
      <w:r>
        <w:rPr>
          <w:rFonts w:hint="cs"/>
          <w:rtl/>
        </w:rPr>
        <w:t xml:space="preserve"> עולה כי </w:t>
      </w:r>
      <w:r w:rsidRPr="00AA521C">
        <w:rPr>
          <w:rFonts w:ascii="Century" w:hAnsi="Century" w:cs="Miriam" w:hint="cs"/>
          <w:b/>
          <w:spacing w:val="0"/>
          <w:sz w:val="22"/>
          <w:szCs w:val="24"/>
          <w:rtl/>
        </w:rPr>
        <w:t>כל חזרה</w:t>
      </w:r>
      <w:r>
        <w:rPr>
          <w:rFonts w:hint="cs"/>
          <w:rtl/>
        </w:rPr>
        <w:t xml:space="preserve"> של מפרסם הדיבה על הפרסום המקורי שלו יוצרת לתובע עילת תביעה עצמאית </w:t>
      </w:r>
      <w:r>
        <w:rPr>
          <w:rtl/>
        </w:rPr>
        <w:t>–</w:t>
      </w:r>
      <w:r>
        <w:rPr>
          <w:rFonts w:hint="cs"/>
          <w:rtl/>
        </w:rPr>
        <w:t xml:space="preserve"> ועל כן פרסום חוזר-ונשנה של לשון הרע אינו מתיישן לפני חלוף תקופת ההתיישנות, כאשר זו מתחילה לרוץ במועד החדילה מהפרסום, ולא לפני כן.</w:t>
      </w:r>
    </w:p>
    <w:p w:rsidR="008B3136" w:rsidRDefault="008B3136" w:rsidP="008B3136">
      <w:pPr>
        <w:pStyle w:val="Ruller4"/>
        <w:numPr>
          <w:ilvl w:val="0"/>
          <w:numId w:val="0"/>
        </w:numPr>
      </w:pPr>
    </w:p>
    <w:p w:rsidR="008B3136" w:rsidRDefault="008B3136" w:rsidP="008B3136">
      <w:pPr>
        <w:pStyle w:val="Ruller4"/>
      </w:pPr>
      <w:r>
        <w:rPr>
          <w:rFonts w:hint="cs"/>
          <w:rtl/>
        </w:rPr>
        <w:t xml:space="preserve">הלכה זו נקראה בשם "כלל הפרסומים המרובים" (ראו: </w:t>
      </w:r>
      <w:r w:rsidRPr="00494E71">
        <w:rPr>
          <w:rFonts w:asciiTheme="majorBidi" w:hAnsiTheme="majorBidi" w:cstheme="majorBidi"/>
          <w:smallCaps/>
        </w:rPr>
        <w:t>Christian Witting, Street on Torts</w:t>
      </w:r>
      <w:r w:rsidRPr="00A423DB">
        <w:rPr>
          <w:rFonts w:asciiTheme="majorBidi" w:hAnsiTheme="majorBidi" w:cstheme="majorBidi"/>
        </w:rPr>
        <w:t xml:space="preserve"> 540 </w:t>
      </w:r>
      <w:r w:rsidRPr="00FA2031">
        <w:rPr>
          <w:rFonts w:asciiTheme="majorBidi" w:hAnsiTheme="majorBidi" w:cstheme="majorBidi"/>
        </w:rPr>
        <w:t>(</w:t>
      </w:r>
      <w:r w:rsidRPr="00494E71">
        <w:rPr>
          <w:rFonts w:asciiTheme="majorBidi" w:hAnsiTheme="majorBidi" w:cstheme="majorBidi"/>
          <w:color w:val="000000"/>
        </w:rPr>
        <w:t>14th ed.,</w:t>
      </w:r>
      <w:r w:rsidRPr="00A423DB">
        <w:rPr>
          <w:rFonts w:asciiTheme="majorBidi" w:hAnsiTheme="majorBidi" w:cstheme="majorBidi"/>
          <w:color w:val="000000"/>
        </w:rPr>
        <w:t xml:space="preserve"> </w:t>
      </w:r>
      <w:r w:rsidRPr="00A423DB">
        <w:rPr>
          <w:rFonts w:asciiTheme="majorBidi" w:hAnsiTheme="majorBidi" w:cstheme="majorBidi"/>
        </w:rPr>
        <w:t>20</w:t>
      </w:r>
      <w:r w:rsidRPr="00FA2031">
        <w:rPr>
          <w:rFonts w:asciiTheme="majorBidi" w:hAnsiTheme="majorBidi" w:cstheme="majorBidi"/>
        </w:rPr>
        <w:t>15</w:t>
      </w:r>
      <w:r w:rsidRPr="00494E71">
        <w:rPr>
          <w:rFonts w:asciiTheme="majorBidi" w:hAnsiTheme="majorBidi" w:cstheme="majorBidi"/>
        </w:rPr>
        <w:t xml:space="preserve">); </w:t>
      </w:r>
      <w:r w:rsidRPr="00A423DB">
        <w:rPr>
          <w:rFonts w:asciiTheme="majorBidi" w:hAnsiTheme="majorBidi" w:cstheme="majorBidi"/>
        </w:rPr>
        <w:t xml:space="preserve">R. F. V. </w:t>
      </w:r>
      <w:r w:rsidRPr="00494E71">
        <w:rPr>
          <w:rFonts w:asciiTheme="majorBidi" w:hAnsiTheme="majorBidi" w:cstheme="majorBidi"/>
          <w:smallCaps/>
        </w:rPr>
        <w:t xml:space="preserve">Heuston &amp; R. A. Buckley, Salmond </w:t>
      </w:r>
      <w:r>
        <w:rPr>
          <w:rFonts w:asciiTheme="majorBidi" w:hAnsiTheme="majorBidi" w:cstheme="majorBidi"/>
          <w:smallCaps/>
        </w:rPr>
        <w:t>&amp;</w:t>
      </w:r>
      <w:r w:rsidRPr="00494E71">
        <w:rPr>
          <w:rFonts w:asciiTheme="majorBidi" w:hAnsiTheme="majorBidi" w:cstheme="majorBidi"/>
          <w:smallCaps/>
        </w:rPr>
        <w:t xml:space="preserve"> Heuston on the Law of Torts</w:t>
      </w:r>
      <w:r w:rsidRPr="00494E71">
        <w:rPr>
          <w:rFonts w:asciiTheme="majorBidi" w:hAnsiTheme="majorBidi" w:cstheme="majorBidi"/>
        </w:rPr>
        <w:t xml:space="preserve"> 155 (</w:t>
      </w:r>
      <w:r w:rsidRPr="00494E71">
        <w:rPr>
          <w:rFonts w:asciiTheme="majorBidi" w:hAnsiTheme="majorBidi" w:cstheme="majorBidi"/>
          <w:color w:val="000000"/>
        </w:rPr>
        <w:t xml:space="preserve">21th ed., </w:t>
      </w:r>
      <w:r w:rsidRPr="00494E71">
        <w:rPr>
          <w:rFonts w:asciiTheme="majorBidi" w:hAnsiTheme="majorBidi" w:cstheme="majorBidi"/>
        </w:rPr>
        <w:t>1996)</w:t>
      </w:r>
      <w:r w:rsidRPr="00A423DB">
        <w:rPr>
          <w:rFonts w:asciiTheme="majorBidi" w:hAnsiTheme="majorBidi" w:cstheme="majorBidi"/>
        </w:rPr>
        <w:t xml:space="preserve">; </w:t>
      </w:r>
      <w:r w:rsidRPr="00494E71">
        <w:rPr>
          <w:rFonts w:asciiTheme="majorBidi" w:hAnsiTheme="majorBidi" w:cstheme="majorBidi"/>
          <w:smallCaps/>
        </w:rPr>
        <w:t>Michael A. Jones, Textbook on Torts</w:t>
      </w:r>
      <w:r>
        <w:rPr>
          <w:rFonts w:asciiTheme="majorBidi" w:hAnsiTheme="majorBidi" w:cstheme="majorBidi"/>
        </w:rPr>
        <w:t xml:space="preserve"> 558-560</w:t>
      </w:r>
      <w:r w:rsidRPr="00A423DB">
        <w:rPr>
          <w:rFonts w:asciiTheme="majorBidi" w:hAnsiTheme="majorBidi" w:cstheme="majorBidi"/>
        </w:rPr>
        <w:t xml:space="preserve"> (</w:t>
      </w:r>
      <w:r w:rsidRPr="00FA2031">
        <w:rPr>
          <w:rFonts w:asciiTheme="majorBidi" w:hAnsiTheme="majorBidi" w:cstheme="majorBidi"/>
          <w:color w:val="000000"/>
        </w:rPr>
        <w:t>8</w:t>
      </w:r>
      <w:r w:rsidRPr="001F098E">
        <w:rPr>
          <w:rFonts w:asciiTheme="majorBidi" w:hAnsiTheme="majorBidi" w:cstheme="majorBidi"/>
          <w:color w:val="000000"/>
        </w:rPr>
        <w:t xml:space="preserve">th ed., </w:t>
      </w:r>
      <w:r w:rsidRPr="001F098E">
        <w:rPr>
          <w:rFonts w:asciiTheme="majorBidi" w:hAnsiTheme="majorBidi" w:cstheme="majorBidi"/>
        </w:rPr>
        <w:t>2002)</w:t>
      </w:r>
      <w:r w:rsidRPr="00FB2CF2">
        <w:rPr>
          <w:rFonts w:asciiTheme="majorBidi" w:hAnsiTheme="majorBidi" w:cstheme="majorBidi"/>
        </w:rPr>
        <w:t>;</w:t>
      </w:r>
      <w:r w:rsidRPr="00494E71">
        <w:rPr>
          <w:rFonts w:asciiTheme="majorBidi" w:hAnsiTheme="majorBidi" w:cstheme="majorBidi"/>
        </w:rPr>
        <w:t xml:space="preserve"> Ursula Connolly, </w:t>
      </w:r>
      <w:r w:rsidRPr="00494E71">
        <w:rPr>
          <w:rFonts w:asciiTheme="majorBidi" w:hAnsiTheme="majorBidi" w:cstheme="majorBidi"/>
          <w:i/>
          <w:iCs/>
        </w:rPr>
        <w:t>Multiple Publication and Online Defamation – Recent Reforms in Ireland and United Kingdom</w:t>
      </w:r>
      <w:r w:rsidRPr="00494E71">
        <w:rPr>
          <w:rFonts w:asciiTheme="majorBidi" w:hAnsiTheme="majorBidi" w:cstheme="majorBidi"/>
        </w:rPr>
        <w:t xml:space="preserve">, 6.1 </w:t>
      </w:r>
      <w:r w:rsidRPr="00494E71">
        <w:rPr>
          <w:rFonts w:asciiTheme="majorBidi" w:hAnsiTheme="majorBidi" w:cstheme="majorBidi"/>
          <w:smallCaps/>
        </w:rPr>
        <w:t>Masaryk U. J. L. &amp; Tech.</w:t>
      </w:r>
      <w:r w:rsidRPr="00494E71">
        <w:rPr>
          <w:rFonts w:asciiTheme="majorBidi" w:hAnsiTheme="majorBidi" w:cstheme="majorBidi"/>
        </w:rPr>
        <w:t xml:space="preserve"> 41-35 (2012); Itai Maytal, </w:t>
      </w:r>
      <w:r w:rsidRPr="00494E71">
        <w:rPr>
          <w:rFonts w:asciiTheme="majorBidi" w:hAnsiTheme="majorBidi" w:cstheme="majorBidi"/>
          <w:i/>
          <w:iCs/>
        </w:rPr>
        <w:t>Libel Lessons from Across the Pond – What British Courts Can Learn from the United States Chilling Experience with the "Multiple Publication Rule" in Traditional Media and the Internet</w:t>
      </w:r>
      <w:r w:rsidRPr="00494E71">
        <w:rPr>
          <w:rFonts w:asciiTheme="majorBidi" w:hAnsiTheme="majorBidi" w:cstheme="majorBidi"/>
        </w:rPr>
        <w:t xml:space="preserve">, 3 </w:t>
      </w:r>
      <w:r w:rsidRPr="00494E71">
        <w:rPr>
          <w:rFonts w:asciiTheme="majorBidi" w:hAnsiTheme="majorBidi" w:cstheme="majorBidi"/>
          <w:smallCaps/>
        </w:rPr>
        <w:t>J. Int'l Media &amp; Entm't L.</w:t>
      </w:r>
      <w:r w:rsidRPr="00494E71">
        <w:rPr>
          <w:rFonts w:asciiTheme="majorBidi" w:hAnsiTheme="majorBidi" w:cstheme="majorBidi"/>
        </w:rPr>
        <w:t xml:space="preserve"> 138-134 (2010)</w:t>
      </w:r>
      <w:r w:rsidRPr="00925257">
        <w:rPr>
          <w:rFonts w:ascii="Century" w:hAnsi="Century"/>
          <w:sz w:val="22"/>
          <w:rtl/>
        </w:rPr>
        <w:t>).</w:t>
      </w:r>
      <w:r w:rsidRPr="00A14071">
        <w:rPr>
          <w:rtl/>
        </w:rPr>
        <w:t xml:space="preserve"> </w:t>
      </w:r>
    </w:p>
    <w:p w:rsidR="008B3136" w:rsidRDefault="008B3136" w:rsidP="008B3136">
      <w:pPr>
        <w:pStyle w:val="Ruller4"/>
        <w:numPr>
          <w:ilvl w:val="0"/>
          <w:numId w:val="0"/>
        </w:numPr>
      </w:pPr>
    </w:p>
    <w:p w:rsidR="008B3136" w:rsidRDefault="008B3136" w:rsidP="008B3136">
      <w:pPr>
        <w:pStyle w:val="Ruller4"/>
        <w:rPr>
          <w:rtl/>
        </w:rPr>
      </w:pPr>
      <w:r>
        <w:rPr>
          <w:rFonts w:hint="cs"/>
          <w:rtl/>
        </w:rPr>
        <w:t xml:space="preserve">פסק דינו של בית המשפט לערעורים, </w:t>
      </w:r>
      <w:r w:rsidRPr="00925257">
        <w:rPr>
          <w:rFonts w:asciiTheme="majorBidi" w:hAnsiTheme="majorBidi" w:cstheme="majorBidi"/>
        </w:rPr>
        <w:t>Loutchansky v. Times Newspapers Ltd. [2002] E.M.L.R. 241, 262-269</w:t>
      </w:r>
      <w:r>
        <w:rPr>
          <w:rFonts w:hint="cs"/>
          <w:rtl/>
        </w:rPr>
        <w:t>, אשר ניתן לפני כעשרים שנה, אשרר הלכה זו ויישם אותה, בקבעו כי סדרה של פרסומים פוגעניים, אשר הכילו השמצות בלתי מוכחות ביחס לתובע, מר לוטשנסקי, באתר אינטרנטי של חברת טיימס מהווה עוולה נמשכת שהזכות לתבוע בגינה אינה מתיישנת בחלוף התקופה הסטטוטורית של שנה אחת ממועד הפרסום הראשון, אלא רק בחלוף שנה מהיום בו המעוול חדל מלפרסם את הפרסומים. זאת, בין היתר, לנוכח מהותו המתמשכת של פרסום אינטרנטי אשר מחדש את עצמו כל אימת שהוא מופיע באתר העיתון ואינו מוסר ממנו. הווה אומר: תקופת ההתיישנות הסטטוטורית בת-שנה-אחת מתחילה לרוץ ממועד היווצרותה של עילת התביעה בגין לשון הרע כעוולה נמשכת או מתחדשת, ולא כמעשה נזיקין חד-פעמי; ספירתה של תקופה זו תחל במועד חדילתו של מפרסם לשון הרע מפרסומה, בהתאם לעיקרון הדחיסה לפנים.</w:t>
      </w:r>
    </w:p>
    <w:p w:rsidR="008B3136" w:rsidRPr="00362F2C" w:rsidRDefault="008B3136" w:rsidP="008B3136">
      <w:pPr>
        <w:pStyle w:val="Ruller41"/>
      </w:pPr>
    </w:p>
    <w:p w:rsidR="008B3136" w:rsidRDefault="008B3136" w:rsidP="008B3136">
      <w:pPr>
        <w:pStyle w:val="Ruller4"/>
      </w:pPr>
      <w:r>
        <w:rPr>
          <w:rFonts w:hint="cs"/>
          <w:rtl/>
        </w:rPr>
        <w:t>חברת טיימס ביקשה מבית המשפט להחליף את כלל הפרסומים המרובים, שכאמור נקבע בפסק הדין</w:t>
      </w:r>
      <w:r w:rsidRPr="00AD0269">
        <w:rPr>
          <w:rFonts w:asciiTheme="majorBidi" w:hAnsiTheme="majorBidi" w:cstheme="majorBidi"/>
          <w:i/>
          <w:iCs/>
        </w:rPr>
        <w:t>Duke of Brunswick</w:t>
      </w:r>
      <w:r w:rsidRPr="00510748">
        <w:rPr>
          <w:rFonts w:asciiTheme="majorBidi" w:hAnsiTheme="majorBidi" w:cstheme="majorBidi"/>
        </w:rPr>
        <w:t xml:space="preserve"> </w:t>
      </w:r>
      <w:r>
        <w:rPr>
          <w:rFonts w:hint="cs"/>
          <w:rtl/>
        </w:rPr>
        <w:t>, בכלל של "פרסום אחד" אשר אומץ בדין האמריקני.</w:t>
      </w:r>
    </w:p>
    <w:p w:rsidR="008B3136" w:rsidRDefault="008B3136" w:rsidP="008B3136">
      <w:pPr>
        <w:pStyle w:val="Ruller4"/>
        <w:numPr>
          <w:ilvl w:val="0"/>
          <w:numId w:val="0"/>
        </w:numPr>
        <w:rPr>
          <w:rtl/>
        </w:rPr>
      </w:pPr>
    </w:p>
    <w:p w:rsidR="008B3136" w:rsidRDefault="008B3136" w:rsidP="008B3136">
      <w:pPr>
        <w:pStyle w:val="Ruller4"/>
        <w:numPr>
          <w:ilvl w:val="0"/>
          <w:numId w:val="0"/>
        </w:numPr>
        <w:rPr>
          <w:rtl/>
        </w:rPr>
      </w:pPr>
      <w:r>
        <w:rPr>
          <w:rtl/>
        </w:rPr>
        <w:tab/>
      </w:r>
      <w:r>
        <w:rPr>
          <w:rFonts w:hint="cs"/>
          <w:rtl/>
        </w:rPr>
        <w:t>אולם, בית המשפט לא נענה להזמנה זו; ואלה היו דבריו:</w:t>
      </w:r>
    </w:p>
    <w:p w:rsidR="008B3136" w:rsidRPr="00AD3F08" w:rsidRDefault="008B3136" w:rsidP="008B3136">
      <w:pPr>
        <w:pStyle w:val="Ruller41"/>
        <w:rPr>
          <w:rtl/>
        </w:rPr>
      </w:pPr>
    </w:p>
    <w:p w:rsidR="008B3136" w:rsidRPr="00B51A06" w:rsidRDefault="008B3136" w:rsidP="008B3136">
      <w:pPr>
        <w:pStyle w:val="Ruller5"/>
        <w:bidi w:val="0"/>
        <w:rPr>
          <w:rFonts w:asciiTheme="majorBidi" w:hAnsiTheme="majorBidi" w:cstheme="majorBidi"/>
          <w:sz w:val="24"/>
          <w:szCs w:val="24"/>
        </w:rPr>
      </w:pPr>
      <w:r w:rsidRPr="0089104E">
        <w:rPr>
          <w:rFonts w:asciiTheme="majorBidi" w:hAnsiTheme="majorBidi" w:cstheme="majorBidi"/>
          <w:sz w:val="24"/>
          <w:szCs w:val="24"/>
        </w:rPr>
        <w:t>"Some time</w:t>
      </w:r>
      <w:r w:rsidRPr="00B51A06">
        <w:rPr>
          <w:rFonts w:asciiTheme="majorBidi" w:hAnsiTheme="majorBidi" w:cstheme="majorBidi"/>
          <w:sz w:val="24"/>
          <w:szCs w:val="24"/>
        </w:rPr>
        <w:t xml:space="preserve"> was taken during the appeal in exploring, with the help of American authorities, the nature of the “single publication rule” in the United States. […] While the authorities suggest that the single publication rule was initially introduced to combat the problem of a multiplicity of suits in different states arising out of a single dissemination of a libel, the rule was also justified on the basis that it gave effect to the purpose of limitation provisions as statutes of repose designed to spare the courts from litigation of stale claims and the citizen from being put to his defence after memories have faded, witnesses have died or disappeared and evidence has been lost. The reasons advanced by the appellants for introducing this novel concept into our law are very similar to those adumbrated in the passage from </w:t>
      </w:r>
      <w:r w:rsidRPr="00B51A06">
        <w:rPr>
          <w:rFonts w:asciiTheme="majorBidi" w:hAnsiTheme="majorBidi" w:cstheme="majorBidi"/>
          <w:i/>
          <w:iCs/>
          <w:sz w:val="24"/>
          <w:szCs w:val="24"/>
        </w:rPr>
        <w:t>Gregoire</w:t>
      </w:r>
      <w:r w:rsidRPr="00B51A06">
        <w:rPr>
          <w:rFonts w:asciiTheme="majorBidi" w:hAnsiTheme="majorBidi" w:cstheme="majorBidi"/>
          <w:sz w:val="24"/>
          <w:szCs w:val="24"/>
        </w:rPr>
        <w:t xml:space="preserve"> which we have cited above. Section 4A of the Limitation Act 1980 imposes an unusually short limitation period in defamation cases. The object of this is to ensure that defamation claims are initiated promptly. If claims are brought within a year of the initial publication, the appellants will be able to marshal any available defence and data available. Lord Lester argued that these benefits will be defeated if, long after the initial publication, a respondent can base a claim on access by a single person to a copy of the publication in question. This was always true of documents in an archive or a library, as the </w:t>
      </w:r>
      <w:r w:rsidRPr="00B51A06">
        <w:rPr>
          <w:rFonts w:asciiTheme="majorBidi" w:hAnsiTheme="majorBidi" w:cstheme="majorBidi"/>
          <w:i/>
          <w:iCs/>
          <w:sz w:val="24"/>
          <w:szCs w:val="24"/>
        </w:rPr>
        <w:t>Duke of Brunswick</w:t>
      </w:r>
      <w:r w:rsidRPr="00B51A06">
        <w:rPr>
          <w:rFonts w:asciiTheme="majorBidi" w:hAnsiTheme="majorBidi" w:cstheme="majorBidi"/>
          <w:sz w:val="24"/>
          <w:szCs w:val="24"/>
        </w:rPr>
        <w:t xml:space="preserve"> case demonstrates. Lord Lester argued, however, that the position was much more acute where archives were provided on a website and thus very much more readily accessible. Lord Lester accepted that situations could arise where application of the single publication rule in the context of limitation might give rise to injustice. An obvious example is the situation where a respondent does not become aware of the initial publication until over a year has elapsed. […] Section 4A of the Limitation Act 1980 provides for a year within which to commence proceedings starting from the date on which the cause of action accrues. The appellants’ submissions recognise that if they are to establish that the claims in the second action were time barred they must, when applying section 4A, displace the rule in the </w:t>
      </w:r>
      <w:r w:rsidRPr="00B51A06">
        <w:rPr>
          <w:rFonts w:asciiTheme="majorBidi" w:hAnsiTheme="majorBidi" w:cstheme="majorBidi"/>
          <w:i/>
          <w:iCs/>
          <w:sz w:val="24"/>
          <w:szCs w:val="24"/>
        </w:rPr>
        <w:t>Duke of Brunswick</w:t>
      </w:r>
      <w:r w:rsidRPr="00B51A06">
        <w:rPr>
          <w:rFonts w:asciiTheme="majorBidi" w:hAnsiTheme="majorBidi" w:cstheme="majorBidi"/>
          <w:sz w:val="24"/>
          <w:szCs w:val="24"/>
        </w:rPr>
        <w:t xml:space="preserve"> and replace it by the American single publication rule. They must also establish that under that rule, placing a publication on their website constitutes a single publication that occurs at the time it is placed on the website regardless of the period during which it remains there. The latter is by no means clear, but it is at least arguable. In our judgment the crucial question in relation to this part of the appeal is whether the appellants have made good their assertion that the rule in the </w:t>
      </w:r>
      <w:r w:rsidRPr="00B51A06">
        <w:rPr>
          <w:rFonts w:asciiTheme="majorBidi" w:hAnsiTheme="majorBidi" w:cstheme="majorBidi"/>
          <w:i/>
          <w:iCs/>
          <w:sz w:val="24"/>
          <w:szCs w:val="24"/>
        </w:rPr>
        <w:t>Duke of Brunswick</w:t>
      </w:r>
      <w:r w:rsidRPr="00B51A06">
        <w:rPr>
          <w:rFonts w:asciiTheme="majorBidi" w:hAnsiTheme="majorBidi" w:cstheme="majorBidi"/>
          <w:sz w:val="24"/>
          <w:szCs w:val="24"/>
        </w:rPr>
        <w:t xml:space="preserve"> is in conflict with Article 10 of the Human Rights Convention because it has a chilling effect upon the freedom of expression that goes beyond what is necessary and proportionate in a democratic society for the protection of the reputation of others. We do not accept that the rule in the </w:t>
      </w:r>
      <w:r w:rsidRPr="00B51A06">
        <w:rPr>
          <w:rFonts w:asciiTheme="majorBidi" w:hAnsiTheme="majorBidi" w:cstheme="majorBidi"/>
          <w:i/>
          <w:iCs/>
          <w:sz w:val="24"/>
          <w:szCs w:val="24"/>
        </w:rPr>
        <w:t>Duke of Brunswick</w:t>
      </w:r>
      <w:r w:rsidRPr="00B51A06">
        <w:rPr>
          <w:rFonts w:asciiTheme="majorBidi" w:hAnsiTheme="majorBidi" w:cstheme="majorBidi"/>
          <w:sz w:val="24"/>
          <w:szCs w:val="24"/>
        </w:rPr>
        <w:t xml:space="preserve"> imposes a restriction on the readiness to maintain and provide access to archives that amounts to a disproportionate restriction on freedom of expression. We accept that the maintenance of archives, whether in hard copy or on the internet, has a social utility, but consider that the maintenance of archives is a comparatively insignificant aspect of freedom of expression. Archive material is stale news and its publication cannot rank in importance with the dissemination of contemporary material. Nor do we believe that the law of defamation need inhibit the responsible maintenance of archives. Where it is known that archive material is or may be defamatory, the attachment of an appropriate notice warning against treating it as the truth will normally remove any sting from the material. […] The change in the law of defamation for which the appellants contend is a radical one. In our judgment they have failed to make out their case that such a change is required. The Internet Single Publication appeal is therefore dismissed</w:t>
      </w:r>
      <w:r>
        <w:rPr>
          <w:rFonts w:asciiTheme="majorBidi" w:hAnsiTheme="majorBidi" w:cstheme="majorBidi"/>
          <w:sz w:val="24"/>
          <w:szCs w:val="24"/>
        </w:rPr>
        <w:t>"</w:t>
      </w:r>
      <w:r w:rsidRPr="00B51A06">
        <w:rPr>
          <w:rFonts w:asciiTheme="majorBidi" w:hAnsiTheme="majorBidi" w:cstheme="majorBidi"/>
          <w:sz w:val="24"/>
          <w:szCs w:val="24"/>
        </w:rPr>
        <w:t>.</w:t>
      </w:r>
    </w:p>
    <w:p w:rsidR="008B3136" w:rsidRDefault="008B3136" w:rsidP="00CD0DD7">
      <w:pPr>
        <w:pStyle w:val="Ruller41"/>
        <w:bidi w:val="0"/>
      </w:pPr>
    </w:p>
    <w:p w:rsidR="008B3136" w:rsidRDefault="008B3136" w:rsidP="008B3136">
      <w:pPr>
        <w:pStyle w:val="Ruller4"/>
        <w:numPr>
          <w:ilvl w:val="0"/>
          <w:numId w:val="0"/>
        </w:numPr>
        <w:rPr>
          <w:rtl/>
        </w:rPr>
      </w:pPr>
      <w:r>
        <w:rPr>
          <w:rtl/>
        </w:rPr>
        <w:tab/>
      </w:r>
      <w:r>
        <w:rPr>
          <w:rFonts w:hint="cs"/>
          <w:rtl/>
        </w:rPr>
        <w:t xml:space="preserve">ראו: שם, בעמ' 269-265; כמו כן ראו: </w:t>
      </w:r>
      <w:r w:rsidRPr="000450F8">
        <w:rPr>
          <w:rFonts w:asciiTheme="majorBidi" w:hAnsiTheme="majorBidi" w:cstheme="majorBidi"/>
          <w:szCs w:val="24"/>
        </w:rPr>
        <w:t xml:space="preserve">Laura Handman, </w:t>
      </w:r>
      <w:r w:rsidRPr="000450F8">
        <w:rPr>
          <w:rFonts w:asciiTheme="majorBidi" w:hAnsiTheme="majorBidi" w:cstheme="majorBidi"/>
          <w:i/>
          <w:iCs/>
          <w:szCs w:val="24"/>
        </w:rPr>
        <w:t>et al</w:t>
      </w:r>
      <w:r w:rsidRPr="000450F8">
        <w:rPr>
          <w:rFonts w:asciiTheme="majorBidi" w:hAnsiTheme="majorBidi" w:cstheme="majorBidi"/>
          <w:szCs w:val="24"/>
        </w:rPr>
        <w:t xml:space="preserve">., </w:t>
      </w:r>
      <w:r w:rsidRPr="000450F8">
        <w:rPr>
          <w:rFonts w:asciiTheme="majorBidi" w:hAnsiTheme="majorBidi" w:cstheme="majorBidi"/>
          <w:i/>
          <w:iCs/>
          <w:szCs w:val="24"/>
        </w:rPr>
        <w:t>Libel Tourism and the Duke’s Manservant – An American Perspective</w:t>
      </w:r>
      <w:r w:rsidRPr="000450F8">
        <w:rPr>
          <w:rFonts w:asciiTheme="majorBidi" w:hAnsiTheme="majorBidi" w:cstheme="majorBidi"/>
          <w:szCs w:val="24"/>
        </w:rPr>
        <w:t xml:space="preserve">, </w:t>
      </w:r>
      <w:r w:rsidRPr="000450F8">
        <w:rPr>
          <w:rFonts w:asciiTheme="majorBidi" w:hAnsiTheme="majorBidi" w:cstheme="majorBidi"/>
          <w:smallCaps/>
          <w:szCs w:val="24"/>
        </w:rPr>
        <w:t>Eur. Hum</w:t>
      </w:r>
      <w:r>
        <w:rPr>
          <w:rFonts w:asciiTheme="majorBidi" w:hAnsiTheme="majorBidi" w:cstheme="majorBidi"/>
          <w:smallCaps/>
          <w:szCs w:val="24"/>
        </w:rPr>
        <w:t>.</w:t>
      </w:r>
      <w:r w:rsidRPr="000450F8">
        <w:rPr>
          <w:rFonts w:asciiTheme="majorBidi" w:hAnsiTheme="majorBidi" w:cstheme="majorBidi"/>
          <w:smallCaps/>
          <w:szCs w:val="24"/>
        </w:rPr>
        <w:t xml:space="preserve"> Rts</w:t>
      </w:r>
      <w:r>
        <w:rPr>
          <w:rFonts w:asciiTheme="majorBidi" w:hAnsiTheme="majorBidi" w:cstheme="majorBidi"/>
          <w:smallCaps/>
          <w:szCs w:val="24"/>
        </w:rPr>
        <w:t>.</w:t>
      </w:r>
      <w:r w:rsidRPr="000450F8">
        <w:rPr>
          <w:rFonts w:asciiTheme="majorBidi" w:hAnsiTheme="majorBidi" w:cstheme="majorBidi"/>
          <w:smallCaps/>
          <w:szCs w:val="24"/>
        </w:rPr>
        <w:t xml:space="preserve"> L. Rev.</w:t>
      </w:r>
      <w:r w:rsidRPr="000450F8">
        <w:rPr>
          <w:rFonts w:asciiTheme="majorBidi" w:hAnsiTheme="majorBidi" w:cstheme="majorBidi"/>
          <w:szCs w:val="24"/>
        </w:rPr>
        <w:t xml:space="preserve"> 303, 311-312</w:t>
      </w:r>
      <w:r>
        <w:rPr>
          <w:rFonts w:asciiTheme="majorBidi" w:hAnsiTheme="majorBidi" w:cstheme="majorBidi"/>
          <w:szCs w:val="24"/>
        </w:rPr>
        <w:t xml:space="preserve"> (2009)</w:t>
      </w:r>
      <w:r>
        <w:rPr>
          <w:rFonts w:asciiTheme="majorBidi" w:hAnsiTheme="majorBidi" w:cstheme="majorBidi" w:hint="cs"/>
          <w:szCs w:val="24"/>
          <w:rtl/>
        </w:rPr>
        <w:t>.</w:t>
      </w:r>
    </w:p>
    <w:p w:rsidR="008B3136" w:rsidRDefault="008B3136" w:rsidP="008B3136">
      <w:pPr>
        <w:pStyle w:val="Ruller41"/>
        <w:rPr>
          <w:rtl/>
        </w:rPr>
      </w:pPr>
    </w:p>
    <w:p w:rsidR="008B3136" w:rsidRDefault="008B3136" w:rsidP="008B3136">
      <w:pPr>
        <w:pStyle w:val="Ruller4"/>
      </w:pPr>
      <w:r>
        <w:rPr>
          <w:rFonts w:hint="cs"/>
          <w:rtl/>
        </w:rPr>
        <w:t xml:space="preserve">בשנת 2013, חוקק בבריטניה חוק איסור לשון הרע </w:t>
      </w:r>
      <w:r w:rsidRPr="00A14071">
        <w:rPr>
          <w:rFonts w:asciiTheme="majorBidi" w:hAnsiTheme="majorBidi" w:cstheme="majorBidi"/>
        </w:rPr>
        <w:t>(</w:t>
      </w:r>
      <w:r>
        <w:rPr>
          <w:rFonts w:asciiTheme="majorBidi" w:hAnsiTheme="majorBidi" w:cstheme="majorBidi"/>
        </w:rPr>
        <w:t xml:space="preserve">The </w:t>
      </w:r>
      <w:r w:rsidRPr="00A14071">
        <w:rPr>
          <w:rFonts w:asciiTheme="majorBidi" w:hAnsiTheme="majorBidi" w:cstheme="majorBidi"/>
        </w:rPr>
        <w:t xml:space="preserve">Defamation </w:t>
      </w:r>
      <w:r>
        <w:rPr>
          <w:rFonts w:asciiTheme="majorBidi" w:hAnsiTheme="majorBidi" w:cstheme="majorBidi"/>
        </w:rPr>
        <w:t>A</w:t>
      </w:r>
      <w:r w:rsidRPr="00A14071">
        <w:rPr>
          <w:rFonts w:asciiTheme="majorBidi" w:hAnsiTheme="majorBidi" w:cstheme="majorBidi"/>
        </w:rPr>
        <w:t xml:space="preserve">ct §8 (2013) </w:t>
      </w:r>
      <w:r>
        <w:rPr>
          <w:rFonts w:hint="cs"/>
          <w:rtl/>
        </w:rPr>
        <w:t xml:space="preserve">) (להלן: </w:t>
      </w:r>
      <w:r w:rsidRPr="00A14071">
        <w:rPr>
          <w:rFonts w:ascii="Century" w:hAnsi="Century" w:cs="Miriam" w:hint="eastAsia"/>
          <w:b/>
          <w:spacing w:val="0"/>
          <w:sz w:val="22"/>
          <w:szCs w:val="24"/>
          <w:rtl/>
        </w:rPr>
        <w:t>חוק</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לשון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הרע</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האנגלי</w:t>
      </w:r>
      <w:r>
        <w:rPr>
          <w:rFonts w:hint="cs"/>
          <w:rtl/>
        </w:rPr>
        <w:t xml:space="preserve">) שאימץ את הכלל האמריקני, אשר זכה לשם "כלל הפרסום היחיד" </w:t>
      </w:r>
      <w:r w:rsidRPr="00A14071">
        <w:rPr>
          <w:rFonts w:asciiTheme="majorBidi" w:hAnsiTheme="majorBidi" w:cstheme="majorBidi"/>
          <w:szCs w:val="24"/>
          <w:rtl/>
        </w:rPr>
        <w:t>(</w:t>
      </w:r>
      <w:r w:rsidRPr="00A14071">
        <w:rPr>
          <w:rFonts w:asciiTheme="majorBidi" w:hAnsiTheme="majorBidi" w:cstheme="majorBidi"/>
          <w:szCs w:val="24"/>
        </w:rPr>
        <w:t>the single publication rule</w:t>
      </w:r>
      <w:r w:rsidRPr="00A14071">
        <w:rPr>
          <w:rFonts w:asciiTheme="majorBidi" w:hAnsiTheme="majorBidi" w:cstheme="majorBidi"/>
          <w:szCs w:val="24"/>
          <w:rtl/>
        </w:rPr>
        <w:t>)</w:t>
      </w:r>
      <w:r>
        <w:rPr>
          <w:rFonts w:hint="cs"/>
          <w:rtl/>
        </w:rPr>
        <w:t xml:space="preserve"> אחרי שאומץ ברוב בתי המשפט בארצות-הברית חֶלֶף הכלל האנגלי הישן (ראו, מיני רבים: </w:t>
      </w:r>
      <w:r w:rsidRPr="00E54ED9">
        <w:rPr>
          <w:rFonts w:asciiTheme="majorBidi" w:hAnsiTheme="majorBidi" w:cstheme="majorBidi"/>
        </w:rPr>
        <w:t xml:space="preserve">Tom Rudkin, </w:t>
      </w:r>
      <w:r w:rsidRPr="00E54ED9">
        <w:rPr>
          <w:rFonts w:asciiTheme="majorBidi" w:hAnsiTheme="majorBidi" w:cstheme="majorBidi"/>
          <w:i/>
          <w:iCs/>
        </w:rPr>
        <w:t>After the Flood: Archives and the Defamation Act 2013</w:t>
      </w:r>
      <w:r w:rsidRPr="00E54ED9">
        <w:rPr>
          <w:rFonts w:asciiTheme="majorBidi" w:hAnsiTheme="majorBidi" w:cstheme="majorBidi"/>
        </w:rPr>
        <w:t xml:space="preserve">, 25 </w:t>
      </w:r>
      <w:r w:rsidRPr="00E54ED9">
        <w:rPr>
          <w:rFonts w:asciiTheme="majorBidi" w:hAnsiTheme="majorBidi" w:cstheme="majorBidi"/>
          <w:smallCaps/>
        </w:rPr>
        <w:t>Entertainment L. Rev.</w:t>
      </w:r>
      <w:r w:rsidRPr="00E54ED9">
        <w:rPr>
          <w:rFonts w:asciiTheme="majorBidi" w:hAnsiTheme="majorBidi" w:cstheme="majorBidi"/>
        </w:rPr>
        <w:t xml:space="preserve"> 19 (2014)</w:t>
      </w:r>
      <w:r>
        <w:rPr>
          <w:rFonts w:hint="cs"/>
          <w:rtl/>
        </w:rPr>
        <w:t>).</w:t>
      </w:r>
    </w:p>
    <w:p w:rsidR="008B3136" w:rsidRDefault="008B3136" w:rsidP="008B3136">
      <w:pPr>
        <w:pStyle w:val="Ruller4"/>
        <w:numPr>
          <w:ilvl w:val="0"/>
          <w:numId w:val="0"/>
        </w:numPr>
        <w:rPr>
          <w:rtl/>
        </w:rPr>
      </w:pPr>
    </w:p>
    <w:p w:rsidR="008B3136" w:rsidRDefault="008B3136" w:rsidP="008B3136">
      <w:pPr>
        <w:pStyle w:val="Ruller4"/>
        <w:numPr>
          <w:ilvl w:val="0"/>
          <w:numId w:val="0"/>
        </w:numPr>
        <w:rPr>
          <w:rtl/>
        </w:rPr>
      </w:pPr>
      <w:r>
        <w:rPr>
          <w:rtl/>
        </w:rPr>
        <w:tab/>
      </w:r>
      <w:r>
        <w:rPr>
          <w:rFonts w:hint="cs"/>
          <w:rtl/>
        </w:rPr>
        <w:t xml:space="preserve">כלל הפרסום היחיד, כפי שסוכם בסעיף </w:t>
      </w:r>
      <w:r w:rsidRPr="00C03D6F">
        <w:rPr>
          <w:rFonts w:asciiTheme="majorBidi" w:hAnsiTheme="majorBidi" w:cstheme="majorBidi"/>
        </w:rPr>
        <w:t>577A</w:t>
      </w:r>
      <w:r>
        <w:rPr>
          <w:rFonts w:hint="cs"/>
          <w:rtl/>
        </w:rPr>
        <w:t xml:space="preserve"> לריסטייטמנט של דיני הנזיקין (ראו: </w:t>
      </w:r>
      <w:r w:rsidRPr="008A4D05">
        <w:rPr>
          <w:rFonts w:asciiTheme="majorBidi" w:hAnsiTheme="majorBidi" w:cstheme="majorBidi"/>
        </w:rPr>
        <w:t>Restatement (Second) of Torts §577A (1977)</w:t>
      </w:r>
      <w:r>
        <w:rPr>
          <w:rFonts w:hint="cs"/>
          <w:rtl/>
        </w:rPr>
        <w:t>), קובע לאמור:</w:t>
      </w:r>
    </w:p>
    <w:p w:rsidR="008B3136" w:rsidRDefault="008B3136" w:rsidP="008B3136">
      <w:pPr>
        <w:pStyle w:val="Ruller5"/>
        <w:bidi w:val="0"/>
        <w:rPr>
          <w:rtl/>
        </w:rPr>
      </w:pPr>
    </w:p>
    <w:p w:rsidR="008B3136" w:rsidRPr="00C75AF2" w:rsidRDefault="008B3136" w:rsidP="008B3136">
      <w:pPr>
        <w:pStyle w:val="Ruller5"/>
        <w:bidi w:val="0"/>
        <w:rPr>
          <w:rFonts w:asciiTheme="majorBidi" w:hAnsiTheme="majorBidi" w:cstheme="majorBidi"/>
          <w:sz w:val="24"/>
          <w:szCs w:val="24"/>
        </w:rPr>
      </w:pPr>
      <w:r>
        <w:rPr>
          <w:rFonts w:asciiTheme="majorBidi" w:hAnsiTheme="majorBidi" w:cstheme="majorBidi"/>
          <w:sz w:val="24"/>
          <w:szCs w:val="24"/>
        </w:rPr>
        <w:t>"</w:t>
      </w:r>
      <w:r w:rsidRPr="00C75AF2">
        <w:rPr>
          <w:rFonts w:asciiTheme="majorBidi" w:hAnsiTheme="majorBidi" w:cstheme="majorBidi"/>
          <w:sz w:val="24"/>
          <w:szCs w:val="24"/>
        </w:rPr>
        <w:t>(1) Except as stated in Subsections (2) and (3), each of several communications to a third person by the same defamer is a separate publication.</w:t>
      </w:r>
    </w:p>
    <w:p w:rsidR="008B3136" w:rsidRPr="00C75AF2" w:rsidRDefault="008B3136" w:rsidP="008B3136">
      <w:pPr>
        <w:pStyle w:val="Ruller5"/>
        <w:bidi w:val="0"/>
        <w:rPr>
          <w:rFonts w:asciiTheme="majorBidi" w:hAnsiTheme="majorBidi" w:cstheme="majorBidi"/>
          <w:sz w:val="24"/>
          <w:szCs w:val="24"/>
        </w:rPr>
      </w:pPr>
    </w:p>
    <w:p w:rsidR="008B3136" w:rsidRPr="00C75AF2" w:rsidRDefault="008B3136" w:rsidP="008B3136">
      <w:pPr>
        <w:pStyle w:val="Ruller5"/>
        <w:bidi w:val="0"/>
        <w:rPr>
          <w:rFonts w:asciiTheme="majorBidi" w:hAnsiTheme="majorBidi" w:cstheme="majorBidi"/>
          <w:sz w:val="24"/>
          <w:szCs w:val="24"/>
        </w:rPr>
      </w:pPr>
      <w:r w:rsidRPr="00C75AF2">
        <w:rPr>
          <w:rFonts w:asciiTheme="majorBidi" w:hAnsiTheme="majorBidi" w:cstheme="majorBidi"/>
          <w:sz w:val="24"/>
          <w:szCs w:val="24"/>
        </w:rPr>
        <w:t>(2) A single communication heard at the same time by two or more third persons is a single publication.</w:t>
      </w:r>
    </w:p>
    <w:p w:rsidR="008B3136" w:rsidRPr="00C75AF2" w:rsidRDefault="008B3136" w:rsidP="008B3136">
      <w:pPr>
        <w:pStyle w:val="Ruller5"/>
        <w:bidi w:val="0"/>
        <w:rPr>
          <w:rFonts w:asciiTheme="majorBidi" w:hAnsiTheme="majorBidi" w:cstheme="majorBidi"/>
          <w:sz w:val="24"/>
          <w:szCs w:val="24"/>
        </w:rPr>
      </w:pPr>
    </w:p>
    <w:p w:rsidR="008B3136" w:rsidRPr="00C75AF2" w:rsidRDefault="008B3136" w:rsidP="008B3136">
      <w:pPr>
        <w:pStyle w:val="Ruller5"/>
        <w:bidi w:val="0"/>
        <w:rPr>
          <w:rFonts w:asciiTheme="majorBidi" w:hAnsiTheme="majorBidi" w:cstheme="majorBidi"/>
          <w:sz w:val="24"/>
          <w:szCs w:val="24"/>
        </w:rPr>
      </w:pPr>
      <w:r w:rsidRPr="00C75AF2">
        <w:rPr>
          <w:rFonts w:asciiTheme="majorBidi" w:hAnsiTheme="majorBidi" w:cstheme="majorBidi"/>
          <w:sz w:val="24"/>
          <w:szCs w:val="24"/>
        </w:rPr>
        <w:t>(3) Any one edition of a book or newspaper, or any one radio or television broadcast, exhibition of a motion picture or similar aggregate communication is a single publication.</w:t>
      </w:r>
    </w:p>
    <w:p w:rsidR="008B3136" w:rsidRPr="00C75AF2" w:rsidRDefault="008B3136" w:rsidP="008B3136">
      <w:pPr>
        <w:pStyle w:val="Ruller5"/>
        <w:bidi w:val="0"/>
        <w:rPr>
          <w:rFonts w:asciiTheme="majorBidi" w:hAnsiTheme="majorBidi" w:cstheme="majorBidi"/>
          <w:sz w:val="24"/>
          <w:szCs w:val="24"/>
        </w:rPr>
      </w:pPr>
    </w:p>
    <w:p w:rsidR="008B3136" w:rsidRPr="00C75AF2" w:rsidRDefault="008B3136" w:rsidP="008B3136">
      <w:pPr>
        <w:pStyle w:val="Ruller5"/>
        <w:bidi w:val="0"/>
        <w:rPr>
          <w:rFonts w:asciiTheme="majorBidi" w:hAnsiTheme="majorBidi" w:cstheme="majorBidi"/>
          <w:sz w:val="24"/>
          <w:szCs w:val="24"/>
        </w:rPr>
      </w:pPr>
      <w:r w:rsidRPr="00C75AF2">
        <w:rPr>
          <w:rFonts w:asciiTheme="majorBidi" w:hAnsiTheme="majorBidi" w:cstheme="majorBidi"/>
          <w:sz w:val="24"/>
          <w:szCs w:val="24"/>
        </w:rPr>
        <w:t>(4) As to any single publication,</w:t>
      </w:r>
    </w:p>
    <w:p w:rsidR="008B3136" w:rsidRPr="00C75AF2" w:rsidRDefault="008B3136" w:rsidP="008B3136">
      <w:pPr>
        <w:pStyle w:val="Ruller5"/>
        <w:bidi w:val="0"/>
        <w:rPr>
          <w:rFonts w:asciiTheme="majorBidi" w:hAnsiTheme="majorBidi" w:cstheme="majorBidi"/>
          <w:sz w:val="24"/>
          <w:szCs w:val="24"/>
        </w:rPr>
      </w:pPr>
    </w:p>
    <w:p w:rsidR="008B3136" w:rsidRDefault="008B3136" w:rsidP="008B3136">
      <w:pPr>
        <w:pStyle w:val="Ruller5"/>
        <w:bidi w:val="0"/>
        <w:rPr>
          <w:rFonts w:asciiTheme="majorBidi" w:hAnsiTheme="majorBidi" w:cstheme="majorBidi"/>
          <w:sz w:val="24"/>
          <w:szCs w:val="24"/>
        </w:rPr>
      </w:pPr>
      <w:r w:rsidRPr="00C75AF2">
        <w:rPr>
          <w:rFonts w:asciiTheme="majorBidi" w:hAnsiTheme="majorBidi" w:cstheme="majorBidi"/>
          <w:sz w:val="24"/>
          <w:szCs w:val="24"/>
          <w:rtl/>
        </w:rPr>
        <w:t xml:space="preserve"> </w:t>
      </w:r>
      <w:r w:rsidRPr="00C75AF2">
        <w:rPr>
          <w:rFonts w:asciiTheme="majorBidi" w:hAnsiTheme="majorBidi" w:cstheme="majorBidi"/>
          <w:sz w:val="24"/>
          <w:szCs w:val="24"/>
          <w:rtl/>
        </w:rPr>
        <w:tab/>
      </w:r>
      <w:r w:rsidRPr="00C75AF2">
        <w:rPr>
          <w:rFonts w:asciiTheme="majorBidi" w:hAnsiTheme="majorBidi" w:cstheme="majorBidi"/>
          <w:sz w:val="24"/>
          <w:szCs w:val="24"/>
        </w:rPr>
        <w:t>(a) only one action for damages can be maintained;</w:t>
      </w:r>
    </w:p>
    <w:p w:rsidR="008B3136" w:rsidRPr="00C75AF2" w:rsidRDefault="008B3136" w:rsidP="008B3136">
      <w:pPr>
        <w:pStyle w:val="Ruller5"/>
        <w:bidi w:val="0"/>
        <w:rPr>
          <w:rFonts w:asciiTheme="majorBidi" w:hAnsiTheme="majorBidi" w:cstheme="majorBidi"/>
          <w:sz w:val="24"/>
          <w:szCs w:val="24"/>
        </w:rPr>
      </w:pPr>
    </w:p>
    <w:p w:rsidR="008B3136" w:rsidRDefault="008B3136" w:rsidP="008B3136">
      <w:pPr>
        <w:pStyle w:val="Ruller5"/>
        <w:bidi w:val="0"/>
        <w:rPr>
          <w:rFonts w:asciiTheme="majorBidi" w:hAnsiTheme="majorBidi" w:cstheme="majorBidi"/>
          <w:sz w:val="24"/>
          <w:szCs w:val="24"/>
        </w:rPr>
      </w:pPr>
      <w:r w:rsidRPr="00C75AF2">
        <w:rPr>
          <w:rFonts w:asciiTheme="majorBidi" w:hAnsiTheme="majorBidi" w:cstheme="majorBidi"/>
          <w:sz w:val="24"/>
          <w:szCs w:val="24"/>
          <w:rtl/>
        </w:rPr>
        <w:t xml:space="preserve"> </w:t>
      </w:r>
      <w:r w:rsidRPr="00C75AF2">
        <w:rPr>
          <w:rFonts w:asciiTheme="majorBidi" w:hAnsiTheme="majorBidi" w:cstheme="majorBidi"/>
          <w:sz w:val="24"/>
          <w:szCs w:val="24"/>
          <w:rtl/>
        </w:rPr>
        <w:tab/>
      </w:r>
      <w:r w:rsidRPr="00C75AF2">
        <w:rPr>
          <w:rFonts w:asciiTheme="majorBidi" w:hAnsiTheme="majorBidi" w:cstheme="majorBidi"/>
          <w:sz w:val="24"/>
          <w:szCs w:val="24"/>
        </w:rPr>
        <w:t>(b) all damages suffered in all jurisdictions can be recovered in the one action; and</w:t>
      </w:r>
    </w:p>
    <w:p w:rsidR="008B3136" w:rsidRPr="00C75AF2" w:rsidRDefault="008B3136" w:rsidP="008B3136">
      <w:pPr>
        <w:pStyle w:val="Ruller5"/>
        <w:bidi w:val="0"/>
        <w:rPr>
          <w:rFonts w:asciiTheme="majorBidi" w:hAnsiTheme="majorBidi" w:cstheme="majorBidi"/>
          <w:sz w:val="24"/>
          <w:szCs w:val="24"/>
        </w:rPr>
      </w:pPr>
    </w:p>
    <w:p w:rsidR="008B3136" w:rsidRPr="00C75AF2" w:rsidRDefault="008B3136" w:rsidP="008B3136">
      <w:pPr>
        <w:pStyle w:val="Ruller5"/>
        <w:bidi w:val="0"/>
        <w:rPr>
          <w:rFonts w:ascii="Century" w:hAnsi="Century"/>
        </w:rPr>
      </w:pPr>
      <w:r w:rsidRPr="00C75AF2">
        <w:rPr>
          <w:rFonts w:asciiTheme="majorBidi" w:hAnsiTheme="majorBidi" w:cstheme="majorBidi"/>
          <w:sz w:val="24"/>
          <w:szCs w:val="24"/>
          <w:rtl/>
        </w:rPr>
        <w:t xml:space="preserve"> </w:t>
      </w:r>
      <w:r w:rsidRPr="00C75AF2">
        <w:rPr>
          <w:rFonts w:asciiTheme="majorBidi" w:hAnsiTheme="majorBidi" w:cstheme="majorBidi"/>
          <w:sz w:val="24"/>
          <w:szCs w:val="24"/>
          <w:rtl/>
        </w:rPr>
        <w:tab/>
      </w:r>
      <w:r w:rsidRPr="00C75AF2">
        <w:rPr>
          <w:rFonts w:asciiTheme="majorBidi" w:hAnsiTheme="majorBidi" w:cstheme="majorBidi"/>
          <w:sz w:val="24"/>
          <w:szCs w:val="24"/>
        </w:rPr>
        <w:t>(c) a judgment for or against the plaintiff upon the merits of any action for damages bars any other action for damages between the same parties in all jurisdictions</w:t>
      </w:r>
      <w:r>
        <w:rPr>
          <w:rFonts w:asciiTheme="majorBidi" w:hAnsiTheme="majorBidi" w:cstheme="majorBidi"/>
          <w:sz w:val="24"/>
          <w:szCs w:val="24"/>
        </w:rPr>
        <w:t>"</w:t>
      </w:r>
      <w:r w:rsidRPr="00C75AF2">
        <w:rPr>
          <w:rFonts w:asciiTheme="majorBidi" w:hAnsiTheme="majorBidi" w:cstheme="majorBidi"/>
          <w:sz w:val="24"/>
          <w:szCs w:val="24"/>
        </w:rPr>
        <w:t>.</w:t>
      </w:r>
    </w:p>
    <w:p w:rsidR="008B3136" w:rsidRPr="00C75AF2" w:rsidRDefault="008B3136" w:rsidP="008B3136">
      <w:pPr>
        <w:pStyle w:val="Ruller41"/>
        <w:jc w:val="right"/>
        <w:rPr>
          <w:rFonts w:ascii="Century" w:hAnsi="Century"/>
          <w:rtl/>
        </w:rPr>
      </w:pPr>
    </w:p>
    <w:p w:rsidR="008B3136" w:rsidRDefault="008B3136" w:rsidP="008B3136">
      <w:pPr>
        <w:pStyle w:val="Ruller4"/>
        <w:rPr>
          <w:rtl/>
        </w:rPr>
      </w:pPr>
      <w:r>
        <w:rPr>
          <w:rFonts w:hint="cs"/>
          <w:rtl/>
        </w:rPr>
        <w:t xml:space="preserve">לפי כלל זה, כל פרסום בודד של לשון הרע </w:t>
      </w:r>
      <w:r>
        <w:rPr>
          <w:rtl/>
        </w:rPr>
        <w:t>–</w:t>
      </w:r>
      <w:r>
        <w:rPr>
          <w:rFonts w:hint="cs"/>
          <w:rtl/>
        </w:rPr>
        <w:t xml:space="preserve"> למשל: כל הצגה נפרדת של סרט אשר מכיל בתוכו דיבה </w:t>
      </w:r>
      <w:r>
        <w:rPr>
          <w:rtl/>
        </w:rPr>
        <w:t>–</w:t>
      </w:r>
      <w:r>
        <w:rPr>
          <w:rFonts w:hint="cs"/>
          <w:rtl/>
        </w:rPr>
        <w:t xml:space="preserve"> מהווה עוולה עצמאית ונפרדת של לשון הרע. מעשי עוולה כאמור ונזקיהם אינם מתחברים יחדיו ואינם יוצרים אפוא עוולה נמשכת. כפועל יוצא מכך, עילת התביעה בגין כל פרסום בודד של לשון הרע מתיישנת בחלוף תקופת ההתיישנות הקבועה בדין (בארצות-הברית, שנה אחת בלבד; ראו: עניין</w:t>
      </w:r>
      <w:r w:rsidRPr="00226FC3">
        <w:rPr>
          <w:rFonts w:ascii="Century" w:hAnsi="Century" w:cs="Miriam"/>
          <w:b/>
          <w:spacing w:val="0"/>
          <w:sz w:val="22"/>
          <w:szCs w:val="24"/>
          <w:rtl/>
        </w:rPr>
        <w:t xml:space="preserve"> </w:t>
      </w:r>
      <w:r w:rsidRPr="00226FC3">
        <w:rPr>
          <w:rFonts w:ascii="Century" w:hAnsi="Century" w:cs="Miriam" w:hint="eastAsia"/>
          <w:b/>
          <w:spacing w:val="0"/>
          <w:sz w:val="22"/>
          <w:szCs w:val="24"/>
          <w:rtl/>
        </w:rPr>
        <w:t>דיין</w:t>
      </w:r>
      <w:r w:rsidRPr="00226FC3">
        <w:rPr>
          <w:rFonts w:ascii="Century" w:hAnsi="Century" w:hint="cs"/>
          <w:sz w:val="22"/>
          <w:rtl/>
        </w:rPr>
        <w:t xml:space="preserve">, בעמ' </w:t>
      </w:r>
      <w:r>
        <w:rPr>
          <w:rFonts w:hint="cs"/>
          <w:rtl/>
        </w:rPr>
        <w:t>769).</w:t>
      </w:r>
    </w:p>
    <w:p w:rsidR="008B3136" w:rsidRPr="00E14429" w:rsidRDefault="008B3136" w:rsidP="008B3136">
      <w:pPr>
        <w:pStyle w:val="Ruller41"/>
      </w:pPr>
    </w:p>
    <w:p w:rsidR="008B3136" w:rsidRDefault="008B3136" w:rsidP="008B3136">
      <w:pPr>
        <w:pStyle w:val="Ruller4"/>
      </w:pPr>
      <w:r>
        <w:rPr>
          <w:rFonts w:hint="cs"/>
          <w:rtl/>
        </w:rPr>
        <w:t xml:space="preserve">כלל הפרסום היחיד בא למנוע ריבוי התדיינויות ולהגן על מפרסמים למען לא ייחשפו לתביעות אינסופיות בגין פרסומים, ובפרט בגין פרסומים ישנים. לצד זאת, הכלל מבהיר כי כל פרסום חדש של לשון הרע </w:t>
      </w:r>
      <w:r>
        <w:rPr>
          <w:rtl/>
        </w:rPr>
        <w:t>–</w:t>
      </w:r>
      <w:r>
        <w:rPr>
          <w:rFonts w:hint="cs"/>
          <w:rtl/>
        </w:rPr>
        <w:t xml:space="preserve"> ובכלל זה כל הצגה חדשה של סרט קולנועי או טלוויזיוני אשר מכיל בתוכו דיבה </w:t>
      </w:r>
      <w:r>
        <w:rPr>
          <w:rtl/>
        </w:rPr>
        <w:t>–</w:t>
      </w:r>
      <w:r>
        <w:rPr>
          <w:rFonts w:hint="cs"/>
          <w:rtl/>
        </w:rPr>
        <w:t xml:space="preserve"> מוליד עמו עילת תביעה נפרדת וחדשה (ראו: </w:t>
      </w:r>
      <w:r w:rsidRPr="00E14429">
        <w:rPr>
          <w:rFonts w:asciiTheme="majorBidi" w:hAnsiTheme="majorBidi" w:cstheme="majorBidi"/>
        </w:rPr>
        <w:t>Restatement (Second) of Torts §577A(3) (1977</w:t>
      </w:r>
      <w:r>
        <w:rPr>
          <w:rFonts w:asciiTheme="majorBidi" w:hAnsiTheme="majorBidi" w:cstheme="majorBidi"/>
        </w:rPr>
        <w:t>)</w:t>
      </w:r>
      <w:r w:rsidRPr="00A14071">
        <w:rPr>
          <w:rFonts w:ascii="Century" w:hAnsi="Century"/>
          <w:sz w:val="22"/>
          <w:rtl/>
        </w:rPr>
        <w:t>).</w:t>
      </w:r>
      <w:r>
        <w:rPr>
          <w:rFonts w:hint="cs"/>
          <w:rtl/>
        </w:rPr>
        <w:t xml:space="preserve"> טעמים אלה מוסברים היטב בהערה </w:t>
      </w:r>
      <w:r w:rsidRPr="00E14429">
        <w:rPr>
          <w:rFonts w:asciiTheme="majorBidi" w:hAnsiTheme="majorBidi" w:cstheme="majorBidi"/>
        </w:rPr>
        <w:t>d</w:t>
      </w:r>
      <w:r>
        <w:rPr>
          <w:rFonts w:hint="cs"/>
          <w:rtl/>
        </w:rPr>
        <w:t>, שם:</w:t>
      </w:r>
      <w:r>
        <w:t xml:space="preserve"> </w:t>
      </w:r>
    </w:p>
    <w:p w:rsidR="008B3136" w:rsidRDefault="008B3136" w:rsidP="008B3136">
      <w:pPr>
        <w:pStyle w:val="Ruller4"/>
        <w:numPr>
          <w:ilvl w:val="0"/>
          <w:numId w:val="0"/>
        </w:numPr>
      </w:pPr>
    </w:p>
    <w:p w:rsidR="008B3136" w:rsidRPr="00E14429" w:rsidRDefault="008B3136" w:rsidP="008B3136">
      <w:pPr>
        <w:pStyle w:val="Ruller5"/>
        <w:bidi w:val="0"/>
        <w:rPr>
          <w:rFonts w:asciiTheme="majorBidi" w:hAnsiTheme="majorBidi" w:cstheme="majorBidi"/>
          <w:sz w:val="24"/>
          <w:szCs w:val="24"/>
        </w:rPr>
      </w:pPr>
      <w:r w:rsidRPr="00E14429">
        <w:rPr>
          <w:rFonts w:asciiTheme="majorBidi" w:hAnsiTheme="majorBidi" w:cstheme="majorBidi"/>
          <w:sz w:val="24"/>
          <w:szCs w:val="24"/>
        </w:rPr>
        <w:t>"</w:t>
      </w:r>
      <w:r>
        <w:rPr>
          <w:rFonts w:asciiTheme="majorBidi" w:hAnsiTheme="majorBidi" w:cstheme="majorBidi"/>
          <w:sz w:val="24"/>
          <w:szCs w:val="24"/>
        </w:rPr>
        <w:t>[T]</w:t>
      </w:r>
      <w:r w:rsidRPr="00E14429">
        <w:rPr>
          <w:rFonts w:asciiTheme="majorBidi" w:hAnsiTheme="majorBidi" w:cstheme="majorBidi"/>
          <w:sz w:val="24"/>
          <w:szCs w:val="24"/>
        </w:rPr>
        <w:t>he single publication rule stated in Subsection (3) does not include separate aggregate publications on different occasions. Thus if the same defamatory statement is published in the morning and evening editions of a newspaper, each edition is a separate single publication and there are two causes of action. The same is true of a rebroadcast of the defamation over radio or television or a second run of a motion picture on the same evening. In these cases the publication reaches a new group and the repetition justifies a new cause of action. The justification for this conclusion usually offered is that in these cases the second publication is intended to and does reach a new group.</w:t>
      </w:r>
    </w:p>
    <w:p w:rsidR="008B3136" w:rsidRPr="00E14429" w:rsidRDefault="008B3136" w:rsidP="008B3136">
      <w:pPr>
        <w:pStyle w:val="Ruller5"/>
        <w:bidi w:val="0"/>
        <w:rPr>
          <w:rFonts w:asciiTheme="majorBidi" w:hAnsiTheme="majorBidi" w:cstheme="majorBidi"/>
          <w:sz w:val="24"/>
          <w:szCs w:val="24"/>
        </w:rPr>
      </w:pPr>
      <w:r w:rsidRPr="00E14429">
        <w:rPr>
          <w:rFonts w:asciiTheme="majorBidi" w:hAnsiTheme="majorBidi" w:cstheme="majorBidi"/>
          <w:sz w:val="24"/>
          <w:szCs w:val="24"/>
          <w:rtl/>
        </w:rPr>
        <w:t xml:space="preserve"> </w:t>
      </w:r>
    </w:p>
    <w:p w:rsidR="008B3136" w:rsidRDefault="008B3136" w:rsidP="008B3136">
      <w:pPr>
        <w:pStyle w:val="Ruller5"/>
        <w:bidi w:val="0"/>
        <w:rPr>
          <w:rtl/>
        </w:rPr>
      </w:pPr>
      <w:r w:rsidRPr="00E14429">
        <w:rPr>
          <w:rFonts w:asciiTheme="majorBidi" w:hAnsiTheme="majorBidi" w:cstheme="majorBidi"/>
          <w:sz w:val="24"/>
          <w:szCs w:val="24"/>
        </w:rPr>
        <w:t>At the same time, the single publication rule is obviously to be administered to accomplish its purpose of avoiding multiplicity of suits, as well as harassment of defendants and possible hardship upon the plaintiff himself. The examples given in Subsection (3) are not in any sense intended as limitations. The printing and distribution of extra copies of the first edition of a book may properly be treated as mere continued circulation of the first edition and hence as still part of the single publication, if it is done not long after the original publication as soon as the supply is exhausted. If it occurs ten years later, it is indistinguishable from a second edition and there is a new cause of action</w:t>
      </w:r>
      <w:r>
        <w:rPr>
          <w:rFonts w:asciiTheme="majorBidi" w:hAnsiTheme="majorBidi" w:cstheme="majorBidi"/>
          <w:sz w:val="24"/>
          <w:szCs w:val="24"/>
        </w:rPr>
        <w:t>".</w:t>
      </w:r>
      <w:r w:rsidRPr="00E14429">
        <w:rPr>
          <w:rFonts w:asciiTheme="majorBidi" w:hAnsiTheme="majorBidi" w:cstheme="majorBidi"/>
          <w:sz w:val="24"/>
          <w:szCs w:val="24"/>
          <w:rtl/>
        </w:rPr>
        <w:t xml:space="preserve"> </w:t>
      </w:r>
    </w:p>
    <w:p w:rsidR="008B3136" w:rsidRDefault="008B3136" w:rsidP="00CD0DD7">
      <w:pPr>
        <w:pStyle w:val="Ruller41"/>
        <w:bidi w:val="0"/>
        <w:rPr>
          <w:rtl/>
        </w:rPr>
      </w:pPr>
    </w:p>
    <w:p w:rsidR="008B3136" w:rsidRDefault="008B3136" w:rsidP="008B3136">
      <w:pPr>
        <w:pStyle w:val="Ruller41"/>
        <w:rPr>
          <w:rtl/>
        </w:rPr>
      </w:pPr>
      <w:r>
        <w:rPr>
          <w:rtl/>
        </w:rPr>
        <w:tab/>
      </w:r>
      <w:r>
        <w:rPr>
          <w:rFonts w:hint="cs"/>
          <w:rtl/>
        </w:rPr>
        <w:t xml:space="preserve">בעניינים אלה ראו: </w:t>
      </w:r>
      <w:r w:rsidRPr="00487B2B">
        <w:rPr>
          <w:rFonts w:asciiTheme="majorBidi" w:hAnsiTheme="majorBidi" w:cstheme="majorBidi"/>
          <w:sz w:val="24"/>
          <w:szCs w:val="24"/>
        </w:rPr>
        <w:t xml:space="preserve">Note, </w:t>
      </w:r>
      <w:r w:rsidRPr="00487B2B">
        <w:rPr>
          <w:rFonts w:asciiTheme="majorBidi" w:hAnsiTheme="majorBidi" w:cstheme="majorBidi"/>
          <w:i/>
          <w:iCs/>
          <w:sz w:val="24"/>
          <w:szCs w:val="24"/>
        </w:rPr>
        <w:t>The Single Publication Rule and Online Copyright: Tensions Between Broadcast, Licensing, and Defamation Law</w:t>
      </w:r>
      <w:r w:rsidRPr="00487B2B">
        <w:rPr>
          <w:rFonts w:asciiTheme="majorBidi" w:hAnsiTheme="majorBidi" w:cstheme="majorBidi"/>
          <w:sz w:val="24"/>
          <w:szCs w:val="24"/>
        </w:rPr>
        <w:t xml:space="preserve">, 123 </w:t>
      </w:r>
      <w:r w:rsidRPr="00487B2B">
        <w:rPr>
          <w:rFonts w:asciiTheme="majorBidi" w:hAnsiTheme="majorBidi" w:cstheme="majorBidi"/>
          <w:smallCaps/>
          <w:sz w:val="24"/>
          <w:szCs w:val="24"/>
        </w:rPr>
        <w:t>Harv. L. Rev.</w:t>
      </w:r>
      <w:r w:rsidRPr="00487B2B">
        <w:rPr>
          <w:rFonts w:asciiTheme="majorBidi" w:hAnsiTheme="majorBidi" w:cstheme="majorBidi"/>
          <w:sz w:val="24"/>
          <w:szCs w:val="24"/>
        </w:rPr>
        <w:t xml:space="preserve"> 1315 (2010); Sapna Kumar, </w:t>
      </w:r>
      <w:r w:rsidRPr="00487B2B">
        <w:rPr>
          <w:rFonts w:asciiTheme="majorBidi" w:hAnsiTheme="majorBidi" w:cstheme="majorBidi"/>
          <w:i/>
          <w:iCs/>
          <w:sz w:val="24"/>
          <w:szCs w:val="24"/>
        </w:rPr>
        <w:t>Website Libel and the Single Publication Rule</w:t>
      </w:r>
      <w:r w:rsidRPr="00487B2B">
        <w:rPr>
          <w:rFonts w:asciiTheme="majorBidi" w:hAnsiTheme="majorBidi" w:cstheme="majorBidi"/>
          <w:sz w:val="24"/>
          <w:szCs w:val="24"/>
        </w:rPr>
        <w:t xml:space="preserve">, 70 </w:t>
      </w:r>
      <w:r w:rsidRPr="00B3511E">
        <w:rPr>
          <w:rFonts w:asciiTheme="majorBidi" w:hAnsiTheme="majorBidi" w:cstheme="majorBidi"/>
          <w:smallCaps/>
          <w:sz w:val="24"/>
          <w:szCs w:val="24"/>
        </w:rPr>
        <w:t>U. Chi. L. Rev.</w:t>
      </w:r>
      <w:r w:rsidRPr="00487B2B">
        <w:rPr>
          <w:rFonts w:asciiTheme="majorBidi" w:hAnsiTheme="majorBidi" w:cstheme="majorBidi"/>
          <w:sz w:val="24"/>
          <w:szCs w:val="24"/>
        </w:rPr>
        <w:t xml:space="preserve"> 639 (2003)</w:t>
      </w:r>
      <w:r>
        <w:rPr>
          <w:rFonts w:hint="cs"/>
          <w:rtl/>
        </w:rPr>
        <w:t>.</w:t>
      </w:r>
    </w:p>
    <w:p w:rsidR="008B3136" w:rsidRDefault="008B3136" w:rsidP="008B3136">
      <w:pPr>
        <w:pStyle w:val="Ruller41"/>
        <w:rPr>
          <w:rtl/>
        </w:rPr>
      </w:pPr>
    </w:p>
    <w:p w:rsidR="008B3136" w:rsidRDefault="008B3136" w:rsidP="008B3136">
      <w:pPr>
        <w:pStyle w:val="Ruller4"/>
      </w:pPr>
      <w:r>
        <w:rPr>
          <w:rFonts w:hint="cs"/>
          <w:rtl/>
        </w:rPr>
        <w:t xml:space="preserve">כפי שניתן להיווכח, גישתו של חברי, השופט </w:t>
      </w:r>
      <w:r w:rsidRPr="001C7637">
        <w:rPr>
          <w:rFonts w:ascii="Century" w:hAnsi="Century" w:cs="Miriam" w:hint="cs"/>
          <w:b/>
          <w:spacing w:val="0"/>
          <w:sz w:val="22"/>
          <w:szCs w:val="24"/>
          <w:rtl/>
        </w:rPr>
        <w:t>עמית</w:t>
      </w:r>
      <w:r>
        <w:rPr>
          <w:rFonts w:hint="cs"/>
          <w:rtl/>
        </w:rPr>
        <w:t xml:space="preserve">, להתיישנותה של לשון הרע כעילת תביעה היא כגישת הדין האמריקני וחוק לשון הרע האנגלי, שכאמור אימצו לתוכם את "כלל הפרסום היחיד". לגישה זו יש מעלות לא מעטות, כמוסבר בקטע מהריסטייטמנט ובמאמרים הנזכרים לעיל. דא עקא, הגישה האנגלית המסורתית, כפי שנקבעה במשפט המקובל </w:t>
      </w:r>
      <w:r>
        <w:rPr>
          <w:rtl/>
        </w:rPr>
        <w:t>–</w:t>
      </w:r>
      <w:r>
        <w:rPr>
          <w:rFonts w:hint="cs"/>
          <w:rtl/>
        </w:rPr>
        <w:t xml:space="preserve"> אשר רואה בפרסומי דיבה נמשכים, אשר לא תוקנו ולא הוסרו מהמרחב הציבורי, עוולה נמשכת </w:t>
      </w:r>
      <w:r>
        <w:rPr>
          <w:rtl/>
        </w:rPr>
        <w:t>–</w:t>
      </w:r>
      <w:r>
        <w:rPr>
          <w:rFonts w:hint="cs"/>
          <w:rtl/>
        </w:rPr>
        <w:t xml:space="preserve"> אף היא טומנת בחובה יתרונות לא מבוטלים; ועל אלו כבר עמדתי. בנקודה זו, אוסיף אליהם את הקטנתו של פער הכוחות העצום שבין עיתון רב-תפוצה, או תאגיד שידור, לבין אדם בודד שאודותיו פורסמו דברי השמצה.</w:t>
      </w:r>
    </w:p>
    <w:p w:rsidR="008B3136" w:rsidRDefault="008B3136" w:rsidP="008B3136">
      <w:pPr>
        <w:pStyle w:val="Ruller4"/>
        <w:numPr>
          <w:ilvl w:val="0"/>
          <w:numId w:val="0"/>
        </w:numPr>
      </w:pPr>
      <w:r>
        <w:rPr>
          <w:rFonts w:hint="cs"/>
          <w:rtl/>
        </w:rPr>
        <w:t xml:space="preserve"> </w:t>
      </w:r>
    </w:p>
    <w:p w:rsidR="008B3136" w:rsidRDefault="008B3136" w:rsidP="008B3136">
      <w:pPr>
        <w:pStyle w:val="Ruller4"/>
        <w:rPr>
          <w:rtl/>
        </w:rPr>
      </w:pPr>
      <w:r>
        <w:rPr>
          <w:rFonts w:hint="cs"/>
          <w:rtl/>
        </w:rPr>
        <w:t xml:space="preserve">מההיבט הנורמטיבי, השאלה "איזו מבין שתי הגישות הללו עדיפה מבחינה חברתית על רעותה?" איננה פשוטה, אם בכלל יש לה פתרון; ועל כן לא אנסה לענות עליה. אסתפק בלומר כי עלינו להכריע בערעור זה, כבכל יתר ההליכים המובאים לפתחנו, לפי הדין המצוי ולא לפי הדין הרצוי. הדין המצוי אשר חל בנדון דידן </w:t>
      </w:r>
      <w:r w:rsidRPr="00430AFB">
        <w:rPr>
          <w:rFonts w:hint="cs"/>
          <w:rtl/>
        </w:rPr>
        <w:t xml:space="preserve">הוא </w:t>
      </w:r>
      <w:r w:rsidRPr="00144033">
        <w:rPr>
          <w:rFonts w:hint="cs"/>
          <w:rtl/>
        </w:rPr>
        <w:t>כדין ה</w:t>
      </w:r>
      <w:r w:rsidRPr="00CC2B0D">
        <w:rPr>
          <w:rFonts w:hint="cs"/>
          <w:rtl/>
        </w:rPr>
        <w:t>אנגלי</w:t>
      </w:r>
      <w:r>
        <w:rPr>
          <w:rFonts w:hint="cs"/>
          <w:rtl/>
        </w:rPr>
        <w:t xml:space="preserve"> הישן</w:t>
      </w:r>
      <w:r w:rsidRPr="006419F7">
        <w:rPr>
          <w:rFonts w:hint="cs"/>
          <w:rtl/>
        </w:rPr>
        <w:t xml:space="preserve"> </w:t>
      </w:r>
      <w:r>
        <w:rPr>
          <w:rFonts w:hint="cs"/>
          <w:rtl/>
        </w:rPr>
        <w:t xml:space="preserve">אשר </w:t>
      </w:r>
      <w:r w:rsidRPr="006419F7">
        <w:rPr>
          <w:rFonts w:hint="cs"/>
          <w:rtl/>
        </w:rPr>
        <w:t>מעוגן</w:t>
      </w:r>
      <w:r>
        <w:rPr>
          <w:rFonts w:hint="cs"/>
          <w:rtl/>
        </w:rPr>
        <w:t xml:space="preserve"> בעקרונות המשפט המקובל </w:t>
      </w:r>
      <w:r>
        <w:rPr>
          <w:rtl/>
        </w:rPr>
        <w:t>–</w:t>
      </w:r>
      <w:r>
        <w:rPr>
          <w:rFonts w:hint="cs"/>
          <w:rtl/>
        </w:rPr>
        <w:t xml:space="preserve"> קרי: כלל הפרסומים המרובים, לפיו פרסום דיבה, כהגדרתו בחוק לשון הרע, אשר חוזר על עצמו מדי יום ביומו, מבלי שמפרסמו דואג להסירו, מהווה עוולה נמשכת. בהקשר זה, נשנן ונזכור כי במקומותינו-שלנו עצם הנגשת הדיבה לציבור באמצעות סרט הזמין לצפייה מהווה פרסום של לשון הרע </w:t>
      </w:r>
      <w:r>
        <w:rPr>
          <w:rtl/>
        </w:rPr>
        <w:t>–</w:t>
      </w:r>
      <w:r>
        <w:rPr>
          <w:rFonts w:hint="cs"/>
          <w:rtl/>
        </w:rPr>
        <w:t xml:space="preserve"> וזאת, גם אם איש אינו מגלה עניין באותו סרט (ראו שוב סעיף 2(ב)(2) לחוק לשון הרע).</w:t>
      </w:r>
    </w:p>
    <w:p w:rsidR="008B3136" w:rsidRPr="007D4B12" w:rsidRDefault="008B3136" w:rsidP="008B3136">
      <w:pPr>
        <w:pStyle w:val="Ruller41"/>
      </w:pPr>
    </w:p>
    <w:p w:rsidR="008B3136" w:rsidRDefault="008B3136" w:rsidP="008B3136">
      <w:pPr>
        <w:pStyle w:val="Ruller4"/>
        <w:rPr>
          <w:rtl/>
        </w:rPr>
      </w:pPr>
      <w:r w:rsidRPr="00A14071">
        <w:rPr>
          <w:rFonts w:ascii="Century" w:hAnsi="Century" w:cs="Miriam" w:hint="cs"/>
          <w:b/>
          <w:spacing w:val="0"/>
          <w:sz w:val="22"/>
          <w:szCs w:val="24"/>
          <w:rtl/>
        </w:rPr>
        <w:t xml:space="preserve">ודוק: אין במעשה החקיקה האנגלי משנת 2013, </w:t>
      </w:r>
      <w:r w:rsidRPr="00C06D8C">
        <w:rPr>
          <w:rFonts w:ascii="Century" w:hAnsi="Century" w:cs="Miriam" w:hint="cs"/>
          <w:b/>
          <w:spacing w:val="0"/>
          <w:sz w:val="22"/>
          <w:szCs w:val="24"/>
          <w:rtl/>
        </w:rPr>
        <w:t>שכאמור</w:t>
      </w:r>
      <w:r w:rsidRPr="00A14071">
        <w:rPr>
          <w:rFonts w:ascii="Century" w:hAnsi="Century" w:cs="Miriam" w:hint="cs"/>
          <w:b/>
          <w:spacing w:val="0"/>
          <w:sz w:val="22"/>
          <w:szCs w:val="24"/>
          <w:rtl/>
        </w:rPr>
        <w:t xml:space="preserve"> אימץ את כלל הפרסום היחיד, כדי להשפיע על פרשנותה של פקודת הנזיקין </w:t>
      </w:r>
      <w:r>
        <w:rPr>
          <w:rFonts w:ascii="Century" w:hAnsi="Century" w:cs="Miriam" w:hint="cs"/>
          <w:b/>
          <w:spacing w:val="0"/>
          <w:sz w:val="22"/>
          <w:szCs w:val="24"/>
          <w:rtl/>
        </w:rPr>
        <w:t xml:space="preserve">שלנו </w:t>
      </w:r>
      <w:r w:rsidRPr="00A14071">
        <w:rPr>
          <w:rFonts w:ascii="Century" w:hAnsi="Century" w:cs="Miriam"/>
          <w:b/>
          <w:spacing w:val="0"/>
          <w:sz w:val="22"/>
          <w:szCs w:val="24"/>
          <w:rtl/>
        </w:rPr>
        <w:t>–</w:t>
      </w:r>
      <w:r w:rsidRPr="00A14071">
        <w:rPr>
          <w:rFonts w:ascii="Century" w:hAnsi="Century" w:cs="Miriam" w:hint="cs"/>
          <w:b/>
          <w:spacing w:val="0"/>
          <w:sz w:val="22"/>
          <w:szCs w:val="24"/>
          <w:rtl/>
        </w:rPr>
        <w:t xml:space="preserve"> זאת, משום שהוראת סעיף 1 לפקודת הנזיקין אינה באה להכפיף את דיני הנזיקין </w:t>
      </w:r>
      <w:r w:rsidRPr="00C06D8C">
        <w:rPr>
          <w:rFonts w:ascii="Century" w:hAnsi="Century" w:cs="Miriam" w:hint="cs"/>
          <w:b/>
          <w:spacing w:val="0"/>
          <w:sz w:val="22"/>
          <w:szCs w:val="24"/>
          <w:rtl/>
        </w:rPr>
        <w:t xml:space="preserve">שלנו </w:t>
      </w:r>
      <w:r w:rsidRPr="00A14071">
        <w:rPr>
          <w:rFonts w:ascii="Century" w:hAnsi="Century" w:cs="Miriam" w:hint="cs"/>
          <w:b/>
          <w:spacing w:val="0"/>
          <w:sz w:val="22"/>
          <w:szCs w:val="24"/>
          <w:rtl/>
        </w:rPr>
        <w:t>ל</w:t>
      </w:r>
      <w:r w:rsidRPr="00C06D8C">
        <w:rPr>
          <w:rFonts w:ascii="Century" w:hAnsi="Century" w:cs="Miriam" w:hint="cs"/>
          <w:b/>
          <w:spacing w:val="0"/>
          <w:sz w:val="22"/>
          <w:szCs w:val="24"/>
          <w:rtl/>
        </w:rPr>
        <w:t xml:space="preserve">מעשי </w:t>
      </w:r>
      <w:r w:rsidRPr="00A14071">
        <w:rPr>
          <w:rFonts w:ascii="Century" w:hAnsi="Century" w:cs="Miriam" w:hint="cs"/>
          <w:b/>
          <w:spacing w:val="0"/>
          <w:sz w:val="22"/>
          <w:szCs w:val="24"/>
          <w:rtl/>
        </w:rPr>
        <w:t xml:space="preserve">חקיקה </w:t>
      </w:r>
      <w:r w:rsidRPr="00C06D8C">
        <w:rPr>
          <w:rFonts w:ascii="Century" w:hAnsi="Century" w:cs="Miriam" w:hint="cs"/>
          <w:b/>
          <w:spacing w:val="0"/>
          <w:sz w:val="22"/>
          <w:szCs w:val="24"/>
          <w:rtl/>
        </w:rPr>
        <w:t>אשר באים מה</w:t>
      </w:r>
      <w:r w:rsidRPr="00A14071">
        <w:rPr>
          <w:rFonts w:ascii="Century" w:hAnsi="Century" w:cs="Miriam" w:hint="cs"/>
          <w:b/>
          <w:spacing w:val="0"/>
          <w:sz w:val="22"/>
          <w:szCs w:val="24"/>
          <w:rtl/>
        </w:rPr>
        <w:t>פרלמנט</w:t>
      </w:r>
      <w:r w:rsidRPr="00C06D8C">
        <w:rPr>
          <w:rFonts w:ascii="Century" w:hAnsi="Century" w:cs="Miriam" w:hint="cs"/>
          <w:b/>
          <w:spacing w:val="0"/>
          <w:sz w:val="22"/>
          <w:szCs w:val="24"/>
          <w:rtl/>
        </w:rPr>
        <w:t xml:space="preserve"> של בריטניה,</w:t>
      </w:r>
      <w:r w:rsidRPr="00A14071">
        <w:rPr>
          <w:rFonts w:ascii="Century" w:hAnsi="Century" w:cs="Miriam" w:hint="cs"/>
          <w:b/>
          <w:spacing w:val="0"/>
          <w:sz w:val="22"/>
          <w:szCs w:val="24"/>
          <w:rtl/>
        </w:rPr>
        <w:t xml:space="preserve"> אלא </w:t>
      </w:r>
      <w:r>
        <w:rPr>
          <w:rFonts w:ascii="Century" w:hAnsi="Century" w:cs="Miriam" w:hint="cs"/>
          <w:b/>
          <w:spacing w:val="0"/>
          <w:sz w:val="22"/>
          <w:szCs w:val="24"/>
          <w:rtl/>
        </w:rPr>
        <w:t xml:space="preserve">רק </w:t>
      </w:r>
      <w:r w:rsidRPr="00A14071">
        <w:rPr>
          <w:rFonts w:ascii="Century" w:hAnsi="Century" w:cs="Miriam" w:hint="cs"/>
          <w:b/>
          <w:spacing w:val="0"/>
          <w:sz w:val="22"/>
          <w:szCs w:val="24"/>
          <w:rtl/>
        </w:rPr>
        <w:t>לעקרונות</w:t>
      </w:r>
      <w:r w:rsidRPr="00C06D8C">
        <w:rPr>
          <w:rFonts w:ascii="Century" w:hAnsi="Century" w:cs="Miriam" w:hint="cs"/>
          <w:b/>
          <w:spacing w:val="0"/>
          <w:sz w:val="22"/>
          <w:szCs w:val="24"/>
          <w:rtl/>
        </w:rPr>
        <w:t>יו</w:t>
      </w:r>
      <w:r w:rsidRPr="00A14071">
        <w:rPr>
          <w:rFonts w:ascii="Century" w:hAnsi="Century" w:cs="Miriam" w:hint="cs"/>
          <w:b/>
          <w:spacing w:val="0"/>
          <w:sz w:val="22"/>
          <w:szCs w:val="24"/>
          <w:rtl/>
        </w:rPr>
        <w:t xml:space="preserve"> של המשפט </w:t>
      </w:r>
      <w:r w:rsidRPr="00C06D8C">
        <w:rPr>
          <w:rFonts w:ascii="Century" w:hAnsi="Century" w:cs="Miriam" w:hint="cs"/>
          <w:b/>
          <w:spacing w:val="0"/>
          <w:sz w:val="22"/>
          <w:szCs w:val="24"/>
          <w:rtl/>
        </w:rPr>
        <w:t xml:space="preserve">המקובל </w:t>
      </w:r>
      <w:r w:rsidRPr="00A14071">
        <w:rPr>
          <w:rFonts w:ascii="Century" w:hAnsi="Century" w:cs="Miriam" w:hint="cs"/>
          <w:b/>
          <w:spacing w:val="0"/>
          <w:sz w:val="22"/>
          <w:szCs w:val="24"/>
          <w:rtl/>
        </w:rPr>
        <w:t>האנגלי</w:t>
      </w:r>
      <w:r>
        <w:rPr>
          <w:rFonts w:hint="cs"/>
          <w:rtl/>
        </w:rPr>
        <w:t xml:space="preserve"> </w:t>
      </w:r>
      <w:r>
        <w:rPr>
          <w:rFonts w:ascii="Century" w:hAnsi="Century" w:cs="Miriam" w:hint="cs"/>
          <w:b/>
          <w:spacing w:val="0"/>
          <w:sz w:val="22"/>
          <w:szCs w:val="24"/>
          <w:rtl/>
        </w:rPr>
        <w:t xml:space="preserve">אשר </w:t>
      </w:r>
      <w:r w:rsidRPr="00B22CDB">
        <w:rPr>
          <w:rFonts w:ascii="Century" w:hAnsi="Century" w:cs="Miriam" w:hint="cs"/>
          <w:b/>
          <w:spacing w:val="0"/>
          <w:sz w:val="22"/>
          <w:szCs w:val="24"/>
          <w:rtl/>
        </w:rPr>
        <w:t>מצוי בהלכות השופטים</w:t>
      </w:r>
      <w:r>
        <w:rPr>
          <w:rFonts w:hint="cs"/>
          <w:rtl/>
        </w:rPr>
        <w:t xml:space="preserve">. מבחינה היסטורית, כלל הנזקקות למשפט המקובל האנגלי </w:t>
      </w:r>
      <w:r>
        <w:rPr>
          <w:rtl/>
        </w:rPr>
        <w:t>–</w:t>
      </w:r>
      <w:r>
        <w:rPr>
          <w:rFonts w:hint="cs"/>
          <w:rtl/>
        </w:rPr>
        <w:t xml:space="preserve"> קרי: להלכות של שופטים, להבדיל מחוקי הפרלמנט </w:t>
      </w:r>
      <w:r>
        <w:rPr>
          <w:rtl/>
        </w:rPr>
        <w:t>–</w:t>
      </w:r>
      <w:r>
        <w:rPr>
          <w:rFonts w:hint="cs"/>
          <w:rtl/>
        </w:rPr>
        <w:t xml:space="preserve"> שואב את השראתו מסימן 46 לדבר המלך </w:t>
      </w:r>
      <w:r w:rsidRPr="00C06D8C">
        <w:rPr>
          <w:rFonts w:hint="eastAsia"/>
          <w:rtl/>
        </w:rPr>
        <w:t>במועצה</w:t>
      </w:r>
      <w:r w:rsidRPr="00C06D8C">
        <w:rPr>
          <w:rtl/>
        </w:rPr>
        <w:t xml:space="preserve"> </w:t>
      </w:r>
      <w:r w:rsidRPr="00C06D8C">
        <w:rPr>
          <w:rFonts w:hint="eastAsia"/>
          <w:rtl/>
        </w:rPr>
        <w:t>על</w:t>
      </w:r>
      <w:r w:rsidRPr="00C06D8C">
        <w:rPr>
          <w:rtl/>
        </w:rPr>
        <w:t xml:space="preserve"> </w:t>
      </w:r>
      <w:r w:rsidRPr="00C06D8C">
        <w:rPr>
          <w:rFonts w:hint="eastAsia"/>
          <w:rtl/>
        </w:rPr>
        <w:t>ארץ</w:t>
      </w:r>
      <w:r w:rsidRPr="00C06D8C">
        <w:rPr>
          <w:rtl/>
        </w:rPr>
        <w:t>-</w:t>
      </w:r>
      <w:r w:rsidRPr="00C06D8C">
        <w:rPr>
          <w:rFonts w:hint="eastAsia"/>
          <w:rtl/>
        </w:rPr>
        <w:t>ישראל</w:t>
      </w:r>
      <w:r w:rsidRPr="00C06D8C">
        <w:rPr>
          <w:rtl/>
        </w:rPr>
        <w:t>, 1922</w:t>
      </w:r>
      <w:r>
        <w:rPr>
          <w:rFonts w:hint="cs"/>
          <w:rtl/>
        </w:rPr>
        <w:t>, אשר קבע לאמור:</w:t>
      </w:r>
    </w:p>
    <w:p w:rsidR="008B3136" w:rsidRPr="00B22CDB" w:rsidRDefault="008B3136" w:rsidP="008B3136">
      <w:pPr>
        <w:pStyle w:val="Ruller41"/>
        <w:rPr>
          <w:rtl/>
        </w:rPr>
      </w:pPr>
    </w:p>
    <w:p w:rsidR="008B3136" w:rsidRPr="00A14071" w:rsidRDefault="008B3136" w:rsidP="008B3136">
      <w:pPr>
        <w:pStyle w:val="Ruller5"/>
        <w:bidi w:val="0"/>
        <w:rPr>
          <w:rFonts w:asciiTheme="majorBidi" w:hAnsiTheme="majorBidi" w:cstheme="majorBidi"/>
          <w:sz w:val="24"/>
          <w:szCs w:val="24"/>
        </w:rPr>
      </w:pPr>
      <w:r w:rsidRPr="00A14071">
        <w:rPr>
          <w:rFonts w:asciiTheme="majorBidi" w:hAnsiTheme="majorBidi" w:cstheme="majorBidi"/>
          <w:sz w:val="24"/>
          <w:szCs w:val="24"/>
        </w:rPr>
        <w:t xml:space="preserve">"The jurisdiction of the Civil Courts shall be exercised in conformity with the Ottoman Law in force in Palestine on November 1st, 1914, and such later Ottoman Laws as have been or may be declared to be in force by Public Notice, and such Orders in Council, Ordinances and regulations as are in force in Palestine at the date of the commencement of this Order, or may hereafter be applied or enacted; and subject thereto and so far as the same shall not extend or apply, </w:t>
      </w:r>
      <w:r w:rsidRPr="00A14071">
        <w:rPr>
          <w:rFonts w:asciiTheme="majorBidi" w:hAnsiTheme="majorBidi" w:cstheme="majorBidi"/>
          <w:i/>
          <w:iCs/>
          <w:sz w:val="24"/>
          <w:szCs w:val="24"/>
        </w:rPr>
        <w:t>shall be exercised in conformity with the substance of the common law, and the doctrines of equity in force in England</w:t>
      </w:r>
      <w:r w:rsidRPr="00A14071">
        <w:rPr>
          <w:rFonts w:asciiTheme="majorBidi" w:hAnsiTheme="majorBidi" w:cstheme="majorBidi"/>
          <w:sz w:val="24"/>
          <w:szCs w:val="24"/>
        </w:rPr>
        <w:t xml:space="preserve"> </w:t>
      </w:r>
      <w:r>
        <w:rPr>
          <w:rFonts w:asciiTheme="majorBidi" w:hAnsiTheme="majorBidi" w:cstheme="majorBidi"/>
          <w:sz w:val="24"/>
          <w:szCs w:val="24"/>
        </w:rPr>
        <w:t>[</w:t>
      </w:r>
      <w:r w:rsidRPr="00A14071">
        <w:rPr>
          <w:rFonts w:asciiTheme="majorBidi" w:hAnsiTheme="majorBidi" w:cstheme="majorBidi"/>
          <w:sz w:val="24"/>
          <w:szCs w:val="24"/>
        </w:rPr>
        <w:t>…</w:t>
      </w:r>
      <w:r>
        <w:rPr>
          <w:rFonts w:asciiTheme="majorBidi" w:hAnsiTheme="majorBidi" w:cstheme="majorBidi"/>
          <w:sz w:val="24"/>
          <w:szCs w:val="24"/>
        </w:rPr>
        <w:t>]</w:t>
      </w:r>
      <w:r w:rsidRPr="00A14071">
        <w:rPr>
          <w:rFonts w:asciiTheme="majorBidi" w:hAnsiTheme="majorBidi" w:cstheme="majorBidi"/>
          <w:sz w:val="24"/>
          <w:szCs w:val="24"/>
        </w:rPr>
        <w:t>".</w:t>
      </w:r>
    </w:p>
    <w:p w:rsidR="008B3136" w:rsidRPr="00C06D8C" w:rsidRDefault="008B3136" w:rsidP="008B3136">
      <w:pPr>
        <w:pStyle w:val="Ruller41"/>
        <w:rPr>
          <w:rtl/>
        </w:rPr>
      </w:pPr>
      <w:r>
        <w:rPr>
          <w:rtl/>
        </w:rPr>
        <w:tab/>
      </w:r>
      <w:r>
        <w:rPr>
          <w:rFonts w:hint="cs"/>
          <w:rtl/>
        </w:rPr>
        <w:t xml:space="preserve">(ההדגשה הוספה </w:t>
      </w:r>
      <w:r>
        <w:rPr>
          <w:rtl/>
        </w:rPr>
        <w:t>–</w:t>
      </w:r>
      <w:r>
        <w:rPr>
          <w:rFonts w:hint="cs"/>
          <w:rtl/>
        </w:rPr>
        <w:t xml:space="preserve"> א.ש.).</w:t>
      </w:r>
    </w:p>
    <w:p w:rsidR="008B3136" w:rsidRDefault="008B3136" w:rsidP="008B3136">
      <w:pPr>
        <w:pStyle w:val="Ruller4"/>
        <w:numPr>
          <w:ilvl w:val="0"/>
          <w:numId w:val="0"/>
        </w:numPr>
        <w:rPr>
          <w:rtl/>
        </w:rPr>
      </w:pPr>
      <w:r>
        <w:rPr>
          <w:rtl/>
        </w:rPr>
        <w:tab/>
      </w:r>
    </w:p>
    <w:p w:rsidR="008B3136" w:rsidRPr="006419F7" w:rsidRDefault="008B3136" w:rsidP="008B3136">
      <w:pPr>
        <w:pStyle w:val="Ruller4"/>
        <w:numPr>
          <w:ilvl w:val="0"/>
          <w:numId w:val="0"/>
        </w:numPr>
        <w:rPr>
          <w:rtl/>
        </w:rPr>
      </w:pPr>
      <w:r>
        <w:rPr>
          <w:rtl/>
        </w:rPr>
        <w:tab/>
      </w:r>
      <w:r w:rsidRPr="00144033">
        <w:rPr>
          <w:rFonts w:hint="cs"/>
          <w:rtl/>
        </w:rPr>
        <w:t>לעניי</w:t>
      </w:r>
      <w:r>
        <w:rPr>
          <w:rFonts w:hint="cs"/>
          <w:rtl/>
        </w:rPr>
        <w:t xml:space="preserve">ן זה יפים </w:t>
      </w:r>
      <w:r w:rsidRPr="00144033">
        <w:rPr>
          <w:rFonts w:hint="cs"/>
          <w:rtl/>
        </w:rPr>
        <w:t>הדברים ש</w:t>
      </w:r>
      <w:r>
        <w:rPr>
          <w:rFonts w:hint="cs"/>
          <w:rtl/>
        </w:rPr>
        <w:t xml:space="preserve">נכתבו </w:t>
      </w:r>
      <w:r w:rsidRPr="00144033">
        <w:rPr>
          <w:rFonts w:hint="cs"/>
          <w:rtl/>
        </w:rPr>
        <w:t>בע</w:t>
      </w:r>
      <w:r w:rsidRPr="00CC2B0D">
        <w:rPr>
          <w:rFonts w:hint="cs"/>
          <w:rtl/>
        </w:rPr>
        <w:t>"</w:t>
      </w:r>
      <w:r w:rsidRPr="006419F7">
        <w:rPr>
          <w:rFonts w:hint="cs"/>
          <w:rtl/>
        </w:rPr>
        <w:t xml:space="preserve">א 70/49 </w:t>
      </w:r>
      <w:r w:rsidRPr="00A14071">
        <w:rPr>
          <w:rFonts w:cs="Miriam" w:hint="eastAsia"/>
          <w:b/>
          <w:spacing w:val="0"/>
          <w:szCs w:val="24"/>
          <w:rtl/>
        </w:rPr>
        <w:t>בורשטיין</w:t>
      </w:r>
      <w:r w:rsidRPr="00A14071">
        <w:rPr>
          <w:rFonts w:cs="Miriam"/>
          <w:b/>
          <w:spacing w:val="0"/>
          <w:szCs w:val="24"/>
          <w:rtl/>
        </w:rPr>
        <w:t xml:space="preserve"> </w:t>
      </w:r>
      <w:r w:rsidRPr="00A14071">
        <w:rPr>
          <w:rFonts w:cs="Miriam" w:hint="eastAsia"/>
          <w:b/>
          <w:spacing w:val="0"/>
          <w:szCs w:val="24"/>
          <w:rtl/>
        </w:rPr>
        <w:t>נ</w:t>
      </w:r>
      <w:r w:rsidRPr="00A14071">
        <w:rPr>
          <w:rFonts w:cs="Miriam"/>
          <w:b/>
          <w:spacing w:val="0"/>
          <w:szCs w:val="24"/>
          <w:rtl/>
        </w:rPr>
        <w:t xml:space="preserve">' </w:t>
      </w:r>
      <w:r w:rsidRPr="00A14071">
        <w:rPr>
          <w:rFonts w:cs="Miriam" w:hint="eastAsia"/>
          <w:b/>
          <w:spacing w:val="0"/>
          <w:szCs w:val="24"/>
          <w:rtl/>
        </w:rPr>
        <w:t>עזבון</w:t>
      </w:r>
      <w:r w:rsidRPr="00A14071">
        <w:rPr>
          <w:rFonts w:cs="Miriam"/>
          <w:b/>
          <w:spacing w:val="0"/>
          <w:szCs w:val="24"/>
          <w:rtl/>
        </w:rPr>
        <w:t xml:space="preserve"> </w:t>
      </w:r>
      <w:r w:rsidRPr="00A14071">
        <w:rPr>
          <w:rFonts w:cs="Miriam" w:hint="eastAsia"/>
          <w:b/>
          <w:spacing w:val="0"/>
          <w:szCs w:val="24"/>
          <w:rtl/>
        </w:rPr>
        <w:t>יודלביץ</w:t>
      </w:r>
      <w:r w:rsidRPr="00C602BE">
        <w:rPr>
          <w:rFonts w:hint="cs"/>
          <w:rtl/>
        </w:rPr>
        <w:t>, פ"ד ה</w:t>
      </w:r>
      <w:r w:rsidRPr="00A14071">
        <w:rPr>
          <w:rtl/>
        </w:rPr>
        <w:t xml:space="preserve"> 858</w:t>
      </w:r>
      <w:r w:rsidRPr="00430AFB">
        <w:rPr>
          <w:rFonts w:hint="cs"/>
          <w:rtl/>
        </w:rPr>
        <w:t xml:space="preserve"> </w:t>
      </w:r>
      <w:r w:rsidRPr="00144033">
        <w:rPr>
          <w:rFonts w:hint="cs"/>
          <w:rtl/>
        </w:rPr>
        <w:t>(1951</w:t>
      </w:r>
      <w:r w:rsidRPr="00CC2B0D">
        <w:rPr>
          <w:rFonts w:hint="cs"/>
          <w:rtl/>
        </w:rPr>
        <w:t>)</w:t>
      </w:r>
      <w:r w:rsidRPr="006419F7">
        <w:rPr>
          <w:rFonts w:hint="cs"/>
          <w:rtl/>
        </w:rPr>
        <w:t>:</w:t>
      </w:r>
    </w:p>
    <w:p w:rsidR="008B3136" w:rsidRDefault="008B3136" w:rsidP="008B3136">
      <w:pPr>
        <w:pStyle w:val="Ruller5"/>
        <w:rPr>
          <w:rtl/>
        </w:rPr>
      </w:pPr>
      <w:r w:rsidRPr="00A14071">
        <w:rPr>
          <w:rtl/>
        </w:rPr>
        <w:t>״עד כמה שיש לנהוג ביחס לסדרי דין ונוהל בהתאם לחוק האנגלי, הרי אפשר לעשות זאת אך ורק לפי היסודות והעקרונות של החוק המקובל ותורת היושר ולא לפי הלכות שמקורן היחידי הוא בחוק החק</w:t>
      </w:r>
      <w:r w:rsidRPr="00A14071">
        <w:rPr>
          <w:rFonts w:hint="eastAsia"/>
          <w:rtl/>
        </w:rPr>
        <w:t>וק</w:t>
      </w:r>
      <w:r w:rsidRPr="00A14071">
        <w:rPr>
          <w:rtl/>
        </w:rPr>
        <w:t xml:space="preserve"> [...]" (</w:t>
      </w:r>
      <w:r w:rsidRPr="00A14071">
        <w:rPr>
          <w:rFonts w:hint="eastAsia"/>
          <w:rtl/>
        </w:rPr>
        <w:t>שם</w:t>
      </w:r>
      <w:r w:rsidRPr="00A14071">
        <w:rPr>
          <w:rtl/>
        </w:rPr>
        <w:t>,</w:t>
      </w:r>
      <w:r>
        <w:rPr>
          <w:rFonts w:hint="cs"/>
          <w:rtl/>
        </w:rPr>
        <w:t xml:space="preserve"> בעמ'</w:t>
      </w:r>
      <w:r w:rsidRPr="00A14071">
        <w:rPr>
          <w:rtl/>
        </w:rPr>
        <w:t xml:space="preserve"> 867</w:t>
      </w:r>
      <w:r w:rsidRPr="00430AFB">
        <w:rPr>
          <w:rtl/>
        </w:rPr>
        <w:t>)</w:t>
      </w:r>
      <w:r w:rsidRPr="00144033">
        <w:rPr>
          <w:rtl/>
        </w:rPr>
        <w:t>.</w:t>
      </w:r>
      <w:r w:rsidRPr="00A14071">
        <w:rPr>
          <w:rtl/>
        </w:rPr>
        <w:t xml:space="preserve"> </w:t>
      </w:r>
    </w:p>
    <w:p w:rsidR="008B3136" w:rsidRPr="00A14071" w:rsidRDefault="008B3136" w:rsidP="00CD0DD7">
      <w:pPr>
        <w:pStyle w:val="Ruller41"/>
        <w:rPr>
          <w:rtl/>
        </w:rPr>
      </w:pPr>
    </w:p>
    <w:p w:rsidR="008B3136" w:rsidRPr="00A14071" w:rsidRDefault="008B3136" w:rsidP="008B3136">
      <w:pPr>
        <w:pStyle w:val="Ruller5"/>
        <w:rPr>
          <w:rtl/>
        </w:rPr>
      </w:pPr>
    </w:p>
    <w:p w:rsidR="008B3136" w:rsidRPr="00487B2B" w:rsidRDefault="008B3136" w:rsidP="008B3136">
      <w:pPr>
        <w:pStyle w:val="Ruller4"/>
        <w:numPr>
          <w:ilvl w:val="0"/>
          <w:numId w:val="0"/>
        </w:numPr>
        <w:rPr>
          <w:rtl/>
        </w:rPr>
      </w:pPr>
      <w:r>
        <w:rPr>
          <w:rFonts w:ascii="Century" w:hAnsi="Century" w:cs="Miriam"/>
          <w:b/>
          <w:spacing w:val="0"/>
          <w:sz w:val="22"/>
          <w:szCs w:val="24"/>
          <w:rtl/>
        </w:rPr>
        <w:tab/>
      </w:r>
      <w:r w:rsidRPr="00153CDA">
        <w:rPr>
          <w:rFonts w:ascii="Century" w:hAnsi="Century" w:cs="Miriam" w:hint="cs"/>
          <w:b/>
          <w:spacing w:val="0"/>
          <w:sz w:val="22"/>
          <w:szCs w:val="24"/>
          <w:rtl/>
        </w:rPr>
        <w:t>אמור מעתה: פרסומו של לשון הרע, כדוגמתו של סרט הכזבים שבו קא עסקינן, מהווה עוולת נזיקין נמשכת כל אימת שהפרסום ממשיך להיות נוכח במרחב הציבורי ומפ</w:t>
      </w:r>
      <w:r>
        <w:rPr>
          <w:rFonts w:ascii="Century" w:hAnsi="Century" w:cs="Miriam" w:hint="cs"/>
          <w:b/>
          <w:spacing w:val="0"/>
          <w:sz w:val="22"/>
          <w:szCs w:val="24"/>
          <w:rtl/>
        </w:rPr>
        <w:t>רסמו לא מסירו משם ו</w:t>
      </w:r>
      <w:r w:rsidRPr="00153CDA">
        <w:rPr>
          <w:rFonts w:ascii="Century" w:hAnsi="Century" w:cs="Miriam" w:hint="cs"/>
          <w:b/>
          <w:spacing w:val="0"/>
          <w:sz w:val="22"/>
          <w:szCs w:val="24"/>
          <w:rtl/>
        </w:rPr>
        <w:t>אינו טורח לתקנו.</w:t>
      </w:r>
      <w:r>
        <w:rPr>
          <w:rFonts w:hint="cs"/>
          <w:rtl/>
        </w:rPr>
        <w:t xml:space="preserve"> </w:t>
      </w:r>
    </w:p>
    <w:p w:rsidR="008B3136" w:rsidRDefault="008B3136" w:rsidP="008B3136">
      <w:pPr>
        <w:pStyle w:val="Ruller41"/>
        <w:rPr>
          <w:rtl/>
        </w:rPr>
      </w:pPr>
    </w:p>
    <w:p w:rsidR="008B3136" w:rsidRPr="004958C5" w:rsidRDefault="008B3136" w:rsidP="008B3136">
      <w:pPr>
        <w:pStyle w:val="Ruller41"/>
        <w:rPr>
          <w:rFonts w:ascii="Century" w:hAnsi="Century" w:cs="Miriam"/>
          <w:b/>
          <w:spacing w:val="0"/>
          <w:szCs w:val="24"/>
          <w:rtl/>
        </w:rPr>
      </w:pPr>
      <w:r w:rsidRPr="004958C5">
        <w:rPr>
          <w:rFonts w:ascii="Century" w:hAnsi="Century" w:cs="Miriam" w:hint="cs"/>
          <w:b/>
          <w:spacing w:val="0"/>
          <w:szCs w:val="24"/>
          <w:rtl/>
        </w:rPr>
        <w:t>תחילתו של מרוץ ההתיישנות לאור האמור ב</w:t>
      </w:r>
      <w:r w:rsidRPr="004958C5">
        <w:rPr>
          <w:rFonts w:ascii="Century" w:hAnsi="Century" w:cs="Miriam" w:hint="eastAsia"/>
          <w:b/>
          <w:spacing w:val="0"/>
          <w:szCs w:val="24"/>
          <w:rtl/>
        </w:rPr>
        <w:t>סעיף</w:t>
      </w:r>
      <w:r w:rsidRPr="004958C5">
        <w:rPr>
          <w:rFonts w:ascii="Century" w:hAnsi="Century" w:cs="Miriam"/>
          <w:b/>
          <w:spacing w:val="0"/>
          <w:szCs w:val="24"/>
          <w:rtl/>
        </w:rPr>
        <w:t xml:space="preserve"> 68</w:t>
      </w:r>
      <w:r w:rsidRPr="004958C5">
        <w:rPr>
          <w:rFonts w:ascii="Century" w:hAnsi="Century" w:cs="Miriam" w:hint="eastAsia"/>
          <w:b/>
          <w:spacing w:val="0"/>
          <w:szCs w:val="24"/>
          <w:rtl/>
        </w:rPr>
        <w:t>א</w:t>
      </w:r>
      <w:r w:rsidRPr="004958C5">
        <w:rPr>
          <w:rFonts w:ascii="Century" w:hAnsi="Century" w:cs="Miriam"/>
          <w:b/>
          <w:spacing w:val="0"/>
          <w:szCs w:val="24"/>
          <w:rtl/>
        </w:rPr>
        <w:t>(</w:t>
      </w:r>
      <w:r w:rsidRPr="004958C5">
        <w:rPr>
          <w:rFonts w:ascii="Century" w:hAnsi="Century" w:cs="Miriam" w:hint="eastAsia"/>
          <w:b/>
          <w:spacing w:val="0"/>
          <w:szCs w:val="24"/>
          <w:rtl/>
        </w:rPr>
        <w:t>א</w:t>
      </w:r>
      <w:r w:rsidRPr="004958C5">
        <w:rPr>
          <w:rFonts w:ascii="Century" w:hAnsi="Century" w:cs="Miriam"/>
          <w:b/>
          <w:spacing w:val="0"/>
          <w:szCs w:val="24"/>
          <w:rtl/>
        </w:rPr>
        <w:t>)</w:t>
      </w:r>
      <w:r w:rsidRPr="004958C5">
        <w:rPr>
          <w:rFonts w:ascii="Century" w:hAnsi="Century" w:cs="Miriam" w:hint="cs"/>
          <w:b/>
          <w:spacing w:val="0"/>
          <w:szCs w:val="24"/>
          <w:rtl/>
        </w:rPr>
        <w:t xml:space="preserve"> לפקודת הנזיקי</w:t>
      </w:r>
      <w:r>
        <w:rPr>
          <w:rFonts w:ascii="Century" w:hAnsi="Century" w:cs="Miriam" w:hint="cs"/>
          <w:b/>
          <w:spacing w:val="0"/>
          <w:szCs w:val="24"/>
          <w:rtl/>
        </w:rPr>
        <w:t>ם</w:t>
      </w:r>
      <w:r w:rsidRPr="004958C5">
        <w:rPr>
          <w:rFonts w:ascii="Century" w:hAnsi="Century" w:cs="Miriam" w:hint="cs"/>
          <w:b/>
          <w:spacing w:val="0"/>
          <w:szCs w:val="24"/>
          <w:rtl/>
        </w:rPr>
        <w:t xml:space="preserve"> האזרחיים </w:t>
      </w:r>
      <w:r w:rsidRPr="004958C5">
        <w:rPr>
          <w:rFonts w:ascii="Century" w:hAnsi="Century" w:cs="Miriam"/>
          <w:b/>
          <w:spacing w:val="0"/>
          <w:szCs w:val="24"/>
          <w:rtl/>
        </w:rPr>
        <w:t>–</w:t>
      </w:r>
      <w:r w:rsidRPr="004958C5">
        <w:rPr>
          <w:rFonts w:ascii="Century" w:hAnsi="Century" w:cs="Miriam" w:hint="cs"/>
          <w:b/>
          <w:spacing w:val="0"/>
          <w:szCs w:val="24"/>
          <w:rtl/>
        </w:rPr>
        <w:t xml:space="preserve"> סעיף </w:t>
      </w:r>
      <w:r w:rsidRPr="004958C5">
        <w:rPr>
          <w:rFonts w:ascii="Century" w:hAnsi="Century" w:cs="Miriam"/>
          <w:b/>
          <w:spacing w:val="0"/>
          <w:szCs w:val="24"/>
          <w:rtl/>
        </w:rPr>
        <w:t xml:space="preserve">89(1) </w:t>
      </w:r>
      <w:r w:rsidRPr="004958C5">
        <w:rPr>
          <w:rFonts w:ascii="Century" w:hAnsi="Century" w:cs="Miriam" w:hint="eastAsia"/>
          <w:b/>
          <w:spacing w:val="0"/>
          <w:szCs w:val="24"/>
          <w:rtl/>
        </w:rPr>
        <w:t>לפקודת</w:t>
      </w:r>
      <w:r w:rsidRPr="004958C5">
        <w:rPr>
          <w:rFonts w:ascii="Century" w:hAnsi="Century" w:cs="Miriam"/>
          <w:b/>
          <w:spacing w:val="0"/>
          <w:szCs w:val="24"/>
          <w:rtl/>
        </w:rPr>
        <w:t xml:space="preserve"> </w:t>
      </w:r>
      <w:r w:rsidRPr="004958C5">
        <w:rPr>
          <w:rFonts w:ascii="Century" w:hAnsi="Century" w:cs="Miriam" w:hint="eastAsia"/>
          <w:b/>
          <w:spacing w:val="0"/>
          <w:szCs w:val="24"/>
          <w:rtl/>
        </w:rPr>
        <w:t>הנזיקין</w:t>
      </w:r>
    </w:p>
    <w:p w:rsidR="008B3136" w:rsidRPr="00512E1C" w:rsidRDefault="008B3136" w:rsidP="008B3136">
      <w:pPr>
        <w:pStyle w:val="Ruller41"/>
      </w:pPr>
    </w:p>
    <w:p w:rsidR="008B3136" w:rsidRPr="00646864" w:rsidRDefault="008B3136" w:rsidP="008B3136">
      <w:pPr>
        <w:pStyle w:val="Ruller4"/>
        <w:rPr>
          <w:rtl/>
        </w:rPr>
      </w:pPr>
      <w:r>
        <w:rPr>
          <w:rFonts w:hint="cs"/>
          <w:rtl/>
        </w:rPr>
        <w:t xml:space="preserve">כפי שכבר צויין על ידי, </w:t>
      </w:r>
      <w:r w:rsidRPr="00B469C2">
        <w:rPr>
          <w:rFonts w:hint="cs"/>
          <w:rtl/>
        </w:rPr>
        <w:t>סעיף 68א(א)</w:t>
      </w:r>
      <w:r>
        <w:rPr>
          <w:rFonts w:hint="cs"/>
          <w:rtl/>
        </w:rPr>
        <w:t xml:space="preserve"> לפקודת הנזיקים האזרחיים, </w:t>
      </w:r>
      <w:r w:rsidRPr="00B469C2">
        <w:rPr>
          <w:rFonts w:hint="cs"/>
          <w:rtl/>
        </w:rPr>
        <w:t xml:space="preserve">מקבילו של סעיף </w:t>
      </w:r>
      <w:r>
        <w:rPr>
          <w:rFonts w:hint="cs"/>
          <w:rtl/>
        </w:rPr>
        <w:t>89(1) לפקודת הנזיקין, קובע כי מרוץ תקופת ההתיישנות אשר מאיינת תביעה אזרחית שעילתה "</w:t>
      </w:r>
      <w:r w:rsidRPr="00B91564">
        <w:rPr>
          <w:rFonts w:hint="eastAsia"/>
          <w:rtl/>
        </w:rPr>
        <w:t>מעשה</w:t>
      </w:r>
      <w:r w:rsidRPr="00B91564">
        <w:rPr>
          <w:rtl/>
        </w:rPr>
        <w:t xml:space="preserve"> </w:t>
      </w:r>
      <w:r w:rsidRPr="00B91564">
        <w:rPr>
          <w:rFonts w:hint="eastAsia"/>
          <w:rtl/>
        </w:rPr>
        <w:t>או</w:t>
      </w:r>
      <w:r w:rsidRPr="00B91564">
        <w:rPr>
          <w:rtl/>
        </w:rPr>
        <w:t xml:space="preserve"> </w:t>
      </w:r>
      <w:r w:rsidRPr="00B91564">
        <w:rPr>
          <w:rFonts w:hint="eastAsia"/>
          <w:rtl/>
        </w:rPr>
        <w:t>מחדל</w:t>
      </w:r>
      <w:r>
        <w:rPr>
          <w:rFonts w:hint="cs"/>
          <w:rtl/>
        </w:rPr>
        <w:t>" מתחיל ב</w:t>
      </w:r>
      <w:r w:rsidRPr="00B91564">
        <w:rPr>
          <w:rFonts w:hint="eastAsia"/>
          <w:rtl/>
        </w:rPr>
        <w:t>יום</w:t>
      </w:r>
      <w:r w:rsidRPr="00B91564">
        <w:rPr>
          <w:rtl/>
        </w:rPr>
        <w:t xml:space="preserve"> </w:t>
      </w:r>
      <w:r w:rsidRPr="00B91564">
        <w:rPr>
          <w:rFonts w:hint="eastAsia"/>
          <w:rtl/>
        </w:rPr>
        <w:t>שבו</w:t>
      </w:r>
      <w:r w:rsidRPr="00B91564">
        <w:rPr>
          <w:rtl/>
        </w:rPr>
        <w:t xml:space="preserve"> </w:t>
      </w:r>
      <w:r w:rsidRPr="00B91564">
        <w:rPr>
          <w:rFonts w:hint="eastAsia"/>
          <w:rtl/>
        </w:rPr>
        <w:t>אירע</w:t>
      </w:r>
      <w:r w:rsidRPr="00B91564">
        <w:rPr>
          <w:rtl/>
        </w:rPr>
        <w:t xml:space="preserve"> </w:t>
      </w:r>
      <w:r w:rsidRPr="00B91564">
        <w:rPr>
          <w:rFonts w:hint="eastAsia"/>
          <w:rtl/>
        </w:rPr>
        <w:t>אותו</w:t>
      </w:r>
      <w:r w:rsidRPr="00B91564">
        <w:rPr>
          <w:rtl/>
        </w:rPr>
        <w:t xml:space="preserve"> </w:t>
      </w:r>
      <w:r w:rsidRPr="00B91564">
        <w:rPr>
          <w:rFonts w:hint="eastAsia"/>
          <w:rtl/>
        </w:rPr>
        <w:t>מעשה</w:t>
      </w:r>
      <w:r w:rsidRPr="00B91564">
        <w:rPr>
          <w:rtl/>
        </w:rPr>
        <w:t xml:space="preserve"> </w:t>
      </w:r>
      <w:r w:rsidRPr="00B91564">
        <w:rPr>
          <w:rFonts w:hint="eastAsia"/>
          <w:rtl/>
        </w:rPr>
        <w:t>או</w:t>
      </w:r>
      <w:r w:rsidRPr="00B91564">
        <w:rPr>
          <w:rtl/>
        </w:rPr>
        <w:t xml:space="preserve"> </w:t>
      </w:r>
      <w:r w:rsidRPr="00B91564">
        <w:rPr>
          <w:rFonts w:hint="eastAsia"/>
          <w:rtl/>
        </w:rPr>
        <w:t>מחדל</w:t>
      </w:r>
      <w:r>
        <w:rPr>
          <w:rFonts w:hint="cs"/>
          <w:rtl/>
        </w:rPr>
        <w:t>; ואולם,</w:t>
      </w:r>
      <w:r w:rsidRPr="00B91564">
        <w:rPr>
          <w:rFonts w:ascii="Century" w:hAnsi="Century" w:hint="cs"/>
          <w:sz w:val="22"/>
          <w:rtl/>
        </w:rPr>
        <w:t xml:space="preserve"> "</w:t>
      </w:r>
      <w:r w:rsidRPr="00B91564">
        <w:rPr>
          <w:rFonts w:ascii="Century" w:hAnsi="Century" w:hint="eastAsia"/>
          <w:sz w:val="22"/>
          <w:rtl/>
        </w:rPr>
        <w:t>היה</w:t>
      </w:r>
      <w:r w:rsidRPr="00B91564">
        <w:rPr>
          <w:rFonts w:ascii="Century" w:hAnsi="Century"/>
          <w:sz w:val="22"/>
          <w:rtl/>
        </w:rPr>
        <w:t xml:space="preserve"> </w:t>
      </w:r>
      <w:r w:rsidRPr="00B91564">
        <w:rPr>
          <w:rFonts w:ascii="Century" w:hAnsi="Century" w:hint="eastAsia"/>
          <w:sz w:val="22"/>
          <w:rtl/>
        </w:rPr>
        <w:t>המעשה</w:t>
      </w:r>
      <w:r w:rsidRPr="00B91564">
        <w:rPr>
          <w:rFonts w:ascii="Century" w:hAnsi="Century"/>
          <w:sz w:val="22"/>
          <w:rtl/>
        </w:rPr>
        <w:t xml:space="preserve"> </w:t>
      </w:r>
      <w:r w:rsidRPr="00B91564">
        <w:rPr>
          <w:rFonts w:ascii="Century" w:hAnsi="Century" w:hint="eastAsia"/>
          <w:sz w:val="22"/>
          <w:rtl/>
        </w:rPr>
        <w:t>או</w:t>
      </w:r>
      <w:r w:rsidRPr="00B91564">
        <w:rPr>
          <w:rFonts w:ascii="Century" w:hAnsi="Century"/>
          <w:sz w:val="22"/>
          <w:rtl/>
        </w:rPr>
        <w:t xml:space="preserve"> </w:t>
      </w:r>
      <w:r w:rsidRPr="00B91564">
        <w:rPr>
          <w:rFonts w:ascii="Century" w:hAnsi="Century" w:hint="eastAsia"/>
          <w:sz w:val="22"/>
          <w:rtl/>
        </w:rPr>
        <w:t>המחדל</w:t>
      </w:r>
      <w:r w:rsidRPr="00B91564">
        <w:rPr>
          <w:rFonts w:ascii="Century" w:hAnsi="Century"/>
          <w:sz w:val="22"/>
          <w:rtl/>
        </w:rPr>
        <w:t xml:space="preserve"> </w:t>
      </w:r>
      <w:r w:rsidRPr="00B91564">
        <w:rPr>
          <w:rFonts w:ascii="Century" w:hAnsi="Century" w:hint="eastAsia"/>
          <w:sz w:val="22"/>
          <w:rtl/>
        </w:rPr>
        <w:t>נמשך</w:t>
      </w:r>
      <w:r w:rsidRPr="00B91564">
        <w:rPr>
          <w:rFonts w:ascii="Century" w:hAnsi="Century"/>
          <w:sz w:val="22"/>
          <w:rtl/>
        </w:rPr>
        <w:t xml:space="preserve"> </w:t>
      </w:r>
      <w:r w:rsidRPr="00B91564">
        <w:rPr>
          <w:rFonts w:ascii="Century" w:hAnsi="Century" w:hint="eastAsia"/>
          <w:sz w:val="22"/>
          <w:rtl/>
        </w:rPr>
        <w:t>והולך</w:t>
      </w:r>
      <w:r w:rsidRPr="00B91564">
        <w:rPr>
          <w:rFonts w:ascii="Century" w:hAnsi="Century" w:hint="cs"/>
          <w:sz w:val="22"/>
          <w:rtl/>
        </w:rPr>
        <w:t>", יתחיל המרוץ ב"</w:t>
      </w:r>
      <w:r w:rsidRPr="00B91564">
        <w:rPr>
          <w:rFonts w:ascii="Century" w:hAnsi="Century" w:hint="eastAsia"/>
          <w:sz w:val="22"/>
          <w:rtl/>
        </w:rPr>
        <w:t>יום</w:t>
      </w:r>
      <w:r w:rsidRPr="00B91564">
        <w:rPr>
          <w:rFonts w:ascii="Century" w:hAnsi="Century"/>
          <w:sz w:val="22"/>
          <w:rtl/>
        </w:rPr>
        <w:t xml:space="preserve"> </w:t>
      </w:r>
      <w:r w:rsidRPr="00B91564">
        <w:rPr>
          <w:rFonts w:ascii="Century" w:hAnsi="Century" w:hint="eastAsia"/>
          <w:sz w:val="22"/>
          <w:rtl/>
        </w:rPr>
        <w:t>שבו</w:t>
      </w:r>
      <w:r w:rsidRPr="00B91564">
        <w:rPr>
          <w:rFonts w:ascii="Century" w:hAnsi="Century"/>
          <w:sz w:val="22"/>
          <w:rtl/>
        </w:rPr>
        <w:t xml:space="preserve"> </w:t>
      </w:r>
      <w:r w:rsidRPr="00B91564">
        <w:rPr>
          <w:rFonts w:ascii="Century" w:hAnsi="Century" w:hint="eastAsia"/>
          <w:sz w:val="22"/>
          <w:rtl/>
        </w:rPr>
        <w:t>חדל</w:t>
      </w:r>
      <w:r w:rsidRPr="00B91564">
        <w:rPr>
          <w:rFonts w:ascii="Century" w:hAnsi="Century" w:hint="cs"/>
          <w:sz w:val="22"/>
          <w:rtl/>
        </w:rPr>
        <w:t>"</w:t>
      </w:r>
      <w:r>
        <w:rPr>
          <w:rFonts w:ascii="Century" w:hAnsi="Century" w:hint="cs"/>
          <w:sz w:val="22"/>
          <w:rtl/>
        </w:rPr>
        <w:t>.</w:t>
      </w:r>
      <w:r w:rsidRPr="00B91564">
        <w:rPr>
          <w:rFonts w:ascii="Century" w:hAnsi="Century" w:hint="cs"/>
          <w:sz w:val="22"/>
          <w:rtl/>
        </w:rPr>
        <w:t xml:space="preserve"> </w:t>
      </w:r>
      <w:r>
        <w:rPr>
          <w:rFonts w:hint="cs"/>
          <w:rtl/>
        </w:rPr>
        <w:t xml:space="preserve">כלל זה מבצע דחיסה לפנים אשר מאפשרת לתובע לבסס את תביעתו על מכלול מעלליו של הנתבע, כולל אלה שאירעו לפני זמן ניכר, שמשכו עולה על תקופת ההתיישנות הרגילה (ראו: </w:t>
      </w:r>
      <w:r w:rsidRPr="00646864">
        <w:rPr>
          <w:rFonts w:ascii="Century" w:hAnsi="Century" w:cs="Miriam" w:hint="cs"/>
          <w:b/>
          <w:spacing w:val="0"/>
          <w:sz w:val="22"/>
          <w:szCs w:val="24"/>
          <w:rtl/>
        </w:rPr>
        <w:t>גלעד</w:t>
      </w:r>
      <w:r>
        <w:rPr>
          <w:rFonts w:hint="cs"/>
          <w:rtl/>
        </w:rPr>
        <w:t xml:space="preserve">, בעמ' 218). כלל זה שונה מההסדר אשר חל כאשר </w:t>
      </w:r>
      <w:r w:rsidRPr="00646864">
        <w:rPr>
          <w:rFonts w:hint="eastAsia"/>
          <w:rtl/>
        </w:rPr>
        <w:t>עילת</w:t>
      </w:r>
      <w:r w:rsidRPr="00646864">
        <w:rPr>
          <w:rtl/>
        </w:rPr>
        <w:t xml:space="preserve"> </w:t>
      </w:r>
      <w:r w:rsidRPr="00646864">
        <w:rPr>
          <w:rFonts w:hint="eastAsia"/>
          <w:rtl/>
        </w:rPr>
        <w:t>הת</w:t>
      </w:r>
      <w:r>
        <w:rPr>
          <w:rFonts w:hint="cs"/>
          <w:rtl/>
        </w:rPr>
        <w:t>ביעה</w:t>
      </w:r>
      <w:r w:rsidRPr="00646864">
        <w:rPr>
          <w:rtl/>
        </w:rPr>
        <w:t xml:space="preserve"> </w:t>
      </w:r>
      <w:r w:rsidRPr="00646864">
        <w:rPr>
          <w:rFonts w:hint="eastAsia"/>
          <w:rtl/>
        </w:rPr>
        <w:t>היא</w:t>
      </w:r>
      <w:r w:rsidRPr="00646864">
        <w:rPr>
          <w:rtl/>
        </w:rPr>
        <w:t xml:space="preserve"> </w:t>
      </w:r>
      <w:r>
        <w:rPr>
          <w:rFonts w:hint="cs"/>
          <w:rtl/>
        </w:rPr>
        <w:t>"</w:t>
      </w:r>
      <w:r w:rsidRPr="00646864">
        <w:rPr>
          <w:rFonts w:hint="eastAsia"/>
          <w:rtl/>
        </w:rPr>
        <w:t>נזק</w:t>
      </w:r>
      <w:r w:rsidRPr="00646864">
        <w:rPr>
          <w:rtl/>
        </w:rPr>
        <w:t xml:space="preserve"> </w:t>
      </w:r>
      <w:r w:rsidRPr="00646864">
        <w:rPr>
          <w:rFonts w:hint="eastAsia"/>
          <w:rtl/>
        </w:rPr>
        <w:t>שנגרם</w:t>
      </w:r>
      <w:r w:rsidRPr="00646864">
        <w:rPr>
          <w:rtl/>
        </w:rPr>
        <w:t xml:space="preserve"> </w:t>
      </w:r>
      <w:r w:rsidRPr="00646864">
        <w:rPr>
          <w:rFonts w:hint="eastAsia"/>
          <w:rtl/>
        </w:rPr>
        <w:t>על</w:t>
      </w:r>
      <w:r w:rsidRPr="00646864">
        <w:rPr>
          <w:rtl/>
        </w:rPr>
        <w:t xml:space="preserve"> </w:t>
      </w:r>
      <w:r w:rsidRPr="00646864">
        <w:rPr>
          <w:rFonts w:hint="eastAsia"/>
          <w:rtl/>
        </w:rPr>
        <w:t>ידי</w:t>
      </w:r>
      <w:r w:rsidRPr="00646864">
        <w:rPr>
          <w:rtl/>
        </w:rPr>
        <w:t xml:space="preserve"> </w:t>
      </w:r>
      <w:r w:rsidRPr="00646864">
        <w:rPr>
          <w:rFonts w:hint="eastAsia"/>
          <w:rtl/>
        </w:rPr>
        <w:t>מעשה</w:t>
      </w:r>
      <w:r w:rsidRPr="00646864">
        <w:rPr>
          <w:rtl/>
        </w:rPr>
        <w:t xml:space="preserve"> </w:t>
      </w:r>
      <w:r w:rsidRPr="00646864">
        <w:rPr>
          <w:rFonts w:hint="eastAsia"/>
          <w:rtl/>
        </w:rPr>
        <w:t>או</w:t>
      </w:r>
      <w:r w:rsidRPr="00646864">
        <w:rPr>
          <w:rtl/>
        </w:rPr>
        <w:t xml:space="preserve"> </w:t>
      </w:r>
      <w:r w:rsidRPr="00646864">
        <w:rPr>
          <w:rFonts w:hint="eastAsia"/>
          <w:rtl/>
        </w:rPr>
        <w:t>מחדל</w:t>
      </w:r>
      <w:r>
        <w:rPr>
          <w:rFonts w:hint="cs"/>
          <w:rtl/>
        </w:rPr>
        <w:t>", כאמור בסעיף 89(2) לפקודת הנזיקין. הסדר זה קובע כי מרוץ ההתיישנות יחל ב"</w:t>
      </w:r>
      <w:r w:rsidRPr="00646864">
        <w:rPr>
          <w:rFonts w:hint="eastAsia"/>
          <w:rtl/>
        </w:rPr>
        <w:t>יום</w:t>
      </w:r>
      <w:r w:rsidRPr="00646864">
        <w:rPr>
          <w:rtl/>
        </w:rPr>
        <w:t xml:space="preserve"> </w:t>
      </w:r>
      <w:r w:rsidRPr="00646864">
        <w:rPr>
          <w:rFonts w:hint="eastAsia"/>
          <w:rtl/>
        </w:rPr>
        <w:t>שבו</w:t>
      </w:r>
      <w:r w:rsidRPr="00646864">
        <w:rPr>
          <w:rtl/>
        </w:rPr>
        <w:t xml:space="preserve"> </w:t>
      </w:r>
      <w:r w:rsidRPr="00646864">
        <w:rPr>
          <w:rFonts w:hint="eastAsia"/>
          <w:rtl/>
        </w:rPr>
        <w:t>אירע</w:t>
      </w:r>
      <w:r w:rsidRPr="00646864">
        <w:rPr>
          <w:rtl/>
        </w:rPr>
        <w:t xml:space="preserve"> </w:t>
      </w:r>
      <w:r w:rsidRPr="00646864">
        <w:rPr>
          <w:rFonts w:hint="eastAsia"/>
          <w:rtl/>
        </w:rPr>
        <w:t>אותו</w:t>
      </w:r>
      <w:r w:rsidRPr="00646864">
        <w:rPr>
          <w:rtl/>
        </w:rPr>
        <w:t xml:space="preserve"> </w:t>
      </w:r>
      <w:r w:rsidRPr="00646864">
        <w:rPr>
          <w:rFonts w:hint="eastAsia"/>
          <w:rtl/>
        </w:rPr>
        <w:t>נזק</w:t>
      </w:r>
      <w:r>
        <w:rPr>
          <w:rFonts w:hint="cs"/>
          <w:rtl/>
        </w:rPr>
        <w:t>"; ואולם, אם "</w:t>
      </w:r>
      <w:r w:rsidRPr="00646864">
        <w:rPr>
          <w:rFonts w:hint="eastAsia"/>
          <w:rtl/>
        </w:rPr>
        <w:t>לא</w:t>
      </w:r>
      <w:r w:rsidRPr="00646864">
        <w:rPr>
          <w:rtl/>
        </w:rPr>
        <w:t xml:space="preserve"> </w:t>
      </w:r>
      <w:r w:rsidRPr="00646864">
        <w:rPr>
          <w:rFonts w:hint="eastAsia"/>
          <w:rtl/>
        </w:rPr>
        <w:t>נתגלה</w:t>
      </w:r>
      <w:r w:rsidRPr="00646864">
        <w:rPr>
          <w:rtl/>
        </w:rPr>
        <w:t xml:space="preserve"> </w:t>
      </w:r>
      <w:r w:rsidRPr="00646864">
        <w:rPr>
          <w:rFonts w:hint="eastAsia"/>
          <w:rtl/>
        </w:rPr>
        <w:t>הנזק</w:t>
      </w:r>
      <w:r w:rsidRPr="00646864">
        <w:rPr>
          <w:rtl/>
        </w:rPr>
        <w:t xml:space="preserve"> </w:t>
      </w:r>
      <w:r w:rsidRPr="00646864">
        <w:rPr>
          <w:rFonts w:hint="eastAsia"/>
          <w:rtl/>
        </w:rPr>
        <w:t>ביום</w:t>
      </w:r>
      <w:r w:rsidRPr="00646864">
        <w:rPr>
          <w:rtl/>
        </w:rPr>
        <w:t xml:space="preserve"> </w:t>
      </w:r>
      <w:r w:rsidRPr="00646864">
        <w:rPr>
          <w:rFonts w:hint="eastAsia"/>
          <w:rtl/>
        </w:rPr>
        <w:t>שאירע</w:t>
      </w:r>
      <w:r>
        <w:rPr>
          <w:rFonts w:hint="cs"/>
          <w:rtl/>
        </w:rPr>
        <w:t>",</w:t>
      </w:r>
      <w:r>
        <w:rPr>
          <w:rtl/>
        </w:rPr>
        <w:t xml:space="preserve"> </w:t>
      </w:r>
      <w:r>
        <w:rPr>
          <w:rFonts w:hint="cs"/>
          <w:rtl/>
        </w:rPr>
        <w:t>יחל המרוץ ב"</w:t>
      </w:r>
      <w:r w:rsidRPr="00646864">
        <w:rPr>
          <w:rFonts w:hint="eastAsia"/>
          <w:rtl/>
        </w:rPr>
        <w:t>יום</w:t>
      </w:r>
      <w:r w:rsidRPr="00646864">
        <w:rPr>
          <w:rtl/>
        </w:rPr>
        <w:t xml:space="preserve"> </w:t>
      </w:r>
      <w:r w:rsidRPr="00646864">
        <w:rPr>
          <w:rFonts w:hint="eastAsia"/>
          <w:rtl/>
        </w:rPr>
        <w:t>שבו</w:t>
      </w:r>
      <w:r w:rsidRPr="00646864">
        <w:rPr>
          <w:rtl/>
        </w:rPr>
        <w:t xml:space="preserve"> </w:t>
      </w:r>
      <w:r w:rsidRPr="00646864">
        <w:rPr>
          <w:rFonts w:hint="eastAsia"/>
          <w:rtl/>
        </w:rPr>
        <w:t>נתגלה</w:t>
      </w:r>
      <w:r w:rsidRPr="00646864">
        <w:rPr>
          <w:rtl/>
        </w:rPr>
        <w:t xml:space="preserve"> </w:t>
      </w:r>
      <w:r w:rsidRPr="00646864">
        <w:rPr>
          <w:rFonts w:hint="eastAsia"/>
          <w:rtl/>
        </w:rPr>
        <w:t>הנזק</w:t>
      </w:r>
      <w:r w:rsidRPr="00646864">
        <w:rPr>
          <w:rtl/>
        </w:rPr>
        <w:t xml:space="preserve">, </w:t>
      </w:r>
      <w:r w:rsidRPr="00646864">
        <w:rPr>
          <w:rFonts w:hint="eastAsia"/>
          <w:rtl/>
        </w:rPr>
        <w:t>אלא</w:t>
      </w:r>
      <w:r w:rsidRPr="00646864">
        <w:rPr>
          <w:rtl/>
        </w:rPr>
        <w:t xml:space="preserve"> </w:t>
      </w:r>
      <w:r w:rsidRPr="00646864">
        <w:rPr>
          <w:rFonts w:hint="eastAsia"/>
          <w:rtl/>
        </w:rPr>
        <w:t>שבמקרה</w:t>
      </w:r>
      <w:r w:rsidRPr="00646864">
        <w:rPr>
          <w:rtl/>
        </w:rPr>
        <w:t xml:space="preserve"> </w:t>
      </w:r>
      <w:r w:rsidRPr="00646864">
        <w:rPr>
          <w:rFonts w:hint="eastAsia"/>
          <w:rtl/>
        </w:rPr>
        <w:t>אחרון</w:t>
      </w:r>
      <w:r w:rsidRPr="00646864">
        <w:rPr>
          <w:rtl/>
        </w:rPr>
        <w:t xml:space="preserve"> </w:t>
      </w:r>
      <w:r w:rsidRPr="00646864">
        <w:rPr>
          <w:rFonts w:hint="eastAsia"/>
          <w:rtl/>
        </w:rPr>
        <w:t>זה</w:t>
      </w:r>
      <w:r w:rsidRPr="00646864">
        <w:rPr>
          <w:rtl/>
        </w:rPr>
        <w:t xml:space="preserve"> </w:t>
      </w:r>
      <w:r w:rsidRPr="00646864">
        <w:rPr>
          <w:rFonts w:hint="eastAsia"/>
          <w:rtl/>
        </w:rPr>
        <w:t>תתיישן</w:t>
      </w:r>
      <w:r w:rsidRPr="00646864">
        <w:rPr>
          <w:rtl/>
        </w:rPr>
        <w:t xml:space="preserve"> </w:t>
      </w:r>
      <w:r w:rsidRPr="00646864">
        <w:rPr>
          <w:rFonts w:hint="eastAsia"/>
          <w:rtl/>
        </w:rPr>
        <w:t>התובענה</w:t>
      </w:r>
      <w:r w:rsidRPr="00646864">
        <w:rPr>
          <w:rtl/>
        </w:rPr>
        <w:t xml:space="preserve"> </w:t>
      </w:r>
      <w:r w:rsidRPr="00646864">
        <w:rPr>
          <w:rFonts w:hint="eastAsia"/>
          <w:rtl/>
        </w:rPr>
        <w:t>אם</w:t>
      </w:r>
      <w:r w:rsidRPr="00646864">
        <w:rPr>
          <w:rtl/>
        </w:rPr>
        <w:t xml:space="preserve"> </w:t>
      </w:r>
      <w:r w:rsidRPr="00646864">
        <w:rPr>
          <w:rFonts w:hint="eastAsia"/>
          <w:rtl/>
        </w:rPr>
        <w:t>לא</w:t>
      </w:r>
      <w:r w:rsidRPr="00646864">
        <w:rPr>
          <w:rtl/>
        </w:rPr>
        <w:t xml:space="preserve"> </w:t>
      </w:r>
      <w:r w:rsidRPr="00646864">
        <w:rPr>
          <w:rFonts w:hint="eastAsia"/>
          <w:rtl/>
        </w:rPr>
        <w:t>הוגשה</w:t>
      </w:r>
      <w:r w:rsidRPr="00646864">
        <w:rPr>
          <w:rtl/>
        </w:rPr>
        <w:t xml:space="preserve"> </w:t>
      </w:r>
      <w:r w:rsidRPr="00646864">
        <w:rPr>
          <w:rFonts w:hint="eastAsia"/>
          <w:rtl/>
        </w:rPr>
        <w:t>תוך</w:t>
      </w:r>
      <w:r w:rsidRPr="00646864">
        <w:rPr>
          <w:rtl/>
        </w:rPr>
        <w:t xml:space="preserve"> </w:t>
      </w:r>
      <w:r w:rsidRPr="00646864">
        <w:rPr>
          <w:rFonts w:hint="eastAsia"/>
          <w:rtl/>
        </w:rPr>
        <w:t>עשר</w:t>
      </w:r>
      <w:r w:rsidRPr="00646864">
        <w:rPr>
          <w:rtl/>
        </w:rPr>
        <w:t xml:space="preserve"> </w:t>
      </w:r>
      <w:r w:rsidRPr="00646864">
        <w:rPr>
          <w:rFonts w:hint="eastAsia"/>
          <w:rtl/>
        </w:rPr>
        <w:t>שנים</w:t>
      </w:r>
      <w:r w:rsidRPr="00646864">
        <w:rPr>
          <w:rtl/>
        </w:rPr>
        <w:t xml:space="preserve"> </w:t>
      </w:r>
      <w:r w:rsidRPr="00646864">
        <w:rPr>
          <w:rFonts w:hint="eastAsia"/>
          <w:rtl/>
        </w:rPr>
        <w:t>מיום</w:t>
      </w:r>
      <w:r w:rsidRPr="00646864">
        <w:rPr>
          <w:rtl/>
        </w:rPr>
        <w:t xml:space="preserve"> </w:t>
      </w:r>
      <w:r w:rsidRPr="00646864">
        <w:rPr>
          <w:rFonts w:hint="eastAsia"/>
          <w:rtl/>
        </w:rPr>
        <w:t>אירוע</w:t>
      </w:r>
      <w:r w:rsidRPr="00646864">
        <w:rPr>
          <w:rtl/>
        </w:rPr>
        <w:t xml:space="preserve"> </w:t>
      </w:r>
      <w:r w:rsidRPr="00646864">
        <w:rPr>
          <w:rFonts w:hint="eastAsia"/>
          <w:rtl/>
        </w:rPr>
        <w:t>הנזק</w:t>
      </w:r>
      <w:r>
        <w:rPr>
          <w:rFonts w:hint="cs"/>
          <w:rtl/>
        </w:rPr>
        <w:t>"</w:t>
      </w:r>
      <w:r w:rsidRPr="00646864">
        <w:rPr>
          <w:rtl/>
        </w:rPr>
        <w:t>.</w:t>
      </w:r>
    </w:p>
    <w:p w:rsidR="008B3136" w:rsidRPr="00B91564" w:rsidRDefault="008B3136" w:rsidP="008B3136">
      <w:pPr>
        <w:pStyle w:val="Ruller41"/>
      </w:pPr>
    </w:p>
    <w:p w:rsidR="008B3136" w:rsidRDefault="008B3136" w:rsidP="008B3136">
      <w:pPr>
        <w:pStyle w:val="Ruller4"/>
        <w:rPr>
          <w:rFonts w:ascii="Century" w:hAnsi="Century"/>
          <w:sz w:val="22"/>
        </w:rPr>
      </w:pPr>
      <w:r>
        <w:rPr>
          <w:rFonts w:ascii="Century" w:hAnsi="Century" w:hint="cs"/>
          <w:sz w:val="22"/>
          <w:rtl/>
        </w:rPr>
        <w:t xml:space="preserve">כללים אלה פורשו בפסיקתנו באופן הבא: </w:t>
      </w:r>
    </w:p>
    <w:p w:rsidR="008B3136" w:rsidRPr="00B91564" w:rsidRDefault="008B3136" w:rsidP="008B3136">
      <w:pPr>
        <w:pStyle w:val="Ruller4"/>
        <w:numPr>
          <w:ilvl w:val="0"/>
          <w:numId w:val="0"/>
        </w:numPr>
        <w:rPr>
          <w:rFonts w:ascii="Century" w:hAnsi="Century"/>
          <w:sz w:val="22"/>
          <w:rtl/>
        </w:rPr>
      </w:pPr>
    </w:p>
    <w:p w:rsidR="008B3136" w:rsidRDefault="008B3136" w:rsidP="008B3136">
      <w:pPr>
        <w:pStyle w:val="Ruller4"/>
        <w:numPr>
          <w:ilvl w:val="0"/>
          <w:numId w:val="25"/>
        </w:numPr>
        <w:rPr>
          <w:rtl/>
        </w:rPr>
      </w:pPr>
      <w:r>
        <w:rPr>
          <w:rFonts w:hint="cs"/>
          <w:rtl/>
        </w:rPr>
        <w:t xml:space="preserve">עוולת נזיקין שהתהוותה אינה תלויה בקרות הנזק אצל הנפגע </w:t>
      </w:r>
      <w:r>
        <w:rPr>
          <w:rtl/>
        </w:rPr>
        <w:t>–</w:t>
      </w:r>
      <w:r>
        <w:rPr>
          <w:rFonts w:hint="cs"/>
          <w:rtl/>
        </w:rPr>
        <w:t xml:space="preserve"> דהיינו: עוולה שנזק אינו רכיב מרכיביה </w:t>
      </w:r>
      <w:r>
        <w:rPr>
          <w:rtl/>
        </w:rPr>
        <w:t>–</w:t>
      </w:r>
      <w:r>
        <w:rPr>
          <w:rFonts w:hint="cs"/>
          <w:rtl/>
        </w:rPr>
        <w:t xml:space="preserve"> היא, ורק היא, תיחשב לעוולה נמשכת כל אימת שהמעשה או המחדל שמהווה עוולה כאמור "נמשך והולך" (ראו: </w:t>
      </w:r>
      <w:r w:rsidRPr="00F927E7">
        <w:rPr>
          <w:rFonts w:ascii="Century" w:hAnsi="Century" w:cs="Miriam" w:hint="cs"/>
          <w:b/>
          <w:spacing w:val="0"/>
          <w:sz w:val="22"/>
          <w:szCs w:val="24"/>
          <w:rtl/>
        </w:rPr>
        <w:t>גלעד</w:t>
      </w:r>
      <w:r>
        <w:rPr>
          <w:rFonts w:hint="cs"/>
          <w:rtl/>
        </w:rPr>
        <w:t>, בעמ' 228-226 והאסמכתאות שם).</w:t>
      </w:r>
    </w:p>
    <w:p w:rsidR="008B3136" w:rsidRPr="00054714" w:rsidRDefault="008B3136" w:rsidP="008B3136">
      <w:pPr>
        <w:pStyle w:val="Ruller41"/>
      </w:pPr>
    </w:p>
    <w:p w:rsidR="008B3136" w:rsidRDefault="008B3136" w:rsidP="008B3136">
      <w:pPr>
        <w:pStyle w:val="Ruller4"/>
        <w:numPr>
          <w:ilvl w:val="0"/>
          <w:numId w:val="25"/>
        </w:numPr>
        <w:rPr>
          <w:rtl/>
        </w:rPr>
      </w:pPr>
      <w:r>
        <w:rPr>
          <w:rFonts w:hint="cs"/>
          <w:rtl/>
        </w:rPr>
        <w:t xml:space="preserve">בכפוף להוראות דין מיוחדות, עוולת נזיקין שמתהווה רק עם קרות הנזק אצל הנפגע </w:t>
      </w:r>
      <w:r>
        <w:rPr>
          <w:rtl/>
        </w:rPr>
        <w:t>–</w:t>
      </w:r>
      <w:r>
        <w:rPr>
          <w:rFonts w:hint="cs"/>
          <w:rtl/>
        </w:rPr>
        <w:t xml:space="preserve"> דהיינו: עוולה שנזק נמנה עם רכיביה </w:t>
      </w:r>
      <w:r>
        <w:rPr>
          <w:rtl/>
        </w:rPr>
        <w:t>–</w:t>
      </w:r>
      <w:r>
        <w:rPr>
          <w:rFonts w:hint="cs"/>
          <w:rtl/>
        </w:rPr>
        <w:t xml:space="preserve"> לא תיחשב לעוולה נמשכת, להבדיל מעוולה שמחדשת ומשכפלת את עצמה עם כל אירוע נזק (ראו: </w:t>
      </w:r>
      <w:r w:rsidRPr="00F927E7">
        <w:rPr>
          <w:rFonts w:ascii="Century" w:hAnsi="Century" w:cs="Miriam" w:hint="cs"/>
          <w:b/>
          <w:spacing w:val="0"/>
          <w:sz w:val="22"/>
          <w:szCs w:val="24"/>
          <w:rtl/>
        </w:rPr>
        <w:t>גלעד</w:t>
      </w:r>
      <w:r>
        <w:rPr>
          <w:rFonts w:hint="cs"/>
          <w:rtl/>
        </w:rPr>
        <w:t xml:space="preserve">, בעמ' 225-221 והאסמכתאות שם; וכן ע"א 3139/05 </w:t>
      </w:r>
      <w:r w:rsidRPr="00A14071">
        <w:rPr>
          <w:rFonts w:ascii="Century" w:hAnsi="Century" w:cs="Miriam" w:hint="eastAsia"/>
          <w:b/>
          <w:spacing w:val="0"/>
          <w:sz w:val="22"/>
          <w:szCs w:val="24"/>
          <w:rtl/>
        </w:rPr>
        <w:t>כלפון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נוה</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ארזים</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בע</w:t>
      </w:r>
      <w:r w:rsidRPr="00A14071">
        <w:rPr>
          <w:rFonts w:ascii="Century" w:hAnsi="Century" w:cs="Miriam"/>
          <w:b/>
          <w:spacing w:val="0"/>
          <w:sz w:val="22"/>
          <w:szCs w:val="24"/>
          <w:rtl/>
        </w:rPr>
        <w:t>"</w:t>
      </w:r>
      <w:r w:rsidRPr="00A14071">
        <w:rPr>
          <w:rFonts w:ascii="Century" w:hAnsi="Century" w:cs="Miriam" w:hint="eastAsia"/>
          <w:b/>
          <w:spacing w:val="0"/>
          <w:sz w:val="22"/>
          <w:szCs w:val="24"/>
          <w:rtl/>
        </w:rPr>
        <w:t>מ</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נ</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הועדה</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המקומית</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לתכנון</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ובניה</w:t>
      </w:r>
      <w:r w:rsidRPr="00A14071">
        <w:rPr>
          <w:rFonts w:ascii="Century" w:hAnsi="Century" w:cs="Miriam"/>
          <w:b/>
          <w:spacing w:val="0"/>
          <w:sz w:val="22"/>
          <w:szCs w:val="24"/>
          <w:rtl/>
        </w:rPr>
        <w:t xml:space="preserve"> </w:t>
      </w:r>
      <w:r w:rsidRPr="00A14071">
        <w:rPr>
          <w:rFonts w:ascii="Century" w:hAnsi="Century" w:cs="Miriam" w:hint="eastAsia"/>
          <w:b/>
          <w:spacing w:val="0"/>
          <w:sz w:val="22"/>
          <w:szCs w:val="24"/>
          <w:rtl/>
        </w:rPr>
        <w:t>הרצליה</w:t>
      </w:r>
      <w:r>
        <w:rPr>
          <w:rFonts w:hint="cs"/>
          <w:rtl/>
        </w:rPr>
        <w:t>, פסקאות 32-31 (31.1.2008)).</w:t>
      </w:r>
    </w:p>
    <w:p w:rsidR="008B3136" w:rsidRDefault="008B3136" w:rsidP="008B3136">
      <w:pPr>
        <w:pStyle w:val="Ruller4"/>
        <w:numPr>
          <w:ilvl w:val="0"/>
          <w:numId w:val="0"/>
        </w:numPr>
        <w:ind w:left="720"/>
        <w:rPr>
          <w:rtl/>
        </w:rPr>
      </w:pPr>
      <w:r>
        <w:rPr>
          <w:rFonts w:hint="cs"/>
          <w:rtl/>
        </w:rPr>
        <w:t xml:space="preserve"> </w:t>
      </w:r>
    </w:p>
    <w:p w:rsidR="008B3136" w:rsidRDefault="008B3136" w:rsidP="008B3136">
      <w:pPr>
        <w:pStyle w:val="Ruller4"/>
      </w:pPr>
      <w:r>
        <w:rPr>
          <w:rFonts w:hint="cs"/>
          <w:rtl/>
        </w:rPr>
        <w:t xml:space="preserve">לאור כללים אלה, העוולה של לשון הרע, שהמערער ביצע כלפי המשיב 1 במקרה שלפנינו, היא עוולה נמשכת לעניין ההתיישנות </w:t>
      </w:r>
      <w:r>
        <w:rPr>
          <w:rtl/>
        </w:rPr>
        <w:t>–</w:t>
      </w:r>
      <w:r>
        <w:rPr>
          <w:rFonts w:hint="cs"/>
          <w:rtl/>
        </w:rPr>
        <w:t xml:space="preserve"> אפיון משפטי שכאמור מפעיל את מנגנון הדחיסה לפנים (ראו: </w:t>
      </w:r>
      <w:r w:rsidRPr="00EE146E">
        <w:rPr>
          <w:rFonts w:ascii="Century" w:hAnsi="Century" w:cs="Miriam" w:hint="cs"/>
          <w:b/>
          <w:spacing w:val="0"/>
          <w:sz w:val="22"/>
          <w:szCs w:val="24"/>
          <w:rtl/>
        </w:rPr>
        <w:t>גלעד</w:t>
      </w:r>
      <w:r>
        <w:rPr>
          <w:rFonts w:hint="cs"/>
          <w:rtl/>
        </w:rPr>
        <w:t xml:space="preserve">, בעמ' 228, 230). התהוותה של עוולה זו אינה מותנית בקרות הנזק, שכן, בהתאם להגדרתה של "לשון הרע", עצם הפרסום הפוגעני מגיע כדי עוולת נזיקין כל אימת שהוא </w:t>
      </w:r>
      <w:r w:rsidRPr="00EE146E">
        <w:rPr>
          <w:rFonts w:ascii="Century" w:hAnsi="Century" w:cs="Miriam" w:hint="cs"/>
          <w:b/>
          <w:spacing w:val="0"/>
          <w:sz w:val="22"/>
          <w:szCs w:val="24"/>
          <w:rtl/>
        </w:rPr>
        <w:t>עלול</w:t>
      </w:r>
      <w:r>
        <w:rPr>
          <w:rFonts w:hint="cs"/>
          <w:rtl/>
        </w:rPr>
        <w:t xml:space="preserve"> </w:t>
      </w:r>
      <w:r>
        <w:rPr>
          <w:rFonts w:hint="eastAsia"/>
          <w:rtl/>
        </w:rPr>
        <w:t>להשפיל</w:t>
      </w:r>
      <w:r>
        <w:rPr>
          <w:rtl/>
        </w:rPr>
        <w:t xml:space="preserve"> </w:t>
      </w:r>
      <w:r>
        <w:rPr>
          <w:rFonts w:hint="eastAsia"/>
          <w:rtl/>
        </w:rPr>
        <w:t>אדם</w:t>
      </w:r>
      <w:r>
        <w:rPr>
          <w:rtl/>
        </w:rPr>
        <w:t xml:space="preserve"> </w:t>
      </w:r>
      <w:r>
        <w:rPr>
          <w:rFonts w:hint="eastAsia"/>
          <w:rtl/>
        </w:rPr>
        <w:t>בעיני</w:t>
      </w:r>
      <w:r>
        <w:rPr>
          <w:rtl/>
        </w:rPr>
        <w:t xml:space="preserve"> </w:t>
      </w:r>
      <w:r>
        <w:rPr>
          <w:rFonts w:hint="eastAsia"/>
          <w:rtl/>
        </w:rPr>
        <w:t>הבריות</w:t>
      </w:r>
      <w:r>
        <w:rPr>
          <w:rFonts w:hint="cs"/>
          <w:rtl/>
        </w:rPr>
        <w:t xml:space="preserve">, לבזותו </w:t>
      </w:r>
      <w:r>
        <w:rPr>
          <w:rFonts w:hint="eastAsia"/>
          <w:rtl/>
        </w:rPr>
        <w:t>או</w:t>
      </w:r>
      <w:r>
        <w:rPr>
          <w:rtl/>
        </w:rPr>
        <w:t xml:space="preserve"> </w:t>
      </w:r>
      <w:r>
        <w:rPr>
          <w:rFonts w:hint="eastAsia"/>
          <w:rtl/>
        </w:rPr>
        <w:t>לעשותו</w:t>
      </w:r>
      <w:r>
        <w:rPr>
          <w:rtl/>
        </w:rPr>
        <w:t xml:space="preserve"> </w:t>
      </w:r>
      <w:r>
        <w:rPr>
          <w:rFonts w:hint="eastAsia"/>
          <w:rtl/>
        </w:rPr>
        <w:t>מטרה</w:t>
      </w:r>
      <w:r>
        <w:rPr>
          <w:rtl/>
        </w:rPr>
        <w:t xml:space="preserve"> </w:t>
      </w:r>
      <w:r>
        <w:rPr>
          <w:rFonts w:hint="eastAsia"/>
          <w:rtl/>
        </w:rPr>
        <w:t>לשנאה</w:t>
      </w:r>
      <w:r>
        <w:rPr>
          <w:rtl/>
        </w:rPr>
        <w:t xml:space="preserve">, </w:t>
      </w:r>
      <w:r>
        <w:rPr>
          <w:rFonts w:hint="eastAsia"/>
          <w:rtl/>
        </w:rPr>
        <w:t>לבוז</w:t>
      </w:r>
      <w:r>
        <w:rPr>
          <w:rtl/>
        </w:rPr>
        <w:t xml:space="preserve"> </w:t>
      </w:r>
      <w:r>
        <w:rPr>
          <w:rFonts w:hint="eastAsia"/>
          <w:rtl/>
        </w:rPr>
        <w:t>או</w:t>
      </w:r>
      <w:r>
        <w:rPr>
          <w:rtl/>
        </w:rPr>
        <w:t xml:space="preserve"> </w:t>
      </w:r>
      <w:r>
        <w:rPr>
          <w:rFonts w:hint="eastAsia"/>
          <w:rtl/>
        </w:rPr>
        <w:t>ללעג</w:t>
      </w:r>
      <w:r>
        <w:rPr>
          <w:rtl/>
        </w:rPr>
        <w:t xml:space="preserve"> </w:t>
      </w:r>
      <w:r>
        <w:rPr>
          <w:rFonts w:hint="eastAsia"/>
          <w:rtl/>
        </w:rPr>
        <w:t>מצדם</w:t>
      </w:r>
      <w:r>
        <w:rPr>
          <w:rFonts w:hint="cs"/>
          <w:rtl/>
        </w:rPr>
        <w:t xml:space="preserve"> </w:t>
      </w:r>
      <w:r>
        <w:rPr>
          <w:rtl/>
        </w:rPr>
        <w:t>–</w:t>
      </w:r>
      <w:r>
        <w:rPr>
          <w:rFonts w:hint="cs"/>
          <w:rtl/>
        </w:rPr>
        <w:t xml:space="preserve"> כאמור בסעיפים 1(1) ו-7 לחוק לשון הרע (ראו: </w:t>
      </w:r>
      <w:r w:rsidRPr="00EE146E">
        <w:rPr>
          <w:rFonts w:ascii="Century" w:hAnsi="Century" w:cs="Miriam" w:hint="eastAsia"/>
          <w:b/>
          <w:spacing w:val="0"/>
          <w:sz w:val="22"/>
          <w:szCs w:val="24"/>
          <w:rtl/>
        </w:rPr>
        <w:t>שנהר</w:t>
      </w:r>
      <w:r>
        <w:rPr>
          <w:rFonts w:hint="cs"/>
          <w:rtl/>
        </w:rPr>
        <w:t xml:space="preserve">, בעמ' 155; רע"א 1560/06 </w:t>
      </w:r>
      <w:r w:rsidRPr="00EE146E">
        <w:rPr>
          <w:rFonts w:ascii="Century" w:hAnsi="Century" w:cs="Miriam" w:hint="eastAsia"/>
          <w:b/>
          <w:spacing w:val="0"/>
          <w:sz w:val="22"/>
          <w:szCs w:val="24"/>
          <w:rtl/>
        </w:rPr>
        <w:t>לוי</w:t>
      </w:r>
      <w:r w:rsidRPr="00EE146E">
        <w:rPr>
          <w:rFonts w:ascii="Century" w:hAnsi="Century" w:cs="Miriam"/>
          <w:b/>
          <w:spacing w:val="0"/>
          <w:sz w:val="22"/>
          <w:szCs w:val="24"/>
          <w:rtl/>
        </w:rPr>
        <w:t xml:space="preserve"> </w:t>
      </w:r>
      <w:r w:rsidRPr="00EE146E">
        <w:rPr>
          <w:rFonts w:ascii="Century" w:hAnsi="Century" w:cs="Miriam" w:hint="eastAsia"/>
          <w:b/>
          <w:spacing w:val="0"/>
          <w:sz w:val="22"/>
          <w:szCs w:val="24"/>
          <w:rtl/>
        </w:rPr>
        <w:t>נ</w:t>
      </w:r>
      <w:r w:rsidRPr="00EE146E">
        <w:rPr>
          <w:rFonts w:ascii="Century" w:hAnsi="Century" w:cs="Miriam"/>
          <w:b/>
          <w:spacing w:val="0"/>
          <w:sz w:val="22"/>
          <w:szCs w:val="24"/>
          <w:rtl/>
        </w:rPr>
        <w:t xml:space="preserve">' </w:t>
      </w:r>
      <w:r w:rsidRPr="00EE146E">
        <w:rPr>
          <w:rFonts w:ascii="Century" w:hAnsi="Century" w:cs="Miriam" w:hint="eastAsia"/>
          <w:b/>
          <w:spacing w:val="0"/>
          <w:sz w:val="22"/>
          <w:szCs w:val="24"/>
          <w:rtl/>
        </w:rPr>
        <w:t>שקלים</w:t>
      </w:r>
      <w:r>
        <w:rPr>
          <w:rFonts w:hint="cs"/>
          <w:rtl/>
        </w:rPr>
        <w:t xml:space="preserve">, פסק דינו של המשנה לנשיאה </w:t>
      </w:r>
      <w:r w:rsidRPr="00EE146E">
        <w:rPr>
          <w:rFonts w:ascii="Century" w:hAnsi="Century" w:cs="Miriam" w:hint="eastAsia"/>
          <w:b/>
          <w:spacing w:val="0"/>
          <w:sz w:val="22"/>
          <w:szCs w:val="24"/>
          <w:rtl/>
        </w:rPr>
        <w:t>א</w:t>
      </w:r>
      <w:r w:rsidRPr="00EE146E">
        <w:rPr>
          <w:rFonts w:ascii="Century" w:hAnsi="Century" w:cs="Miriam"/>
          <w:b/>
          <w:spacing w:val="0"/>
          <w:sz w:val="22"/>
          <w:szCs w:val="24"/>
          <w:rtl/>
        </w:rPr>
        <w:t xml:space="preserve">' </w:t>
      </w:r>
      <w:r w:rsidRPr="00EE146E">
        <w:rPr>
          <w:rFonts w:ascii="Century" w:hAnsi="Century" w:cs="Miriam" w:hint="eastAsia"/>
          <w:b/>
          <w:spacing w:val="0"/>
          <w:sz w:val="22"/>
          <w:szCs w:val="24"/>
          <w:rtl/>
        </w:rPr>
        <w:t>ריבלין</w:t>
      </w:r>
      <w:r w:rsidRPr="00537DCE">
        <w:rPr>
          <w:rFonts w:hint="cs"/>
          <w:rtl/>
        </w:rPr>
        <w:t xml:space="preserve"> </w:t>
      </w:r>
      <w:r>
        <w:rPr>
          <w:rFonts w:hint="cs"/>
          <w:rtl/>
        </w:rPr>
        <w:t xml:space="preserve">(17.4.2007)). במצב דברים זה, הנפגע מלשון הרע יהא זכאי לסעדים שהחוק מקנה לצד התרופות הכלליות של דיני הנזיקין </w:t>
      </w:r>
      <w:r>
        <w:rPr>
          <w:rtl/>
        </w:rPr>
        <w:t>–</w:t>
      </w:r>
      <w:r>
        <w:rPr>
          <w:rFonts w:hint="cs"/>
          <w:rtl/>
        </w:rPr>
        <w:t xml:space="preserve"> גם אם הוא עדיין לא סבל שום השפלה, ביזוי או לעג. נפגע כאמור הוא בגדר ניזוק מאחר שהוא עלול לסבול השפלה, ביזוי או לעג (ראו: </w:t>
      </w:r>
      <w:r w:rsidRPr="00EE146E">
        <w:rPr>
          <w:rFonts w:ascii="Century" w:hAnsi="Century" w:cs="Miriam" w:hint="eastAsia"/>
          <w:b/>
          <w:spacing w:val="0"/>
          <w:sz w:val="22"/>
          <w:szCs w:val="24"/>
          <w:rtl/>
        </w:rPr>
        <w:t>שנהר</w:t>
      </w:r>
      <w:r>
        <w:rPr>
          <w:rFonts w:hint="cs"/>
          <w:rtl/>
        </w:rPr>
        <w:t>, בעמ' 156).</w:t>
      </w:r>
    </w:p>
    <w:p w:rsidR="008B3136" w:rsidRDefault="008B3136" w:rsidP="008B3136">
      <w:pPr>
        <w:pStyle w:val="Ruller4"/>
        <w:numPr>
          <w:ilvl w:val="0"/>
          <w:numId w:val="0"/>
        </w:numPr>
      </w:pPr>
    </w:p>
    <w:p w:rsidR="008B3136" w:rsidRDefault="008B3136" w:rsidP="008B3136">
      <w:pPr>
        <w:pStyle w:val="Ruller4"/>
      </w:pPr>
      <w:r>
        <w:rPr>
          <w:rFonts w:hint="cs"/>
          <w:rtl/>
        </w:rPr>
        <w:t xml:space="preserve">בעניין זה ברצוני להוסיף ולהדגיש, כי זכאות הנפגע מלשון הרע לפיצויים מוכחים או, למצער, לפיצויים סטטוטוריים ללא הוכחת נזק, כאמור בסעיף 7א לחוק לשון הרע, אינה הופכת את לשון הרע לעוולה שנזק הוא אחד מרכיביה אשר נתונה להסדר ההתיישנות הקבוע בסעיף 89(2) לפקודת הנזיקין. </w:t>
      </w:r>
      <w:r w:rsidRPr="0028106B">
        <w:rPr>
          <w:rFonts w:ascii="Century" w:hAnsi="Century" w:cs="Miriam" w:hint="cs"/>
          <w:b/>
          <w:spacing w:val="0"/>
          <w:sz w:val="22"/>
          <w:szCs w:val="24"/>
          <w:rtl/>
        </w:rPr>
        <w:t>הגדרתה של עוולת נזיקין לחוד, והסעדים להם זכאי הנפגע מאותה עוולה לחוד</w:t>
      </w:r>
      <w:r>
        <w:rPr>
          <w:rFonts w:hint="cs"/>
          <w:rtl/>
        </w:rPr>
        <w:t xml:space="preserve">; ואין זה מן הנמנע שאותו נפגע יהא זכאי לפיצויים כאחד הסעדים אשר באים לתקן את מצבו שלאחר הפגיעה. דברים אלה נכונים במיוחד לעניינה של לשון הרע </w:t>
      </w:r>
      <w:r>
        <w:rPr>
          <w:rtl/>
        </w:rPr>
        <w:t>–</w:t>
      </w:r>
      <w:r>
        <w:rPr>
          <w:rFonts w:hint="cs"/>
          <w:rtl/>
        </w:rPr>
        <w:t xml:space="preserve"> עוולה שבגינה ניתן לחייב את המעוול לשלם לנפגע פיצויים ללא הוכחת נזק בגדרי סעיף 7א לחוק לשון הרע. </w:t>
      </w:r>
    </w:p>
    <w:p w:rsidR="008B3136" w:rsidRDefault="008B3136" w:rsidP="008B3136">
      <w:pPr>
        <w:pStyle w:val="Ruller4"/>
        <w:numPr>
          <w:ilvl w:val="0"/>
          <w:numId w:val="0"/>
        </w:numPr>
        <w:rPr>
          <w:rtl/>
        </w:rPr>
      </w:pPr>
    </w:p>
    <w:p w:rsidR="008B3136" w:rsidRPr="00105389" w:rsidRDefault="008B3136" w:rsidP="008B3136">
      <w:pPr>
        <w:pStyle w:val="Ruller4"/>
        <w:numPr>
          <w:ilvl w:val="0"/>
          <w:numId w:val="0"/>
        </w:numPr>
        <w:rPr>
          <w:rtl/>
        </w:rPr>
      </w:pPr>
      <w:r>
        <w:rPr>
          <w:rtl/>
        </w:rPr>
        <w:tab/>
      </w:r>
      <w:r>
        <w:rPr>
          <w:rFonts w:hint="cs"/>
          <w:rtl/>
        </w:rPr>
        <w:t xml:space="preserve">נקודה חשובה זו הובהרה על ידי השופטת </w:t>
      </w:r>
      <w:r w:rsidRPr="00ED0838">
        <w:rPr>
          <w:rFonts w:ascii="Century" w:hAnsi="Century" w:cs="Miriam" w:hint="cs"/>
          <w:b/>
          <w:spacing w:val="0"/>
          <w:sz w:val="22"/>
          <w:szCs w:val="24"/>
          <w:rtl/>
        </w:rPr>
        <w:t>א' פרוקצ'יה</w:t>
      </w:r>
      <w:r>
        <w:rPr>
          <w:rFonts w:hint="cs"/>
          <w:rtl/>
        </w:rPr>
        <w:t xml:space="preserve"> בעניין </w:t>
      </w:r>
      <w:r w:rsidRPr="002B3FBF">
        <w:rPr>
          <w:rFonts w:ascii="Century" w:hAnsi="Century" w:cs="Miriam" w:hint="cs"/>
          <w:b/>
          <w:spacing w:val="0"/>
          <w:sz w:val="22"/>
          <w:szCs w:val="24"/>
          <w:rtl/>
        </w:rPr>
        <w:t>שרנסקי</w:t>
      </w:r>
      <w:r>
        <w:rPr>
          <w:rFonts w:hint="cs"/>
          <w:rtl/>
        </w:rPr>
        <w:t>:</w:t>
      </w:r>
    </w:p>
    <w:p w:rsidR="008B3136" w:rsidRPr="00ED0838" w:rsidRDefault="008B3136" w:rsidP="008B3136">
      <w:pPr>
        <w:pStyle w:val="Ruller41"/>
        <w:rPr>
          <w:rtl/>
        </w:rPr>
      </w:pPr>
    </w:p>
    <w:p w:rsidR="008B3136" w:rsidRDefault="008B3136" w:rsidP="008B3136">
      <w:pPr>
        <w:pStyle w:val="Ruller5"/>
        <w:rPr>
          <w:rtl/>
        </w:rPr>
      </w:pPr>
      <w:r>
        <w:rPr>
          <w:rFonts w:hint="cs"/>
          <w:rtl/>
        </w:rPr>
        <w:t>"</w:t>
      </w:r>
      <w:r w:rsidRPr="00ED0838">
        <w:rPr>
          <w:rFonts w:hint="eastAsia"/>
          <w:rtl/>
        </w:rPr>
        <w:t>גיבושה</w:t>
      </w:r>
      <w:r w:rsidRPr="00ED0838">
        <w:rPr>
          <w:rtl/>
        </w:rPr>
        <w:t xml:space="preserve"> </w:t>
      </w:r>
      <w:r w:rsidRPr="00ED0838">
        <w:rPr>
          <w:rFonts w:hint="eastAsia"/>
          <w:rtl/>
        </w:rPr>
        <w:t>של</w:t>
      </w:r>
      <w:r w:rsidRPr="00ED0838">
        <w:rPr>
          <w:rtl/>
        </w:rPr>
        <w:t xml:space="preserve"> </w:t>
      </w:r>
      <w:r w:rsidRPr="00ED0838">
        <w:rPr>
          <w:rFonts w:hint="eastAsia"/>
          <w:rtl/>
        </w:rPr>
        <w:t>עוולת</w:t>
      </w:r>
      <w:r w:rsidRPr="00ED0838">
        <w:rPr>
          <w:rtl/>
        </w:rPr>
        <w:t xml:space="preserve"> </w:t>
      </w:r>
      <w:r w:rsidRPr="00ED0838">
        <w:rPr>
          <w:rFonts w:hint="eastAsia"/>
          <w:rtl/>
        </w:rPr>
        <w:t>לשון</w:t>
      </w:r>
      <w:r w:rsidRPr="00ED0838">
        <w:rPr>
          <w:rtl/>
        </w:rPr>
        <w:t xml:space="preserve"> </w:t>
      </w:r>
      <w:r w:rsidRPr="00ED0838">
        <w:rPr>
          <w:rFonts w:hint="eastAsia"/>
          <w:rtl/>
        </w:rPr>
        <w:t>הרע</w:t>
      </w:r>
      <w:r w:rsidRPr="00ED0838">
        <w:rPr>
          <w:rtl/>
        </w:rPr>
        <w:t xml:space="preserve"> </w:t>
      </w:r>
      <w:r w:rsidRPr="00ED0838">
        <w:rPr>
          <w:rFonts w:hint="eastAsia"/>
          <w:rtl/>
        </w:rPr>
        <w:t>אינה</w:t>
      </w:r>
      <w:r w:rsidRPr="00ED0838">
        <w:rPr>
          <w:rtl/>
        </w:rPr>
        <w:t xml:space="preserve"> </w:t>
      </w:r>
      <w:r w:rsidRPr="00ED0838">
        <w:rPr>
          <w:rFonts w:hint="eastAsia"/>
          <w:rtl/>
        </w:rPr>
        <w:t>מותנית</w:t>
      </w:r>
      <w:r w:rsidRPr="00ED0838">
        <w:rPr>
          <w:rtl/>
        </w:rPr>
        <w:t xml:space="preserve"> </w:t>
      </w:r>
      <w:r w:rsidRPr="00ED0838">
        <w:rPr>
          <w:rFonts w:hint="eastAsia"/>
          <w:rtl/>
        </w:rPr>
        <w:t>בקיומו</w:t>
      </w:r>
      <w:r w:rsidRPr="00ED0838">
        <w:rPr>
          <w:rtl/>
        </w:rPr>
        <w:t xml:space="preserve"> </w:t>
      </w:r>
      <w:r w:rsidRPr="00ED0838">
        <w:rPr>
          <w:rFonts w:hint="eastAsia"/>
          <w:rtl/>
        </w:rPr>
        <w:t>של</w:t>
      </w:r>
      <w:r w:rsidRPr="00ED0838">
        <w:rPr>
          <w:rtl/>
        </w:rPr>
        <w:t xml:space="preserve"> </w:t>
      </w:r>
      <w:r w:rsidRPr="00ED0838">
        <w:rPr>
          <w:rFonts w:hint="eastAsia"/>
          <w:rtl/>
        </w:rPr>
        <w:t>נזק</w:t>
      </w:r>
      <w:r w:rsidRPr="00ED0838">
        <w:rPr>
          <w:rtl/>
        </w:rPr>
        <w:t xml:space="preserve">. </w:t>
      </w:r>
      <w:r w:rsidRPr="00ED0838">
        <w:rPr>
          <w:rFonts w:hint="eastAsia"/>
          <w:rtl/>
        </w:rPr>
        <w:t>יחד</w:t>
      </w:r>
      <w:r w:rsidRPr="00ED0838">
        <w:rPr>
          <w:rtl/>
        </w:rPr>
        <w:t xml:space="preserve"> </w:t>
      </w:r>
      <w:r w:rsidRPr="00ED0838">
        <w:rPr>
          <w:rFonts w:hint="eastAsia"/>
          <w:rtl/>
        </w:rPr>
        <w:t>עם</w:t>
      </w:r>
      <w:r w:rsidRPr="00ED0838">
        <w:rPr>
          <w:rtl/>
        </w:rPr>
        <w:t xml:space="preserve"> </w:t>
      </w:r>
      <w:r w:rsidRPr="00ED0838">
        <w:rPr>
          <w:rFonts w:hint="eastAsia"/>
          <w:rtl/>
        </w:rPr>
        <w:t>זאת</w:t>
      </w:r>
      <w:r w:rsidRPr="00ED0838">
        <w:rPr>
          <w:rtl/>
        </w:rPr>
        <w:t xml:space="preserve">, </w:t>
      </w:r>
      <w:r w:rsidRPr="00ED0838">
        <w:rPr>
          <w:rFonts w:hint="eastAsia"/>
          <w:rtl/>
        </w:rPr>
        <w:t>לצורך</w:t>
      </w:r>
      <w:r w:rsidRPr="00ED0838">
        <w:rPr>
          <w:rtl/>
        </w:rPr>
        <w:t xml:space="preserve"> </w:t>
      </w:r>
      <w:r w:rsidRPr="00ED0838">
        <w:rPr>
          <w:rFonts w:hint="eastAsia"/>
          <w:rtl/>
        </w:rPr>
        <w:t>פסיקת</w:t>
      </w:r>
      <w:r w:rsidRPr="00ED0838">
        <w:rPr>
          <w:rtl/>
        </w:rPr>
        <w:t xml:space="preserve"> </w:t>
      </w:r>
      <w:r w:rsidRPr="00ED0838">
        <w:rPr>
          <w:rFonts w:hint="eastAsia"/>
          <w:rtl/>
        </w:rPr>
        <w:t>פיצוי</w:t>
      </w:r>
      <w:r w:rsidRPr="00ED0838">
        <w:rPr>
          <w:rtl/>
        </w:rPr>
        <w:t xml:space="preserve">, </w:t>
      </w:r>
      <w:r w:rsidRPr="00ED0838">
        <w:rPr>
          <w:rFonts w:hint="eastAsia"/>
          <w:rtl/>
        </w:rPr>
        <w:t>חלות</w:t>
      </w:r>
      <w:r w:rsidRPr="00ED0838">
        <w:rPr>
          <w:rtl/>
        </w:rPr>
        <w:t xml:space="preserve"> </w:t>
      </w:r>
      <w:r w:rsidRPr="00ED0838">
        <w:rPr>
          <w:rFonts w:hint="eastAsia"/>
          <w:rtl/>
        </w:rPr>
        <w:t>ההוראות</w:t>
      </w:r>
      <w:r w:rsidRPr="00ED0838">
        <w:rPr>
          <w:rtl/>
        </w:rPr>
        <w:t xml:space="preserve"> </w:t>
      </w:r>
      <w:r w:rsidRPr="00ED0838">
        <w:rPr>
          <w:rFonts w:hint="eastAsia"/>
          <w:rtl/>
        </w:rPr>
        <w:t>הכלליות</w:t>
      </w:r>
      <w:r w:rsidRPr="00ED0838">
        <w:rPr>
          <w:rtl/>
        </w:rPr>
        <w:t xml:space="preserve"> </w:t>
      </w:r>
      <w:r w:rsidRPr="00ED0838">
        <w:rPr>
          <w:rFonts w:hint="eastAsia"/>
          <w:rtl/>
        </w:rPr>
        <w:t>של</w:t>
      </w:r>
      <w:r w:rsidRPr="00ED0838">
        <w:rPr>
          <w:rtl/>
        </w:rPr>
        <w:t xml:space="preserve"> </w:t>
      </w:r>
      <w:r w:rsidRPr="00ED0838">
        <w:rPr>
          <w:rFonts w:hint="eastAsia"/>
          <w:rtl/>
        </w:rPr>
        <w:t>דיני</w:t>
      </w:r>
      <w:r w:rsidRPr="00ED0838">
        <w:rPr>
          <w:rtl/>
        </w:rPr>
        <w:t xml:space="preserve"> </w:t>
      </w:r>
      <w:r w:rsidRPr="00ED0838">
        <w:rPr>
          <w:rFonts w:hint="eastAsia"/>
          <w:rtl/>
        </w:rPr>
        <w:t>הנזיקין</w:t>
      </w:r>
      <w:r w:rsidRPr="00ED0838">
        <w:rPr>
          <w:rtl/>
        </w:rPr>
        <w:t xml:space="preserve">, </w:t>
      </w:r>
      <w:r w:rsidRPr="00ED0838">
        <w:rPr>
          <w:rFonts w:hint="eastAsia"/>
          <w:rtl/>
        </w:rPr>
        <w:t>המחייבות</w:t>
      </w:r>
      <w:r w:rsidRPr="00ED0838">
        <w:rPr>
          <w:rtl/>
        </w:rPr>
        <w:t xml:space="preserve"> </w:t>
      </w:r>
      <w:r w:rsidRPr="00ED0838">
        <w:rPr>
          <w:rFonts w:hint="eastAsia"/>
          <w:rtl/>
        </w:rPr>
        <w:t>קיומו</w:t>
      </w:r>
      <w:r w:rsidRPr="00ED0838">
        <w:rPr>
          <w:rtl/>
        </w:rPr>
        <w:t xml:space="preserve"> </w:t>
      </w:r>
      <w:r w:rsidRPr="00ED0838">
        <w:rPr>
          <w:rFonts w:hint="eastAsia"/>
          <w:rtl/>
        </w:rPr>
        <w:t>של</w:t>
      </w:r>
      <w:r w:rsidRPr="00ED0838">
        <w:rPr>
          <w:rtl/>
        </w:rPr>
        <w:t xml:space="preserve"> </w:t>
      </w:r>
      <w:r w:rsidRPr="00ED0838">
        <w:rPr>
          <w:rFonts w:hint="eastAsia"/>
          <w:rtl/>
        </w:rPr>
        <w:t>נזק</w:t>
      </w:r>
      <w:r w:rsidRPr="00ED0838">
        <w:rPr>
          <w:rtl/>
        </w:rPr>
        <w:t xml:space="preserve"> </w:t>
      </w:r>
      <w:r w:rsidRPr="00ED0838">
        <w:rPr>
          <w:rFonts w:hint="eastAsia"/>
          <w:rtl/>
        </w:rPr>
        <w:t>כתנאי</w:t>
      </w:r>
      <w:r w:rsidRPr="00ED0838">
        <w:rPr>
          <w:rtl/>
        </w:rPr>
        <w:t xml:space="preserve"> </w:t>
      </w:r>
      <w:r w:rsidRPr="00ED0838">
        <w:rPr>
          <w:rFonts w:hint="eastAsia"/>
          <w:rtl/>
        </w:rPr>
        <w:t>לפסיקת</w:t>
      </w:r>
      <w:r w:rsidRPr="00ED0838">
        <w:rPr>
          <w:rtl/>
        </w:rPr>
        <w:t xml:space="preserve"> </w:t>
      </w:r>
      <w:r w:rsidRPr="00ED0838">
        <w:rPr>
          <w:rFonts w:hint="eastAsia"/>
          <w:rtl/>
        </w:rPr>
        <w:t>פיצוי</w:t>
      </w:r>
      <w:r w:rsidRPr="00ED0838">
        <w:rPr>
          <w:rtl/>
        </w:rPr>
        <w:t xml:space="preserve">, </w:t>
      </w:r>
      <w:r w:rsidRPr="00ED0838">
        <w:rPr>
          <w:rFonts w:hint="eastAsia"/>
          <w:rtl/>
        </w:rPr>
        <w:t>שהרי</w:t>
      </w:r>
      <w:r w:rsidRPr="00ED0838">
        <w:rPr>
          <w:rtl/>
        </w:rPr>
        <w:t xml:space="preserve"> </w:t>
      </w:r>
      <w:r w:rsidRPr="00ED0838">
        <w:rPr>
          <w:rFonts w:hint="eastAsia"/>
          <w:rtl/>
        </w:rPr>
        <w:t>סעד</w:t>
      </w:r>
      <w:r w:rsidRPr="00ED0838">
        <w:rPr>
          <w:rtl/>
        </w:rPr>
        <w:t xml:space="preserve"> </w:t>
      </w:r>
      <w:r w:rsidRPr="00ED0838">
        <w:rPr>
          <w:rFonts w:hint="eastAsia"/>
          <w:rtl/>
        </w:rPr>
        <w:t>הפיצוי</w:t>
      </w:r>
      <w:r w:rsidRPr="00ED0838">
        <w:rPr>
          <w:rtl/>
        </w:rPr>
        <w:t xml:space="preserve">, </w:t>
      </w:r>
      <w:r w:rsidRPr="00ED0838">
        <w:rPr>
          <w:rFonts w:hint="eastAsia"/>
          <w:rtl/>
        </w:rPr>
        <w:t>מטבעו</w:t>
      </w:r>
      <w:r w:rsidRPr="00ED0838">
        <w:rPr>
          <w:rtl/>
        </w:rPr>
        <w:t xml:space="preserve">, </w:t>
      </w:r>
      <w:r w:rsidRPr="00ED0838">
        <w:rPr>
          <w:rFonts w:hint="eastAsia"/>
          <w:rtl/>
        </w:rPr>
        <w:t>מצריך</w:t>
      </w:r>
      <w:r w:rsidRPr="00ED0838">
        <w:rPr>
          <w:rtl/>
        </w:rPr>
        <w:t xml:space="preserve"> </w:t>
      </w:r>
      <w:r w:rsidRPr="00ED0838">
        <w:rPr>
          <w:rFonts w:hint="eastAsia"/>
          <w:rtl/>
        </w:rPr>
        <w:t>קיומו</w:t>
      </w:r>
      <w:r w:rsidRPr="00ED0838">
        <w:rPr>
          <w:rtl/>
        </w:rPr>
        <w:t xml:space="preserve"> </w:t>
      </w:r>
      <w:r w:rsidRPr="00ED0838">
        <w:rPr>
          <w:rFonts w:hint="eastAsia"/>
          <w:rtl/>
        </w:rPr>
        <w:t>של</w:t>
      </w:r>
      <w:r w:rsidRPr="00ED0838">
        <w:rPr>
          <w:rtl/>
        </w:rPr>
        <w:t xml:space="preserve"> </w:t>
      </w:r>
      <w:r w:rsidRPr="00ED0838">
        <w:rPr>
          <w:rFonts w:hint="eastAsia"/>
          <w:rtl/>
        </w:rPr>
        <w:t>נזק</w:t>
      </w:r>
      <w:r w:rsidRPr="00ED0838">
        <w:rPr>
          <w:rtl/>
        </w:rPr>
        <w:t xml:space="preserve"> </w:t>
      </w:r>
      <w:r w:rsidRPr="00ED0838">
        <w:rPr>
          <w:rFonts w:hint="eastAsia"/>
          <w:rtl/>
        </w:rPr>
        <w:t>עליו</w:t>
      </w:r>
      <w:r w:rsidRPr="00ED0838">
        <w:rPr>
          <w:rtl/>
        </w:rPr>
        <w:t xml:space="preserve"> </w:t>
      </w:r>
      <w:r w:rsidRPr="00ED0838">
        <w:rPr>
          <w:rFonts w:hint="eastAsia"/>
          <w:rtl/>
        </w:rPr>
        <w:t>יש</w:t>
      </w:r>
      <w:r w:rsidRPr="00ED0838">
        <w:rPr>
          <w:rtl/>
        </w:rPr>
        <w:t xml:space="preserve"> </w:t>
      </w:r>
      <w:r w:rsidRPr="00ED0838">
        <w:rPr>
          <w:rFonts w:hint="eastAsia"/>
          <w:rtl/>
        </w:rPr>
        <w:t>לפצות</w:t>
      </w:r>
      <w:r>
        <w:rPr>
          <w:rFonts w:hint="cs"/>
          <w:rtl/>
        </w:rPr>
        <w:t>. [.</w:t>
      </w:r>
      <w:r w:rsidRPr="00ED0838">
        <w:rPr>
          <w:rtl/>
        </w:rPr>
        <w:t>.</w:t>
      </w:r>
      <w:r>
        <w:rPr>
          <w:rFonts w:hint="cs"/>
          <w:rtl/>
        </w:rPr>
        <w:t>.]</w:t>
      </w:r>
      <w:r w:rsidRPr="00ED0838">
        <w:rPr>
          <w:rtl/>
        </w:rPr>
        <w:t xml:space="preserve"> </w:t>
      </w:r>
      <w:r w:rsidRPr="00ED0838">
        <w:rPr>
          <w:rFonts w:hint="eastAsia"/>
          <w:rtl/>
        </w:rPr>
        <w:t>זאת</w:t>
      </w:r>
      <w:r w:rsidRPr="00ED0838">
        <w:rPr>
          <w:rtl/>
        </w:rPr>
        <w:t xml:space="preserve">, </w:t>
      </w:r>
      <w:r w:rsidRPr="00ED0838">
        <w:rPr>
          <w:rFonts w:hint="eastAsia"/>
          <w:rtl/>
        </w:rPr>
        <w:t>בכפוף</w:t>
      </w:r>
      <w:r w:rsidRPr="00ED0838">
        <w:rPr>
          <w:rtl/>
        </w:rPr>
        <w:t xml:space="preserve"> </w:t>
      </w:r>
      <w:r w:rsidRPr="00ED0838">
        <w:rPr>
          <w:rFonts w:hint="eastAsia"/>
          <w:rtl/>
        </w:rPr>
        <w:t>לפיצוי</w:t>
      </w:r>
      <w:r w:rsidRPr="00ED0838">
        <w:rPr>
          <w:rtl/>
        </w:rPr>
        <w:t xml:space="preserve"> </w:t>
      </w:r>
      <w:r w:rsidRPr="00ED0838">
        <w:rPr>
          <w:rFonts w:hint="eastAsia"/>
          <w:rtl/>
        </w:rPr>
        <w:t>הסטטוטורי</w:t>
      </w:r>
      <w:r w:rsidRPr="00ED0838">
        <w:rPr>
          <w:rtl/>
        </w:rPr>
        <w:t xml:space="preserve"> </w:t>
      </w:r>
      <w:r w:rsidRPr="00ED0838">
        <w:rPr>
          <w:rFonts w:hint="eastAsia"/>
          <w:rtl/>
        </w:rPr>
        <w:t>ללא</w:t>
      </w:r>
      <w:r w:rsidRPr="00ED0838">
        <w:rPr>
          <w:rtl/>
        </w:rPr>
        <w:t xml:space="preserve"> </w:t>
      </w:r>
      <w:r w:rsidRPr="00ED0838">
        <w:rPr>
          <w:rFonts w:hint="eastAsia"/>
          <w:rtl/>
        </w:rPr>
        <w:t>הוכחת</w:t>
      </w:r>
      <w:r w:rsidRPr="00ED0838">
        <w:rPr>
          <w:rtl/>
        </w:rPr>
        <w:t xml:space="preserve"> </w:t>
      </w:r>
      <w:r w:rsidRPr="00ED0838">
        <w:rPr>
          <w:rFonts w:hint="eastAsia"/>
          <w:rtl/>
        </w:rPr>
        <w:t>נזק</w:t>
      </w:r>
      <w:r w:rsidRPr="00ED0838">
        <w:rPr>
          <w:rtl/>
        </w:rPr>
        <w:t xml:space="preserve">, </w:t>
      </w:r>
      <w:r w:rsidRPr="00ED0838">
        <w:rPr>
          <w:rFonts w:hint="eastAsia"/>
          <w:rtl/>
        </w:rPr>
        <w:t>המוסדר</w:t>
      </w:r>
      <w:r w:rsidRPr="00ED0838">
        <w:rPr>
          <w:rtl/>
        </w:rPr>
        <w:t xml:space="preserve"> </w:t>
      </w:r>
      <w:r w:rsidRPr="00ED0838">
        <w:rPr>
          <w:rFonts w:hint="eastAsia"/>
          <w:rtl/>
        </w:rPr>
        <w:t>בהוראה</w:t>
      </w:r>
      <w:r w:rsidRPr="00ED0838">
        <w:rPr>
          <w:rtl/>
        </w:rPr>
        <w:t xml:space="preserve"> </w:t>
      </w:r>
      <w:r w:rsidRPr="00ED0838">
        <w:rPr>
          <w:rFonts w:hint="eastAsia"/>
          <w:rtl/>
        </w:rPr>
        <w:t>מיוחדת</w:t>
      </w:r>
      <w:r w:rsidRPr="00ED0838">
        <w:rPr>
          <w:rtl/>
        </w:rPr>
        <w:t xml:space="preserve"> </w:t>
      </w:r>
      <w:r w:rsidRPr="00ED0838">
        <w:rPr>
          <w:rFonts w:hint="eastAsia"/>
          <w:rtl/>
        </w:rPr>
        <w:t>בסעיף</w:t>
      </w:r>
      <w:r w:rsidRPr="00ED0838">
        <w:rPr>
          <w:rtl/>
        </w:rPr>
        <w:t xml:space="preserve"> 7</w:t>
      </w:r>
      <w:r w:rsidRPr="00ED0838">
        <w:rPr>
          <w:rFonts w:hint="eastAsia"/>
          <w:rtl/>
        </w:rPr>
        <w:t>א</w:t>
      </w:r>
      <w:r w:rsidRPr="00ED0838">
        <w:rPr>
          <w:rtl/>
        </w:rPr>
        <w:t xml:space="preserve"> </w:t>
      </w:r>
      <w:r w:rsidRPr="00ED0838">
        <w:rPr>
          <w:rFonts w:hint="eastAsia"/>
          <w:rtl/>
        </w:rPr>
        <w:t>לחוק</w:t>
      </w:r>
      <w:r w:rsidRPr="00ED0838">
        <w:rPr>
          <w:rtl/>
        </w:rPr>
        <w:t xml:space="preserve"> </w:t>
      </w:r>
      <w:r w:rsidRPr="00ED0838">
        <w:rPr>
          <w:rFonts w:hint="eastAsia"/>
          <w:rtl/>
        </w:rPr>
        <w:t>איסור</w:t>
      </w:r>
      <w:r w:rsidRPr="00ED0838">
        <w:rPr>
          <w:rtl/>
        </w:rPr>
        <w:t xml:space="preserve"> </w:t>
      </w:r>
      <w:r w:rsidRPr="00ED0838">
        <w:rPr>
          <w:rFonts w:hint="eastAsia"/>
          <w:rtl/>
        </w:rPr>
        <w:t>לשון</w:t>
      </w:r>
      <w:r w:rsidRPr="00ED0838">
        <w:rPr>
          <w:rtl/>
        </w:rPr>
        <w:t xml:space="preserve"> </w:t>
      </w:r>
      <w:r w:rsidRPr="00ED0838">
        <w:rPr>
          <w:rFonts w:hint="eastAsia"/>
          <w:rtl/>
        </w:rPr>
        <w:t>הרע</w:t>
      </w:r>
      <w:r w:rsidRPr="00ED0838">
        <w:rPr>
          <w:rtl/>
        </w:rPr>
        <w:t xml:space="preserve">, </w:t>
      </w:r>
      <w:r w:rsidRPr="00ED0838">
        <w:rPr>
          <w:rFonts w:hint="eastAsia"/>
          <w:rtl/>
        </w:rPr>
        <w:t>ולהבדיל</w:t>
      </w:r>
      <w:r w:rsidRPr="00ED0838">
        <w:rPr>
          <w:rtl/>
        </w:rPr>
        <w:t xml:space="preserve"> </w:t>
      </w:r>
      <w:r w:rsidRPr="00ED0838">
        <w:rPr>
          <w:rFonts w:hint="eastAsia"/>
          <w:rtl/>
        </w:rPr>
        <w:t>מסעדים</w:t>
      </w:r>
      <w:r w:rsidRPr="00ED0838">
        <w:rPr>
          <w:rtl/>
        </w:rPr>
        <w:t xml:space="preserve"> </w:t>
      </w:r>
      <w:r w:rsidRPr="00ED0838">
        <w:rPr>
          <w:rFonts w:hint="eastAsia"/>
          <w:rtl/>
        </w:rPr>
        <w:t>אחרים</w:t>
      </w:r>
      <w:r w:rsidRPr="00ED0838">
        <w:rPr>
          <w:rtl/>
        </w:rPr>
        <w:t xml:space="preserve"> </w:t>
      </w:r>
      <w:r w:rsidRPr="00ED0838">
        <w:rPr>
          <w:rFonts w:hint="eastAsia"/>
          <w:rtl/>
        </w:rPr>
        <w:t>המנויים</w:t>
      </w:r>
      <w:r w:rsidRPr="00ED0838">
        <w:rPr>
          <w:rtl/>
        </w:rPr>
        <w:t xml:space="preserve"> </w:t>
      </w:r>
      <w:r w:rsidRPr="00ED0838">
        <w:rPr>
          <w:rFonts w:hint="eastAsia"/>
          <w:rtl/>
        </w:rPr>
        <w:t>בחוק</w:t>
      </w:r>
      <w:r w:rsidRPr="00ED0838">
        <w:rPr>
          <w:rtl/>
        </w:rPr>
        <w:t xml:space="preserve">, </w:t>
      </w:r>
      <w:r w:rsidRPr="00ED0838">
        <w:rPr>
          <w:rFonts w:hint="eastAsia"/>
          <w:rtl/>
        </w:rPr>
        <w:t>שהענקתם</w:t>
      </w:r>
      <w:r w:rsidRPr="00ED0838">
        <w:rPr>
          <w:rtl/>
        </w:rPr>
        <w:t xml:space="preserve"> </w:t>
      </w:r>
      <w:r w:rsidRPr="00ED0838">
        <w:rPr>
          <w:rFonts w:hint="eastAsia"/>
          <w:rtl/>
        </w:rPr>
        <w:t>אינה</w:t>
      </w:r>
      <w:r w:rsidRPr="00ED0838">
        <w:rPr>
          <w:rtl/>
        </w:rPr>
        <w:t xml:space="preserve"> </w:t>
      </w:r>
      <w:r w:rsidRPr="00ED0838">
        <w:rPr>
          <w:rFonts w:hint="eastAsia"/>
          <w:rtl/>
        </w:rPr>
        <w:t>מותנית</w:t>
      </w:r>
      <w:r w:rsidRPr="00ED0838">
        <w:rPr>
          <w:rtl/>
        </w:rPr>
        <w:t xml:space="preserve"> </w:t>
      </w:r>
      <w:r w:rsidRPr="00ED0838">
        <w:rPr>
          <w:rFonts w:hint="eastAsia"/>
          <w:rtl/>
        </w:rPr>
        <w:t>בקיום</w:t>
      </w:r>
      <w:r w:rsidRPr="00ED0838">
        <w:rPr>
          <w:rtl/>
        </w:rPr>
        <w:t xml:space="preserve"> </w:t>
      </w:r>
      <w:r w:rsidRPr="00ED0838">
        <w:rPr>
          <w:rFonts w:hint="eastAsia"/>
          <w:rtl/>
        </w:rPr>
        <w:t>נזק</w:t>
      </w:r>
      <w:r w:rsidRPr="00ED0838">
        <w:rPr>
          <w:rtl/>
        </w:rPr>
        <w:t xml:space="preserve">. </w:t>
      </w:r>
      <w:r w:rsidRPr="00ED0838">
        <w:rPr>
          <w:rFonts w:hint="eastAsia"/>
          <w:rtl/>
        </w:rPr>
        <w:t>דרישת</w:t>
      </w:r>
      <w:r w:rsidRPr="00ED0838">
        <w:rPr>
          <w:rtl/>
        </w:rPr>
        <w:t xml:space="preserve"> </w:t>
      </w:r>
      <w:r w:rsidRPr="00ED0838">
        <w:rPr>
          <w:rFonts w:hint="eastAsia"/>
          <w:rtl/>
        </w:rPr>
        <w:t>הנזק</w:t>
      </w:r>
      <w:r w:rsidRPr="00ED0838">
        <w:rPr>
          <w:rtl/>
        </w:rPr>
        <w:t xml:space="preserve"> </w:t>
      </w:r>
      <w:r w:rsidRPr="00ED0838">
        <w:rPr>
          <w:rFonts w:hint="eastAsia"/>
          <w:rtl/>
        </w:rPr>
        <w:t>אין</w:t>
      </w:r>
      <w:r w:rsidRPr="00ED0838">
        <w:rPr>
          <w:rtl/>
        </w:rPr>
        <w:t xml:space="preserve"> </w:t>
      </w:r>
      <w:r w:rsidRPr="00ED0838">
        <w:rPr>
          <w:rFonts w:hint="eastAsia"/>
          <w:rtl/>
        </w:rPr>
        <w:t>משמעה</w:t>
      </w:r>
      <w:r w:rsidRPr="00ED0838">
        <w:rPr>
          <w:rtl/>
        </w:rPr>
        <w:t xml:space="preserve"> </w:t>
      </w:r>
      <w:r>
        <w:rPr>
          <w:rFonts w:hint="cs"/>
          <w:rtl/>
        </w:rPr>
        <w:t>'</w:t>
      </w:r>
      <w:r w:rsidRPr="00ED0838">
        <w:rPr>
          <w:rFonts w:hint="eastAsia"/>
          <w:rtl/>
        </w:rPr>
        <w:t>נזק</w:t>
      </w:r>
      <w:r w:rsidRPr="00ED0838">
        <w:rPr>
          <w:rtl/>
        </w:rPr>
        <w:t xml:space="preserve"> </w:t>
      </w:r>
      <w:r w:rsidRPr="00ED0838">
        <w:rPr>
          <w:rFonts w:hint="eastAsia"/>
          <w:rtl/>
        </w:rPr>
        <w:t>ממון</w:t>
      </w:r>
      <w:r>
        <w:rPr>
          <w:rFonts w:hint="cs"/>
          <w:rtl/>
        </w:rPr>
        <w:t>'</w:t>
      </w:r>
      <w:r w:rsidRPr="00ED0838">
        <w:rPr>
          <w:rtl/>
        </w:rPr>
        <w:t xml:space="preserve"> </w:t>
      </w:r>
      <w:r w:rsidRPr="00ED0838">
        <w:rPr>
          <w:rFonts w:hint="eastAsia"/>
          <w:rtl/>
        </w:rPr>
        <w:t>דווקא</w:t>
      </w:r>
      <w:r w:rsidRPr="00ED0838">
        <w:rPr>
          <w:rtl/>
        </w:rPr>
        <w:t xml:space="preserve">, </w:t>
      </w:r>
      <w:r w:rsidRPr="00ED0838">
        <w:rPr>
          <w:rFonts w:hint="eastAsia"/>
          <w:rtl/>
        </w:rPr>
        <w:t>וגם</w:t>
      </w:r>
      <w:r w:rsidRPr="00ED0838">
        <w:rPr>
          <w:rtl/>
        </w:rPr>
        <w:t xml:space="preserve"> </w:t>
      </w:r>
      <w:r w:rsidRPr="00ED0838">
        <w:rPr>
          <w:rFonts w:hint="eastAsia"/>
          <w:rtl/>
        </w:rPr>
        <w:t>נזק</w:t>
      </w:r>
      <w:r w:rsidRPr="00ED0838">
        <w:rPr>
          <w:rtl/>
        </w:rPr>
        <w:t xml:space="preserve"> </w:t>
      </w:r>
      <w:r w:rsidRPr="00ED0838">
        <w:rPr>
          <w:rFonts w:hint="eastAsia"/>
          <w:rtl/>
        </w:rPr>
        <w:t>כללי</w:t>
      </w:r>
      <w:r w:rsidRPr="00ED0838">
        <w:rPr>
          <w:rtl/>
        </w:rPr>
        <w:t xml:space="preserve"> </w:t>
      </w:r>
      <w:r w:rsidRPr="00ED0838">
        <w:rPr>
          <w:rFonts w:hint="eastAsia"/>
          <w:rtl/>
        </w:rPr>
        <w:t>הוא</w:t>
      </w:r>
      <w:r w:rsidRPr="00ED0838">
        <w:rPr>
          <w:rtl/>
        </w:rPr>
        <w:t xml:space="preserve"> </w:t>
      </w:r>
      <w:r w:rsidRPr="00ED0838">
        <w:rPr>
          <w:rFonts w:hint="eastAsia"/>
          <w:rtl/>
        </w:rPr>
        <w:t>בבחינת</w:t>
      </w:r>
      <w:r w:rsidRPr="00ED0838">
        <w:rPr>
          <w:rtl/>
        </w:rPr>
        <w:t xml:space="preserve"> </w:t>
      </w:r>
      <w:r w:rsidRPr="00ED0838">
        <w:rPr>
          <w:rFonts w:hint="eastAsia"/>
          <w:rtl/>
        </w:rPr>
        <w:t>נזק</w:t>
      </w:r>
      <w:r w:rsidRPr="00ED0838">
        <w:rPr>
          <w:rtl/>
        </w:rPr>
        <w:t xml:space="preserve"> </w:t>
      </w:r>
      <w:r w:rsidRPr="00ED0838">
        <w:rPr>
          <w:rFonts w:hint="eastAsia"/>
          <w:rtl/>
        </w:rPr>
        <w:t>לצורך</w:t>
      </w:r>
      <w:r w:rsidRPr="00ED0838">
        <w:rPr>
          <w:rtl/>
        </w:rPr>
        <w:t xml:space="preserve"> </w:t>
      </w:r>
      <w:r w:rsidRPr="00ED0838">
        <w:rPr>
          <w:rFonts w:hint="eastAsia"/>
          <w:rtl/>
        </w:rPr>
        <w:t>הענין</w:t>
      </w:r>
      <w:r w:rsidRPr="00ED0838">
        <w:rPr>
          <w:rtl/>
        </w:rPr>
        <w:t xml:space="preserve">. </w:t>
      </w:r>
      <w:r w:rsidRPr="00ED0838">
        <w:rPr>
          <w:rFonts w:hint="eastAsia"/>
          <w:rtl/>
        </w:rPr>
        <w:t>מבחינת</w:t>
      </w:r>
      <w:r w:rsidRPr="00ED0838">
        <w:rPr>
          <w:rtl/>
        </w:rPr>
        <w:t xml:space="preserve"> </w:t>
      </w:r>
      <w:r w:rsidRPr="00ED0838">
        <w:rPr>
          <w:rFonts w:hint="eastAsia"/>
          <w:rtl/>
        </w:rPr>
        <w:t>הדרישה</w:t>
      </w:r>
      <w:r w:rsidRPr="00ED0838">
        <w:rPr>
          <w:rtl/>
        </w:rPr>
        <w:t xml:space="preserve"> </w:t>
      </w:r>
      <w:r w:rsidRPr="00ED0838">
        <w:rPr>
          <w:rFonts w:hint="eastAsia"/>
          <w:rtl/>
        </w:rPr>
        <w:t>ההוכחתית</w:t>
      </w:r>
      <w:r w:rsidRPr="00ED0838">
        <w:rPr>
          <w:rtl/>
        </w:rPr>
        <w:t xml:space="preserve">, </w:t>
      </w:r>
      <w:r w:rsidRPr="00ED0838">
        <w:rPr>
          <w:rFonts w:hint="eastAsia"/>
          <w:rtl/>
        </w:rPr>
        <w:t>ניתן</w:t>
      </w:r>
      <w:r w:rsidRPr="00ED0838">
        <w:rPr>
          <w:rtl/>
        </w:rPr>
        <w:t xml:space="preserve"> </w:t>
      </w:r>
      <w:r w:rsidRPr="00ED0838">
        <w:rPr>
          <w:rFonts w:hint="eastAsia"/>
          <w:rtl/>
        </w:rPr>
        <w:t>להיעזר</w:t>
      </w:r>
      <w:r w:rsidRPr="00ED0838">
        <w:rPr>
          <w:rtl/>
        </w:rPr>
        <w:t xml:space="preserve"> </w:t>
      </w:r>
      <w:r w:rsidRPr="00ED0838">
        <w:rPr>
          <w:rFonts w:hint="eastAsia"/>
          <w:rtl/>
        </w:rPr>
        <w:t>בחזקה</w:t>
      </w:r>
      <w:r w:rsidRPr="00ED0838">
        <w:rPr>
          <w:rtl/>
        </w:rPr>
        <w:t xml:space="preserve"> </w:t>
      </w:r>
      <w:r w:rsidRPr="00ED0838">
        <w:rPr>
          <w:rFonts w:hint="eastAsia"/>
          <w:rtl/>
        </w:rPr>
        <w:t>עובדתית</w:t>
      </w:r>
      <w:r w:rsidRPr="00ED0838">
        <w:rPr>
          <w:rtl/>
        </w:rPr>
        <w:t xml:space="preserve"> </w:t>
      </w:r>
      <w:r w:rsidRPr="00ED0838">
        <w:rPr>
          <w:rFonts w:hint="eastAsia"/>
          <w:rtl/>
        </w:rPr>
        <w:t>על</w:t>
      </w:r>
      <w:r w:rsidRPr="00ED0838">
        <w:rPr>
          <w:rtl/>
        </w:rPr>
        <w:t xml:space="preserve"> </w:t>
      </w:r>
      <w:r w:rsidRPr="00ED0838">
        <w:rPr>
          <w:rFonts w:hint="eastAsia"/>
          <w:rtl/>
        </w:rPr>
        <w:t>פיה</w:t>
      </w:r>
      <w:r w:rsidRPr="00ED0838">
        <w:rPr>
          <w:rtl/>
        </w:rPr>
        <w:t xml:space="preserve"> </w:t>
      </w:r>
      <w:r w:rsidRPr="00ED0838">
        <w:rPr>
          <w:rFonts w:hint="eastAsia"/>
          <w:rtl/>
        </w:rPr>
        <w:t>פרסום</w:t>
      </w:r>
      <w:r w:rsidRPr="00ED0838">
        <w:rPr>
          <w:rtl/>
        </w:rPr>
        <w:t xml:space="preserve"> </w:t>
      </w:r>
      <w:r w:rsidRPr="00ED0838">
        <w:rPr>
          <w:rFonts w:hint="eastAsia"/>
          <w:rtl/>
        </w:rPr>
        <w:t>לשון</w:t>
      </w:r>
      <w:r w:rsidRPr="00ED0838">
        <w:rPr>
          <w:rtl/>
        </w:rPr>
        <w:t xml:space="preserve"> </w:t>
      </w:r>
      <w:r w:rsidRPr="00ED0838">
        <w:rPr>
          <w:rFonts w:hint="eastAsia"/>
          <w:rtl/>
        </w:rPr>
        <w:t>הרע</w:t>
      </w:r>
      <w:r w:rsidRPr="00ED0838">
        <w:rPr>
          <w:rtl/>
        </w:rPr>
        <w:t xml:space="preserve"> </w:t>
      </w:r>
      <w:r w:rsidRPr="00ED0838">
        <w:rPr>
          <w:rFonts w:hint="eastAsia"/>
          <w:rtl/>
        </w:rPr>
        <w:t>מעצם</w:t>
      </w:r>
      <w:r w:rsidRPr="00ED0838">
        <w:rPr>
          <w:rtl/>
        </w:rPr>
        <w:t xml:space="preserve"> </w:t>
      </w:r>
      <w:r w:rsidRPr="00ED0838">
        <w:rPr>
          <w:rFonts w:hint="eastAsia"/>
          <w:rtl/>
        </w:rPr>
        <w:t>טיבו</w:t>
      </w:r>
      <w:r w:rsidRPr="00ED0838">
        <w:rPr>
          <w:rtl/>
        </w:rPr>
        <w:t xml:space="preserve"> </w:t>
      </w:r>
      <w:r w:rsidRPr="00ED0838">
        <w:rPr>
          <w:rFonts w:hint="eastAsia"/>
          <w:rtl/>
        </w:rPr>
        <w:t>גורם</w:t>
      </w:r>
      <w:r w:rsidRPr="00ED0838">
        <w:rPr>
          <w:rtl/>
        </w:rPr>
        <w:t xml:space="preserve"> </w:t>
      </w:r>
      <w:r w:rsidRPr="00ED0838">
        <w:rPr>
          <w:rFonts w:hint="eastAsia"/>
          <w:rtl/>
        </w:rPr>
        <w:t>נזק</w:t>
      </w:r>
      <w:r w:rsidRPr="00ED0838">
        <w:rPr>
          <w:rtl/>
        </w:rPr>
        <w:t xml:space="preserve">, </w:t>
      </w:r>
      <w:r w:rsidRPr="00ED0838">
        <w:rPr>
          <w:rFonts w:hint="eastAsia"/>
          <w:rtl/>
        </w:rPr>
        <w:t>אלא</w:t>
      </w:r>
      <w:r w:rsidRPr="00ED0838">
        <w:rPr>
          <w:rtl/>
        </w:rPr>
        <w:t xml:space="preserve"> </w:t>
      </w:r>
      <w:r w:rsidRPr="00ED0838">
        <w:rPr>
          <w:rFonts w:hint="eastAsia"/>
          <w:rtl/>
        </w:rPr>
        <w:t>אם</w:t>
      </w:r>
      <w:r w:rsidRPr="00ED0838">
        <w:rPr>
          <w:rtl/>
        </w:rPr>
        <w:t xml:space="preserve"> </w:t>
      </w:r>
      <w:r w:rsidRPr="00ED0838">
        <w:rPr>
          <w:rFonts w:hint="eastAsia"/>
          <w:rtl/>
        </w:rPr>
        <w:t>הוכח</w:t>
      </w:r>
      <w:r w:rsidRPr="00ED0838">
        <w:rPr>
          <w:rtl/>
        </w:rPr>
        <w:t xml:space="preserve"> </w:t>
      </w:r>
      <w:r w:rsidRPr="00ED0838">
        <w:rPr>
          <w:rFonts w:hint="eastAsia"/>
          <w:rtl/>
        </w:rPr>
        <w:t>אחרת</w:t>
      </w:r>
      <w:r w:rsidRPr="00ED0838">
        <w:rPr>
          <w:rtl/>
        </w:rPr>
        <w:t xml:space="preserve"> </w:t>
      </w:r>
      <w:r>
        <w:rPr>
          <w:rFonts w:hint="cs"/>
          <w:rtl/>
        </w:rPr>
        <w:t>[...].</w:t>
      </w:r>
      <w:r w:rsidRPr="00ED0838">
        <w:rPr>
          <w:rtl/>
        </w:rPr>
        <w:t xml:space="preserve"> </w:t>
      </w:r>
      <w:r w:rsidRPr="00ED0838">
        <w:rPr>
          <w:rFonts w:hint="eastAsia"/>
          <w:rtl/>
        </w:rPr>
        <w:t>למונח</w:t>
      </w:r>
      <w:r w:rsidRPr="00ED0838">
        <w:rPr>
          <w:rtl/>
        </w:rPr>
        <w:t xml:space="preserve"> </w:t>
      </w:r>
      <w:r>
        <w:rPr>
          <w:rFonts w:hint="cs"/>
          <w:rtl/>
        </w:rPr>
        <w:t>'</w:t>
      </w:r>
      <w:r w:rsidRPr="00ED0838">
        <w:rPr>
          <w:rFonts w:hint="eastAsia"/>
          <w:rtl/>
        </w:rPr>
        <w:t>נזק</w:t>
      </w:r>
      <w:r>
        <w:rPr>
          <w:rFonts w:hint="cs"/>
          <w:rtl/>
        </w:rPr>
        <w:t>'</w:t>
      </w:r>
      <w:r w:rsidRPr="00ED0838">
        <w:rPr>
          <w:rtl/>
        </w:rPr>
        <w:t xml:space="preserve"> </w:t>
      </w:r>
      <w:r w:rsidRPr="00ED0838">
        <w:rPr>
          <w:rFonts w:hint="eastAsia"/>
          <w:rtl/>
        </w:rPr>
        <w:t>שבפקודת</w:t>
      </w:r>
      <w:r w:rsidRPr="00ED0838">
        <w:rPr>
          <w:rtl/>
        </w:rPr>
        <w:t xml:space="preserve"> </w:t>
      </w:r>
      <w:r w:rsidRPr="00ED0838">
        <w:rPr>
          <w:rFonts w:hint="eastAsia"/>
          <w:rtl/>
        </w:rPr>
        <w:t>הנזיקין</w:t>
      </w:r>
      <w:r w:rsidRPr="00ED0838">
        <w:rPr>
          <w:rtl/>
        </w:rPr>
        <w:t xml:space="preserve">, </w:t>
      </w:r>
      <w:r w:rsidRPr="00ED0838">
        <w:rPr>
          <w:rFonts w:hint="eastAsia"/>
          <w:rtl/>
        </w:rPr>
        <w:t>הכולל</w:t>
      </w:r>
      <w:r w:rsidRPr="00ED0838">
        <w:rPr>
          <w:rtl/>
        </w:rPr>
        <w:t xml:space="preserve"> </w:t>
      </w:r>
      <w:r w:rsidRPr="00ED0838">
        <w:rPr>
          <w:rFonts w:hint="eastAsia"/>
          <w:rtl/>
        </w:rPr>
        <w:t>גם</w:t>
      </w:r>
      <w:r w:rsidRPr="00ED0838">
        <w:rPr>
          <w:rtl/>
        </w:rPr>
        <w:t xml:space="preserve"> </w:t>
      </w:r>
      <w:r w:rsidRPr="00ED0838">
        <w:rPr>
          <w:rFonts w:hint="eastAsia"/>
          <w:rtl/>
        </w:rPr>
        <w:t>פגיעה</w:t>
      </w:r>
      <w:r w:rsidRPr="00ED0838">
        <w:rPr>
          <w:rtl/>
        </w:rPr>
        <w:t xml:space="preserve"> </w:t>
      </w:r>
      <w:r w:rsidRPr="00ED0838">
        <w:rPr>
          <w:rFonts w:hint="eastAsia"/>
          <w:rtl/>
        </w:rPr>
        <w:t>בשם</w:t>
      </w:r>
      <w:r w:rsidRPr="00ED0838">
        <w:rPr>
          <w:rtl/>
        </w:rPr>
        <w:t xml:space="preserve"> </w:t>
      </w:r>
      <w:r w:rsidRPr="00ED0838">
        <w:rPr>
          <w:rFonts w:hint="eastAsia"/>
          <w:rtl/>
        </w:rPr>
        <w:t>טוב</w:t>
      </w:r>
      <w:r w:rsidRPr="00ED0838">
        <w:rPr>
          <w:rtl/>
        </w:rPr>
        <w:t xml:space="preserve">, </w:t>
      </w:r>
      <w:r w:rsidRPr="00ED0838">
        <w:rPr>
          <w:rFonts w:hint="eastAsia"/>
          <w:rtl/>
        </w:rPr>
        <w:t>יש</w:t>
      </w:r>
      <w:r w:rsidRPr="00ED0838">
        <w:rPr>
          <w:rtl/>
        </w:rPr>
        <w:t xml:space="preserve"> </w:t>
      </w:r>
      <w:r w:rsidRPr="00ED0838">
        <w:rPr>
          <w:rFonts w:hint="eastAsia"/>
          <w:rtl/>
        </w:rPr>
        <w:t>להעניק</w:t>
      </w:r>
      <w:r w:rsidRPr="00ED0838">
        <w:rPr>
          <w:rtl/>
        </w:rPr>
        <w:t xml:space="preserve"> </w:t>
      </w:r>
      <w:r w:rsidRPr="00ED0838">
        <w:rPr>
          <w:rFonts w:hint="eastAsia"/>
          <w:rtl/>
        </w:rPr>
        <w:t>משמעות</w:t>
      </w:r>
      <w:r w:rsidRPr="00ED0838">
        <w:rPr>
          <w:rtl/>
        </w:rPr>
        <w:t xml:space="preserve"> </w:t>
      </w:r>
      <w:r w:rsidRPr="00ED0838">
        <w:rPr>
          <w:rFonts w:hint="eastAsia"/>
          <w:rtl/>
        </w:rPr>
        <w:t>רחבה</w:t>
      </w:r>
      <w:r w:rsidRPr="00ED0838">
        <w:rPr>
          <w:rtl/>
        </w:rPr>
        <w:t xml:space="preserve">, </w:t>
      </w:r>
      <w:r w:rsidRPr="00ED0838">
        <w:rPr>
          <w:rFonts w:hint="eastAsia"/>
          <w:rtl/>
        </w:rPr>
        <w:t>ולכלול</w:t>
      </w:r>
      <w:r w:rsidRPr="00ED0838">
        <w:rPr>
          <w:rtl/>
        </w:rPr>
        <w:t xml:space="preserve"> </w:t>
      </w:r>
      <w:r w:rsidRPr="00ED0838">
        <w:rPr>
          <w:rFonts w:hint="eastAsia"/>
          <w:rtl/>
        </w:rPr>
        <w:t>בו</w:t>
      </w:r>
      <w:r w:rsidRPr="00ED0838">
        <w:rPr>
          <w:rtl/>
        </w:rPr>
        <w:t xml:space="preserve"> </w:t>
      </w:r>
      <w:r w:rsidRPr="00ED0838">
        <w:rPr>
          <w:rFonts w:hint="eastAsia"/>
          <w:rtl/>
        </w:rPr>
        <w:t>כל</w:t>
      </w:r>
      <w:r w:rsidRPr="00ED0838">
        <w:rPr>
          <w:rtl/>
        </w:rPr>
        <w:t xml:space="preserve"> </w:t>
      </w:r>
      <w:r w:rsidRPr="00ED0838">
        <w:rPr>
          <w:rFonts w:hint="eastAsia"/>
          <w:rtl/>
        </w:rPr>
        <w:t>הפסד</w:t>
      </w:r>
      <w:r w:rsidRPr="00ED0838">
        <w:rPr>
          <w:rtl/>
        </w:rPr>
        <w:t xml:space="preserve"> </w:t>
      </w:r>
      <w:r w:rsidRPr="00ED0838">
        <w:rPr>
          <w:rFonts w:hint="eastAsia"/>
          <w:rtl/>
        </w:rPr>
        <w:t>מוחשי</w:t>
      </w:r>
      <w:r w:rsidRPr="00ED0838">
        <w:rPr>
          <w:rtl/>
        </w:rPr>
        <w:t xml:space="preserve">, </w:t>
      </w:r>
      <w:r w:rsidRPr="00ED0838">
        <w:rPr>
          <w:rFonts w:hint="eastAsia"/>
          <w:rtl/>
        </w:rPr>
        <w:t>לרבות</w:t>
      </w:r>
      <w:r w:rsidRPr="00ED0838">
        <w:rPr>
          <w:rtl/>
        </w:rPr>
        <w:t xml:space="preserve"> </w:t>
      </w:r>
      <w:r w:rsidRPr="00ED0838">
        <w:rPr>
          <w:rFonts w:hint="eastAsia"/>
          <w:rtl/>
        </w:rPr>
        <w:t>סבל</w:t>
      </w:r>
      <w:r w:rsidRPr="00ED0838">
        <w:rPr>
          <w:rtl/>
        </w:rPr>
        <w:t xml:space="preserve"> </w:t>
      </w:r>
      <w:r w:rsidRPr="00ED0838">
        <w:rPr>
          <w:rFonts w:hint="eastAsia"/>
          <w:rtl/>
        </w:rPr>
        <w:t>נפשי</w:t>
      </w:r>
      <w:r w:rsidRPr="00ED0838">
        <w:rPr>
          <w:rtl/>
        </w:rPr>
        <w:t xml:space="preserve"> </w:t>
      </w:r>
      <w:r>
        <w:rPr>
          <w:rFonts w:hint="cs"/>
          <w:rtl/>
        </w:rPr>
        <w:t>[...]</w:t>
      </w:r>
      <w:r w:rsidRPr="00ED0838">
        <w:rPr>
          <w:rtl/>
        </w:rPr>
        <w:t xml:space="preserve">. </w:t>
      </w:r>
      <w:r w:rsidRPr="00ED0838">
        <w:rPr>
          <w:rFonts w:hint="eastAsia"/>
          <w:rtl/>
        </w:rPr>
        <w:t>כך</w:t>
      </w:r>
      <w:r w:rsidRPr="00ED0838">
        <w:rPr>
          <w:rtl/>
        </w:rPr>
        <w:t xml:space="preserve"> </w:t>
      </w:r>
      <w:r w:rsidRPr="00ED0838">
        <w:rPr>
          <w:rFonts w:hint="eastAsia"/>
          <w:rtl/>
        </w:rPr>
        <w:t>הוא</w:t>
      </w:r>
      <w:r w:rsidRPr="00ED0838">
        <w:rPr>
          <w:rtl/>
        </w:rPr>
        <w:t xml:space="preserve"> </w:t>
      </w:r>
      <w:r w:rsidRPr="00ED0838">
        <w:rPr>
          <w:rFonts w:hint="eastAsia"/>
          <w:rtl/>
        </w:rPr>
        <w:t>לענין</w:t>
      </w:r>
      <w:r w:rsidRPr="00ED0838">
        <w:rPr>
          <w:rtl/>
        </w:rPr>
        <w:t xml:space="preserve"> </w:t>
      </w:r>
      <w:r w:rsidRPr="00ED0838">
        <w:rPr>
          <w:rFonts w:hint="eastAsia"/>
          <w:rtl/>
        </w:rPr>
        <w:t>העוולות</w:t>
      </w:r>
      <w:r w:rsidRPr="00ED0838">
        <w:rPr>
          <w:rtl/>
        </w:rPr>
        <w:t xml:space="preserve"> </w:t>
      </w:r>
      <w:r w:rsidRPr="00ED0838">
        <w:rPr>
          <w:rFonts w:hint="eastAsia"/>
          <w:rtl/>
        </w:rPr>
        <w:t>הכלליות</w:t>
      </w:r>
      <w:r w:rsidRPr="00ED0838">
        <w:rPr>
          <w:rtl/>
        </w:rPr>
        <w:t xml:space="preserve"> </w:t>
      </w:r>
      <w:r w:rsidRPr="00ED0838">
        <w:rPr>
          <w:rFonts w:hint="eastAsia"/>
          <w:rtl/>
        </w:rPr>
        <w:t>שבפקודת</w:t>
      </w:r>
      <w:r w:rsidRPr="00ED0838">
        <w:rPr>
          <w:rtl/>
        </w:rPr>
        <w:t xml:space="preserve"> </w:t>
      </w:r>
      <w:r w:rsidRPr="00ED0838">
        <w:rPr>
          <w:rFonts w:hint="eastAsia"/>
          <w:rtl/>
        </w:rPr>
        <w:t>הנזיקין</w:t>
      </w:r>
      <w:r w:rsidRPr="00ED0838">
        <w:rPr>
          <w:rtl/>
        </w:rPr>
        <w:t xml:space="preserve">, </w:t>
      </w:r>
      <w:r w:rsidRPr="00ED0838">
        <w:rPr>
          <w:rFonts w:hint="eastAsia"/>
          <w:rtl/>
        </w:rPr>
        <w:t>המתפרשות</w:t>
      </w:r>
      <w:r w:rsidRPr="00ED0838">
        <w:rPr>
          <w:rtl/>
        </w:rPr>
        <w:t xml:space="preserve"> </w:t>
      </w:r>
      <w:r w:rsidRPr="00ED0838">
        <w:rPr>
          <w:rFonts w:hint="eastAsia"/>
          <w:rtl/>
        </w:rPr>
        <w:t>גם</w:t>
      </w:r>
      <w:r w:rsidRPr="00ED0838">
        <w:rPr>
          <w:rtl/>
        </w:rPr>
        <w:t xml:space="preserve"> </w:t>
      </w:r>
      <w:r w:rsidRPr="00ED0838">
        <w:rPr>
          <w:rFonts w:hint="eastAsia"/>
          <w:rtl/>
        </w:rPr>
        <w:t>על</w:t>
      </w:r>
      <w:r w:rsidRPr="00ED0838">
        <w:rPr>
          <w:rtl/>
        </w:rPr>
        <w:t xml:space="preserve"> </w:t>
      </w:r>
      <w:r w:rsidRPr="00ED0838">
        <w:rPr>
          <w:rFonts w:hint="eastAsia"/>
          <w:rtl/>
        </w:rPr>
        <w:t>נזקים</w:t>
      </w:r>
      <w:r w:rsidRPr="00ED0838">
        <w:rPr>
          <w:rtl/>
        </w:rPr>
        <w:t xml:space="preserve"> </w:t>
      </w:r>
      <w:r w:rsidRPr="00ED0838">
        <w:rPr>
          <w:rFonts w:hint="eastAsia"/>
          <w:rtl/>
        </w:rPr>
        <w:t>נפשיים</w:t>
      </w:r>
      <w:r w:rsidRPr="00ED0838">
        <w:rPr>
          <w:rtl/>
        </w:rPr>
        <w:t xml:space="preserve"> </w:t>
      </w:r>
      <w:r w:rsidRPr="00ED0838">
        <w:rPr>
          <w:rFonts w:hint="eastAsia"/>
          <w:rtl/>
        </w:rPr>
        <w:t>וכאב</w:t>
      </w:r>
      <w:r w:rsidRPr="00ED0838">
        <w:rPr>
          <w:rtl/>
        </w:rPr>
        <w:t xml:space="preserve"> </w:t>
      </w:r>
      <w:r w:rsidRPr="00ED0838">
        <w:rPr>
          <w:rFonts w:hint="eastAsia"/>
          <w:rtl/>
        </w:rPr>
        <w:t>וסבל</w:t>
      </w:r>
      <w:r w:rsidRPr="00ED0838">
        <w:rPr>
          <w:rtl/>
        </w:rPr>
        <w:t xml:space="preserve">, </w:t>
      </w:r>
      <w:r w:rsidRPr="00ED0838">
        <w:rPr>
          <w:rFonts w:hint="eastAsia"/>
          <w:rtl/>
        </w:rPr>
        <w:t>וכך</w:t>
      </w:r>
      <w:r w:rsidRPr="00ED0838">
        <w:rPr>
          <w:rtl/>
        </w:rPr>
        <w:t xml:space="preserve"> </w:t>
      </w:r>
      <w:r w:rsidRPr="00ED0838">
        <w:rPr>
          <w:rFonts w:hint="eastAsia"/>
          <w:rtl/>
        </w:rPr>
        <w:t>הוא</w:t>
      </w:r>
      <w:r w:rsidRPr="00ED0838">
        <w:rPr>
          <w:rtl/>
        </w:rPr>
        <w:t xml:space="preserve"> </w:t>
      </w:r>
      <w:r w:rsidRPr="00ED0838">
        <w:rPr>
          <w:rFonts w:hint="eastAsia"/>
          <w:rtl/>
        </w:rPr>
        <w:t>בעוולה</w:t>
      </w:r>
      <w:r w:rsidRPr="00ED0838">
        <w:rPr>
          <w:rtl/>
        </w:rPr>
        <w:t xml:space="preserve"> </w:t>
      </w:r>
      <w:r w:rsidRPr="00ED0838">
        <w:rPr>
          <w:rFonts w:hint="eastAsia"/>
          <w:rtl/>
        </w:rPr>
        <w:t>על</w:t>
      </w:r>
      <w:r w:rsidRPr="00ED0838">
        <w:rPr>
          <w:rtl/>
        </w:rPr>
        <w:t xml:space="preserve"> </w:t>
      </w:r>
      <w:r w:rsidRPr="00ED0838">
        <w:rPr>
          <w:rFonts w:hint="eastAsia"/>
          <w:rtl/>
        </w:rPr>
        <w:t>פי</w:t>
      </w:r>
      <w:r w:rsidRPr="00ED0838">
        <w:rPr>
          <w:rtl/>
        </w:rPr>
        <w:t xml:space="preserve"> </w:t>
      </w:r>
      <w:r w:rsidRPr="00ED0838">
        <w:rPr>
          <w:rFonts w:hint="eastAsia"/>
          <w:rtl/>
        </w:rPr>
        <w:t>חוק</w:t>
      </w:r>
      <w:r w:rsidRPr="00ED0838">
        <w:rPr>
          <w:rtl/>
        </w:rPr>
        <w:t xml:space="preserve"> </w:t>
      </w:r>
      <w:r w:rsidRPr="00ED0838">
        <w:rPr>
          <w:rFonts w:hint="eastAsia"/>
          <w:rtl/>
        </w:rPr>
        <w:t>איסור</w:t>
      </w:r>
      <w:r w:rsidRPr="00ED0838">
        <w:rPr>
          <w:rtl/>
        </w:rPr>
        <w:t xml:space="preserve"> </w:t>
      </w:r>
      <w:r w:rsidRPr="00ED0838">
        <w:rPr>
          <w:rFonts w:hint="eastAsia"/>
          <w:rtl/>
        </w:rPr>
        <w:t>לשון</w:t>
      </w:r>
      <w:r w:rsidRPr="00ED0838">
        <w:rPr>
          <w:rtl/>
        </w:rPr>
        <w:t xml:space="preserve"> </w:t>
      </w:r>
      <w:r w:rsidRPr="00ED0838">
        <w:rPr>
          <w:rFonts w:hint="eastAsia"/>
          <w:rtl/>
        </w:rPr>
        <w:t>הרע</w:t>
      </w:r>
      <w:r w:rsidRPr="00ED0838">
        <w:rPr>
          <w:rtl/>
        </w:rPr>
        <w:t xml:space="preserve">, </w:t>
      </w:r>
      <w:r w:rsidRPr="00ED0838">
        <w:rPr>
          <w:rFonts w:hint="eastAsia"/>
          <w:rtl/>
        </w:rPr>
        <w:t>שעיקר</w:t>
      </w:r>
      <w:r w:rsidRPr="00ED0838">
        <w:rPr>
          <w:rtl/>
        </w:rPr>
        <w:t xml:space="preserve"> </w:t>
      </w:r>
      <w:r w:rsidRPr="00ED0838">
        <w:rPr>
          <w:rFonts w:hint="eastAsia"/>
          <w:rtl/>
        </w:rPr>
        <w:t>עניינה</w:t>
      </w:r>
      <w:r w:rsidRPr="00ED0838">
        <w:rPr>
          <w:rtl/>
        </w:rPr>
        <w:t xml:space="preserve"> </w:t>
      </w:r>
      <w:r w:rsidRPr="00ED0838">
        <w:rPr>
          <w:rFonts w:hint="eastAsia"/>
          <w:rtl/>
        </w:rPr>
        <w:t>פגיעה</w:t>
      </w:r>
      <w:r w:rsidRPr="00ED0838">
        <w:rPr>
          <w:rtl/>
        </w:rPr>
        <w:t xml:space="preserve"> </w:t>
      </w:r>
      <w:r w:rsidRPr="00ED0838">
        <w:rPr>
          <w:rFonts w:hint="eastAsia"/>
          <w:rtl/>
        </w:rPr>
        <w:t>בשם</w:t>
      </w:r>
      <w:r w:rsidRPr="00ED0838">
        <w:rPr>
          <w:rtl/>
        </w:rPr>
        <w:t xml:space="preserve"> </w:t>
      </w:r>
      <w:r w:rsidRPr="00ED0838">
        <w:rPr>
          <w:rFonts w:hint="eastAsia"/>
          <w:rtl/>
        </w:rPr>
        <w:t>טוב</w:t>
      </w:r>
      <w:r w:rsidRPr="00ED0838">
        <w:rPr>
          <w:rtl/>
        </w:rPr>
        <w:t xml:space="preserve"> </w:t>
      </w:r>
      <w:r w:rsidRPr="00ED0838">
        <w:rPr>
          <w:rFonts w:hint="eastAsia"/>
          <w:rtl/>
        </w:rPr>
        <w:t>של</w:t>
      </w:r>
      <w:r w:rsidRPr="00ED0838">
        <w:rPr>
          <w:rtl/>
        </w:rPr>
        <w:t xml:space="preserve"> </w:t>
      </w:r>
      <w:r w:rsidRPr="00ED0838">
        <w:rPr>
          <w:rFonts w:hint="eastAsia"/>
          <w:rtl/>
        </w:rPr>
        <w:t>אדם</w:t>
      </w:r>
      <w:r>
        <w:rPr>
          <w:rFonts w:hint="cs"/>
          <w:rtl/>
        </w:rPr>
        <w:t>" (שם, בפסקה 50)</w:t>
      </w:r>
      <w:r w:rsidRPr="00ED0838">
        <w:rPr>
          <w:rtl/>
        </w:rPr>
        <w:t>.</w:t>
      </w:r>
    </w:p>
    <w:p w:rsidR="008B3136" w:rsidRPr="00ED0838" w:rsidRDefault="008B3136" w:rsidP="0049039C">
      <w:pPr>
        <w:pStyle w:val="Ruller41"/>
        <w:rPr>
          <w:rtl/>
        </w:rPr>
      </w:pPr>
    </w:p>
    <w:p w:rsidR="008B3136" w:rsidRPr="00105389" w:rsidRDefault="008B3136" w:rsidP="008B3136">
      <w:pPr>
        <w:pStyle w:val="Ruller4"/>
      </w:pPr>
      <w:r>
        <w:rPr>
          <w:rFonts w:hint="cs"/>
          <w:rtl/>
        </w:rPr>
        <w:t xml:space="preserve">סוף דבר: הסדר ההתיישנות אשר חל על עוולת לשון הרע כעוולה נמשכת </w:t>
      </w:r>
      <w:r>
        <w:rPr>
          <w:rtl/>
        </w:rPr>
        <w:t>–</w:t>
      </w:r>
      <w:r>
        <w:rPr>
          <w:rFonts w:hint="cs"/>
          <w:rtl/>
        </w:rPr>
        <w:t xml:space="preserve"> פרסום דיבה המלווה באי-הסרתו ובאי-תיקונו </w:t>
      </w:r>
      <w:r>
        <w:rPr>
          <w:rtl/>
        </w:rPr>
        <w:t>–</w:t>
      </w:r>
      <w:r>
        <w:rPr>
          <w:rFonts w:hint="cs"/>
          <w:rtl/>
        </w:rPr>
        <w:t xml:space="preserve"> הוא זה של דחיסה לפנים אשר נקבעה בסעיף </w:t>
      </w:r>
      <w:r w:rsidRPr="00105389">
        <w:rPr>
          <w:rtl/>
        </w:rPr>
        <w:t>68</w:t>
      </w:r>
      <w:r w:rsidRPr="00105389">
        <w:rPr>
          <w:rFonts w:hint="eastAsia"/>
          <w:rtl/>
        </w:rPr>
        <w:t>א</w:t>
      </w:r>
      <w:r w:rsidRPr="00105389">
        <w:rPr>
          <w:rtl/>
        </w:rPr>
        <w:t>(</w:t>
      </w:r>
      <w:r w:rsidRPr="00105389">
        <w:rPr>
          <w:rFonts w:hint="eastAsia"/>
          <w:rtl/>
        </w:rPr>
        <w:t>א</w:t>
      </w:r>
      <w:r w:rsidRPr="00105389">
        <w:rPr>
          <w:rtl/>
        </w:rPr>
        <w:t xml:space="preserve">) </w:t>
      </w:r>
      <w:r w:rsidRPr="00105389">
        <w:rPr>
          <w:rFonts w:hint="eastAsia"/>
          <w:rtl/>
        </w:rPr>
        <w:t>לפקודת</w:t>
      </w:r>
      <w:r w:rsidRPr="00105389">
        <w:rPr>
          <w:rtl/>
        </w:rPr>
        <w:t xml:space="preserve"> </w:t>
      </w:r>
      <w:r w:rsidRPr="00105389">
        <w:rPr>
          <w:rFonts w:hint="eastAsia"/>
          <w:rtl/>
        </w:rPr>
        <w:t>הנזיקים</w:t>
      </w:r>
      <w:r w:rsidRPr="00105389">
        <w:rPr>
          <w:rtl/>
        </w:rPr>
        <w:t xml:space="preserve"> </w:t>
      </w:r>
      <w:r w:rsidRPr="00105389">
        <w:rPr>
          <w:rFonts w:hint="eastAsia"/>
          <w:rtl/>
        </w:rPr>
        <w:t>האזרחיים</w:t>
      </w:r>
      <w:r w:rsidRPr="00105389">
        <w:rPr>
          <w:rtl/>
        </w:rPr>
        <w:t xml:space="preserve">, </w:t>
      </w:r>
      <w:r w:rsidRPr="00105389">
        <w:rPr>
          <w:rFonts w:hint="eastAsia"/>
          <w:rtl/>
        </w:rPr>
        <w:t>שלימים</w:t>
      </w:r>
      <w:r w:rsidRPr="00105389">
        <w:rPr>
          <w:rtl/>
        </w:rPr>
        <w:t xml:space="preserve"> </w:t>
      </w:r>
      <w:r w:rsidRPr="00105389">
        <w:rPr>
          <w:rFonts w:hint="eastAsia"/>
          <w:rtl/>
        </w:rPr>
        <w:t>הוחלף</w:t>
      </w:r>
      <w:r w:rsidRPr="00105389">
        <w:rPr>
          <w:rtl/>
        </w:rPr>
        <w:t xml:space="preserve"> </w:t>
      </w:r>
      <w:r w:rsidRPr="00105389">
        <w:rPr>
          <w:rFonts w:hint="eastAsia"/>
          <w:rtl/>
        </w:rPr>
        <w:t>בסעיף</w:t>
      </w:r>
      <w:r w:rsidRPr="00105389">
        <w:rPr>
          <w:rtl/>
        </w:rPr>
        <w:t xml:space="preserve"> 89(1) </w:t>
      </w:r>
      <w:r w:rsidRPr="00105389">
        <w:rPr>
          <w:rFonts w:hint="eastAsia"/>
          <w:rtl/>
        </w:rPr>
        <w:t>לפקודת</w:t>
      </w:r>
      <w:r w:rsidRPr="00105389">
        <w:rPr>
          <w:rtl/>
        </w:rPr>
        <w:t xml:space="preserve"> </w:t>
      </w:r>
      <w:r w:rsidRPr="00105389">
        <w:rPr>
          <w:rFonts w:hint="eastAsia"/>
          <w:rtl/>
        </w:rPr>
        <w:t>הנזיקין</w:t>
      </w:r>
      <w:r w:rsidRPr="00105389">
        <w:rPr>
          <w:rtl/>
        </w:rPr>
        <w:t xml:space="preserve">. </w:t>
      </w:r>
    </w:p>
    <w:p w:rsidR="008B3136" w:rsidRDefault="008B3136" w:rsidP="008B3136">
      <w:pPr>
        <w:pStyle w:val="Ruller4"/>
        <w:numPr>
          <w:ilvl w:val="0"/>
          <w:numId w:val="0"/>
        </w:numPr>
      </w:pPr>
    </w:p>
    <w:p w:rsidR="008B3136" w:rsidRPr="00083734" w:rsidRDefault="008B3136" w:rsidP="008B3136">
      <w:pPr>
        <w:pStyle w:val="Ruller4"/>
        <w:rPr>
          <w:rtl/>
        </w:rPr>
      </w:pPr>
      <w:r>
        <w:rPr>
          <w:rFonts w:hint="cs"/>
          <w:rtl/>
        </w:rPr>
        <w:t>לזאת אוסיף כי התוצאה אליה הגעתי איננה פועל יוצא של מקריות בניסוחו של דבר חקיקה. קיימת אינדיקציה ברורה לכך שהמחוקק אכן התכוון להחיל את מנגנון הדחיסה לפנים ביחס לעוולת לשון הרע, שכן הוא ידע להחליף מנגנון זה בהסדר שונה אחרי שמצא כי נכון לעשות כן. דבר זה נעשה ב</w:t>
      </w:r>
      <w:r w:rsidRPr="002B0B73">
        <w:rPr>
          <w:rFonts w:hint="eastAsia"/>
          <w:rtl/>
        </w:rPr>
        <w:t>חוק</w:t>
      </w:r>
      <w:r w:rsidRPr="002B0B73">
        <w:rPr>
          <w:rtl/>
        </w:rPr>
        <w:t xml:space="preserve"> </w:t>
      </w:r>
      <w:r w:rsidRPr="002B0B73">
        <w:rPr>
          <w:rFonts w:hint="eastAsia"/>
          <w:rtl/>
        </w:rPr>
        <w:t>למניעת</w:t>
      </w:r>
      <w:r w:rsidRPr="002B0B73">
        <w:rPr>
          <w:rtl/>
        </w:rPr>
        <w:t xml:space="preserve"> </w:t>
      </w:r>
      <w:r w:rsidRPr="002B0B73">
        <w:rPr>
          <w:rFonts w:hint="eastAsia"/>
          <w:rtl/>
        </w:rPr>
        <w:t>הטרדה</w:t>
      </w:r>
      <w:r w:rsidRPr="002B0B73">
        <w:rPr>
          <w:rtl/>
        </w:rPr>
        <w:t xml:space="preserve"> </w:t>
      </w:r>
      <w:r w:rsidRPr="002B0B73">
        <w:rPr>
          <w:rFonts w:hint="eastAsia"/>
          <w:rtl/>
        </w:rPr>
        <w:t>מינית</w:t>
      </w:r>
      <w:r w:rsidRPr="002B0B73">
        <w:rPr>
          <w:rtl/>
        </w:rPr>
        <w:t xml:space="preserve">, </w:t>
      </w:r>
      <w:r>
        <w:rPr>
          <w:rFonts w:hint="cs"/>
          <w:rtl/>
        </w:rPr>
        <w:t>ה</w:t>
      </w:r>
      <w:r w:rsidRPr="002B0B73">
        <w:rPr>
          <w:rFonts w:hint="eastAsia"/>
          <w:rtl/>
        </w:rPr>
        <w:t>תשנ</w:t>
      </w:r>
      <w:r w:rsidRPr="002B0B73">
        <w:rPr>
          <w:rtl/>
        </w:rPr>
        <w:t>"</w:t>
      </w:r>
      <w:r w:rsidRPr="002B0B73">
        <w:rPr>
          <w:rFonts w:hint="eastAsia"/>
          <w:rtl/>
        </w:rPr>
        <w:t>ח</w:t>
      </w:r>
      <w:r w:rsidRPr="002B0B73">
        <w:rPr>
          <w:rtl/>
        </w:rPr>
        <w:t>-1998</w:t>
      </w:r>
      <w:r>
        <w:rPr>
          <w:rFonts w:hint="cs"/>
          <w:rtl/>
        </w:rPr>
        <w:t xml:space="preserve"> (להלן: </w:t>
      </w:r>
      <w:r w:rsidRPr="00DC5112">
        <w:rPr>
          <w:rFonts w:ascii="Century" w:hAnsi="Century" w:cs="Miriam" w:hint="cs"/>
          <w:b/>
          <w:spacing w:val="0"/>
          <w:sz w:val="22"/>
          <w:szCs w:val="24"/>
          <w:rtl/>
        </w:rPr>
        <w:t>חוק למניעת הטרדה מינית</w:t>
      </w:r>
      <w:r>
        <w:rPr>
          <w:rFonts w:hint="cs"/>
          <w:rtl/>
        </w:rPr>
        <w:t xml:space="preserve">). במסגרתו של חוק זה, הטרדה מינית, וכן התנכלות מתמשכת אשר פוגעת בעובד או בעובדת, כופה על אותו נפגע </w:t>
      </w:r>
      <w:r>
        <w:rPr>
          <w:rtl/>
        </w:rPr>
        <w:t>–</w:t>
      </w:r>
      <w:r>
        <w:rPr>
          <w:rFonts w:hint="cs"/>
          <w:rtl/>
        </w:rPr>
        <w:t xml:space="preserve"> עובד או עובדת </w:t>
      </w:r>
      <w:r>
        <w:rPr>
          <w:rtl/>
        </w:rPr>
        <w:t>–</w:t>
      </w:r>
      <w:r>
        <w:rPr>
          <w:rFonts w:hint="cs"/>
          <w:rtl/>
        </w:rPr>
        <w:t xml:space="preserve"> סביבת עבודה עוינת. דבר זה מהווה עוולה נמשכת שבגינה הנפגע זכאי לקבל מהמעוול פיצויים ללא הוכחת נזק, כאמור </w:t>
      </w:r>
      <w:r w:rsidRPr="00105389">
        <w:rPr>
          <w:rFonts w:hint="eastAsia"/>
          <w:rtl/>
        </w:rPr>
        <w:t>בסעיף</w:t>
      </w:r>
      <w:r w:rsidRPr="00105389">
        <w:rPr>
          <w:rtl/>
        </w:rPr>
        <w:t xml:space="preserve"> 6(</w:t>
      </w:r>
      <w:r w:rsidRPr="00105389">
        <w:rPr>
          <w:rFonts w:hint="eastAsia"/>
          <w:rtl/>
        </w:rPr>
        <w:t>ב</w:t>
      </w:r>
      <w:r>
        <w:rPr>
          <w:rFonts w:hint="cs"/>
          <w:rtl/>
        </w:rPr>
        <w:t xml:space="preserve">) לחוק למניעת הטרדה מינית </w:t>
      </w:r>
      <w:r>
        <w:rPr>
          <w:rtl/>
        </w:rPr>
        <w:t>–</w:t>
      </w:r>
      <w:r>
        <w:rPr>
          <w:rFonts w:hint="cs"/>
          <w:rtl/>
        </w:rPr>
        <w:t xml:space="preserve"> בדומה להסדר אשר נקבע בחוק לשון הרע. ואולם, לעניין ההתיישנות קובע סעיף 6(ג) לחוק למניעת הטרדה מינית כי "</w:t>
      </w:r>
      <w:r w:rsidRPr="00083734">
        <w:rPr>
          <w:rFonts w:hint="eastAsia"/>
          <w:rtl/>
        </w:rPr>
        <w:t>לא</w:t>
      </w:r>
      <w:r w:rsidRPr="00083734">
        <w:rPr>
          <w:rtl/>
        </w:rPr>
        <w:t xml:space="preserve"> </w:t>
      </w:r>
      <w:r w:rsidRPr="00083734">
        <w:rPr>
          <w:rFonts w:hint="eastAsia"/>
          <w:rtl/>
        </w:rPr>
        <w:t>יזדקק</w:t>
      </w:r>
      <w:r w:rsidRPr="00083734">
        <w:rPr>
          <w:rtl/>
        </w:rPr>
        <w:t xml:space="preserve"> </w:t>
      </w:r>
      <w:r w:rsidRPr="00083734">
        <w:rPr>
          <w:rFonts w:hint="eastAsia"/>
          <w:rtl/>
        </w:rPr>
        <w:t>בית</w:t>
      </w:r>
      <w:r w:rsidRPr="00083734">
        <w:rPr>
          <w:rtl/>
        </w:rPr>
        <w:t xml:space="preserve"> </w:t>
      </w:r>
      <w:r w:rsidRPr="00083734">
        <w:rPr>
          <w:rFonts w:hint="eastAsia"/>
          <w:rtl/>
        </w:rPr>
        <w:t>המשפט</w:t>
      </w:r>
      <w:r w:rsidRPr="00083734">
        <w:rPr>
          <w:rtl/>
        </w:rPr>
        <w:t xml:space="preserve"> </w:t>
      </w:r>
      <w:r w:rsidRPr="00083734">
        <w:rPr>
          <w:rFonts w:hint="eastAsia"/>
          <w:rtl/>
        </w:rPr>
        <w:t>או</w:t>
      </w:r>
      <w:r w:rsidRPr="00083734">
        <w:rPr>
          <w:rtl/>
        </w:rPr>
        <w:t xml:space="preserve"> </w:t>
      </w:r>
      <w:r w:rsidRPr="00083734">
        <w:rPr>
          <w:rFonts w:hint="eastAsia"/>
          <w:rtl/>
        </w:rPr>
        <w:t>בית</w:t>
      </w:r>
      <w:r w:rsidRPr="00083734">
        <w:rPr>
          <w:rtl/>
        </w:rPr>
        <w:t xml:space="preserve"> </w:t>
      </w:r>
      <w:r w:rsidRPr="00083734">
        <w:rPr>
          <w:rFonts w:hint="eastAsia"/>
          <w:rtl/>
        </w:rPr>
        <w:t>הדין</w:t>
      </w:r>
      <w:r w:rsidRPr="00083734">
        <w:rPr>
          <w:rtl/>
        </w:rPr>
        <w:t xml:space="preserve"> </w:t>
      </w:r>
      <w:r w:rsidRPr="00083734">
        <w:rPr>
          <w:rFonts w:hint="eastAsia"/>
          <w:rtl/>
        </w:rPr>
        <w:t>לעבודה</w:t>
      </w:r>
      <w:r>
        <w:rPr>
          <w:rFonts w:hint="cs"/>
          <w:rtl/>
        </w:rPr>
        <w:t xml:space="preserve"> [...] </w:t>
      </w:r>
      <w:r w:rsidRPr="00083734">
        <w:rPr>
          <w:rFonts w:hint="eastAsia"/>
          <w:rtl/>
        </w:rPr>
        <w:t>לתביעה</w:t>
      </w:r>
      <w:r w:rsidRPr="00083734">
        <w:rPr>
          <w:rtl/>
        </w:rPr>
        <w:t xml:space="preserve"> </w:t>
      </w:r>
      <w:r w:rsidRPr="00083734">
        <w:rPr>
          <w:rFonts w:hint="eastAsia"/>
          <w:rtl/>
        </w:rPr>
        <w:t>בשל</w:t>
      </w:r>
      <w:r w:rsidRPr="00083734">
        <w:rPr>
          <w:rtl/>
        </w:rPr>
        <w:t xml:space="preserve"> </w:t>
      </w:r>
      <w:r w:rsidRPr="00083734">
        <w:rPr>
          <w:rFonts w:hint="eastAsia"/>
          <w:rtl/>
        </w:rPr>
        <w:t>עוולה</w:t>
      </w:r>
      <w:r w:rsidRPr="00083734">
        <w:rPr>
          <w:rtl/>
        </w:rPr>
        <w:t xml:space="preserve"> </w:t>
      </w:r>
      <w:r>
        <w:rPr>
          <w:rFonts w:hint="cs"/>
          <w:rtl/>
        </w:rPr>
        <w:t>[...]</w:t>
      </w:r>
      <w:r w:rsidRPr="00083734">
        <w:rPr>
          <w:rtl/>
        </w:rPr>
        <w:t xml:space="preserve"> </w:t>
      </w:r>
      <w:r w:rsidRPr="00083734">
        <w:rPr>
          <w:rFonts w:hint="eastAsia"/>
          <w:rtl/>
        </w:rPr>
        <w:t>שהוגשה</w:t>
      </w:r>
      <w:r w:rsidRPr="00083734">
        <w:rPr>
          <w:rtl/>
        </w:rPr>
        <w:t xml:space="preserve"> </w:t>
      </w:r>
      <w:r w:rsidRPr="00083734">
        <w:rPr>
          <w:rFonts w:hint="eastAsia"/>
          <w:rtl/>
        </w:rPr>
        <w:t>לאחר</w:t>
      </w:r>
      <w:r w:rsidRPr="00083734">
        <w:rPr>
          <w:rtl/>
        </w:rPr>
        <w:t xml:space="preserve"> </w:t>
      </w:r>
      <w:r w:rsidRPr="00083734">
        <w:rPr>
          <w:rFonts w:hint="eastAsia"/>
          <w:rtl/>
        </w:rPr>
        <w:t>שחלפה</w:t>
      </w:r>
      <w:r w:rsidRPr="00083734">
        <w:rPr>
          <w:rtl/>
        </w:rPr>
        <w:t xml:space="preserve"> </w:t>
      </w:r>
      <w:r w:rsidRPr="00083734">
        <w:rPr>
          <w:rFonts w:hint="eastAsia"/>
          <w:rtl/>
        </w:rPr>
        <w:t>התקופה</w:t>
      </w:r>
      <w:r w:rsidRPr="00083734">
        <w:rPr>
          <w:rtl/>
        </w:rPr>
        <w:t xml:space="preserve"> </w:t>
      </w:r>
      <w:r w:rsidRPr="00083734">
        <w:rPr>
          <w:rFonts w:hint="eastAsia"/>
          <w:rtl/>
        </w:rPr>
        <w:t>הקבועה</w:t>
      </w:r>
      <w:r w:rsidRPr="00083734">
        <w:rPr>
          <w:rtl/>
        </w:rPr>
        <w:t xml:space="preserve"> </w:t>
      </w:r>
      <w:r w:rsidRPr="00083734">
        <w:rPr>
          <w:rFonts w:hint="eastAsia"/>
          <w:rtl/>
        </w:rPr>
        <w:t>בסעיף</w:t>
      </w:r>
      <w:r w:rsidRPr="00083734">
        <w:rPr>
          <w:rtl/>
        </w:rPr>
        <w:t xml:space="preserve"> 5 </w:t>
      </w:r>
      <w:r w:rsidRPr="00083734">
        <w:rPr>
          <w:rFonts w:hint="eastAsia"/>
          <w:rtl/>
        </w:rPr>
        <w:t>לחוק</w:t>
      </w:r>
      <w:r w:rsidRPr="00083734">
        <w:rPr>
          <w:rtl/>
        </w:rPr>
        <w:t xml:space="preserve"> </w:t>
      </w:r>
      <w:r w:rsidRPr="00083734">
        <w:rPr>
          <w:rFonts w:hint="eastAsia"/>
          <w:rtl/>
        </w:rPr>
        <w:t>ההתיישנות</w:t>
      </w:r>
      <w:r w:rsidRPr="00083734">
        <w:rPr>
          <w:rtl/>
        </w:rPr>
        <w:t xml:space="preserve">, </w:t>
      </w:r>
      <w:r w:rsidRPr="00083734">
        <w:rPr>
          <w:rFonts w:hint="eastAsia"/>
          <w:rtl/>
        </w:rPr>
        <w:t>התשי</w:t>
      </w:r>
      <w:r w:rsidRPr="00083734">
        <w:rPr>
          <w:rtl/>
        </w:rPr>
        <w:t>"</w:t>
      </w:r>
      <w:r w:rsidRPr="00083734">
        <w:rPr>
          <w:rFonts w:hint="eastAsia"/>
          <w:rtl/>
        </w:rPr>
        <w:t>ח</w:t>
      </w:r>
      <w:r>
        <w:rPr>
          <w:rtl/>
        </w:rPr>
        <w:t>-1958</w:t>
      </w:r>
      <w:r>
        <w:rPr>
          <w:rFonts w:hint="cs"/>
          <w:rtl/>
        </w:rPr>
        <w:t xml:space="preserve">, </w:t>
      </w:r>
      <w:r w:rsidRPr="00083734">
        <w:rPr>
          <w:rFonts w:hint="eastAsia"/>
          <w:rtl/>
        </w:rPr>
        <w:t>מיום</w:t>
      </w:r>
      <w:r w:rsidRPr="00083734">
        <w:rPr>
          <w:rtl/>
        </w:rPr>
        <w:t xml:space="preserve"> </w:t>
      </w:r>
      <w:r w:rsidRPr="00083734">
        <w:rPr>
          <w:rFonts w:hint="eastAsia"/>
          <w:rtl/>
        </w:rPr>
        <w:t>שנוצרה</w:t>
      </w:r>
      <w:r w:rsidRPr="00083734">
        <w:rPr>
          <w:rtl/>
        </w:rPr>
        <w:t xml:space="preserve"> </w:t>
      </w:r>
      <w:r w:rsidRPr="00083734">
        <w:rPr>
          <w:rFonts w:hint="eastAsia"/>
          <w:rtl/>
        </w:rPr>
        <w:t>העילה</w:t>
      </w:r>
      <w:r>
        <w:rPr>
          <w:rFonts w:hint="cs"/>
          <w:rtl/>
        </w:rPr>
        <w:t>". הווה אומר: בתובענות שעניינן הטרדה מינית או התנכלות בעבודה חל המחסום הרגיל של חוק ההתיישנות. מחסום זה חוסם את שערי בית המשפט בפני תביעות בחלוף שבע שנים ממועד היווצרות העילה, ובמובחן מכלל ההתיישנות אשר חל במקרה שלפנינו, אינו מאפשר דחיסה לפנים.</w:t>
      </w:r>
    </w:p>
    <w:p w:rsidR="008B3136" w:rsidRDefault="008B3136" w:rsidP="008B3136">
      <w:pPr>
        <w:pStyle w:val="Ruller41"/>
        <w:rPr>
          <w:rtl/>
        </w:rPr>
      </w:pPr>
    </w:p>
    <w:p w:rsidR="008B3136" w:rsidRDefault="008B3136" w:rsidP="008B3136">
      <w:pPr>
        <w:pStyle w:val="Ruller41"/>
        <w:rPr>
          <w:rFonts w:ascii="Century" w:hAnsi="Century" w:cs="Miriam"/>
          <w:b/>
          <w:spacing w:val="0"/>
          <w:szCs w:val="24"/>
          <w:rtl/>
        </w:rPr>
      </w:pPr>
      <w:r w:rsidRPr="00503D18">
        <w:rPr>
          <w:rFonts w:ascii="Century" w:hAnsi="Century" w:cs="Miriam" w:hint="cs"/>
          <w:b/>
          <w:spacing w:val="0"/>
          <w:szCs w:val="24"/>
          <w:rtl/>
        </w:rPr>
        <w:t>מן הכלל אל הפרט</w:t>
      </w:r>
    </w:p>
    <w:p w:rsidR="008B3136" w:rsidRPr="00503D18" w:rsidRDefault="008B3136" w:rsidP="008B3136">
      <w:pPr>
        <w:pStyle w:val="Ruller41"/>
        <w:rPr>
          <w:rFonts w:ascii="Century" w:hAnsi="Century" w:cs="Miriam"/>
          <w:b/>
          <w:spacing w:val="0"/>
          <w:szCs w:val="24"/>
          <w:rtl/>
        </w:rPr>
      </w:pPr>
    </w:p>
    <w:p w:rsidR="008B3136" w:rsidRDefault="008B3136" w:rsidP="008B3136">
      <w:pPr>
        <w:pStyle w:val="Ruller4"/>
      </w:pPr>
      <w:r w:rsidRPr="00CD785F">
        <w:rPr>
          <w:rFonts w:hint="eastAsia"/>
          <w:rtl/>
        </w:rPr>
        <w:t>בפרסמו</w:t>
      </w:r>
      <w:r>
        <w:rPr>
          <w:rFonts w:hint="cs"/>
          <w:rtl/>
        </w:rPr>
        <w:t xml:space="preserve"> את סרט הכזבים שלו במרחב הציבורי בדרך שהנגישה את הסרט לציבור הרחב, ביצע המערער עוולה נמשכת של לשון הרע </w:t>
      </w:r>
      <w:r>
        <w:rPr>
          <w:rtl/>
        </w:rPr>
        <w:t>–</w:t>
      </w:r>
      <w:r>
        <w:rPr>
          <w:rFonts w:hint="cs"/>
          <w:rtl/>
        </w:rPr>
        <w:t xml:space="preserve"> מעשה נזיקין אשר עלול לבזות את המשיב 1 בעיני הבריות ולעשותו מטרה לשנאה על ידי הצגתו כפושע מלחמה. המערער לא פעל כדי לעצור ולהפסיק </w:t>
      </w:r>
      <w:r w:rsidRPr="00527009">
        <w:rPr>
          <w:rFonts w:hint="cs"/>
          <w:rtl/>
        </w:rPr>
        <w:t xml:space="preserve">את </w:t>
      </w:r>
      <w:r w:rsidRPr="00527009">
        <w:rPr>
          <w:rFonts w:hint="eastAsia"/>
          <w:rtl/>
        </w:rPr>
        <w:t>העוולה</w:t>
      </w:r>
      <w:r w:rsidRPr="00527009">
        <w:rPr>
          <w:rtl/>
        </w:rPr>
        <w:t xml:space="preserve"> </w:t>
      </w:r>
      <w:r w:rsidRPr="00527009">
        <w:rPr>
          <w:rFonts w:hint="eastAsia"/>
          <w:rtl/>
        </w:rPr>
        <w:t>על</w:t>
      </w:r>
      <w:r w:rsidRPr="00527009">
        <w:rPr>
          <w:rtl/>
        </w:rPr>
        <w:t xml:space="preserve"> </w:t>
      </w:r>
      <w:r w:rsidRPr="00527009">
        <w:rPr>
          <w:rFonts w:hint="eastAsia"/>
          <w:rtl/>
        </w:rPr>
        <w:t>ידי</w:t>
      </w:r>
      <w:r w:rsidRPr="00B16E34">
        <w:rPr>
          <w:rtl/>
        </w:rPr>
        <w:t xml:space="preserve"> </w:t>
      </w:r>
      <w:r w:rsidRPr="00B16E34">
        <w:rPr>
          <w:rFonts w:hint="eastAsia"/>
          <w:rtl/>
        </w:rPr>
        <w:t>הסרתו</w:t>
      </w:r>
      <w:r>
        <w:rPr>
          <w:rFonts w:hint="cs"/>
          <w:rtl/>
        </w:rPr>
        <w:t xml:space="preserve"> של סרט הכזבים מהמרחב הציבורי, על ידי תיקונו הכולל של הסרט או, למצער, על ידי תיקון הסרט ביחס למשיב 1 </w:t>
      </w:r>
      <w:r>
        <w:rPr>
          <w:rtl/>
        </w:rPr>
        <w:t>–</w:t>
      </w:r>
      <w:r>
        <w:rPr>
          <w:rFonts w:hint="cs"/>
          <w:rtl/>
        </w:rPr>
        <w:t xml:space="preserve"> תיקון אשר יכול היה להיעשות על ידי הוצאת תמונותיו של המשיב 1 מן הסרט. חיבורם של מעשים ומחדלים אלה לעוולת נזיקין אחת החל, כאמור, בשנת 2002, ונמשך עד עצם היום הזה </w:t>
      </w:r>
      <w:r>
        <w:rPr>
          <w:rtl/>
        </w:rPr>
        <w:t>–</w:t>
      </w:r>
      <w:r>
        <w:rPr>
          <w:rFonts w:hint="cs"/>
          <w:rtl/>
        </w:rPr>
        <w:t xml:space="preserve"> ועל כן עילת התביעה של המשיב 1 נגד המערער לא התיישנה כהוא זה.</w:t>
      </w:r>
    </w:p>
    <w:p w:rsidR="008B3136" w:rsidRDefault="008B3136" w:rsidP="008B3136">
      <w:pPr>
        <w:pStyle w:val="Ruller4"/>
        <w:numPr>
          <w:ilvl w:val="0"/>
          <w:numId w:val="0"/>
        </w:numPr>
      </w:pPr>
    </w:p>
    <w:p w:rsidR="008B3136" w:rsidRDefault="008B3136" w:rsidP="008B3136">
      <w:pPr>
        <w:pStyle w:val="Ruller4"/>
        <w:rPr>
          <w:rtl/>
        </w:rPr>
      </w:pPr>
      <w:r>
        <w:rPr>
          <w:rFonts w:hint="cs"/>
          <w:rtl/>
        </w:rPr>
        <w:t>כמו כן אחראי המערער בנזיקין בגין פרסומו של סרט הכזבים שלו באתר ה-</w:t>
      </w:r>
      <w:r w:rsidRPr="00C95AC4">
        <w:rPr>
          <w:rFonts w:asciiTheme="majorBidi" w:hAnsiTheme="majorBidi" w:cstheme="majorBidi"/>
        </w:rPr>
        <w:t>YouTube</w:t>
      </w:r>
      <w:r>
        <w:rPr>
          <w:rFonts w:hint="cs"/>
          <w:rtl/>
        </w:rPr>
        <w:t xml:space="preserve"> </w:t>
      </w:r>
      <w:r>
        <w:rPr>
          <w:rtl/>
        </w:rPr>
        <w:t>–</w:t>
      </w:r>
      <w:r>
        <w:rPr>
          <w:rFonts w:hint="cs"/>
          <w:rtl/>
        </w:rPr>
        <w:t xml:space="preserve"> זאת, למרות העדרן של ראיות המסמנות את המערער או מי מטעמו כמי שהעלה את הסרט לאותו אתר. אחריותו של המערער לפרסום כאמור נובעת מהחיבור שבין מעשהו המקורי </w:t>
      </w:r>
      <w:r>
        <w:rPr>
          <w:rtl/>
        </w:rPr>
        <w:t>–</w:t>
      </w:r>
      <w:r>
        <w:rPr>
          <w:rFonts w:hint="cs"/>
          <w:rtl/>
        </w:rPr>
        <w:t xml:space="preserve"> הצבת סרט הכזבים והצגתו במרחב הציבורי </w:t>
      </w:r>
      <w:r>
        <w:rPr>
          <w:rtl/>
        </w:rPr>
        <w:t>–</w:t>
      </w:r>
      <w:r>
        <w:rPr>
          <w:rFonts w:hint="cs"/>
          <w:rtl/>
        </w:rPr>
        <w:t xml:space="preserve"> למחדלו המתמשך אשר בא לידי ביטוי בהיעדר כל ניסיון מצדו להביא להסרת הסרט מהאתר. בהקשר זה יצוין כי המערער אפילו לא טרח לפנות לאחראי להצגת הסרט באתר ה-</w:t>
      </w:r>
      <w:r w:rsidRPr="00C95AC4">
        <w:rPr>
          <w:rFonts w:asciiTheme="majorBidi" w:hAnsiTheme="majorBidi" w:cstheme="majorBidi"/>
        </w:rPr>
        <w:t>YouTube</w:t>
      </w:r>
      <w:r w:rsidRPr="00483AC6">
        <w:rPr>
          <w:rFonts w:ascii="Century" w:hAnsi="Century" w:hint="cs"/>
          <w:sz w:val="22"/>
          <w:rtl/>
        </w:rPr>
        <w:t>, או לבעלי האתר עצמם,</w:t>
      </w:r>
      <w:r w:rsidRPr="00483AC6">
        <w:rPr>
          <w:rFonts w:asciiTheme="majorBidi" w:hAnsiTheme="majorBidi" w:cstheme="majorBidi" w:hint="cs"/>
          <w:rtl/>
        </w:rPr>
        <w:t xml:space="preserve"> </w:t>
      </w:r>
      <w:r>
        <w:rPr>
          <w:rFonts w:hint="cs"/>
          <w:rtl/>
        </w:rPr>
        <w:t>בדרישה להסיר את הסרט מן האתר ולחדול מהצגתו. בעניין זה, אשוב ואצטט ממאמרו של ד"ר פלד:</w:t>
      </w:r>
      <w:r w:rsidRPr="00483AC6">
        <w:rPr>
          <w:rFonts w:hint="cs"/>
          <w:rtl/>
        </w:rPr>
        <w:t xml:space="preserve"> </w:t>
      </w:r>
    </w:p>
    <w:p w:rsidR="008B3136" w:rsidRPr="0034022D" w:rsidRDefault="008B3136" w:rsidP="008B3136">
      <w:pPr>
        <w:pStyle w:val="Ruller41"/>
        <w:rPr>
          <w:rtl/>
        </w:rPr>
      </w:pPr>
    </w:p>
    <w:p w:rsidR="008B3136" w:rsidRDefault="008B3136" w:rsidP="008B3136">
      <w:pPr>
        <w:pStyle w:val="Ruller5"/>
        <w:rPr>
          <w:rtl/>
        </w:rPr>
      </w:pPr>
      <w:r>
        <w:rPr>
          <w:rFonts w:hint="cs"/>
          <w:rtl/>
        </w:rPr>
        <w:t>"</w:t>
      </w:r>
      <w:r w:rsidRPr="00105389">
        <w:rPr>
          <w:rFonts w:hint="eastAsia"/>
          <w:rtl/>
        </w:rPr>
        <w:t>למפרסמים</w:t>
      </w:r>
      <w:r w:rsidRPr="00105389">
        <w:rPr>
          <w:rtl/>
        </w:rPr>
        <w:t xml:space="preserve"> </w:t>
      </w:r>
      <w:r w:rsidRPr="00105389">
        <w:rPr>
          <w:rFonts w:hint="eastAsia"/>
          <w:rtl/>
        </w:rPr>
        <w:t>רבים</w:t>
      </w:r>
      <w:r w:rsidRPr="00105389">
        <w:rPr>
          <w:rtl/>
        </w:rPr>
        <w:t xml:space="preserve"> </w:t>
      </w:r>
      <w:r w:rsidRPr="00105389">
        <w:rPr>
          <w:rFonts w:hint="eastAsia"/>
          <w:rtl/>
        </w:rPr>
        <w:t>יכולת</w:t>
      </w:r>
      <w:r w:rsidRPr="00105389">
        <w:rPr>
          <w:rtl/>
        </w:rPr>
        <w:t xml:space="preserve"> </w:t>
      </w:r>
      <w:r w:rsidRPr="00105389">
        <w:rPr>
          <w:rFonts w:hint="eastAsia"/>
          <w:rtl/>
        </w:rPr>
        <w:t>למנוע</w:t>
      </w:r>
      <w:r w:rsidRPr="00105389">
        <w:rPr>
          <w:rtl/>
        </w:rPr>
        <w:t xml:space="preserve"> </w:t>
      </w:r>
      <w:r w:rsidRPr="00105389">
        <w:rPr>
          <w:rFonts w:hint="eastAsia"/>
          <w:rtl/>
        </w:rPr>
        <w:t>בכל</w:t>
      </w:r>
      <w:r w:rsidRPr="00105389">
        <w:rPr>
          <w:rtl/>
        </w:rPr>
        <w:t xml:space="preserve"> </w:t>
      </w:r>
      <w:r w:rsidRPr="00105389">
        <w:rPr>
          <w:rFonts w:hint="eastAsia"/>
          <w:rtl/>
        </w:rPr>
        <w:t>רגע</w:t>
      </w:r>
      <w:r w:rsidRPr="00105389">
        <w:rPr>
          <w:rtl/>
        </w:rPr>
        <w:t xml:space="preserve"> </w:t>
      </w:r>
      <w:r w:rsidRPr="00105389">
        <w:rPr>
          <w:rFonts w:hint="eastAsia"/>
          <w:rtl/>
        </w:rPr>
        <w:t>נתון</w:t>
      </w:r>
      <w:r w:rsidRPr="00105389">
        <w:rPr>
          <w:rtl/>
        </w:rPr>
        <w:t xml:space="preserve"> </w:t>
      </w:r>
      <w:r w:rsidRPr="00105389">
        <w:rPr>
          <w:rFonts w:hint="eastAsia"/>
          <w:rtl/>
        </w:rPr>
        <w:t>את</w:t>
      </w:r>
      <w:r w:rsidRPr="00105389">
        <w:rPr>
          <w:rtl/>
        </w:rPr>
        <w:t xml:space="preserve"> </w:t>
      </w:r>
      <w:r w:rsidRPr="00105389">
        <w:rPr>
          <w:rFonts w:hint="eastAsia"/>
          <w:rtl/>
        </w:rPr>
        <w:t>המשך</w:t>
      </w:r>
      <w:r w:rsidRPr="00105389">
        <w:rPr>
          <w:rtl/>
        </w:rPr>
        <w:t xml:space="preserve"> </w:t>
      </w:r>
      <w:r w:rsidRPr="00105389">
        <w:rPr>
          <w:rFonts w:hint="eastAsia"/>
          <w:rtl/>
        </w:rPr>
        <w:t>הפגיעה</w:t>
      </w:r>
      <w:r w:rsidRPr="00105389">
        <w:rPr>
          <w:rtl/>
        </w:rPr>
        <w:t xml:space="preserve"> </w:t>
      </w:r>
      <w:r w:rsidRPr="00105389">
        <w:rPr>
          <w:rFonts w:hint="eastAsia"/>
          <w:rtl/>
        </w:rPr>
        <w:t>במושא</w:t>
      </w:r>
      <w:r w:rsidRPr="00105389">
        <w:rPr>
          <w:rtl/>
        </w:rPr>
        <w:t xml:space="preserve"> </w:t>
      </w:r>
      <w:r w:rsidRPr="00105389">
        <w:rPr>
          <w:rFonts w:hint="eastAsia"/>
          <w:rtl/>
        </w:rPr>
        <w:t>הפרסום</w:t>
      </w:r>
      <w:r w:rsidRPr="00105389">
        <w:rPr>
          <w:rtl/>
        </w:rPr>
        <w:t xml:space="preserve"> </w:t>
      </w:r>
      <w:r w:rsidRPr="00105389">
        <w:rPr>
          <w:rFonts w:hint="eastAsia"/>
          <w:rtl/>
        </w:rPr>
        <w:t>על</w:t>
      </w:r>
      <w:r w:rsidRPr="00105389">
        <w:rPr>
          <w:rtl/>
        </w:rPr>
        <w:t xml:space="preserve"> </w:t>
      </w:r>
      <w:r w:rsidRPr="00105389">
        <w:rPr>
          <w:rFonts w:hint="eastAsia"/>
          <w:rtl/>
        </w:rPr>
        <w:t>ידי</w:t>
      </w:r>
      <w:r w:rsidRPr="00105389">
        <w:rPr>
          <w:rtl/>
        </w:rPr>
        <w:t xml:space="preserve"> </w:t>
      </w:r>
      <w:r w:rsidRPr="00105389">
        <w:rPr>
          <w:rFonts w:hint="eastAsia"/>
          <w:rtl/>
        </w:rPr>
        <w:t>הסרת</w:t>
      </w:r>
      <w:r w:rsidRPr="00105389">
        <w:rPr>
          <w:rtl/>
        </w:rPr>
        <w:t xml:space="preserve"> </w:t>
      </w:r>
      <w:r w:rsidRPr="00105389">
        <w:rPr>
          <w:rFonts w:hint="eastAsia"/>
          <w:rtl/>
        </w:rPr>
        <w:t>התוכן</w:t>
      </w:r>
      <w:r w:rsidRPr="00105389">
        <w:rPr>
          <w:rtl/>
        </w:rPr>
        <w:t xml:space="preserve"> </w:t>
      </w:r>
      <w:r w:rsidRPr="00105389">
        <w:rPr>
          <w:rFonts w:hint="eastAsia"/>
          <w:rtl/>
        </w:rPr>
        <w:t>הפוגעני</w:t>
      </w:r>
      <w:r w:rsidRPr="00105389">
        <w:rPr>
          <w:rtl/>
        </w:rPr>
        <w:t xml:space="preserve"> </w:t>
      </w:r>
      <w:r w:rsidRPr="00105389">
        <w:rPr>
          <w:rFonts w:hint="eastAsia"/>
          <w:rtl/>
        </w:rPr>
        <w:t>מן</w:t>
      </w:r>
      <w:r w:rsidRPr="00105389">
        <w:rPr>
          <w:rtl/>
        </w:rPr>
        <w:t xml:space="preserve"> </w:t>
      </w:r>
      <w:r w:rsidRPr="00105389">
        <w:rPr>
          <w:rFonts w:hint="eastAsia"/>
          <w:rtl/>
        </w:rPr>
        <w:t>הרשת</w:t>
      </w:r>
      <w:r w:rsidRPr="00105389">
        <w:rPr>
          <w:rtl/>
        </w:rPr>
        <w:t xml:space="preserve">. </w:t>
      </w:r>
      <w:r w:rsidRPr="00105389">
        <w:rPr>
          <w:rFonts w:hint="eastAsia"/>
          <w:rtl/>
        </w:rPr>
        <w:t>יכולת</w:t>
      </w:r>
      <w:r w:rsidRPr="00105389">
        <w:rPr>
          <w:rtl/>
        </w:rPr>
        <w:t xml:space="preserve"> </w:t>
      </w:r>
      <w:r w:rsidRPr="00105389">
        <w:rPr>
          <w:rFonts w:hint="eastAsia"/>
          <w:rtl/>
        </w:rPr>
        <w:t>זו</w:t>
      </w:r>
      <w:r w:rsidRPr="00105389">
        <w:rPr>
          <w:rtl/>
        </w:rPr>
        <w:t xml:space="preserve"> </w:t>
      </w:r>
      <w:r w:rsidRPr="00105389">
        <w:rPr>
          <w:rFonts w:hint="eastAsia"/>
          <w:rtl/>
        </w:rPr>
        <w:t>נתונה</w:t>
      </w:r>
      <w:r w:rsidRPr="00105389">
        <w:rPr>
          <w:rtl/>
        </w:rPr>
        <w:t xml:space="preserve"> </w:t>
      </w:r>
      <w:r w:rsidRPr="00105389">
        <w:rPr>
          <w:rFonts w:hint="eastAsia"/>
          <w:rtl/>
        </w:rPr>
        <w:t>בעיקר</w:t>
      </w:r>
      <w:r w:rsidRPr="00105389">
        <w:rPr>
          <w:rtl/>
        </w:rPr>
        <w:t xml:space="preserve"> </w:t>
      </w:r>
      <w:r w:rsidRPr="00105389">
        <w:rPr>
          <w:rFonts w:hint="eastAsia"/>
          <w:rtl/>
        </w:rPr>
        <w:t>למי</w:t>
      </w:r>
      <w:r w:rsidRPr="00105389">
        <w:rPr>
          <w:rtl/>
        </w:rPr>
        <w:t xml:space="preserve"> </w:t>
      </w:r>
      <w:r w:rsidRPr="00105389">
        <w:rPr>
          <w:rFonts w:hint="eastAsia"/>
          <w:rtl/>
        </w:rPr>
        <w:t>שעשה</w:t>
      </w:r>
      <w:r w:rsidRPr="00105389">
        <w:rPr>
          <w:rtl/>
        </w:rPr>
        <w:t xml:space="preserve"> </w:t>
      </w:r>
      <w:r w:rsidRPr="00105389">
        <w:rPr>
          <w:rFonts w:hint="eastAsia"/>
          <w:rtl/>
        </w:rPr>
        <w:t>את</w:t>
      </w:r>
      <w:r w:rsidRPr="00105389">
        <w:rPr>
          <w:rtl/>
        </w:rPr>
        <w:t xml:space="preserve"> </w:t>
      </w:r>
      <w:r w:rsidRPr="00105389">
        <w:rPr>
          <w:rFonts w:hint="eastAsia"/>
          <w:rtl/>
        </w:rPr>
        <w:t>הפרסום</w:t>
      </w:r>
      <w:r w:rsidRPr="00105389">
        <w:rPr>
          <w:rtl/>
        </w:rPr>
        <w:t xml:space="preserve"> </w:t>
      </w:r>
      <w:r w:rsidRPr="00105389">
        <w:rPr>
          <w:rFonts w:hint="eastAsia"/>
          <w:rtl/>
        </w:rPr>
        <w:t>באתר</w:t>
      </w:r>
      <w:r w:rsidRPr="00105389">
        <w:rPr>
          <w:rtl/>
        </w:rPr>
        <w:t xml:space="preserve"> </w:t>
      </w:r>
      <w:r w:rsidRPr="00105389">
        <w:rPr>
          <w:rFonts w:hint="eastAsia"/>
          <w:rtl/>
        </w:rPr>
        <w:t>המנוהל</w:t>
      </w:r>
      <w:r w:rsidRPr="00105389">
        <w:rPr>
          <w:rtl/>
        </w:rPr>
        <w:t xml:space="preserve"> </w:t>
      </w:r>
      <w:r w:rsidRPr="00105389">
        <w:rPr>
          <w:rFonts w:hint="eastAsia"/>
          <w:rtl/>
        </w:rPr>
        <w:t>על</w:t>
      </w:r>
      <w:r w:rsidRPr="00105389">
        <w:rPr>
          <w:rtl/>
        </w:rPr>
        <w:t xml:space="preserve"> </w:t>
      </w:r>
      <w:r w:rsidRPr="00105389">
        <w:rPr>
          <w:rFonts w:hint="eastAsia"/>
          <w:rtl/>
        </w:rPr>
        <w:t>ידיו</w:t>
      </w:r>
      <w:r w:rsidRPr="00105389">
        <w:rPr>
          <w:rtl/>
        </w:rPr>
        <w:t xml:space="preserve">, </w:t>
      </w:r>
      <w:r w:rsidRPr="00105389">
        <w:rPr>
          <w:rFonts w:hint="eastAsia"/>
          <w:rtl/>
        </w:rPr>
        <w:t>אך</w:t>
      </w:r>
      <w:r w:rsidRPr="00105389">
        <w:rPr>
          <w:rtl/>
        </w:rPr>
        <w:t xml:space="preserve"> </w:t>
      </w:r>
      <w:r w:rsidRPr="00105389">
        <w:rPr>
          <w:rFonts w:hint="eastAsia"/>
          <w:rtl/>
        </w:rPr>
        <w:t>גם</w:t>
      </w:r>
      <w:r w:rsidRPr="00105389">
        <w:rPr>
          <w:rtl/>
        </w:rPr>
        <w:t xml:space="preserve"> </w:t>
      </w:r>
      <w:r w:rsidRPr="00105389">
        <w:rPr>
          <w:rFonts w:hint="eastAsia"/>
          <w:rtl/>
        </w:rPr>
        <w:t>כאשר</w:t>
      </w:r>
      <w:r w:rsidRPr="00105389">
        <w:rPr>
          <w:rtl/>
        </w:rPr>
        <w:t xml:space="preserve"> </w:t>
      </w:r>
      <w:r w:rsidRPr="00105389">
        <w:rPr>
          <w:rFonts w:hint="eastAsia"/>
          <w:rtl/>
        </w:rPr>
        <w:t>הפרסום</w:t>
      </w:r>
      <w:r w:rsidRPr="00105389">
        <w:rPr>
          <w:rtl/>
        </w:rPr>
        <w:t xml:space="preserve"> </w:t>
      </w:r>
      <w:r w:rsidRPr="00105389">
        <w:rPr>
          <w:rFonts w:hint="eastAsia"/>
          <w:rtl/>
        </w:rPr>
        <w:t>נעשה</w:t>
      </w:r>
      <w:r w:rsidRPr="00105389">
        <w:rPr>
          <w:rtl/>
        </w:rPr>
        <w:t xml:space="preserve"> </w:t>
      </w:r>
      <w:r w:rsidRPr="00105389">
        <w:rPr>
          <w:rFonts w:hint="eastAsia"/>
          <w:rtl/>
        </w:rPr>
        <w:t>באתר</w:t>
      </w:r>
      <w:r w:rsidRPr="00105389">
        <w:rPr>
          <w:rtl/>
        </w:rPr>
        <w:t xml:space="preserve"> </w:t>
      </w:r>
      <w:r w:rsidRPr="00105389">
        <w:rPr>
          <w:rFonts w:hint="eastAsia"/>
          <w:rtl/>
        </w:rPr>
        <w:t>המנוהל</w:t>
      </w:r>
      <w:r w:rsidRPr="00105389">
        <w:rPr>
          <w:rtl/>
        </w:rPr>
        <w:t xml:space="preserve"> </w:t>
      </w:r>
      <w:r w:rsidRPr="00105389">
        <w:rPr>
          <w:rFonts w:hint="eastAsia"/>
          <w:rtl/>
        </w:rPr>
        <w:t>על</w:t>
      </w:r>
      <w:r w:rsidRPr="00105389">
        <w:rPr>
          <w:rtl/>
        </w:rPr>
        <w:t xml:space="preserve"> </w:t>
      </w:r>
      <w:r w:rsidRPr="00105389">
        <w:rPr>
          <w:rFonts w:hint="eastAsia"/>
          <w:rtl/>
        </w:rPr>
        <w:t>ידי</w:t>
      </w:r>
      <w:r w:rsidRPr="00105389">
        <w:rPr>
          <w:rtl/>
        </w:rPr>
        <w:t xml:space="preserve"> </w:t>
      </w:r>
      <w:r w:rsidRPr="00105389">
        <w:rPr>
          <w:rFonts w:hint="eastAsia"/>
          <w:rtl/>
        </w:rPr>
        <w:t>אחר</w:t>
      </w:r>
      <w:r w:rsidRPr="00105389">
        <w:rPr>
          <w:rtl/>
        </w:rPr>
        <w:t xml:space="preserve"> </w:t>
      </w:r>
      <w:r w:rsidRPr="00105389">
        <w:rPr>
          <w:rFonts w:hint="eastAsia"/>
          <w:rtl/>
        </w:rPr>
        <w:t>לעתים</w:t>
      </w:r>
      <w:r w:rsidRPr="00105389">
        <w:rPr>
          <w:rtl/>
        </w:rPr>
        <w:t xml:space="preserve"> </w:t>
      </w:r>
      <w:r w:rsidRPr="00105389">
        <w:rPr>
          <w:rFonts w:hint="eastAsia"/>
          <w:rtl/>
        </w:rPr>
        <w:t>קרובות</w:t>
      </w:r>
      <w:r w:rsidRPr="00105389">
        <w:rPr>
          <w:rtl/>
        </w:rPr>
        <w:t xml:space="preserve"> </w:t>
      </w:r>
      <w:r w:rsidRPr="00105389">
        <w:rPr>
          <w:rFonts w:hint="eastAsia"/>
          <w:rtl/>
        </w:rPr>
        <w:t>מסוגל</w:t>
      </w:r>
      <w:r w:rsidRPr="00105389">
        <w:rPr>
          <w:rtl/>
        </w:rPr>
        <w:t xml:space="preserve"> </w:t>
      </w:r>
      <w:r w:rsidRPr="00105389">
        <w:rPr>
          <w:rFonts w:hint="eastAsia"/>
          <w:rtl/>
        </w:rPr>
        <w:t>המפרסם</w:t>
      </w:r>
      <w:r w:rsidRPr="00105389">
        <w:rPr>
          <w:rtl/>
        </w:rPr>
        <w:t xml:space="preserve"> </w:t>
      </w:r>
      <w:r w:rsidRPr="00105389">
        <w:rPr>
          <w:rFonts w:hint="eastAsia"/>
          <w:rtl/>
        </w:rPr>
        <w:t>להסירו</w:t>
      </w:r>
      <w:r w:rsidRPr="00105389">
        <w:rPr>
          <w:rtl/>
        </w:rPr>
        <w:t xml:space="preserve">, </w:t>
      </w:r>
      <w:r w:rsidRPr="00105389">
        <w:rPr>
          <w:rFonts w:hint="eastAsia"/>
          <w:rtl/>
        </w:rPr>
        <w:t>אם</w:t>
      </w:r>
      <w:r w:rsidRPr="00105389">
        <w:rPr>
          <w:rtl/>
        </w:rPr>
        <w:t xml:space="preserve"> </w:t>
      </w:r>
      <w:r w:rsidRPr="00105389">
        <w:rPr>
          <w:rFonts w:hint="eastAsia"/>
          <w:rtl/>
        </w:rPr>
        <w:t>באמצעות</w:t>
      </w:r>
      <w:r w:rsidRPr="00105389">
        <w:rPr>
          <w:rtl/>
        </w:rPr>
        <w:t xml:space="preserve"> </w:t>
      </w:r>
      <w:r w:rsidRPr="00105389">
        <w:rPr>
          <w:rFonts w:hint="eastAsia"/>
          <w:rtl/>
        </w:rPr>
        <w:t>פעולה</w:t>
      </w:r>
      <w:r w:rsidRPr="00105389">
        <w:rPr>
          <w:rtl/>
        </w:rPr>
        <w:t xml:space="preserve"> </w:t>
      </w:r>
      <w:r w:rsidRPr="00105389">
        <w:rPr>
          <w:rFonts w:hint="eastAsia"/>
          <w:rtl/>
        </w:rPr>
        <w:t>טכנית</w:t>
      </w:r>
      <w:r w:rsidRPr="00105389">
        <w:rPr>
          <w:rtl/>
        </w:rPr>
        <w:t xml:space="preserve"> </w:t>
      </w:r>
      <w:r w:rsidRPr="00105389">
        <w:rPr>
          <w:rFonts w:hint="eastAsia"/>
          <w:rtl/>
        </w:rPr>
        <w:t>פשוטה</w:t>
      </w:r>
      <w:r w:rsidRPr="00105389">
        <w:rPr>
          <w:rtl/>
        </w:rPr>
        <w:t xml:space="preserve"> </w:t>
      </w:r>
      <w:r w:rsidRPr="00105389">
        <w:rPr>
          <w:rFonts w:hint="eastAsia"/>
          <w:rtl/>
        </w:rPr>
        <w:t>ואם</w:t>
      </w:r>
      <w:r w:rsidRPr="00105389">
        <w:rPr>
          <w:rtl/>
        </w:rPr>
        <w:t xml:space="preserve"> </w:t>
      </w:r>
      <w:r w:rsidRPr="00105389">
        <w:rPr>
          <w:rFonts w:hint="eastAsia"/>
          <w:rtl/>
        </w:rPr>
        <w:t>באמצעות</w:t>
      </w:r>
      <w:r w:rsidRPr="00105389">
        <w:rPr>
          <w:rtl/>
        </w:rPr>
        <w:t xml:space="preserve"> </w:t>
      </w:r>
      <w:r w:rsidRPr="00105389">
        <w:rPr>
          <w:rFonts w:hint="eastAsia"/>
          <w:rtl/>
        </w:rPr>
        <w:t>הגשת</w:t>
      </w:r>
      <w:r w:rsidRPr="00105389">
        <w:rPr>
          <w:rtl/>
        </w:rPr>
        <w:t xml:space="preserve"> </w:t>
      </w:r>
      <w:r w:rsidRPr="00105389">
        <w:rPr>
          <w:rFonts w:hint="eastAsia"/>
          <w:rtl/>
        </w:rPr>
        <w:t>בקשה</w:t>
      </w:r>
      <w:r w:rsidRPr="00105389">
        <w:rPr>
          <w:rtl/>
        </w:rPr>
        <w:t xml:space="preserve"> </w:t>
      </w:r>
      <w:r w:rsidRPr="00105389">
        <w:rPr>
          <w:rFonts w:hint="eastAsia"/>
          <w:rtl/>
        </w:rPr>
        <w:t>לגורם</w:t>
      </w:r>
      <w:r w:rsidRPr="00105389">
        <w:rPr>
          <w:rtl/>
        </w:rPr>
        <w:t xml:space="preserve"> </w:t>
      </w:r>
      <w:r w:rsidRPr="00105389">
        <w:rPr>
          <w:rFonts w:hint="eastAsia"/>
          <w:rtl/>
        </w:rPr>
        <w:t>האחראי</w:t>
      </w:r>
      <w:r w:rsidRPr="00105389">
        <w:rPr>
          <w:rtl/>
        </w:rPr>
        <w:t xml:space="preserve"> (</w:t>
      </w:r>
      <w:r w:rsidRPr="00105389">
        <w:rPr>
          <w:rFonts w:hint="eastAsia"/>
          <w:rtl/>
        </w:rPr>
        <w:t>אשר</w:t>
      </w:r>
      <w:r w:rsidRPr="00105389">
        <w:rPr>
          <w:rtl/>
        </w:rPr>
        <w:t xml:space="preserve"> </w:t>
      </w:r>
      <w:r w:rsidRPr="00105389">
        <w:rPr>
          <w:rFonts w:hint="eastAsia"/>
          <w:rtl/>
        </w:rPr>
        <w:t>מצדו</w:t>
      </w:r>
      <w:r w:rsidRPr="00105389">
        <w:rPr>
          <w:rtl/>
        </w:rPr>
        <w:t xml:space="preserve"> </w:t>
      </w:r>
      <w:r w:rsidRPr="00105389">
        <w:rPr>
          <w:rFonts w:hint="eastAsia"/>
          <w:rtl/>
        </w:rPr>
        <w:t>לא</w:t>
      </w:r>
      <w:r w:rsidRPr="00105389">
        <w:rPr>
          <w:rtl/>
        </w:rPr>
        <w:t xml:space="preserve"> </w:t>
      </w:r>
      <w:r w:rsidRPr="00105389">
        <w:rPr>
          <w:rFonts w:hint="eastAsia"/>
          <w:rtl/>
        </w:rPr>
        <w:t>ייטה</w:t>
      </w:r>
      <w:r w:rsidRPr="00105389">
        <w:rPr>
          <w:rtl/>
        </w:rPr>
        <w:t xml:space="preserve"> </w:t>
      </w:r>
      <w:r w:rsidRPr="00105389">
        <w:rPr>
          <w:rFonts w:hint="eastAsia"/>
          <w:rtl/>
        </w:rPr>
        <w:t>לחשוף</w:t>
      </w:r>
      <w:r w:rsidRPr="00105389">
        <w:rPr>
          <w:rtl/>
        </w:rPr>
        <w:t xml:space="preserve"> </w:t>
      </w:r>
      <w:r w:rsidRPr="00105389">
        <w:rPr>
          <w:rFonts w:hint="eastAsia"/>
          <w:rtl/>
        </w:rPr>
        <w:t>עצמו</w:t>
      </w:r>
      <w:r w:rsidRPr="00105389">
        <w:rPr>
          <w:rtl/>
        </w:rPr>
        <w:t xml:space="preserve"> </w:t>
      </w:r>
      <w:r w:rsidRPr="00105389">
        <w:rPr>
          <w:rFonts w:hint="eastAsia"/>
          <w:rtl/>
        </w:rPr>
        <w:t>לסיכון</w:t>
      </w:r>
      <w:r w:rsidRPr="00105389">
        <w:rPr>
          <w:rtl/>
        </w:rPr>
        <w:t xml:space="preserve"> </w:t>
      </w:r>
      <w:r w:rsidRPr="00105389">
        <w:rPr>
          <w:rFonts w:hint="eastAsia"/>
          <w:rtl/>
        </w:rPr>
        <w:t>משפטי</w:t>
      </w:r>
      <w:r w:rsidRPr="00105389">
        <w:rPr>
          <w:rtl/>
        </w:rPr>
        <w:t xml:space="preserve"> </w:t>
      </w:r>
      <w:r w:rsidRPr="00105389">
        <w:rPr>
          <w:rFonts w:hint="eastAsia"/>
          <w:rtl/>
        </w:rPr>
        <w:t>כאשר</w:t>
      </w:r>
      <w:r w:rsidRPr="00105389">
        <w:rPr>
          <w:rtl/>
        </w:rPr>
        <w:t xml:space="preserve"> </w:t>
      </w:r>
      <w:r w:rsidRPr="00105389">
        <w:rPr>
          <w:rFonts w:hint="eastAsia"/>
          <w:rtl/>
        </w:rPr>
        <w:t>המפרסם</w:t>
      </w:r>
      <w:r w:rsidRPr="00105389">
        <w:rPr>
          <w:rtl/>
        </w:rPr>
        <w:t xml:space="preserve"> </w:t>
      </w:r>
      <w:r w:rsidRPr="00105389">
        <w:rPr>
          <w:rFonts w:hint="eastAsia"/>
          <w:rtl/>
        </w:rPr>
        <w:t>גילה</w:t>
      </w:r>
      <w:r w:rsidRPr="00105389">
        <w:rPr>
          <w:rtl/>
        </w:rPr>
        <w:t xml:space="preserve"> </w:t>
      </w:r>
      <w:r w:rsidRPr="00105389">
        <w:rPr>
          <w:rFonts w:hint="eastAsia"/>
          <w:rtl/>
        </w:rPr>
        <w:t>דעתו</w:t>
      </w:r>
      <w:r w:rsidRPr="00105389">
        <w:rPr>
          <w:rtl/>
        </w:rPr>
        <w:t xml:space="preserve"> </w:t>
      </w:r>
      <w:r w:rsidRPr="00105389">
        <w:rPr>
          <w:rFonts w:hint="eastAsia"/>
          <w:rtl/>
        </w:rPr>
        <w:t>כי</w:t>
      </w:r>
      <w:r w:rsidRPr="00105389">
        <w:rPr>
          <w:rtl/>
        </w:rPr>
        <w:t xml:space="preserve"> </w:t>
      </w:r>
      <w:r w:rsidRPr="00105389">
        <w:rPr>
          <w:rFonts w:hint="eastAsia"/>
          <w:rtl/>
        </w:rPr>
        <w:t>הפרסום</w:t>
      </w:r>
      <w:r w:rsidRPr="00105389">
        <w:rPr>
          <w:rtl/>
        </w:rPr>
        <w:t xml:space="preserve"> </w:t>
      </w:r>
      <w:r w:rsidRPr="00105389">
        <w:rPr>
          <w:rFonts w:hint="eastAsia"/>
          <w:rtl/>
        </w:rPr>
        <w:t>אינו</w:t>
      </w:r>
      <w:r w:rsidRPr="00105389">
        <w:rPr>
          <w:rtl/>
        </w:rPr>
        <w:t xml:space="preserve"> </w:t>
      </w:r>
      <w:r w:rsidRPr="00105389">
        <w:rPr>
          <w:rFonts w:hint="eastAsia"/>
          <w:rtl/>
        </w:rPr>
        <w:t>חוסה</w:t>
      </w:r>
      <w:r w:rsidRPr="00105389">
        <w:rPr>
          <w:rtl/>
        </w:rPr>
        <w:t xml:space="preserve"> </w:t>
      </w:r>
      <w:r w:rsidRPr="00105389">
        <w:rPr>
          <w:rFonts w:hint="eastAsia"/>
          <w:rtl/>
        </w:rPr>
        <w:t>תחת</w:t>
      </w:r>
      <w:r w:rsidRPr="00105389">
        <w:rPr>
          <w:rtl/>
        </w:rPr>
        <w:t xml:space="preserve"> </w:t>
      </w:r>
      <w:r w:rsidRPr="00105389">
        <w:rPr>
          <w:rFonts w:hint="eastAsia"/>
          <w:rtl/>
        </w:rPr>
        <w:t>הגנה</w:t>
      </w:r>
      <w:r w:rsidRPr="00105389">
        <w:rPr>
          <w:rtl/>
        </w:rPr>
        <w:t xml:space="preserve"> </w:t>
      </w:r>
      <w:r w:rsidRPr="00105389">
        <w:rPr>
          <w:rFonts w:hint="eastAsia"/>
          <w:rtl/>
        </w:rPr>
        <w:t>טובה</w:t>
      </w:r>
      <w:r w:rsidRPr="00105389">
        <w:rPr>
          <w:rtl/>
        </w:rPr>
        <w:t xml:space="preserve">)" (ראו: </w:t>
      </w:r>
      <w:r w:rsidRPr="00105389">
        <w:rPr>
          <w:rFonts w:ascii="Century" w:hAnsi="Century" w:cs="Miriam" w:hint="eastAsia"/>
          <w:b/>
          <w:spacing w:val="0"/>
          <w:szCs w:val="24"/>
          <w:rtl/>
        </w:rPr>
        <w:t>עוולות</w:t>
      </w:r>
      <w:r w:rsidRPr="00105389">
        <w:rPr>
          <w:rFonts w:ascii="Century" w:hAnsi="Century" w:cs="Miriam"/>
          <w:b/>
          <w:spacing w:val="0"/>
          <w:szCs w:val="24"/>
          <w:rtl/>
        </w:rPr>
        <w:t xml:space="preserve"> </w:t>
      </w:r>
      <w:r w:rsidRPr="00105389">
        <w:rPr>
          <w:rFonts w:ascii="Century" w:hAnsi="Century" w:cs="Miriam" w:hint="eastAsia"/>
          <w:b/>
          <w:spacing w:val="0"/>
          <w:szCs w:val="24"/>
          <w:rtl/>
        </w:rPr>
        <w:t>מקוונות</w:t>
      </w:r>
      <w:r w:rsidRPr="00105389">
        <w:rPr>
          <w:rtl/>
        </w:rPr>
        <w:t xml:space="preserve">, </w:t>
      </w:r>
      <w:r w:rsidRPr="00105389">
        <w:rPr>
          <w:rFonts w:hint="eastAsia"/>
          <w:rtl/>
        </w:rPr>
        <w:t>בעמ</w:t>
      </w:r>
      <w:r w:rsidRPr="00105389">
        <w:rPr>
          <w:rtl/>
        </w:rPr>
        <w:t>' 65).</w:t>
      </w:r>
    </w:p>
    <w:p w:rsidR="008B3136" w:rsidRDefault="008B3136" w:rsidP="008B3136">
      <w:pPr>
        <w:pStyle w:val="Ruller41"/>
        <w:rPr>
          <w:rtl/>
        </w:rPr>
      </w:pPr>
    </w:p>
    <w:p w:rsidR="008B3136" w:rsidRDefault="008B3136" w:rsidP="008B3136">
      <w:pPr>
        <w:pStyle w:val="Ruller4"/>
      </w:pPr>
      <w:r>
        <w:rPr>
          <w:rFonts w:hint="cs"/>
          <w:rtl/>
        </w:rPr>
        <w:t xml:space="preserve">ומכאן לעניין הסעדים אשר נפסקו לטובת המשיב 1 על ידי בית משפט קמא. סעדים אלה כוללים פיצוי בסך של 175,000 ש"ח בגין הנזק הכללי; צו מניעה קבוע האוסר על הקרנת הסרט ועל הפצתו בישראל; וכן </w:t>
      </w:r>
      <w:r w:rsidRPr="00D56686">
        <w:rPr>
          <w:rFonts w:hint="eastAsia"/>
          <w:rtl/>
        </w:rPr>
        <w:t>צו</w:t>
      </w:r>
      <w:r w:rsidRPr="00D56686">
        <w:rPr>
          <w:rtl/>
        </w:rPr>
        <w:t xml:space="preserve"> </w:t>
      </w:r>
      <w:r>
        <w:rPr>
          <w:rFonts w:hint="cs"/>
          <w:rtl/>
        </w:rPr>
        <w:t xml:space="preserve">בדבר </w:t>
      </w:r>
      <w:r w:rsidRPr="00D56686">
        <w:rPr>
          <w:rFonts w:hint="eastAsia"/>
          <w:rtl/>
        </w:rPr>
        <w:t>החרמתם</w:t>
      </w:r>
      <w:r w:rsidRPr="00D56686">
        <w:rPr>
          <w:rtl/>
        </w:rPr>
        <w:t xml:space="preserve"> </w:t>
      </w:r>
      <w:r w:rsidRPr="00D56686">
        <w:rPr>
          <w:rFonts w:hint="eastAsia"/>
          <w:rtl/>
        </w:rPr>
        <w:t>של</w:t>
      </w:r>
      <w:r w:rsidRPr="00D56686">
        <w:rPr>
          <w:rtl/>
        </w:rPr>
        <w:t xml:space="preserve"> </w:t>
      </w:r>
      <w:r w:rsidRPr="00D56686">
        <w:rPr>
          <w:rFonts w:hint="eastAsia"/>
          <w:rtl/>
        </w:rPr>
        <w:t>עותקי</w:t>
      </w:r>
      <w:r w:rsidRPr="00D56686">
        <w:rPr>
          <w:rtl/>
        </w:rPr>
        <w:t xml:space="preserve"> </w:t>
      </w:r>
      <w:r w:rsidRPr="00D56686">
        <w:rPr>
          <w:rFonts w:hint="eastAsia"/>
          <w:rtl/>
        </w:rPr>
        <w:t>הסרט</w:t>
      </w:r>
      <w:r w:rsidRPr="00D56686">
        <w:rPr>
          <w:rtl/>
        </w:rPr>
        <w:t xml:space="preserve"> </w:t>
      </w:r>
      <w:r w:rsidRPr="00D56686">
        <w:rPr>
          <w:rFonts w:hint="eastAsia"/>
          <w:rtl/>
        </w:rPr>
        <w:t>בישראל</w:t>
      </w:r>
      <w:r>
        <w:rPr>
          <w:rFonts w:hint="cs"/>
          <w:rtl/>
        </w:rPr>
        <w:t>,</w:t>
      </w:r>
      <w:r w:rsidRPr="00D56686">
        <w:rPr>
          <w:rtl/>
        </w:rPr>
        <w:t xml:space="preserve"> </w:t>
      </w:r>
      <w:r w:rsidRPr="00D56686">
        <w:rPr>
          <w:rFonts w:hint="eastAsia"/>
          <w:rtl/>
        </w:rPr>
        <w:t>ככל</w:t>
      </w:r>
      <w:r w:rsidRPr="00D56686">
        <w:rPr>
          <w:rtl/>
        </w:rPr>
        <w:t xml:space="preserve"> </w:t>
      </w:r>
      <w:r>
        <w:rPr>
          <w:rFonts w:hint="cs"/>
          <w:rtl/>
        </w:rPr>
        <w:t>שהמערער</w:t>
      </w:r>
      <w:r w:rsidRPr="00D56686">
        <w:rPr>
          <w:rtl/>
        </w:rPr>
        <w:t xml:space="preserve"> </w:t>
      </w:r>
      <w:r w:rsidRPr="00D56686">
        <w:rPr>
          <w:rFonts w:hint="eastAsia"/>
          <w:rtl/>
        </w:rPr>
        <w:t>מודע</w:t>
      </w:r>
      <w:r w:rsidRPr="00D56686">
        <w:rPr>
          <w:rtl/>
        </w:rPr>
        <w:t xml:space="preserve"> </w:t>
      </w:r>
      <w:r w:rsidRPr="00D56686">
        <w:rPr>
          <w:rFonts w:hint="eastAsia"/>
          <w:rtl/>
        </w:rPr>
        <w:t>למקום</w:t>
      </w:r>
      <w:r w:rsidRPr="00D56686">
        <w:rPr>
          <w:rtl/>
        </w:rPr>
        <w:t xml:space="preserve"> </w:t>
      </w:r>
      <w:r w:rsidRPr="00D56686">
        <w:rPr>
          <w:rFonts w:hint="eastAsia"/>
          <w:rtl/>
        </w:rPr>
        <w:t>הימצאותם</w:t>
      </w:r>
      <w:r>
        <w:rPr>
          <w:rFonts w:hint="cs"/>
          <w:rtl/>
        </w:rPr>
        <w:t xml:space="preserve"> </w:t>
      </w:r>
      <w:r>
        <w:rPr>
          <w:rtl/>
        </w:rPr>
        <w:t>–</w:t>
      </w:r>
      <w:r>
        <w:rPr>
          <w:rFonts w:hint="cs"/>
          <w:rtl/>
        </w:rPr>
        <w:t xml:space="preserve"> זאת, כאשר אתר ה-</w:t>
      </w:r>
      <w:r w:rsidRPr="00D56686">
        <w:rPr>
          <w:rFonts w:asciiTheme="majorBidi" w:hAnsiTheme="majorBidi" w:cstheme="majorBidi"/>
        </w:rPr>
        <w:t>YouTube</w:t>
      </w:r>
      <w:r>
        <w:rPr>
          <w:rFonts w:hint="cs"/>
          <w:rtl/>
        </w:rPr>
        <w:t xml:space="preserve"> מוחרג מהצווים במובן זה שהם אינם מופנים אל האתר ומנהליו. </w:t>
      </w:r>
    </w:p>
    <w:p w:rsidR="008B3136" w:rsidRDefault="008B3136" w:rsidP="008B3136">
      <w:pPr>
        <w:pStyle w:val="Ruller4"/>
        <w:numPr>
          <w:ilvl w:val="0"/>
          <w:numId w:val="0"/>
        </w:numPr>
      </w:pPr>
    </w:p>
    <w:p w:rsidR="008B3136" w:rsidRDefault="008B3136" w:rsidP="008B3136">
      <w:pPr>
        <w:pStyle w:val="Ruller4"/>
      </w:pPr>
      <w:r>
        <w:rPr>
          <w:rFonts w:hint="cs"/>
          <w:rtl/>
        </w:rPr>
        <w:t>לאחר שמיעת טענות הצדדים ושקילתן, הגעתי למסקנה כי הסעדים הללו ראויים ומידתיים, ובוודאי שאינם חורגים ממתחם הסבירות. אשר על כן, לא מצאתי מקום להתערב בשיקול הדעת שהופעל על ידי בית משפט קמא בקביעת הסעדים כאמור.</w:t>
      </w:r>
    </w:p>
    <w:p w:rsidR="008B3136" w:rsidRDefault="008B3136" w:rsidP="008B3136">
      <w:pPr>
        <w:pStyle w:val="Ruller4"/>
        <w:numPr>
          <w:ilvl w:val="0"/>
          <w:numId w:val="0"/>
        </w:numPr>
      </w:pPr>
    </w:p>
    <w:p w:rsidR="008B3136" w:rsidRDefault="008B3136" w:rsidP="008B3136">
      <w:pPr>
        <w:pStyle w:val="Ruller4"/>
        <w:rPr>
          <w:rtl/>
        </w:rPr>
      </w:pPr>
      <w:r>
        <w:rPr>
          <w:rFonts w:hint="cs"/>
          <w:rtl/>
        </w:rPr>
        <w:t xml:space="preserve">בהקשר זה, חשוב להדגיש את זיקת הגומלין ההדוקה בין גובה הפיצוי אשר נפסק לטובת המשיב 1 לבין הצווים שניתנו. באשר לטרוניית המערער כי מדובר בצווים גורפים מדי, ואף בלתי מעשיים (אשר ביני לביני זכתה לתמיכה במאמר אקדמי: </w:t>
      </w:r>
      <w:r>
        <w:rPr>
          <w:rFonts w:hint="eastAsia"/>
          <w:rtl/>
        </w:rPr>
        <w:t>תמר</w:t>
      </w:r>
      <w:r>
        <w:rPr>
          <w:rtl/>
        </w:rPr>
        <w:t xml:space="preserve"> </w:t>
      </w:r>
      <w:r>
        <w:rPr>
          <w:rFonts w:hint="eastAsia"/>
          <w:rtl/>
        </w:rPr>
        <w:t>גדרון</w:t>
      </w:r>
      <w:r>
        <w:rPr>
          <w:rFonts w:hint="cs"/>
          <w:rtl/>
        </w:rPr>
        <w:t xml:space="preserve"> ואורי </w:t>
      </w:r>
      <w:r>
        <w:rPr>
          <w:rFonts w:hint="eastAsia"/>
          <w:rtl/>
        </w:rPr>
        <w:t>וולובלסקי</w:t>
      </w:r>
      <w:r>
        <w:rPr>
          <w:rFonts w:hint="cs"/>
          <w:rtl/>
        </w:rPr>
        <w:t xml:space="preserve"> "</w:t>
      </w:r>
      <w:r w:rsidRPr="00604906">
        <w:rPr>
          <w:rFonts w:ascii="Century" w:hAnsi="Century" w:hint="eastAsia"/>
          <w:sz w:val="22"/>
          <w:rtl/>
        </w:rPr>
        <w:t>עוד</w:t>
      </w:r>
      <w:r w:rsidRPr="00604906">
        <w:rPr>
          <w:rFonts w:ascii="Century" w:hAnsi="Century"/>
          <w:sz w:val="22"/>
          <w:rtl/>
        </w:rPr>
        <w:t xml:space="preserve"> </w:t>
      </w:r>
      <w:r w:rsidRPr="00604906">
        <w:rPr>
          <w:rFonts w:ascii="Century" w:hAnsi="Century" w:hint="eastAsia"/>
          <w:sz w:val="22"/>
          <w:rtl/>
        </w:rPr>
        <w:t>על</w:t>
      </w:r>
      <w:r w:rsidRPr="00604906">
        <w:rPr>
          <w:rFonts w:ascii="Century" w:hAnsi="Century"/>
          <w:sz w:val="22"/>
          <w:rtl/>
        </w:rPr>
        <w:t xml:space="preserve"> </w:t>
      </w:r>
      <w:r>
        <w:rPr>
          <w:rFonts w:ascii="Century" w:hAnsi="Century" w:hint="cs"/>
          <w:sz w:val="22"/>
          <w:rtl/>
        </w:rPr>
        <w:t>'</w:t>
      </w:r>
      <w:r w:rsidRPr="00604906">
        <w:rPr>
          <w:rFonts w:ascii="Century" w:hAnsi="Century" w:hint="eastAsia"/>
          <w:sz w:val="22"/>
          <w:rtl/>
        </w:rPr>
        <w:t>ג</w:t>
      </w:r>
      <w:r w:rsidRPr="00604906">
        <w:rPr>
          <w:rFonts w:ascii="Century" w:hAnsi="Century"/>
          <w:sz w:val="22"/>
          <w:rtl/>
        </w:rPr>
        <w:t>'</w:t>
      </w:r>
      <w:r w:rsidRPr="00604906">
        <w:rPr>
          <w:rFonts w:ascii="Century" w:hAnsi="Century" w:hint="eastAsia"/>
          <w:sz w:val="22"/>
          <w:rtl/>
        </w:rPr>
        <w:t>נין</w:t>
      </w:r>
      <w:r w:rsidRPr="00604906">
        <w:rPr>
          <w:rFonts w:ascii="Century" w:hAnsi="Century"/>
          <w:sz w:val="22"/>
          <w:rtl/>
        </w:rPr>
        <w:t xml:space="preserve"> </w:t>
      </w:r>
      <w:r w:rsidRPr="00604906">
        <w:rPr>
          <w:rFonts w:ascii="Century" w:hAnsi="Century" w:hint="eastAsia"/>
          <w:sz w:val="22"/>
          <w:rtl/>
        </w:rPr>
        <w:t>ג</w:t>
      </w:r>
      <w:r w:rsidRPr="00604906">
        <w:rPr>
          <w:rFonts w:ascii="Century" w:hAnsi="Century"/>
          <w:sz w:val="22"/>
          <w:rtl/>
        </w:rPr>
        <w:t>'</w:t>
      </w:r>
      <w:r w:rsidRPr="00604906">
        <w:rPr>
          <w:rFonts w:ascii="Century" w:hAnsi="Century" w:hint="eastAsia"/>
          <w:sz w:val="22"/>
          <w:rtl/>
        </w:rPr>
        <w:t>נין</w:t>
      </w:r>
      <w:r>
        <w:rPr>
          <w:rFonts w:ascii="Century" w:hAnsi="Century" w:hint="cs"/>
          <w:sz w:val="22"/>
          <w:rtl/>
        </w:rPr>
        <w:t>'</w:t>
      </w:r>
      <w:r w:rsidRPr="00604906">
        <w:rPr>
          <w:rFonts w:ascii="Century" w:hAnsi="Century"/>
          <w:sz w:val="22"/>
          <w:rtl/>
        </w:rPr>
        <w:t xml:space="preserve"> – </w:t>
      </w:r>
      <w:r w:rsidRPr="00604906">
        <w:rPr>
          <w:rFonts w:ascii="Century" w:hAnsi="Century" w:hint="eastAsia"/>
          <w:sz w:val="22"/>
          <w:rtl/>
        </w:rPr>
        <w:t>הערה</w:t>
      </w:r>
      <w:r w:rsidRPr="00604906">
        <w:rPr>
          <w:rFonts w:ascii="Century" w:hAnsi="Century"/>
          <w:sz w:val="22"/>
          <w:rtl/>
        </w:rPr>
        <w:t xml:space="preserve"> </w:t>
      </w:r>
      <w:r w:rsidRPr="00604906">
        <w:rPr>
          <w:rFonts w:ascii="Century" w:hAnsi="Century" w:hint="eastAsia"/>
          <w:sz w:val="22"/>
          <w:rtl/>
        </w:rPr>
        <w:t>בעקבות</w:t>
      </w:r>
      <w:r w:rsidRPr="00604906">
        <w:rPr>
          <w:rFonts w:ascii="Century" w:hAnsi="Century"/>
          <w:sz w:val="22"/>
          <w:rtl/>
        </w:rPr>
        <w:t xml:space="preserve"> </w:t>
      </w:r>
      <w:r w:rsidRPr="00604906">
        <w:rPr>
          <w:rFonts w:ascii="Century" w:hAnsi="Century" w:hint="eastAsia"/>
          <w:sz w:val="22"/>
          <w:rtl/>
        </w:rPr>
        <w:t>פסיקת</w:t>
      </w:r>
      <w:r w:rsidRPr="00604906">
        <w:rPr>
          <w:rFonts w:ascii="Century" w:hAnsi="Century"/>
          <w:sz w:val="22"/>
          <w:rtl/>
        </w:rPr>
        <w:t xml:space="preserve"> </w:t>
      </w:r>
      <w:r w:rsidRPr="00604906">
        <w:rPr>
          <w:rFonts w:ascii="Century" w:hAnsi="Century" w:hint="eastAsia"/>
          <w:sz w:val="22"/>
          <w:rtl/>
        </w:rPr>
        <w:t>בית</w:t>
      </w:r>
      <w:r w:rsidRPr="00604906">
        <w:rPr>
          <w:rFonts w:ascii="Century" w:hAnsi="Century"/>
          <w:sz w:val="22"/>
          <w:rtl/>
        </w:rPr>
        <w:t xml:space="preserve"> </w:t>
      </w:r>
      <w:r w:rsidRPr="00604906">
        <w:rPr>
          <w:rFonts w:ascii="Century" w:hAnsi="Century" w:hint="eastAsia"/>
          <w:sz w:val="22"/>
          <w:rtl/>
        </w:rPr>
        <w:t>המשפט</w:t>
      </w:r>
      <w:r w:rsidRPr="00604906">
        <w:rPr>
          <w:rFonts w:ascii="Century" w:hAnsi="Century"/>
          <w:sz w:val="22"/>
          <w:rtl/>
        </w:rPr>
        <w:t xml:space="preserve"> </w:t>
      </w:r>
      <w:r w:rsidRPr="00604906">
        <w:rPr>
          <w:rFonts w:ascii="Century" w:hAnsi="Century" w:hint="eastAsia"/>
          <w:sz w:val="22"/>
          <w:rtl/>
        </w:rPr>
        <w:t>המחוזי</w:t>
      </w:r>
      <w:r w:rsidRPr="00604906">
        <w:rPr>
          <w:rFonts w:ascii="Century" w:hAnsi="Century"/>
          <w:sz w:val="22"/>
          <w:rtl/>
        </w:rPr>
        <w:t xml:space="preserve"> </w:t>
      </w:r>
      <w:r w:rsidRPr="00604906">
        <w:rPr>
          <w:rFonts w:ascii="Century" w:hAnsi="Century" w:hint="eastAsia"/>
          <w:sz w:val="22"/>
          <w:rtl/>
        </w:rPr>
        <w:t>בסיבוב</w:t>
      </w:r>
      <w:r w:rsidRPr="00604906">
        <w:rPr>
          <w:rFonts w:ascii="Century" w:hAnsi="Century"/>
          <w:sz w:val="22"/>
          <w:rtl/>
        </w:rPr>
        <w:t xml:space="preserve"> </w:t>
      </w:r>
      <w:r w:rsidRPr="00604906">
        <w:rPr>
          <w:rFonts w:ascii="Century" w:hAnsi="Century" w:hint="eastAsia"/>
          <w:sz w:val="22"/>
          <w:rtl/>
        </w:rPr>
        <w:t>השני</w:t>
      </w:r>
      <w:r w:rsidRPr="00604906">
        <w:rPr>
          <w:rFonts w:ascii="Century" w:hAnsi="Century"/>
          <w:sz w:val="22"/>
          <w:rtl/>
        </w:rPr>
        <w:t xml:space="preserve"> </w:t>
      </w:r>
      <w:r w:rsidRPr="00604906">
        <w:rPr>
          <w:rFonts w:ascii="Century" w:hAnsi="Century" w:hint="cs"/>
          <w:sz w:val="22"/>
          <w:rtl/>
        </w:rPr>
        <w:t>ב</w:t>
      </w:r>
      <w:r w:rsidRPr="00604906">
        <w:rPr>
          <w:rFonts w:ascii="Century" w:hAnsi="Century" w:hint="eastAsia"/>
          <w:sz w:val="22"/>
          <w:rtl/>
        </w:rPr>
        <w:t>עניין</w:t>
      </w:r>
      <w:r w:rsidRPr="00604906">
        <w:rPr>
          <w:rFonts w:ascii="Century" w:hAnsi="Century"/>
          <w:sz w:val="22"/>
          <w:rtl/>
        </w:rPr>
        <w:t xml:space="preserve"> </w:t>
      </w:r>
      <w:r w:rsidRPr="00604906">
        <w:rPr>
          <w:rFonts w:ascii="Century" w:hAnsi="Century" w:hint="eastAsia"/>
          <w:sz w:val="22"/>
          <w:rtl/>
        </w:rPr>
        <w:t>מגנאג</w:t>
      </w:r>
      <w:r w:rsidRPr="00604906">
        <w:rPr>
          <w:rFonts w:ascii="Century" w:hAnsi="Century"/>
          <w:sz w:val="22"/>
          <w:rtl/>
        </w:rPr>
        <w:t>'</w:t>
      </w:r>
      <w:r w:rsidRPr="00604906">
        <w:rPr>
          <w:rFonts w:ascii="Century" w:hAnsi="Century" w:hint="eastAsia"/>
          <w:sz w:val="22"/>
          <w:rtl/>
        </w:rPr>
        <w:t>י</w:t>
      </w:r>
      <w:r w:rsidRPr="00604906">
        <w:rPr>
          <w:rFonts w:ascii="Century" w:hAnsi="Century"/>
          <w:sz w:val="22"/>
          <w:rtl/>
        </w:rPr>
        <w:t xml:space="preserve"> </w:t>
      </w:r>
      <w:r w:rsidRPr="00604906">
        <w:rPr>
          <w:rFonts w:ascii="Century" w:hAnsi="Century" w:hint="eastAsia"/>
          <w:sz w:val="22"/>
          <w:rtl/>
        </w:rPr>
        <w:t>נ</w:t>
      </w:r>
      <w:r w:rsidRPr="00604906">
        <w:rPr>
          <w:rFonts w:ascii="Century" w:hAnsi="Century"/>
          <w:sz w:val="22"/>
          <w:rtl/>
        </w:rPr>
        <w:t xml:space="preserve">' </w:t>
      </w:r>
      <w:r w:rsidRPr="00604906">
        <w:rPr>
          <w:rFonts w:ascii="Century" w:hAnsi="Century" w:hint="eastAsia"/>
          <w:sz w:val="22"/>
          <w:rtl/>
        </w:rPr>
        <w:t>בכרי</w:t>
      </w:r>
      <w:r>
        <w:rPr>
          <w:rFonts w:ascii="Century" w:hAnsi="Century" w:hint="cs"/>
          <w:sz w:val="22"/>
          <w:rtl/>
        </w:rPr>
        <w:t>"</w:t>
      </w:r>
      <w:r w:rsidRPr="00604906">
        <w:rPr>
          <w:rFonts w:ascii="Century" w:hAnsi="Century" w:hint="cs"/>
          <w:sz w:val="22"/>
          <w:rtl/>
        </w:rPr>
        <w:t xml:space="preserve">, </w:t>
      </w:r>
      <w:r w:rsidRPr="00604906">
        <w:rPr>
          <w:rFonts w:ascii="Century" w:hAnsi="Century" w:cs="Miriam" w:hint="cs"/>
          <w:b/>
          <w:spacing w:val="0"/>
          <w:sz w:val="22"/>
          <w:szCs w:val="24"/>
          <w:rtl/>
        </w:rPr>
        <w:t>המשפט</w:t>
      </w:r>
      <w:r w:rsidRPr="00604906">
        <w:rPr>
          <w:rFonts w:ascii="Century" w:hAnsi="Century" w:hint="cs"/>
          <w:sz w:val="22"/>
          <w:rtl/>
        </w:rPr>
        <w:t xml:space="preserve"> כח (2022)</w:t>
      </w:r>
      <w:r>
        <w:rPr>
          <w:rFonts w:hint="cs"/>
          <w:rtl/>
        </w:rPr>
        <w:t xml:space="preserve"> (להלן: </w:t>
      </w:r>
      <w:r w:rsidRPr="00D51C9D">
        <w:rPr>
          <w:rFonts w:ascii="Century" w:hAnsi="Century" w:cs="Miriam" w:hint="cs"/>
          <w:b/>
          <w:spacing w:val="0"/>
          <w:sz w:val="22"/>
          <w:szCs w:val="24"/>
          <w:rtl/>
        </w:rPr>
        <w:t>עוד על "ג'נין ג'נין"</w:t>
      </w:r>
      <w:r>
        <w:rPr>
          <w:rFonts w:hint="cs"/>
          <w:rtl/>
        </w:rPr>
        <w:t xml:space="preserve">)) </w:t>
      </w:r>
      <w:r>
        <w:rPr>
          <w:rtl/>
        </w:rPr>
        <w:t>–</w:t>
      </w:r>
      <w:r>
        <w:rPr>
          <w:rFonts w:hint="cs"/>
          <w:rtl/>
        </w:rPr>
        <w:t xml:space="preserve"> אומר רק זאת:</w:t>
      </w:r>
    </w:p>
    <w:p w:rsidR="008B3136" w:rsidRDefault="008B3136" w:rsidP="008B3136">
      <w:pPr>
        <w:pStyle w:val="Ruller41"/>
        <w:rPr>
          <w:rtl/>
        </w:rPr>
      </w:pPr>
    </w:p>
    <w:p w:rsidR="008B3136" w:rsidRDefault="008B3136" w:rsidP="008B3136">
      <w:pPr>
        <w:pStyle w:val="Ruller41"/>
        <w:numPr>
          <w:ilvl w:val="0"/>
          <w:numId w:val="27"/>
        </w:numPr>
      </w:pPr>
      <w:r>
        <w:rPr>
          <w:rFonts w:hint="cs"/>
          <w:rtl/>
        </w:rPr>
        <w:t xml:space="preserve">באין צווים כאמור, האפשרות שסרט הכזבים של המערער ימשיך להיות מוצג ומוקרן במרחב הציבורי בישראל </w:t>
      </w:r>
      <w:r>
        <w:rPr>
          <w:rtl/>
        </w:rPr>
        <w:t>–</w:t>
      </w:r>
      <w:r>
        <w:rPr>
          <w:rFonts w:hint="cs"/>
          <w:rtl/>
        </w:rPr>
        <w:t xml:space="preserve"> משמעה החמרת נזקו הכללי של המשיב 1 שאין לה סוף. כפועל יוצא מכך, בהיעדרם של צווים אלה מן הדין היה לפסוק לטובת המשיב 1, חֶלֶף הסכום המתון יחסית של 175,000 ש"ח, פיצויים בשיעור גבוה יותר. ביטול הצווים ללא העלאה משמעותית של סכום הפיצוי בהכרח יביא להפרת האיזון בסל הסעדים אשר נקבע בפסק הדין קמא. סבורני כי מסיבה זאת לבדה לא יהא זה נכון לבטל את הצווים.</w:t>
      </w:r>
    </w:p>
    <w:p w:rsidR="008B3136" w:rsidRDefault="008B3136" w:rsidP="008B3136">
      <w:pPr>
        <w:pStyle w:val="Ruller41"/>
        <w:ind w:left="720"/>
      </w:pPr>
    </w:p>
    <w:p w:rsidR="008B3136" w:rsidRDefault="008B3136" w:rsidP="008B3136">
      <w:pPr>
        <w:pStyle w:val="Ruller41"/>
        <w:numPr>
          <w:ilvl w:val="0"/>
          <w:numId w:val="27"/>
        </w:numPr>
      </w:pPr>
      <w:r w:rsidRPr="008D169C">
        <w:rPr>
          <w:rFonts w:ascii="Century" w:hAnsi="Century" w:hint="cs"/>
          <w:rtl/>
        </w:rPr>
        <w:t xml:space="preserve">הצווים שבית משפט קמא הוציא מלפניו הם בגדר הצהרה חד-משמעית ובלתי מתפשרת בדבר שקריותן המוחלטת של ההאשמות שסרט הכזבים של המערער תלה </w:t>
      </w:r>
      <w:r>
        <w:rPr>
          <w:rFonts w:ascii="Century" w:hAnsi="Century" w:hint="cs"/>
          <w:rtl/>
        </w:rPr>
        <w:t xml:space="preserve">(בין היתר) </w:t>
      </w:r>
      <w:r w:rsidRPr="008D169C">
        <w:rPr>
          <w:rFonts w:ascii="Century" w:hAnsi="Century" w:hint="cs"/>
          <w:rtl/>
        </w:rPr>
        <w:t xml:space="preserve">במשיב 1. הצהרה זאת </w:t>
      </w:r>
      <w:r>
        <w:rPr>
          <w:rFonts w:hint="cs"/>
          <w:rtl/>
        </w:rPr>
        <w:t xml:space="preserve">באה לשקם את שמו הטוב של המשיב 1. ביטול הצווים כאמור, והאפשרות שסרט הכזבים של המערער ימשיך להיות מוצג ומוקרן במרחב הציבורי בישראל </w:t>
      </w:r>
      <w:r>
        <w:rPr>
          <w:rtl/>
        </w:rPr>
        <w:t>–</w:t>
      </w:r>
      <w:r>
        <w:rPr>
          <w:rFonts w:hint="cs"/>
          <w:rtl/>
        </w:rPr>
        <w:t xml:space="preserve"> משמעם פגיעה בשיקום שמו הטוב של המשיב 1. </w:t>
      </w:r>
    </w:p>
    <w:p w:rsidR="008B3136" w:rsidRPr="008D169C" w:rsidRDefault="008B3136" w:rsidP="008B3136">
      <w:pPr>
        <w:pStyle w:val="Ruller41"/>
        <w:ind w:left="720"/>
      </w:pPr>
    </w:p>
    <w:p w:rsidR="008B3136" w:rsidRDefault="008B3136" w:rsidP="008B3136">
      <w:pPr>
        <w:pStyle w:val="Ruller4"/>
      </w:pPr>
      <w:r>
        <w:rPr>
          <w:rFonts w:hint="cs"/>
          <w:rtl/>
        </w:rPr>
        <w:t xml:space="preserve">המאמר </w:t>
      </w:r>
      <w:r w:rsidRPr="00D51C9D">
        <w:rPr>
          <w:rFonts w:ascii="Century" w:hAnsi="Century" w:cs="Miriam" w:hint="cs"/>
          <w:b/>
          <w:spacing w:val="0"/>
          <w:sz w:val="22"/>
          <w:szCs w:val="24"/>
          <w:rtl/>
        </w:rPr>
        <w:t>עוד על "ג'נין ג'נין"</w:t>
      </w:r>
      <w:r>
        <w:rPr>
          <w:rFonts w:ascii="Century" w:hAnsi="Century" w:hint="cs"/>
          <w:sz w:val="22"/>
          <w:rtl/>
        </w:rPr>
        <w:t xml:space="preserve"> מעלה </w:t>
      </w:r>
      <w:r>
        <w:rPr>
          <w:rFonts w:hint="cs"/>
          <w:rtl/>
        </w:rPr>
        <w:t>טענה בדבר הקשר בין הצורך במתן הצווים הללו לבין ביטול האיסור על הקרנתו של הסרט, אשר הוטל בשעתו על ידי המועצה לביקורת סרטים, ב</w:t>
      </w:r>
      <w:r w:rsidRPr="00B361FC">
        <w:rPr>
          <w:rFonts w:hint="eastAsia"/>
          <w:rtl/>
        </w:rPr>
        <w:t>בג</w:t>
      </w:r>
      <w:r w:rsidRPr="00B361FC">
        <w:rPr>
          <w:rtl/>
        </w:rPr>
        <w:t>"</w:t>
      </w:r>
      <w:r w:rsidRPr="00B361FC">
        <w:rPr>
          <w:rFonts w:hint="eastAsia"/>
          <w:rtl/>
        </w:rPr>
        <w:t>ץ</w:t>
      </w:r>
      <w:r w:rsidRPr="00B361FC">
        <w:rPr>
          <w:rtl/>
        </w:rPr>
        <w:t xml:space="preserve"> 316/03 </w:t>
      </w:r>
      <w:r w:rsidRPr="007C2618">
        <w:rPr>
          <w:rFonts w:ascii="Century" w:hAnsi="Century" w:cs="Miriam" w:hint="eastAsia"/>
          <w:b/>
          <w:spacing w:val="0"/>
          <w:sz w:val="22"/>
          <w:szCs w:val="24"/>
          <w:rtl/>
        </w:rPr>
        <w:t>בכרי</w:t>
      </w:r>
      <w:r w:rsidRPr="007C2618">
        <w:rPr>
          <w:rFonts w:ascii="Century" w:hAnsi="Century" w:cs="Miriam"/>
          <w:b/>
          <w:spacing w:val="0"/>
          <w:sz w:val="22"/>
          <w:szCs w:val="24"/>
          <w:rtl/>
        </w:rPr>
        <w:t xml:space="preserve"> </w:t>
      </w:r>
      <w:r w:rsidRPr="007C2618">
        <w:rPr>
          <w:rFonts w:ascii="Century" w:hAnsi="Century" w:cs="Miriam" w:hint="eastAsia"/>
          <w:b/>
          <w:spacing w:val="0"/>
          <w:sz w:val="22"/>
          <w:szCs w:val="24"/>
          <w:rtl/>
        </w:rPr>
        <w:t>נ</w:t>
      </w:r>
      <w:r w:rsidRPr="007C2618">
        <w:rPr>
          <w:rFonts w:ascii="Century" w:hAnsi="Century" w:cs="Miriam"/>
          <w:b/>
          <w:spacing w:val="0"/>
          <w:sz w:val="22"/>
          <w:szCs w:val="24"/>
          <w:rtl/>
        </w:rPr>
        <w:t xml:space="preserve">' </w:t>
      </w:r>
      <w:r w:rsidRPr="007C2618">
        <w:rPr>
          <w:rFonts w:ascii="Century" w:hAnsi="Century" w:cs="Miriam" w:hint="eastAsia"/>
          <w:b/>
          <w:spacing w:val="0"/>
          <w:sz w:val="22"/>
          <w:szCs w:val="24"/>
          <w:rtl/>
        </w:rPr>
        <w:t>המועצה</w:t>
      </w:r>
      <w:r w:rsidRPr="007C2618">
        <w:rPr>
          <w:rFonts w:ascii="Century" w:hAnsi="Century" w:cs="Miriam"/>
          <w:b/>
          <w:spacing w:val="0"/>
          <w:sz w:val="22"/>
          <w:szCs w:val="24"/>
          <w:rtl/>
        </w:rPr>
        <w:t xml:space="preserve"> </w:t>
      </w:r>
      <w:r w:rsidRPr="007C2618">
        <w:rPr>
          <w:rFonts w:ascii="Century" w:hAnsi="Century" w:cs="Miriam" w:hint="eastAsia"/>
          <w:b/>
          <w:spacing w:val="0"/>
          <w:sz w:val="22"/>
          <w:szCs w:val="24"/>
          <w:rtl/>
        </w:rPr>
        <w:t>לביקורת</w:t>
      </w:r>
      <w:r w:rsidRPr="007C2618">
        <w:rPr>
          <w:rFonts w:ascii="Century" w:hAnsi="Century" w:cs="Miriam"/>
          <w:b/>
          <w:spacing w:val="0"/>
          <w:sz w:val="22"/>
          <w:szCs w:val="24"/>
          <w:rtl/>
        </w:rPr>
        <w:t xml:space="preserve"> </w:t>
      </w:r>
      <w:r w:rsidRPr="007C2618">
        <w:rPr>
          <w:rFonts w:ascii="Century" w:hAnsi="Century" w:cs="Miriam" w:hint="eastAsia"/>
          <w:b/>
          <w:spacing w:val="0"/>
          <w:sz w:val="22"/>
          <w:szCs w:val="24"/>
          <w:rtl/>
        </w:rPr>
        <w:t>סרטים</w:t>
      </w:r>
      <w:r w:rsidRPr="00B361FC">
        <w:rPr>
          <w:rtl/>
        </w:rPr>
        <w:t xml:space="preserve">, </w:t>
      </w:r>
      <w:r>
        <w:rPr>
          <w:rFonts w:hint="cs"/>
          <w:rtl/>
        </w:rPr>
        <w:t xml:space="preserve">פ"ד </w:t>
      </w:r>
      <w:r w:rsidRPr="00B361FC">
        <w:rPr>
          <w:rFonts w:hint="eastAsia"/>
          <w:rtl/>
        </w:rPr>
        <w:t>נח</w:t>
      </w:r>
      <w:r w:rsidRPr="00B361FC">
        <w:rPr>
          <w:rtl/>
        </w:rPr>
        <w:t>(1) 249 (2003)</w:t>
      </w:r>
      <w:r>
        <w:rPr>
          <w:rFonts w:hint="cs"/>
          <w:rtl/>
        </w:rPr>
        <w:t xml:space="preserve">. לפי טענה זו, ביטול האיסור הצנזוריאלי מטיל ספק של ממש בצורך בצווים. ייתכן שכך הוא הדבר; ויש אף מי שטוען לביטולו הכללי של משטר הצווים אשר באים לחסום ולדכא ביטוי חופשי באשר הוא (ראו, למשל: </w:t>
      </w:r>
      <w:r w:rsidRPr="00544BA4">
        <w:rPr>
          <w:rFonts w:asciiTheme="majorBidi" w:hAnsiTheme="majorBidi" w:cstheme="majorBidi"/>
        </w:rPr>
        <w:t xml:space="preserve">Erwin Chemerinsky, </w:t>
      </w:r>
      <w:r w:rsidRPr="00544BA4">
        <w:rPr>
          <w:rFonts w:asciiTheme="majorBidi" w:hAnsiTheme="majorBidi" w:cstheme="majorBidi"/>
          <w:i/>
          <w:iCs/>
        </w:rPr>
        <w:t>Injunctions in Defamation Cases</w:t>
      </w:r>
      <w:r w:rsidRPr="00544BA4">
        <w:rPr>
          <w:rFonts w:asciiTheme="majorBidi" w:hAnsiTheme="majorBidi" w:cstheme="majorBidi"/>
        </w:rPr>
        <w:t xml:space="preserve">, 57 </w:t>
      </w:r>
      <w:r w:rsidRPr="00544BA4">
        <w:rPr>
          <w:rFonts w:asciiTheme="majorBidi" w:hAnsiTheme="majorBidi" w:cstheme="majorBidi"/>
          <w:smallCaps/>
        </w:rPr>
        <w:t>Syracuse L. Rev.</w:t>
      </w:r>
      <w:r w:rsidRPr="00544BA4">
        <w:rPr>
          <w:rFonts w:asciiTheme="majorBidi" w:hAnsiTheme="majorBidi" w:cstheme="majorBidi"/>
        </w:rPr>
        <w:t xml:space="preserve"> 157 (2007)</w:t>
      </w:r>
      <w:r>
        <w:rPr>
          <w:rFonts w:hint="cs"/>
          <w:rtl/>
        </w:rPr>
        <w:t xml:space="preserve">). דא עקא, טענה זו מועלית, ברגיל, לצד ההכרה העמוקה בנחיצותו של כלל משפטי אשר יבטיח פיצוי הולם למי שנפגע מלשון הרע (ראו: שם, בעמ' 170-168) </w:t>
      </w:r>
      <w:r>
        <w:rPr>
          <w:rtl/>
        </w:rPr>
        <w:t>–</w:t>
      </w:r>
      <w:r>
        <w:rPr>
          <w:rFonts w:hint="cs"/>
          <w:rtl/>
        </w:rPr>
        <w:t xml:space="preserve"> תובנה חשובה שמחזירה אותנו לאיזון שעשה בית משפט קמא בסל הסעדים שפסק לטובת המשיב 1. </w:t>
      </w:r>
    </w:p>
    <w:p w:rsidR="008B3136" w:rsidRDefault="008B3136" w:rsidP="008B3136">
      <w:pPr>
        <w:pStyle w:val="Ruller4"/>
        <w:numPr>
          <w:ilvl w:val="0"/>
          <w:numId w:val="0"/>
        </w:numPr>
      </w:pPr>
    </w:p>
    <w:p w:rsidR="008B3136" w:rsidRDefault="008B3136" w:rsidP="008B3136">
      <w:pPr>
        <w:pStyle w:val="Ruller4"/>
      </w:pPr>
      <w:r>
        <w:rPr>
          <w:rFonts w:hint="cs"/>
          <w:rtl/>
        </w:rPr>
        <w:t xml:space="preserve">האם אפשר היה שלא ליתן את הצווים שבהם עסקינן? ייתכן. ברם, במקרה כזה, ובהתחשב בהקרנות החוזרות של הסרט, מן הדין היה להעלות במידה ניכרת את סכום הפיצוי אשר נפסק לטובת המשיב 1 מטעמים של צדק מתקן והרתעה כאחד; ונראה שבית משפט קמא היה נוהג כך. </w:t>
      </w:r>
    </w:p>
    <w:p w:rsidR="008B3136" w:rsidRDefault="008B3136" w:rsidP="008B3136">
      <w:pPr>
        <w:pStyle w:val="Ruller4"/>
        <w:numPr>
          <w:ilvl w:val="0"/>
          <w:numId w:val="0"/>
        </w:numPr>
      </w:pPr>
    </w:p>
    <w:p w:rsidR="008B3136" w:rsidRDefault="008B3136" w:rsidP="008B3136">
      <w:pPr>
        <w:pStyle w:val="Ruller4"/>
      </w:pPr>
      <w:r>
        <w:rPr>
          <w:rFonts w:hint="cs"/>
          <w:rtl/>
        </w:rPr>
        <w:t xml:space="preserve">בהקשר זה, אפנה לאמור בפסקה 240 לפסק הדין קמא בעניינם של פיצויים שנפסקים בגדרו של סעיף 7א לחוק לשון הרע: </w:t>
      </w:r>
    </w:p>
    <w:p w:rsidR="008B3136" w:rsidRDefault="008B3136" w:rsidP="008B3136">
      <w:pPr>
        <w:pStyle w:val="Ruller4"/>
        <w:numPr>
          <w:ilvl w:val="0"/>
          <w:numId w:val="0"/>
        </w:numPr>
        <w:rPr>
          <w:rtl/>
        </w:rPr>
      </w:pPr>
    </w:p>
    <w:p w:rsidR="008B3136" w:rsidRDefault="008B3136" w:rsidP="008B3136">
      <w:pPr>
        <w:pStyle w:val="Ruller5"/>
        <w:rPr>
          <w:rtl/>
        </w:rPr>
      </w:pPr>
      <w:r>
        <w:rPr>
          <w:rFonts w:hint="cs"/>
          <w:rtl/>
        </w:rPr>
        <w:t>"</w:t>
      </w:r>
      <w:r w:rsidRPr="00D01897">
        <w:rPr>
          <w:rFonts w:hint="eastAsia"/>
          <w:rtl/>
        </w:rPr>
        <w:t>הפיצוי</w:t>
      </w:r>
      <w:r>
        <w:rPr>
          <w:rFonts w:hint="cs"/>
          <w:rtl/>
        </w:rPr>
        <w:t xml:space="preserve"> [...]</w:t>
      </w:r>
      <w:r w:rsidRPr="00D01897">
        <w:rPr>
          <w:rtl/>
        </w:rPr>
        <w:t xml:space="preserve"> </w:t>
      </w:r>
      <w:r>
        <w:rPr>
          <w:rFonts w:hint="cs"/>
          <w:rtl/>
        </w:rPr>
        <w:t xml:space="preserve">[נקבע </w:t>
      </w:r>
      <w:r>
        <w:rPr>
          <w:rtl/>
        </w:rPr>
        <w:t>–</w:t>
      </w:r>
      <w:r>
        <w:rPr>
          <w:rFonts w:hint="cs"/>
          <w:rtl/>
        </w:rPr>
        <w:t xml:space="preserve"> א.ש.]</w:t>
      </w:r>
      <w:r w:rsidRPr="00D01897">
        <w:rPr>
          <w:rtl/>
        </w:rPr>
        <w:t xml:space="preserve"> </w:t>
      </w:r>
      <w:r w:rsidRPr="00D01897">
        <w:rPr>
          <w:rFonts w:hint="eastAsia"/>
          <w:rtl/>
        </w:rPr>
        <w:t>על</w:t>
      </w:r>
      <w:r w:rsidRPr="00D01897">
        <w:rPr>
          <w:rtl/>
        </w:rPr>
        <w:t xml:space="preserve"> </w:t>
      </w:r>
      <w:r w:rsidRPr="00D01897">
        <w:rPr>
          <w:rFonts w:hint="eastAsia"/>
          <w:rtl/>
        </w:rPr>
        <w:t>דרך</w:t>
      </w:r>
      <w:r w:rsidRPr="00D01897">
        <w:rPr>
          <w:rtl/>
        </w:rPr>
        <w:t xml:space="preserve"> </w:t>
      </w:r>
      <w:r w:rsidRPr="00D01897">
        <w:rPr>
          <w:rFonts w:hint="eastAsia"/>
          <w:rtl/>
        </w:rPr>
        <w:t>של</w:t>
      </w:r>
      <w:r w:rsidRPr="00D01897">
        <w:rPr>
          <w:rtl/>
        </w:rPr>
        <w:t xml:space="preserve"> </w:t>
      </w:r>
      <w:r w:rsidRPr="00D01897">
        <w:rPr>
          <w:rFonts w:hint="eastAsia"/>
          <w:rtl/>
        </w:rPr>
        <w:t>אומדנה</w:t>
      </w:r>
      <w:r w:rsidRPr="00D01897">
        <w:rPr>
          <w:rtl/>
        </w:rPr>
        <w:t xml:space="preserve"> </w:t>
      </w:r>
      <w:r w:rsidRPr="00D01897">
        <w:rPr>
          <w:rFonts w:hint="eastAsia"/>
          <w:rtl/>
        </w:rPr>
        <w:t>ותוך</w:t>
      </w:r>
      <w:r w:rsidRPr="00D01897">
        <w:rPr>
          <w:rtl/>
        </w:rPr>
        <w:t xml:space="preserve"> </w:t>
      </w:r>
      <w:r w:rsidRPr="00D01897">
        <w:rPr>
          <w:rFonts w:hint="eastAsia"/>
          <w:rtl/>
        </w:rPr>
        <w:t>מתן</w:t>
      </w:r>
      <w:r w:rsidRPr="00D01897">
        <w:rPr>
          <w:rtl/>
        </w:rPr>
        <w:t xml:space="preserve"> </w:t>
      </w:r>
      <w:r w:rsidRPr="00D01897">
        <w:rPr>
          <w:rFonts w:hint="eastAsia"/>
          <w:rtl/>
        </w:rPr>
        <w:t>הדעת</w:t>
      </w:r>
      <w:r w:rsidRPr="00D01897">
        <w:rPr>
          <w:rtl/>
        </w:rPr>
        <w:t xml:space="preserve"> </w:t>
      </w:r>
      <w:r w:rsidRPr="00D01897">
        <w:rPr>
          <w:rFonts w:hint="eastAsia"/>
          <w:rtl/>
        </w:rPr>
        <w:t>לסוגיות</w:t>
      </w:r>
      <w:r w:rsidRPr="00D01897">
        <w:rPr>
          <w:rtl/>
        </w:rPr>
        <w:t xml:space="preserve"> </w:t>
      </w:r>
      <w:r w:rsidRPr="00D01897">
        <w:rPr>
          <w:rFonts w:hint="eastAsia"/>
          <w:rtl/>
        </w:rPr>
        <w:t>רבות</w:t>
      </w:r>
      <w:r w:rsidRPr="00D01897">
        <w:rPr>
          <w:rtl/>
        </w:rPr>
        <w:t xml:space="preserve"> </w:t>
      </w:r>
      <w:r w:rsidRPr="00D01897">
        <w:rPr>
          <w:rFonts w:hint="eastAsia"/>
          <w:rtl/>
        </w:rPr>
        <w:t>כגון</w:t>
      </w:r>
      <w:r w:rsidRPr="00D01897">
        <w:rPr>
          <w:rtl/>
        </w:rPr>
        <w:t xml:space="preserve">, </w:t>
      </w:r>
      <w:r w:rsidRPr="00D01897">
        <w:rPr>
          <w:rFonts w:hint="eastAsia"/>
          <w:rtl/>
        </w:rPr>
        <w:t>דרך</w:t>
      </w:r>
      <w:r w:rsidRPr="00D01897">
        <w:rPr>
          <w:rtl/>
        </w:rPr>
        <w:t xml:space="preserve"> </w:t>
      </w:r>
      <w:r w:rsidRPr="00D01897">
        <w:rPr>
          <w:rFonts w:hint="eastAsia"/>
          <w:rtl/>
        </w:rPr>
        <w:t>הפרסום</w:t>
      </w:r>
      <w:r w:rsidRPr="00D01897">
        <w:rPr>
          <w:rtl/>
        </w:rPr>
        <w:t xml:space="preserve">, </w:t>
      </w:r>
      <w:r w:rsidRPr="00494E71">
        <w:rPr>
          <w:rFonts w:ascii="Century" w:hAnsi="Century" w:cs="Miriam" w:hint="eastAsia"/>
          <w:b/>
          <w:spacing w:val="0"/>
          <w:szCs w:val="24"/>
          <w:rtl/>
        </w:rPr>
        <w:t>משך</w:t>
      </w:r>
      <w:r w:rsidRPr="00494E71">
        <w:rPr>
          <w:rFonts w:ascii="Century" w:hAnsi="Century" w:cs="Miriam"/>
          <w:b/>
          <w:spacing w:val="0"/>
          <w:szCs w:val="24"/>
          <w:rtl/>
        </w:rPr>
        <w:t xml:space="preserve"> </w:t>
      </w:r>
      <w:r w:rsidRPr="00494E71">
        <w:rPr>
          <w:rFonts w:ascii="Century" w:hAnsi="Century" w:cs="Miriam" w:hint="eastAsia"/>
          <w:b/>
          <w:spacing w:val="0"/>
          <w:szCs w:val="24"/>
          <w:rtl/>
        </w:rPr>
        <w:t>זמן</w:t>
      </w:r>
      <w:r w:rsidRPr="00494E71">
        <w:rPr>
          <w:rFonts w:ascii="Century" w:hAnsi="Century" w:cs="Miriam"/>
          <w:b/>
          <w:spacing w:val="0"/>
          <w:szCs w:val="24"/>
          <w:rtl/>
        </w:rPr>
        <w:t xml:space="preserve"> </w:t>
      </w:r>
      <w:r w:rsidRPr="00494E71">
        <w:rPr>
          <w:rFonts w:ascii="Century" w:hAnsi="Century" w:cs="Miriam" w:hint="eastAsia"/>
          <w:b/>
          <w:spacing w:val="0"/>
          <w:szCs w:val="24"/>
          <w:rtl/>
        </w:rPr>
        <w:t>הפרסום</w:t>
      </w:r>
      <w:r w:rsidRPr="00D01897">
        <w:rPr>
          <w:rtl/>
        </w:rPr>
        <w:t xml:space="preserve">, </w:t>
      </w:r>
      <w:r w:rsidRPr="00D01897">
        <w:rPr>
          <w:rFonts w:hint="eastAsia"/>
          <w:rtl/>
        </w:rPr>
        <w:t>היקפו</w:t>
      </w:r>
      <w:r w:rsidRPr="00D01897">
        <w:rPr>
          <w:rtl/>
        </w:rPr>
        <w:t xml:space="preserve">, </w:t>
      </w:r>
      <w:r w:rsidRPr="00D01897">
        <w:rPr>
          <w:rFonts w:hint="eastAsia"/>
          <w:rtl/>
        </w:rPr>
        <w:t>תוכנו</w:t>
      </w:r>
      <w:r w:rsidRPr="00D01897">
        <w:rPr>
          <w:rtl/>
        </w:rPr>
        <w:t xml:space="preserve">, </w:t>
      </w:r>
      <w:r w:rsidRPr="00D01897">
        <w:rPr>
          <w:rFonts w:hint="eastAsia"/>
          <w:rtl/>
        </w:rPr>
        <w:t>השלכותיו</w:t>
      </w:r>
      <w:r w:rsidRPr="00D01897">
        <w:rPr>
          <w:rtl/>
        </w:rPr>
        <w:t xml:space="preserve">, </w:t>
      </w:r>
      <w:r w:rsidRPr="00D01897">
        <w:rPr>
          <w:rFonts w:hint="eastAsia"/>
          <w:rtl/>
        </w:rPr>
        <w:t>זהות</w:t>
      </w:r>
      <w:r w:rsidRPr="00D01897">
        <w:rPr>
          <w:rtl/>
        </w:rPr>
        <w:t xml:space="preserve"> </w:t>
      </w:r>
      <w:r w:rsidRPr="00D01897">
        <w:rPr>
          <w:rFonts w:hint="eastAsia"/>
          <w:rtl/>
        </w:rPr>
        <w:t>הנמענים</w:t>
      </w:r>
      <w:r w:rsidRPr="00D01897">
        <w:rPr>
          <w:rtl/>
        </w:rPr>
        <w:t xml:space="preserve">, </w:t>
      </w:r>
      <w:r w:rsidRPr="00D01897">
        <w:rPr>
          <w:rFonts w:hint="eastAsia"/>
          <w:rtl/>
        </w:rPr>
        <w:t>התנהלות</w:t>
      </w:r>
      <w:r w:rsidRPr="00D01897">
        <w:rPr>
          <w:rtl/>
        </w:rPr>
        <w:t xml:space="preserve"> </w:t>
      </w:r>
      <w:r w:rsidRPr="00D01897">
        <w:rPr>
          <w:rFonts w:hint="eastAsia"/>
          <w:rtl/>
        </w:rPr>
        <w:t>שני</w:t>
      </w:r>
      <w:r w:rsidRPr="00D01897">
        <w:rPr>
          <w:rtl/>
        </w:rPr>
        <w:t xml:space="preserve"> </w:t>
      </w:r>
      <w:r w:rsidRPr="00D01897">
        <w:rPr>
          <w:rFonts w:hint="eastAsia"/>
          <w:rtl/>
        </w:rPr>
        <w:t>הצדדים</w:t>
      </w:r>
      <w:r w:rsidRPr="00D01897">
        <w:rPr>
          <w:rtl/>
        </w:rPr>
        <w:t xml:space="preserve"> </w:t>
      </w:r>
      <w:r w:rsidRPr="00D01897">
        <w:rPr>
          <w:rFonts w:hint="eastAsia"/>
          <w:rtl/>
        </w:rPr>
        <w:t>קודם</w:t>
      </w:r>
      <w:r w:rsidRPr="00D01897">
        <w:rPr>
          <w:rtl/>
        </w:rPr>
        <w:t xml:space="preserve"> </w:t>
      </w:r>
      <w:r w:rsidRPr="00D01897">
        <w:rPr>
          <w:rFonts w:hint="eastAsia"/>
          <w:rtl/>
        </w:rPr>
        <w:t>ולאחר</w:t>
      </w:r>
      <w:r w:rsidRPr="00D01897">
        <w:rPr>
          <w:rtl/>
        </w:rPr>
        <w:t xml:space="preserve"> </w:t>
      </w:r>
      <w:r w:rsidRPr="00D01897">
        <w:rPr>
          <w:rFonts w:hint="eastAsia"/>
          <w:rtl/>
        </w:rPr>
        <w:t>הפרסום</w:t>
      </w:r>
      <w:r w:rsidRPr="00D01897">
        <w:rPr>
          <w:rtl/>
        </w:rPr>
        <w:t xml:space="preserve">, </w:t>
      </w:r>
      <w:r w:rsidRPr="00D01897">
        <w:rPr>
          <w:rFonts w:hint="eastAsia"/>
          <w:rtl/>
        </w:rPr>
        <w:t>תפיסתו</w:t>
      </w:r>
      <w:r w:rsidRPr="00D01897">
        <w:rPr>
          <w:rtl/>
        </w:rPr>
        <w:t xml:space="preserve"> </w:t>
      </w:r>
      <w:r w:rsidRPr="00D01897">
        <w:rPr>
          <w:rFonts w:hint="eastAsia"/>
          <w:rtl/>
        </w:rPr>
        <w:t>האישית</w:t>
      </w:r>
      <w:r w:rsidRPr="00D01897">
        <w:rPr>
          <w:rtl/>
        </w:rPr>
        <w:t xml:space="preserve"> </w:t>
      </w:r>
      <w:r w:rsidRPr="00D01897">
        <w:rPr>
          <w:rFonts w:hint="eastAsia"/>
          <w:rtl/>
        </w:rPr>
        <w:t>של</w:t>
      </w:r>
      <w:r w:rsidRPr="00D01897">
        <w:rPr>
          <w:rtl/>
        </w:rPr>
        <w:t xml:space="preserve"> </w:t>
      </w:r>
      <w:r w:rsidRPr="00D01897">
        <w:rPr>
          <w:rFonts w:hint="eastAsia"/>
          <w:rtl/>
        </w:rPr>
        <w:t>הנפגע</w:t>
      </w:r>
      <w:r w:rsidRPr="00D01897">
        <w:rPr>
          <w:rtl/>
        </w:rPr>
        <w:t xml:space="preserve"> </w:t>
      </w:r>
      <w:r w:rsidRPr="00D01897">
        <w:rPr>
          <w:rFonts w:hint="eastAsia"/>
          <w:rtl/>
        </w:rPr>
        <w:t>את</w:t>
      </w:r>
      <w:r w:rsidRPr="00D01897">
        <w:rPr>
          <w:rtl/>
        </w:rPr>
        <w:t xml:space="preserve"> </w:t>
      </w:r>
      <w:r w:rsidRPr="00D01897">
        <w:rPr>
          <w:rFonts w:hint="eastAsia"/>
          <w:rtl/>
        </w:rPr>
        <w:t>הפרסום</w:t>
      </w:r>
      <w:r w:rsidRPr="00D01897">
        <w:rPr>
          <w:rtl/>
        </w:rPr>
        <w:t xml:space="preserve">, </w:t>
      </w:r>
      <w:r w:rsidRPr="00D01897">
        <w:rPr>
          <w:rFonts w:hint="eastAsia"/>
          <w:rtl/>
        </w:rPr>
        <w:t>תפיסתו</w:t>
      </w:r>
      <w:r w:rsidRPr="00D01897">
        <w:rPr>
          <w:rtl/>
        </w:rPr>
        <w:t xml:space="preserve"> </w:t>
      </w:r>
      <w:r w:rsidRPr="00D01897">
        <w:rPr>
          <w:rFonts w:hint="eastAsia"/>
          <w:rtl/>
        </w:rPr>
        <w:t>של</w:t>
      </w:r>
      <w:r w:rsidRPr="00D01897">
        <w:rPr>
          <w:rtl/>
        </w:rPr>
        <w:t xml:space="preserve"> </w:t>
      </w:r>
      <w:r w:rsidRPr="00D01897">
        <w:rPr>
          <w:rFonts w:hint="eastAsia"/>
          <w:rtl/>
        </w:rPr>
        <w:t>הציבור</w:t>
      </w:r>
      <w:r w:rsidRPr="00D01897">
        <w:rPr>
          <w:rtl/>
        </w:rPr>
        <w:t xml:space="preserve"> </w:t>
      </w:r>
      <w:r w:rsidRPr="00D01897">
        <w:rPr>
          <w:rFonts w:hint="eastAsia"/>
          <w:rtl/>
        </w:rPr>
        <w:t>את</w:t>
      </w:r>
      <w:r w:rsidRPr="00D01897">
        <w:rPr>
          <w:rtl/>
        </w:rPr>
        <w:t xml:space="preserve"> </w:t>
      </w:r>
      <w:r w:rsidRPr="00D01897">
        <w:rPr>
          <w:rFonts w:hint="eastAsia"/>
          <w:rtl/>
        </w:rPr>
        <w:t>הנפגע</w:t>
      </w:r>
      <w:r w:rsidRPr="00D01897">
        <w:rPr>
          <w:rtl/>
        </w:rPr>
        <w:t xml:space="preserve"> </w:t>
      </w:r>
      <w:r w:rsidRPr="00D01897">
        <w:rPr>
          <w:rFonts w:hint="eastAsia"/>
          <w:rtl/>
        </w:rPr>
        <w:t>כפועל</w:t>
      </w:r>
      <w:r w:rsidRPr="00D01897">
        <w:rPr>
          <w:rtl/>
        </w:rPr>
        <w:t xml:space="preserve"> </w:t>
      </w:r>
      <w:r w:rsidRPr="00D01897">
        <w:rPr>
          <w:rFonts w:hint="eastAsia"/>
          <w:rtl/>
        </w:rPr>
        <w:t>יוצא</w:t>
      </w:r>
      <w:r w:rsidRPr="00D01897">
        <w:rPr>
          <w:rtl/>
        </w:rPr>
        <w:t xml:space="preserve"> </w:t>
      </w:r>
      <w:r w:rsidRPr="00D01897">
        <w:rPr>
          <w:rFonts w:hint="eastAsia"/>
          <w:rtl/>
        </w:rPr>
        <w:t>של</w:t>
      </w:r>
      <w:r w:rsidRPr="00D01897">
        <w:rPr>
          <w:rtl/>
        </w:rPr>
        <w:t xml:space="preserve"> </w:t>
      </w:r>
      <w:r w:rsidRPr="00D01897">
        <w:rPr>
          <w:rFonts w:hint="eastAsia"/>
          <w:rtl/>
        </w:rPr>
        <w:t>אותו</w:t>
      </w:r>
      <w:r w:rsidRPr="00D01897">
        <w:rPr>
          <w:rtl/>
        </w:rPr>
        <w:t xml:space="preserve"> </w:t>
      </w:r>
      <w:r w:rsidRPr="00D01897">
        <w:rPr>
          <w:rFonts w:hint="eastAsia"/>
          <w:rtl/>
        </w:rPr>
        <w:t>פרסום</w:t>
      </w:r>
      <w:r w:rsidRPr="00D01897">
        <w:rPr>
          <w:rtl/>
        </w:rPr>
        <w:t xml:space="preserve">, </w:t>
      </w:r>
      <w:r w:rsidRPr="00D01897">
        <w:rPr>
          <w:rFonts w:hint="eastAsia"/>
          <w:rtl/>
        </w:rPr>
        <w:t>תגובתם</w:t>
      </w:r>
      <w:r w:rsidRPr="00D01897">
        <w:rPr>
          <w:rtl/>
        </w:rPr>
        <w:t xml:space="preserve"> </w:t>
      </w:r>
      <w:r w:rsidRPr="00D01897">
        <w:rPr>
          <w:rFonts w:hint="eastAsia"/>
          <w:rtl/>
        </w:rPr>
        <w:t>לדרישות</w:t>
      </w:r>
      <w:r w:rsidRPr="00D01897">
        <w:rPr>
          <w:rtl/>
        </w:rPr>
        <w:t xml:space="preserve"> </w:t>
      </w:r>
      <w:r w:rsidRPr="00D01897">
        <w:rPr>
          <w:rFonts w:hint="eastAsia"/>
          <w:rtl/>
        </w:rPr>
        <w:t>אלו</w:t>
      </w:r>
      <w:r w:rsidRPr="00D01897">
        <w:rPr>
          <w:rtl/>
        </w:rPr>
        <w:t xml:space="preserve"> </w:t>
      </w:r>
      <w:r w:rsidRPr="00D01897">
        <w:rPr>
          <w:rFonts w:hint="eastAsia"/>
          <w:rtl/>
        </w:rPr>
        <w:t>ואחרות</w:t>
      </w:r>
      <w:r w:rsidRPr="00D01897">
        <w:rPr>
          <w:rtl/>
        </w:rPr>
        <w:t xml:space="preserve"> </w:t>
      </w:r>
      <w:r w:rsidRPr="00D01897">
        <w:rPr>
          <w:rFonts w:hint="eastAsia"/>
          <w:rtl/>
        </w:rPr>
        <w:t>של</w:t>
      </w:r>
      <w:r w:rsidRPr="00D01897">
        <w:rPr>
          <w:rtl/>
        </w:rPr>
        <w:t xml:space="preserve"> </w:t>
      </w:r>
      <w:r w:rsidRPr="00D01897">
        <w:rPr>
          <w:rFonts w:hint="eastAsia"/>
          <w:rtl/>
        </w:rPr>
        <w:t>הצד</w:t>
      </w:r>
      <w:r w:rsidRPr="00D01897">
        <w:rPr>
          <w:rtl/>
        </w:rPr>
        <w:t xml:space="preserve"> </w:t>
      </w:r>
      <w:r w:rsidRPr="00D01897">
        <w:rPr>
          <w:rFonts w:hint="eastAsia"/>
          <w:rtl/>
        </w:rPr>
        <w:t>שכנגד</w:t>
      </w:r>
      <w:r w:rsidRPr="00D01897">
        <w:rPr>
          <w:rtl/>
        </w:rPr>
        <w:t xml:space="preserve">, </w:t>
      </w:r>
      <w:r w:rsidRPr="00D01897">
        <w:rPr>
          <w:rFonts w:hint="eastAsia"/>
          <w:rtl/>
        </w:rPr>
        <w:t>וכיוצא</w:t>
      </w:r>
      <w:r w:rsidRPr="00D01897">
        <w:rPr>
          <w:rtl/>
        </w:rPr>
        <w:t xml:space="preserve"> </w:t>
      </w:r>
      <w:r w:rsidRPr="00D01897">
        <w:rPr>
          <w:rFonts w:hint="eastAsia"/>
          <w:rtl/>
        </w:rPr>
        <w:t>באלו</w:t>
      </w:r>
      <w:r>
        <w:rPr>
          <w:rFonts w:hint="cs"/>
          <w:rtl/>
        </w:rPr>
        <w:t xml:space="preserve">." (ההדגשה הוספה </w:t>
      </w:r>
      <w:r>
        <w:rPr>
          <w:rtl/>
        </w:rPr>
        <w:t>–</w:t>
      </w:r>
      <w:r>
        <w:rPr>
          <w:rFonts w:hint="cs"/>
          <w:rtl/>
        </w:rPr>
        <w:t xml:space="preserve"> א.ש.).</w:t>
      </w:r>
    </w:p>
    <w:p w:rsidR="008B3136" w:rsidRDefault="008B3136" w:rsidP="0049039C">
      <w:pPr>
        <w:pStyle w:val="Ruller41"/>
        <w:rPr>
          <w:rtl/>
        </w:rPr>
      </w:pPr>
    </w:p>
    <w:p w:rsidR="008B3136" w:rsidRDefault="008B3136" w:rsidP="008B3136">
      <w:pPr>
        <w:pStyle w:val="Ruller41"/>
        <w:rPr>
          <w:rtl/>
        </w:rPr>
      </w:pPr>
      <w:r>
        <w:rPr>
          <w:rtl/>
        </w:rPr>
        <w:tab/>
      </w:r>
      <w:r>
        <w:rPr>
          <w:rFonts w:hint="cs"/>
          <w:rtl/>
        </w:rPr>
        <w:t xml:space="preserve">דברים אלה נכונים לעילא ולעילא (ראו: רע"א 2855/20 </w:t>
      </w:r>
      <w:r w:rsidRPr="00616257">
        <w:rPr>
          <w:rFonts w:ascii="Century" w:hAnsi="Century" w:cs="Miriam" w:hint="cs"/>
          <w:b/>
          <w:spacing w:val="0"/>
          <w:szCs w:val="24"/>
          <w:rtl/>
        </w:rPr>
        <w:t>פלונית נ' פלוני</w:t>
      </w:r>
      <w:r>
        <w:rPr>
          <w:rFonts w:hint="cs"/>
          <w:rtl/>
        </w:rPr>
        <w:t xml:space="preserve"> (6.10.2022)). בהינתן פרמטרים אלה לקביעת הפיצוי ללא הוכחת נזקים ספציפיים, אין צל של ספק בכך שאילולא הוצאו הצווים שבהם עסקינן, סכום הפיצוי שבית משפט קמא היה פוסק לטובת המשיב 1, תוך שהוא מחייב את המערער לשלמו, היה עולה באופן ניכר על 175,000 ש"ח. </w:t>
      </w:r>
    </w:p>
    <w:p w:rsidR="008B3136" w:rsidRDefault="008B3136" w:rsidP="008B3136">
      <w:pPr>
        <w:pStyle w:val="Ruller41"/>
        <w:rPr>
          <w:rtl/>
        </w:rPr>
      </w:pPr>
    </w:p>
    <w:p w:rsidR="008B3136" w:rsidRDefault="008B3136" w:rsidP="008B3136">
      <w:pPr>
        <w:pStyle w:val="Ruller4"/>
      </w:pPr>
      <w:r>
        <w:rPr>
          <w:rFonts w:hint="cs"/>
          <w:rtl/>
        </w:rPr>
        <w:t xml:space="preserve">המשיב 1 לא הגיש ערעור על גובה הפיצוי שנפסק לטובתו; והמערער, מן הסתם, לא הציע להעלות את שיעור הפיצוי. בנסיבות אלו, התערבותנו בצווים שניתנו תעוות את האיזון בסל הסעדים אשר נקבע על ידי בית משפט קמא; ואחרי שידענו כי איזון זה אינו חורג ממתחם הסבירות, ואף מידתי כשלעצמו, אין לנו אלא לדחות את הטענות שהועלו נגד הצווים. </w:t>
      </w:r>
    </w:p>
    <w:p w:rsidR="008B3136" w:rsidRDefault="008B3136" w:rsidP="008B3136">
      <w:pPr>
        <w:pStyle w:val="Ruller4"/>
        <w:numPr>
          <w:ilvl w:val="0"/>
          <w:numId w:val="0"/>
        </w:numPr>
        <w:rPr>
          <w:rtl/>
        </w:rPr>
      </w:pPr>
    </w:p>
    <w:p w:rsidR="008B3136" w:rsidRPr="00EA2FE4" w:rsidRDefault="008B3136" w:rsidP="008B3136">
      <w:pPr>
        <w:pStyle w:val="Ruller4"/>
        <w:numPr>
          <w:ilvl w:val="0"/>
          <w:numId w:val="0"/>
        </w:numPr>
        <w:rPr>
          <w:rFonts w:ascii="Century" w:hAnsi="Century" w:cs="Miriam"/>
          <w:b/>
          <w:spacing w:val="0"/>
          <w:sz w:val="22"/>
          <w:szCs w:val="24"/>
          <w:rtl/>
        </w:rPr>
      </w:pPr>
      <w:r w:rsidRPr="00EA2FE4">
        <w:rPr>
          <w:rFonts w:ascii="Century" w:hAnsi="Century" w:cs="Miriam" w:hint="cs"/>
          <w:b/>
          <w:spacing w:val="0"/>
          <w:sz w:val="22"/>
          <w:szCs w:val="24"/>
          <w:rtl/>
        </w:rPr>
        <w:t>התייחסות קצרה לאחרית-דבר של השופט י' עמית</w:t>
      </w:r>
    </w:p>
    <w:p w:rsidR="008B3136" w:rsidRPr="00EA2FE4" w:rsidRDefault="008B3136" w:rsidP="008B3136">
      <w:pPr>
        <w:pStyle w:val="Ruller41"/>
      </w:pPr>
    </w:p>
    <w:p w:rsidR="008B3136" w:rsidRDefault="008B3136" w:rsidP="008B3136">
      <w:pPr>
        <w:pStyle w:val="Ruller4"/>
      </w:pPr>
      <w:r>
        <w:rPr>
          <w:rFonts w:hint="cs"/>
          <w:rtl/>
        </w:rPr>
        <w:t xml:space="preserve">חברי, השופט </w:t>
      </w:r>
      <w:r w:rsidRPr="00EA2FE4">
        <w:rPr>
          <w:rFonts w:ascii="Century" w:hAnsi="Century" w:cs="Miriam" w:hint="cs"/>
          <w:b/>
          <w:spacing w:val="0"/>
          <w:sz w:val="22"/>
          <w:szCs w:val="24"/>
          <w:rtl/>
        </w:rPr>
        <w:t>עמית</w:t>
      </w:r>
      <w:r>
        <w:rPr>
          <w:rFonts w:hint="cs"/>
          <w:rtl/>
        </w:rPr>
        <w:t xml:space="preserve">, חולק על סיווגו של מעשה העוולה, לו נמצא המערער אחראי, כעוולה נמשכת. אשוב ואדגיש, כי סיווג זה נעשה על ידי ביחס להפצת סרט הכזבים של המערער ולאי-הסרתו מהמרחב הציבורי בהקשרן של כל הקרנות הסרט מושא התביעה </w:t>
      </w:r>
      <w:r>
        <w:rPr>
          <w:rtl/>
        </w:rPr>
        <w:t>–</w:t>
      </w:r>
      <w:r>
        <w:rPr>
          <w:rFonts w:hint="cs"/>
          <w:rtl/>
        </w:rPr>
        <w:t xml:space="preserve"> ועל כן אין כאן שום חריגה ממסגרת הדיון. כפי שצוין לעיל בפסק דיני, סיווג זה הוא עניין משפטי מובהק אשר מהווה חלק מדיני ההתיישנות החלים על מעשי נזיקין. </w:t>
      </w:r>
    </w:p>
    <w:p w:rsidR="008B3136" w:rsidRDefault="008B3136" w:rsidP="008B3136">
      <w:pPr>
        <w:pStyle w:val="Ruller4"/>
        <w:numPr>
          <w:ilvl w:val="0"/>
          <w:numId w:val="0"/>
        </w:numPr>
      </w:pPr>
    </w:p>
    <w:p w:rsidR="008B3136" w:rsidRPr="001515B6" w:rsidRDefault="008B3136" w:rsidP="008B3136">
      <w:pPr>
        <w:pStyle w:val="Ruller4"/>
        <w:rPr>
          <w:rtl/>
        </w:rPr>
      </w:pPr>
      <w:r w:rsidRPr="001515B6">
        <w:rPr>
          <w:rtl/>
        </w:rPr>
        <w:t>חברי מביע דאגה ב</w:t>
      </w:r>
      <w:r>
        <w:rPr>
          <w:rFonts w:hint="cs"/>
          <w:rtl/>
        </w:rPr>
        <w:t>אשר</w:t>
      </w:r>
      <w:r w:rsidRPr="001515B6">
        <w:rPr>
          <w:rtl/>
        </w:rPr>
        <w:t xml:space="preserve"> לחשיפה אינסופית לתביעות, ממנה יסבלו מפיצי לשון הרע. לשיטתו, חשיפה </w:t>
      </w:r>
      <w:r>
        <w:rPr>
          <w:rFonts w:hint="cs"/>
          <w:rtl/>
        </w:rPr>
        <w:t>כאמור</w:t>
      </w:r>
      <w:r w:rsidRPr="001515B6">
        <w:rPr>
          <w:rtl/>
        </w:rPr>
        <w:t xml:space="preserve"> אינה</w:t>
      </w:r>
      <w:r>
        <w:rPr>
          <w:rFonts w:hint="cs"/>
          <w:rtl/>
        </w:rPr>
        <w:t xml:space="preserve"> </w:t>
      </w:r>
      <w:r w:rsidRPr="001515B6">
        <w:rPr>
          <w:rtl/>
        </w:rPr>
        <w:t>מוצדקת. בחשש זה איני מקל ראש, א</w:t>
      </w:r>
      <w:r>
        <w:rPr>
          <w:rFonts w:hint="cs"/>
          <w:rtl/>
        </w:rPr>
        <w:t xml:space="preserve">ולם </w:t>
      </w:r>
      <w:r w:rsidRPr="001515B6">
        <w:rPr>
          <w:rtl/>
        </w:rPr>
        <w:t xml:space="preserve">אין </w:t>
      </w:r>
      <w:r>
        <w:rPr>
          <w:rFonts w:hint="cs"/>
          <w:rtl/>
        </w:rPr>
        <w:t xml:space="preserve">אני רואה בו סיבה </w:t>
      </w:r>
      <w:r w:rsidRPr="001515B6">
        <w:rPr>
          <w:rtl/>
        </w:rPr>
        <w:t xml:space="preserve">לשנות את עמדתי באשר לדין המצוי. דין הוא דין, לטוב ולרע. כמו כן אינני משוכנע אם גישתו של חברי </w:t>
      </w:r>
      <w:r>
        <w:rPr>
          <w:rtl/>
        </w:rPr>
        <w:t>–</w:t>
      </w:r>
      <w:r>
        <w:rPr>
          <w:rFonts w:hint="cs"/>
          <w:rtl/>
        </w:rPr>
        <w:t xml:space="preserve"> </w:t>
      </w:r>
      <w:r w:rsidRPr="001515B6">
        <w:rPr>
          <w:rtl/>
        </w:rPr>
        <w:t>שכאמור רואה</w:t>
      </w:r>
      <w:r>
        <w:rPr>
          <w:rFonts w:hint="cs"/>
          <w:rtl/>
        </w:rPr>
        <w:t xml:space="preserve"> </w:t>
      </w:r>
      <w:r w:rsidRPr="001515B6">
        <w:rPr>
          <w:rtl/>
        </w:rPr>
        <w:t>בפרסום לשון הרע אירוע חד-פעמי,</w:t>
      </w:r>
      <w:r>
        <w:rPr>
          <w:rtl/>
        </w:rPr>
        <w:t xml:space="preserve"> ולא עוולה נמשכת</w:t>
      </w:r>
      <w:r>
        <w:rPr>
          <w:rFonts w:hint="cs"/>
          <w:rtl/>
        </w:rPr>
        <w:t xml:space="preserve"> </w:t>
      </w:r>
      <w:r>
        <w:rPr>
          <w:rtl/>
        </w:rPr>
        <w:t>–</w:t>
      </w:r>
      <w:r>
        <w:rPr>
          <w:rFonts w:hint="cs"/>
          <w:rtl/>
        </w:rPr>
        <w:t xml:space="preserve"> </w:t>
      </w:r>
      <w:r>
        <w:rPr>
          <w:rtl/>
        </w:rPr>
        <w:t>עולה בקנה אחד עם הדין הרצוי</w:t>
      </w:r>
      <w:r>
        <w:rPr>
          <w:rFonts w:hint="cs"/>
          <w:rtl/>
        </w:rPr>
        <w:t xml:space="preserve"> על כל היבטיו. </w:t>
      </w:r>
      <w:r w:rsidRPr="001515B6">
        <w:rPr>
          <w:rtl/>
        </w:rPr>
        <w:t>זרקוריו של חברי מופנים אל</w:t>
      </w:r>
      <w:r>
        <w:rPr>
          <w:rFonts w:hint="cs"/>
          <w:rtl/>
        </w:rPr>
        <w:t xml:space="preserve"> גורלו של </w:t>
      </w:r>
      <w:r w:rsidRPr="001515B6">
        <w:rPr>
          <w:rtl/>
        </w:rPr>
        <w:t xml:space="preserve">המעוול, </w:t>
      </w:r>
      <w:r>
        <w:rPr>
          <w:rFonts w:hint="cs"/>
          <w:rtl/>
        </w:rPr>
        <w:t xml:space="preserve">מפיץ לשון הרע, </w:t>
      </w:r>
      <w:r w:rsidRPr="001515B6">
        <w:rPr>
          <w:rtl/>
        </w:rPr>
        <w:t>ב</w:t>
      </w:r>
      <w:r>
        <w:rPr>
          <w:rFonts w:hint="cs"/>
          <w:rtl/>
        </w:rPr>
        <w:t>שעה ש</w:t>
      </w:r>
      <w:r w:rsidRPr="001515B6">
        <w:rPr>
          <w:rtl/>
        </w:rPr>
        <w:t>זרקוריי ממוקדים בנפגעים מלשון הרע. קבלת גישתו של חברי תחשוף נפגעים אלה לפגיעה</w:t>
      </w:r>
      <w:r>
        <w:rPr>
          <w:rFonts w:hint="cs"/>
          <w:rtl/>
        </w:rPr>
        <w:t xml:space="preserve"> </w:t>
      </w:r>
      <w:r>
        <w:rPr>
          <w:rtl/>
        </w:rPr>
        <w:t>מתמשכת בכבודם ובשמם הטוב</w:t>
      </w:r>
      <w:r>
        <w:rPr>
          <w:rFonts w:hint="cs"/>
          <w:rtl/>
        </w:rPr>
        <w:t xml:space="preserve"> </w:t>
      </w:r>
      <w:r>
        <w:rPr>
          <w:rtl/>
        </w:rPr>
        <w:t>–</w:t>
      </w:r>
      <w:r>
        <w:rPr>
          <w:rFonts w:hint="cs"/>
          <w:rtl/>
        </w:rPr>
        <w:t xml:space="preserve"> </w:t>
      </w:r>
      <w:r w:rsidRPr="001515B6">
        <w:rPr>
          <w:rtl/>
        </w:rPr>
        <w:t xml:space="preserve">זאת, מאחר שלמפיצי לשון הרע, אחרי שכבר שילמו לנפגע את הפיצוי </w:t>
      </w:r>
      <w:r>
        <w:rPr>
          <w:rtl/>
        </w:rPr>
        <w:t>החד</w:t>
      </w:r>
      <w:r>
        <w:rPr>
          <w:rFonts w:hint="cs"/>
          <w:rtl/>
        </w:rPr>
        <w:t>-</w:t>
      </w:r>
      <w:r w:rsidRPr="001515B6">
        <w:rPr>
          <w:rtl/>
        </w:rPr>
        <w:t>פעמי שהוטל</w:t>
      </w:r>
      <w:r>
        <w:rPr>
          <w:rFonts w:hint="cs"/>
          <w:rtl/>
        </w:rPr>
        <w:t xml:space="preserve"> </w:t>
      </w:r>
      <w:r w:rsidRPr="001515B6">
        <w:rPr>
          <w:rtl/>
        </w:rPr>
        <w:t>עליהם</w:t>
      </w:r>
      <w:r>
        <w:rPr>
          <w:rFonts w:hint="cs"/>
          <w:rtl/>
        </w:rPr>
        <w:t xml:space="preserve"> לשלמו</w:t>
      </w:r>
      <w:r w:rsidRPr="001515B6">
        <w:rPr>
          <w:rtl/>
        </w:rPr>
        <w:t>, לא יהא שום תמריץ לנקות את השיח הציבורי מההשמצות שהפיצו והותירו אחריהם. סיווגה של לשון הרע, כדוגמת</w:t>
      </w:r>
      <w:r>
        <w:rPr>
          <w:rFonts w:hint="cs"/>
          <w:rtl/>
        </w:rPr>
        <w:t xml:space="preserve"> </w:t>
      </w:r>
      <w:r w:rsidRPr="001515B6">
        <w:rPr>
          <w:rtl/>
        </w:rPr>
        <w:t>סרט הכזבים של המערער, כעוולה נמשכת תחייב את מפיציה לפעול להסרתה מהמרחב הציבורי מהר ככל</w:t>
      </w:r>
      <w:r>
        <w:rPr>
          <w:rFonts w:hint="cs"/>
          <w:rtl/>
        </w:rPr>
        <w:t xml:space="preserve"> </w:t>
      </w:r>
      <w:r w:rsidRPr="001515B6">
        <w:rPr>
          <w:rtl/>
        </w:rPr>
        <w:t>שניתן ובכל הדרכים העומדות להם או, לכל הפחות, לחזור בהם בפומבי מדברי ההשמצה שהפיצו. במילים אחרות: בתחרות</w:t>
      </w:r>
      <w:r>
        <w:rPr>
          <w:rFonts w:hint="cs"/>
          <w:rtl/>
        </w:rPr>
        <w:t xml:space="preserve"> </w:t>
      </w:r>
      <w:r w:rsidRPr="001515B6">
        <w:rPr>
          <w:rtl/>
        </w:rPr>
        <w:t>בין טובתו של המעוול, מפיצה של לשון הרע, לבין טובת הנפגע מעדיף אני, ללא סייג, את טובתו של הנפגע.</w:t>
      </w:r>
    </w:p>
    <w:p w:rsidR="008B3136" w:rsidRPr="001515B6" w:rsidRDefault="008B3136" w:rsidP="008B3136">
      <w:pPr>
        <w:pStyle w:val="Ruller41"/>
      </w:pPr>
    </w:p>
    <w:p w:rsidR="008B3136" w:rsidRDefault="008B3136" w:rsidP="008B3136">
      <w:pPr>
        <w:pStyle w:val="Ruller4"/>
        <w:rPr>
          <w:rtl/>
        </w:rPr>
      </w:pPr>
      <w:r>
        <w:rPr>
          <w:rFonts w:hint="cs"/>
          <w:rtl/>
        </w:rPr>
        <w:t xml:space="preserve">חברי מבקר את היזקקותי לדין האנגלי. אשוב ואדגיש כי פסק דיני מבוסס בעיקרו על הוראות הדין הישראלי. הדיון בדין האנגלי כמקור פרשנותו של דיננו-שלנו נעשה על ידי למעלה מן הצורך וכדי להסיר ספקות פרשניים, ככל שאלו קיימים </w:t>
      </w:r>
      <w:r>
        <w:rPr>
          <w:rtl/>
        </w:rPr>
        <w:t>–</w:t>
      </w:r>
      <w:r>
        <w:rPr>
          <w:rFonts w:hint="cs"/>
          <w:rtl/>
        </w:rPr>
        <w:t xml:space="preserve"> זאת, מאחר שהוראותיהן של פקודות הנזיקין, הישנה והעדכנית, שבהן קא עסקינן, מקורן במשפט המקובל האנגלי, ועל כן ראוי לפרשן לאורו. אוסיף ואבהיר, כי באומרי "ראוי", איני מתכוון לחובתו המוחלטת של בית המשפט להיזקק לדין האנגלי, אלא לאופן שבו נכון, לטעמי, להפעיל את שיקול הדעת הפרשני ביחס לסוגיה נושא דיוננו. </w:t>
      </w:r>
    </w:p>
    <w:p w:rsidR="008B3136" w:rsidRDefault="008B3136" w:rsidP="008B3136">
      <w:pPr>
        <w:pStyle w:val="Ruller41"/>
        <w:rPr>
          <w:rtl/>
        </w:rPr>
      </w:pPr>
    </w:p>
    <w:p w:rsidR="008B3136" w:rsidRPr="00381BA5" w:rsidRDefault="008B3136" w:rsidP="008B3136">
      <w:pPr>
        <w:pStyle w:val="Ruller41"/>
        <w:rPr>
          <w:rFonts w:ascii="Century" w:hAnsi="Century" w:cs="Miriam"/>
          <w:b/>
          <w:spacing w:val="0"/>
          <w:szCs w:val="24"/>
        </w:rPr>
      </w:pPr>
      <w:r w:rsidRPr="00381BA5">
        <w:rPr>
          <w:rFonts w:ascii="Century" w:hAnsi="Century" w:cs="Miriam" w:hint="cs"/>
          <w:b/>
          <w:spacing w:val="0"/>
          <w:szCs w:val="24"/>
          <w:rtl/>
        </w:rPr>
        <w:t>סוף דבר</w:t>
      </w:r>
    </w:p>
    <w:p w:rsidR="008B3136" w:rsidRDefault="008B3136" w:rsidP="008B3136">
      <w:pPr>
        <w:pStyle w:val="Ruller4"/>
        <w:numPr>
          <w:ilvl w:val="0"/>
          <w:numId w:val="0"/>
        </w:numPr>
      </w:pPr>
    </w:p>
    <w:p w:rsidR="008B3136" w:rsidRDefault="008B3136" w:rsidP="008B3136">
      <w:pPr>
        <w:pStyle w:val="Ruller4"/>
        <w:rPr>
          <w:rtl/>
        </w:rPr>
      </w:pPr>
      <w:r>
        <w:rPr>
          <w:rFonts w:hint="cs"/>
          <w:rtl/>
        </w:rPr>
        <w:t>סוף דבר: אם תישמע דעתי, נאשר את התוצאה אליה הגיע בית משפט קמא בפסק דינו ונדחה את הערעור על כל חלקיו. המערער ישלם למשיב 1 הוצאות משפט בסך כולל של 35,000 ש"ח.</w:t>
      </w:r>
    </w:p>
    <w:p w:rsidR="008B3136" w:rsidRPr="008B3136" w:rsidRDefault="008B3136" w:rsidP="008B3136">
      <w:pPr>
        <w:pStyle w:val="Ruller41"/>
        <w:rPr>
          <w:rFonts w:ascii="Century" w:hAnsi="Century"/>
          <w:rtl/>
        </w:rPr>
      </w:pPr>
    </w:p>
    <w:p w:rsidR="008B3136" w:rsidRPr="008B3136" w:rsidRDefault="008B3136" w:rsidP="008B3136">
      <w:pPr>
        <w:pStyle w:val="Ruller41"/>
        <w:rPr>
          <w:rFonts w:ascii="Century" w:hAnsi="Century"/>
          <w:rtl/>
        </w:rPr>
      </w:pPr>
    </w:p>
    <w:tbl>
      <w:tblPr>
        <w:bidiVisual/>
        <w:tblW w:w="0" w:type="auto"/>
        <w:tblLook w:val="01E0" w:firstRow="1" w:lastRow="1" w:firstColumn="1" w:lastColumn="1" w:noHBand="0" w:noVBand="0"/>
      </w:tblPr>
      <w:tblGrid>
        <w:gridCol w:w="2769"/>
        <w:gridCol w:w="2769"/>
        <w:gridCol w:w="2774"/>
      </w:tblGrid>
      <w:tr w:rsidR="008B3136" w:rsidRPr="004776CB" w:rsidTr="008D6D79">
        <w:tc>
          <w:tcPr>
            <w:tcW w:w="2769" w:type="dxa"/>
            <w:shd w:val="clear" w:color="auto" w:fill="auto"/>
          </w:tcPr>
          <w:p w:rsidR="008B3136" w:rsidRPr="004776CB" w:rsidRDefault="008B3136" w:rsidP="008D6D79">
            <w:pPr>
              <w:pStyle w:val="Ruller41"/>
              <w:rPr>
                <w:rtl/>
              </w:rPr>
            </w:pPr>
            <w:r w:rsidRPr="004776CB">
              <w:rPr>
                <w:rFonts w:hint="cs"/>
                <w:rtl/>
              </w:rPr>
              <w:t xml:space="preserve">   </w:t>
            </w:r>
          </w:p>
        </w:tc>
        <w:tc>
          <w:tcPr>
            <w:tcW w:w="2769" w:type="dxa"/>
            <w:shd w:val="clear" w:color="auto" w:fill="auto"/>
          </w:tcPr>
          <w:p w:rsidR="008B3136" w:rsidRPr="004776CB" w:rsidRDefault="008B3136" w:rsidP="008D6D79">
            <w:pPr>
              <w:pStyle w:val="Ruller41"/>
              <w:rPr>
                <w:rtl/>
              </w:rPr>
            </w:pPr>
          </w:p>
        </w:tc>
        <w:tc>
          <w:tcPr>
            <w:tcW w:w="2774" w:type="dxa"/>
            <w:shd w:val="clear" w:color="auto" w:fill="auto"/>
          </w:tcPr>
          <w:p w:rsidR="008B3136" w:rsidRPr="004776CB" w:rsidRDefault="008B3136" w:rsidP="008D6D79">
            <w:pPr>
              <w:pStyle w:val="Ruller41"/>
              <w:jc w:val="center"/>
              <w:rPr>
                <w:rtl/>
              </w:rPr>
            </w:pPr>
            <w:r w:rsidRPr="004776CB">
              <w:rPr>
                <w:rtl/>
              </w:rPr>
              <w:t>ש ו פ ט</w:t>
            </w:r>
          </w:p>
        </w:tc>
      </w:tr>
    </w:tbl>
    <w:p w:rsidR="008B3136" w:rsidRDefault="008B3136" w:rsidP="008B3136">
      <w:pPr>
        <w:pStyle w:val="Ruller41"/>
        <w:rPr>
          <w:rtl/>
        </w:rPr>
      </w:pPr>
    </w:p>
    <w:p w:rsidR="00AA3853" w:rsidRDefault="00AA3853" w:rsidP="008B3136">
      <w:pPr>
        <w:pStyle w:val="Ruller41"/>
        <w:rPr>
          <w:rtl/>
        </w:rPr>
      </w:pPr>
    </w:p>
    <w:p w:rsidR="005F62FF" w:rsidRPr="00503A3E" w:rsidRDefault="005F62FF" w:rsidP="005F62FF">
      <w:pPr>
        <w:pStyle w:val="BODYVERDICT"/>
        <w:rPr>
          <w:rFonts w:cs="Miriam"/>
          <w:sz w:val="24"/>
          <w:szCs w:val="24"/>
          <w:u w:val="single"/>
          <w:rtl/>
        </w:rPr>
      </w:pPr>
      <w:r>
        <w:rPr>
          <w:rFonts w:cs="Miriam"/>
          <w:sz w:val="24"/>
          <w:szCs w:val="24"/>
          <w:u w:val="single"/>
          <w:rtl/>
        </w:rPr>
        <w:t>השופט ד' מינץ:</w:t>
      </w:r>
    </w:p>
    <w:p w:rsidR="005F62FF" w:rsidRDefault="005F62FF" w:rsidP="005F62FF">
      <w:pPr>
        <w:pStyle w:val="Ruller41"/>
        <w:rPr>
          <w:rtl/>
        </w:rPr>
      </w:pPr>
    </w:p>
    <w:p w:rsidR="005F62FF" w:rsidRPr="009E0A1D" w:rsidRDefault="005F62FF" w:rsidP="005F62FF">
      <w:pPr>
        <w:pStyle w:val="Ruller41"/>
        <w:rPr>
          <w:rFonts w:ascii="Century" w:hAnsi="Century"/>
          <w:rtl/>
        </w:rPr>
      </w:pPr>
      <w:r>
        <w:rPr>
          <w:rtl/>
        </w:rPr>
        <w:tab/>
      </w:r>
      <w:r>
        <w:rPr>
          <w:rFonts w:hint="cs"/>
          <w:rtl/>
        </w:rPr>
        <w:t xml:space="preserve">במחלוקות שנפלו בין חבריי, מצטרף אני לעמדתו של חברי השופט </w:t>
      </w:r>
      <w:r w:rsidRPr="005009FD">
        <w:rPr>
          <w:rFonts w:ascii="Century" w:hAnsi="Century" w:cs="Miriam" w:hint="eastAsia"/>
          <w:b/>
          <w:spacing w:val="0"/>
          <w:szCs w:val="24"/>
          <w:rtl/>
        </w:rPr>
        <w:t>א</w:t>
      </w:r>
      <w:r w:rsidRPr="005009FD">
        <w:rPr>
          <w:rFonts w:ascii="Century" w:hAnsi="Century" w:cs="Miriam"/>
          <w:b/>
          <w:spacing w:val="0"/>
          <w:szCs w:val="24"/>
          <w:rtl/>
        </w:rPr>
        <w:t xml:space="preserve">' </w:t>
      </w:r>
      <w:r w:rsidRPr="005009FD">
        <w:rPr>
          <w:rFonts w:ascii="Century" w:hAnsi="Century" w:cs="Miriam" w:hint="eastAsia"/>
          <w:b/>
          <w:spacing w:val="0"/>
          <w:szCs w:val="24"/>
          <w:rtl/>
        </w:rPr>
        <w:t>שטיין</w:t>
      </w:r>
      <w:r w:rsidRPr="009E0A1D">
        <w:rPr>
          <w:rFonts w:ascii="Century" w:hAnsi="Century" w:hint="cs"/>
          <w:rtl/>
        </w:rPr>
        <w:t>.</w:t>
      </w:r>
      <w:r>
        <w:rPr>
          <w:rFonts w:ascii="Century" w:hAnsi="Century" w:hint="cs"/>
          <w:rtl/>
        </w:rPr>
        <w:t xml:space="preserve"> חבריי הפכו כל אבן בנדון ולכן אסביר רק בתמצית מדוע הגעתי לכלל מסקנותיי.</w:t>
      </w:r>
    </w:p>
    <w:p w:rsidR="005F62FF" w:rsidRDefault="005F62FF" w:rsidP="005F62FF">
      <w:pPr>
        <w:pStyle w:val="Ruller41"/>
        <w:rPr>
          <w:rFonts w:ascii="Century" w:hAnsi="Century"/>
          <w:rtl/>
        </w:rPr>
      </w:pPr>
    </w:p>
    <w:p w:rsidR="005F62FF" w:rsidRDefault="005F62FF" w:rsidP="005F62FF">
      <w:pPr>
        <w:pStyle w:val="Ruller4"/>
        <w:numPr>
          <w:ilvl w:val="0"/>
          <w:numId w:val="0"/>
        </w:numPr>
        <w:rPr>
          <w:rFonts w:ascii="Century" w:hAnsi="Century" w:cs="Miriam"/>
          <w:b/>
          <w:spacing w:val="0"/>
          <w:sz w:val="22"/>
          <w:szCs w:val="24"/>
          <w:rtl/>
        </w:rPr>
      </w:pPr>
      <w:r>
        <w:rPr>
          <w:rFonts w:ascii="Century" w:hAnsi="Century" w:cs="Miriam" w:hint="cs"/>
          <w:b/>
          <w:spacing w:val="0"/>
          <w:sz w:val="22"/>
          <w:szCs w:val="24"/>
          <w:rtl/>
        </w:rPr>
        <w:t xml:space="preserve">אי-התיישנות התביעה בשל קיומה של </w:t>
      </w:r>
      <w:r w:rsidRPr="00DB5FE2">
        <w:rPr>
          <w:rFonts w:ascii="Century" w:hAnsi="Century" w:cs="Miriam" w:hint="cs"/>
          <w:b/>
          <w:spacing w:val="0"/>
          <w:sz w:val="22"/>
          <w:szCs w:val="24"/>
          <w:rtl/>
        </w:rPr>
        <w:t>עוולה נמשכת</w:t>
      </w:r>
    </w:p>
    <w:p w:rsidR="008A374F" w:rsidRPr="008A374F" w:rsidRDefault="008A374F" w:rsidP="008A374F">
      <w:pPr>
        <w:pStyle w:val="Ruller41"/>
      </w:pPr>
    </w:p>
    <w:p w:rsidR="005F62FF" w:rsidRDefault="004B51B6" w:rsidP="008A374F">
      <w:pPr>
        <w:pStyle w:val="Ruller4"/>
        <w:numPr>
          <w:ilvl w:val="0"/>
          <w:numId w:val="0"/>
        </w:numPr>
        <w:rPr>
          <w:rtl/>
        </w:rPr>
      </w:pPr>
      <w:r>
        <w:rPr>
          <w:rFonts w:hint="cs"/>
          <w:rtl/>
        </w:rPr>
        <w:t>1.</w:t>
      </w:r>
      <w:r>
        <w:rPr>
          <w:rFonts w:hint="cs"/>
          <w:rtl/>
        </w:rPr>
        <w:tab/>
      </w:r>
      <w:r w:rsidR="005F62FF">
        <w:rPr>
          <w:rFonts w:hint="cs"/>
          <w:rtl/>
        </w:rPr>
        <w:t xml:space="preserve">כאמור, </w:t>
      </w:r>
      <w:r w:rsidR="005F62FF" w:rsidRPr="009E0A1D">
        <w:rPr>
          <w:rFonts w:hint="cs"/>
          <w:rtl/>
        </w:rPr>
        <w:t xml:space="preserve">מסכים אני עם קביעתו של חברי השופט </w:t>
      </w:r>
      <w:r w:rsidR="005F62FF" w:rsidRPr="009E0A1D">
        <w:rPr>
          <w:rFonts w:ascii="Century" w:hAnsi="Century" w:cs="Miriam" w:hint="cs"/>
          <w:b/>
          <w:spacing w:val="0"/>
          <w:szCs w:val="24"/>
          <w:rtl/>
        </w:rPr>
        <w:t>שטיין</w:t>
      </w:r>
      <w:r w:rsidR="005F62FF" w:rsidRPr="009E0A1D">
        <w:rPr>
          <w:rFonts w:hint="cs"/>
          <w:rtl/>
        </w:rPr>
        <w:t xml:space="preserve">, כי </w:t>
      </w:r>
      <w:r w:rsidR="005F62FF">
        <w:rPr>
          <w:rFonts w:hint="cs"/>
          <w:rtl/>
        </w:rPr>
        <w:t>תביעת המשיב לא התיישנה נוכח העובדה ש</w:t>
      </w:r>
      <w:r w:rsidR="005F62FF" w:rsidRPr="009E0A1D">
        <w:rPr>
          <w:rFonts w:hint="cs"/>
          <w:rtl/>
        </w:rPr>
        <w:t xml:space="preserve">ניתן לראות בפרסומים כולם </w:t>
      </w:r>
      <w:r w:rsidR="005F62FF" w:rsidRPr="009E0A1D">
        <w:rPr>
          <w:rFonts w:ascii="Century" w:hAnsi="Century" w:hint="cs"/>
          <w:sz w:val="22"/>
          <w:rtl/>
        </w:rPr>
        <w:t>כ</w:t>
      </w:r>
      <w:r w:rsidR="005F62FF" w:rsidRPr="009E0A1D">
        <w:rPr>
          <w:rFonts w:ascii="Century" w:hAnsi="Century" w:cs="Miriam" w:hint="cs"/>
          <w:b/>
          <w:spacing w:val="0"/>
          <w:szCs w:val="24"/>
          <w:rtl/>
        </w:rPr>
        <w:t>עוולה נמשכת</w:t>
      </w:r>
      <w:r w:rsidR="005F62FF" w:rsidRPr="009E0A1D">
        <w:rPr>
          <w:rFonts w:hint="cs"/>
          <w:rtl/>
        </w:rPr>
        <w:t>. זאת</w:t>
      </w:r>
      <w:r w:rsidR="005F62FF">
        <w:rPr>
          <w:rFonts w:hint="cs"/>
          <w:rtl/>
        </w:rPr>
        <w:t xml:space="preserve"> משום ש</w:t>
      </w:r>
      <w:r w:rsidR="005F62FF" w:rsidRPr="009E0A1D">
        <w:rPr>
          <w:rFonts w:hint="cs"/>
          <w:rtl/>
        </w:rPr>
        <w:t xml:space="preserve">ניתן לראות בפרסום </w:t>
      </w:r>
      <w:r w:rsidR="005F62FF" w:rsidRPr="009E0A1D">
        <w:rPr>
          <w:rtl/>
        </w:rPr>
        <w:t>–</w:t>
      </w:r>
      <w:r w:rsidR="005F62FF" w:rsidRPr="009E0A1D">
        <w:rPr>
          <w:rFonts w:hint="cs"/>
          <w:rtl/>
        </w:rPr>
        <w:t xml:space="preserve"> כל עוד הוא נוכח במרחב הציבורי והמפרסם אינו פועל להסירו </w:t>
      </w:r>
      <w:r w:rsidR="005F62FF" w:rsidRPr="009E0A1D">
        <w:rPr>
          <w:rtl/>
        </w:rPr>
        <w:t>–</w:t>
      </w:r>
      <w:r w:rsidR="005F62FF" w:rsidRPr="009E0A1D">
        <w:rPr>
          <w:rFonts w:hint="cs"/>
          <w:rtl/>
        </w:rPr>
        <w:t xml:space="preserve"> כאירוע עוולתי נמשך אשר מוליד עילות תובענה בזו אחר זו (ראו עוד לעניין עוולה נמשכת: </w:t>
      </w:r>
      <w:r w:rsidR="005F62FF" w:rsidRPr="009E0A1D">
        <w:rPr>
          <w:rFonts w:hint="eastAsia"/>
          <w:rtl/>
        </w:rPr>
        <w:t>ע</w:t>
      </w:r>
      <w:r w:rsidR="005F62FF" w:rsidRPr="009E0A1D">
        <w:rPr>
          <w:rtl/>
        </w:rPr>
        <w:t>"</w:t>
      </w:r>
      <w:r w:rsidR="005F62FF" w:rsidRPr="009E0A1D">
        <w:rPr>
          <w:rFonts w:hint="eastAsia"/>
          <w:rtl/>
        </w:rPr>
        <w:t>א</w:t>
      </w:r>
      <w:r w:rsidR="005F62FF" w:rsidRPr="009E0A1D">
        <w:rPr>
          <w:rtl/>
        </w:rPr>
        <w:t xml:space="preserve"> </w:t>
      </w:r>
      <w:r w:rsidR="005F62FF" w:rsidRPr="009E0A1D">
        <w:rPr>
          <w:rFonts w:hint="cs"/>
          <w:rtl/>
        </w:rPr>
        <w:t xml:space="preserve">9413/03 </w:t>
      </w:r>
      <w:r w:rsidR="005F62FF" w:rsidRPr="009E0A1D">
        <w:rPr>
          <w:rFonts w:ascii="Century" w:hAnsi="Century" w:cs="Miriam" w:hint="eastAsia"/>
          <w:b/>
          <w:spacing w:val="0"/>
          <w:szCs w:val="24"/>
          <w:rtl/>
        </w:rPr>
        <w:t>אלנקווה</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נ</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ה</w:t>
      </w:r>
      <w:r w:rsidR="005F62FF" w:rsidRPr="009E0A1D">
        <w:rPr>
          <w:rFonts w:ascii="Century" w:hAnsi="Century" w:cs="Miriam" w:hint="cs"/>
          <w:b/>
          <w:spacing w:val="0"/>
          <w:szCs w:val="24"/>
          <w:rtl/>
        </w:rPr>
        <w:t>ו</w:t>
      </w:r>
      <w:r w:rsidR="005F62FF" w:rsidRPr="009E0A1D">
        <w:rPr>
          <w:rFonts w:ascii="Century" w:hAnsi="Century" w:cs="Miriam" w:hint="eastAsia"/>
          <w:b/>
          <w:spacing w:val="0"/>
          <w:szCs w:val="24"/>
          <w:rtl/>
        </w:rPr>
        <w:t>ועדה</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המקומית</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לתכנון</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ולבני</w:t>
      </w:r>
      <w:r w:rsidR="005F62FF" w:rsidRPr="009E0A1D">
        <w:rPr>
          <w:rFonts w:ascii="Century" w:hAnsi="Century" w:cs="Miriam" w:hint="cs"/>
          <w:b/>
          <w:spacing w:val="0"/>
          <w:szCs w:val="24"/>
          <w:rtl/>
        </w:rPr>
        <w:t>י</w:t>
      </w:r>
      <w:r w:rsidR="005F62FF" w:rsidRPr="009E0A1D">
        <w:rPr>
          <w:rFonts w:ascii="Century" w:hAnsi="Century" w:cs="Miriam" w:hint="eastAsia"/>
          <w:b/>
          <w:spacing w:val="0"/>
          <w:szCs w:val="24"/>
          <w:rtl/>
        </w:rPr>
        <w:t>ה</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ירושלים</w:t>
      </w:r>
      <w:r w:rsidR="005F62FF" w:rsidRPr="009E0A1D">
        <w:rPr>
          <w:rtl/>
        </w:rPr>
        <w:t xml:space="preserve">, </w:t>
      </w:r>
      <w:r w:rsidR="005F62FF" w:rsidRPr="009E0A1D">
        <w:rPr>
          <w:rFonts w:hint="eastAsia"/>
          <w:rtl/>
        </w:rPr>
        <w:t>פ</w:t>
      </w:r>
      <w:r w:rsidR="005F62FF" w:rsidRPr="009E0A1D">
        <w:rPr>
          <w:rtl/>
        </w:rPr>
        <w:t>"</w:t>
      </w:r>
      <w:r w:rsidR="005F62FF" w:rsidRPr="009E0A1D">
        <w:rPr>
          <w:rFonts w:hint="eastAsia"/>
          <w:rtl/>
        </w:rPr>
        <w:t>ד</w:t>
      </w:r>
      <w:r w:rsidR="005F62FF" w:rsidRPr="009E0A1D">
        <w:rPr>
          <w:rtl/>
        </w:rPr>
        <w:t xml:space="preserve"> </w:t>
      </w:r>
      <w:r w:rsidR="005F62FF" w:rsidRPr="009E0A1D">
        <w:rPr>
          <w:rFonts w:hint="eastAsia"/>
          <w:rtl/>
        </w:rPr>
        <w:t>סב</w:t>
      </w:r>
      <w:r w:rsidR="005F62FF" w:rsidRPr="009E0A1D">
        <w:rPr>
          <w:rtl/>
        </w:rPr>
        <w:t>(4) 525</w:t>
      </w:r>
      <w:r w:rsidR="005F62FF" w:rsidRPr="009E0A1D">
        <w:rPr>
          <w:rFonts w:hint="cs"/>
          <w:rtl/>
        </w:rPr>
        <w:t xml:space="preserve"> (2008); ע"א 3139/05 </w:t>
      </w:r>
      <w:r w:rsidR="005F62FF" w:rsidRPr="009E0A1D">
        <w:rPr>
          <w:rFonts w:ascii="Century" w:hAnsi="Century" w:cs="Miriam" w:hint="cs"/>
          <w:b/>
          <w:spacing w:val="0"/>
          <w:sz w:val="22"/>
          <w:szCs w:val="24"/>
          <w:rtl/>
        </w:rPr>
        <w:t>כלפון נוה ארזים בע"מ נ' הועדה המקומית לתכנון ובניה הרצליה</w:t>
      </w:r>
      <w:r w:rsidR="005F62FF" w:rsidRPr="009E0A1D">
        <w:rPr>
          <w:rFonts w:hint="cs"/>
          <w:rtl/>
        </w:rPr>
        <w:t xml:space="preserve">, פסקאות 32-31 (31.1.2008); </w:t>
      </w:r>
      <w:r w:rsidR="005F62FF" w:rsidRPr="009E0A1D">
        <w:rPr>
          <w:rFonts w:hint="eastAsia"/>
          <w:rtl/>
        </w:rPr>
        <w:t>ע</w:t>
      </w:r>
      <w:r w:rsidR="005F62FF" w:rsidRPr="009E0A1D">
        <w:rPr>
          <w:rFonts w:hint="cs"/>
          <w:rtl/>
        </w:rPr>
        <w:t>"</w:t>
      </w:r>
      <w:r w:rsidR="005F62FF" w:rsidRPr="009E0A1D">
        <w:rPr>
          <w:rFonts w:hint="eastAsia"/>
          <w:rtl/>
        </w:rPr>
        <w:t>א</w:t>
      </w:r>
      <w:r w:rsidR="005F62FF" w:rsidRPr="009E0A1D">
        <w:rPr>
          <w:rtl/>
        </w:rPr>
        <w:t xml:space="preserve"> 9292/07</w:t>
      </w:r>
      <w:r w:rsidR="005F62FF" w:rsidRPr="009E0A1D">
        <w:rPr>
          <w:rFonts w:hint="cs"/>
          <w:rtl/>
        </w:rPr>
        <w:t xml:space="preserve"> </w:t>
      </w:r>
      <w:r w:rsidR="005F62FF" w:rsidRPr="009E0A1D">
        <w:rPr>
          <w:rFonts w:ascii="Century" w:hAnsi="Century" w:cs="Miriam" w:hint="eastAsia"/>
          <w:b/>
          <w:spacing w:val="0"/>
          <w:sz w:val="22"/>
          <w:szCs w:val="24"/>
          <w:rtl/>
        </w:rPr>
        <w:t>חברות</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שדמות</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הדרום</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בע</w:t>
      </w:r>
      <w:r w:rsidR="005F62FF" w:rsidRPr="009E0A1D">
        <w:rPr>
          <w:rFonts w:ascii="Century" w:hAnsi="Century" w:cs="Miriam"/>
          <w:b/>
          <w:spacing w:val="0"/>
          <w:sz w:val="22"/>
          <w:szCs w:val="24"/>
          <w:rtl/>
        </w:rPr>
        <w:t>"</w:t>
      </w:r>
      <w:r w:rsidR="005F62FF" w:rsidRPr="009E0A1D">
        <w:rPr>
          <w:rFonts w:ascii="Century" w:hAnsi="Century" w:cs="Miriam" w:hint="eastAsia"/>
          <w:b/>
          <w:spacing w:val="0"/>
          <w:sz w:val="22"/>
          <w:szCs w:val="24"/>
          <w:rtl/>
        </w:rPr>
        <w:t>מ</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נ</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וועדה</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מקומית</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לתכנון</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ובנייה</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שמעונים</w:t>
      </w:r>
      <w:r w:rsidR="005F62FF" w:rsidRPr="009E0A1D">
        <w:rPr>
          <w:rFonts w:ascii="Century" w:hAnsi="Century" w:cs="Miriam"/>
          <w:b/>
          <w:spacing w:val="0"/>
          <w:sz w:val="22"/>
          <w:szCs w:val="24"/>
          <w:rtl/>
        </w:rPr>
        <w:t>"</w:t>
      </w:r>
      <w:r w:rsidR="005F62FF" w:rsidRPr="009E0A1D">
        <w:rPr>
          <w:rtl/>
        </w:rPr>
        <w:t>‏</w:t>
      </w:r>
      <w:r w:rsidR="005F62FF" w:rsidRPr="009E0A1D">
        <w:rPr>
          <w:rFonts w:hint="cs"/>
          <w:rtl/>
        </w:rPr>
        <w:t xml:space="preserve">, פסקאות 12-8 (6.1.2010); </w:t>
      </w:r>
      <w:r w:rsidR="005F62FF" w:rsidRPr="009E0A1D">
        <w:rPr>
          <w:rFonts w:hint="eastAsia"/>
          <w:rtl/>
        </w:rPr>
        <w:t>רע</w:t>
      </w:r>
      <w:r w:rsidR="005F62FF" w:rsidRPr="009E0A1D">
        <w:rPr>
          <w:rFonts w:hint="cs"/>
          <w:rtl/>
        </w:rPr>
        <w:t>"</w:t>
      </w:r>
      <w:r w:rsidR="005F62FF" w:rsidRPr="009E0A1D">
        <w:rPr>
          <w:rFonts w:hint="eastAsia"/>
          <w:rtl/>
        </w:rPr>
        <w:t>א</w:t>
      </w:r>
      <w:r w:rsidR="005F62FF" w:rsidRPr="009E0A1D">
        <w:rPr>
          <w:rtl/>
        </w:rPr>
        <w:t xml:space="preserve"> 6614/19</w:t>
      </w:r>
      <w:r w:rsidR="005F62FF" w:rsidRPr="009E0A1D">
        <w:rPr>
          <w:rFonts w:hint="cs"/>
          <w:rtl/>
        </w:rPr>
        <w:t xml:space="preserve"> </w:t>
      </w:r>
      <w:r w:rsidR="005F62FF" w:rsidRPr="009E0A1D">
        <w:rPr>
          <w:rFonts w:ascii="Century" w:hAnsi="Century" w:cs="Miriam" w:hint="eastAsia"/>
          <w:b/>
          <w:spacing w:val="0"/>
          <w:sz w:val="22"/>
          <w:szCs w:val="24"/>
          <w:rtl/>
        </w:rPr>
        <w:t>מדינת</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ישראל</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נ</w:t>
      </w:r>
      <w:r w:rsidR="005F62FF" w:rsidRPr="009E0A1D">
        <w:rPr>
          <w:rFonts w:ascii="Century" w:hAnsi="Century" w:cs="Miriam"/>
          <w:b/>
          <w:spacing w:val="0"/>
          <w:sz w:val="22"/>
          <w:szCs w:val="24"/>
          <w:rtl/>
        </w:rPr>
        <w:t xml:space="preserve">' </w:t>
      </w:r>
      <w:r w:rsidR="005F62FF" w:rsidRPr="009E0A1D">
        <w:rPr>
          <w:rFonts w:ascii="Century" w:hAnsi="Century" w:cs="Miriam" w:hint="eastAsia"/>
          <w:b/>
          <w:spacing w:val="0"/>
          <w:sz w:val="22"/>
          <w:szCs w:val="24"/>
          <w:rtl/>
        </w:rPr>
        <w:t>ג</w:t>
      </w:r>
      <w:r w:rsidR="005F62FF" w:rsidRPr="009E0A1D">
        <w:rPr>
          <w:rFonts w:ascii="Century" w:hAnsi="Century" w:cs="Miriam"/>
          <w:b/>
          <w:spacing w:val="0"/>
          <w:sz w:val="22"/>
          <w:szCs w:val="24"/>
          <w:rtl/>
        </w:rPr>
        <w:t>'</w:t>
      </w:r>
      <w:r w:rsidR="005F62FF" w:rsidRPr="009E0A1D">
        <w:rPr>
          <w:rFonts w:ascii="Century" w:hAnsi="Century" w:cs="Miriam" w:hint="eastAsia"/>
          <w:b/>
          <w:spacing w:val="0"/>
          <w:sz w:val="22"/>
          <w:szCs w:val="24"/>
          <w:rtl/>
        </w:rPr>
        <w:t>הסי</w:t>
      </w:r>
      <w:r w:rsidR="005F62FF" w:rsidRPr="009E0A1D">
        <w:rPr>
          <w:rFonts w:hint="cs"/>
          <w:rtl/>
        </w:rPr>
        <w:t xml:space="preserve">, פסקאות 23-18 (30.6.2021) (להלן: עניין </w:t>
      </w:r>
      <w:r w:rsidR="005F62FF" w:rsidRPr="009E0A1D">
        <w:rPr>
          <w:rFonts w:ascii="Century" w:hAnsi="Century" w:cs="Miriam" w:hint="cs"/>
          <w:b/>
          <w:spacing w:val="0"/>
          <w:sz w:val="22"/>
          <w:szCs w:val="24"/>
          <w:rtl/>
        </w:rPr>
        <w:t>ג'הסי</w:t>
      </w:r>
      <w:r w:rsidR="005F62FF" w:rsidRPr="009E0A1D">
        <w:rPr>
          <w:rFonts w:hint="cs"/>
          <w:rtl/>
        </w:rPr>
        <w:t xml:space="preserve">); </w:t>
      </w:r>
      <w:r w:rsidR="005F62FF" w:rsidRPr="009E0A1D">
        <w:rPr>
          <w:rFonts w:ascii="Century" w:hAnsi="Century" w:cs="Miriam" w:hint="cs"/>
          <w:b/>
          <w:spacing w:val="0"/>
          <w:sz w:val="22"/>
          <w:szCs w:val="24"/>
          <w:rtl/>
        </w:rPr>
        <w:t>חבקין</w:t>
      </w:r>
      <w:r w:rsidR="005F62FF" w:rsidRPr="009E0A1D">
        <w:rPr>
          <w:rFonts w:hint="cs"/>
          <w:rtl/>
        </w:rPr>
        <w:t>, 45</w:t>
      </w:r>
      <w:r w:rsidR="005F62FF">
        <w:rPr>
          <w:rFonts w:hint="cs"/>
          <w:rtl/>
        </w:rPr>
        <w:t>5</w:t>
      </w:r>
      <w:r w:rsidR="005F62FF" w:rsidRPr="009E0A1D">
        <w:rPr>
          <w:rFonts w:hint="cs"/>
          <w:rtl/>
        </w:rPr>
        <w:t>-453</w:t>
      </w:r>
      <w:r w:rsidR="005F62FF">
        <w:rPr>
          <w:rFonts w:hint="cs"/>
          <w:rtl/>
        </w:rPr>
        <w:t xml:space="preserve">; ישראל גלעד </w:t>
      </w:r>
      <w:r w:rsidR="005F62FF" w:rsidRPr="00B92A2B">
        <w:rPr>
          <w:rFonts w:ascii="Century" w:hAnsi="Century" w:cs="Miriam" w:hint="cs"/>
          <w:b/>
          <w:spacing w:val="0"/>
          <w:sz w:val="22"/>
          <w:szCs w:val="24"/>
          <w:rtl/>
        </w:rPr>
        <w:t>התיישנות בדין האזרחי</w:t>
      </w:r>
      <w:r w:rsidR="005F62FF">
        <w:rPr>
          <w:rFonts w:hint="cs"/>
          <w:rtl/>
        </w:rPr>
        <w:t xml:space="preserve"> 233-203 (2022)</w:t>
      </w:r>
      <w:r w:rsidR="005F62FF" w:rsidRPr="009E0A1D">
        <w:rPr>
          <w:rFonts w:hint="cs"/>
          <w:rtl/>
        </w:rPr>
        <w:t>).</w:t>
      </w:r>
    </w:p>
    <w:p w:rsidR="005F62FF" w:rsidRPr="00DB5FE2" w:rsidRDefault="005F62FF" w:rsidP="005F62FF">
      <w:pPr>
        <w:pStyle w:val="Ruller41"/>
      </w:pPr>
    </w:p>
    <w:p w:rsidR="005F62FF" w:rsidRPr="002B6E7F" w:rsidRDefault="004B51B6" w:rsidP="004B51B6">
      <w:pPr>
        <w:pStyle w:val="Ruller4"/>
        <w:numPr>
          <w:ilvl w:val="0"/>
          <w:numId w:val="0"/>
        </w:numPr>
      </w:pPr>
      <w:r>
        <w:rPr>
          <w:rFonts w:hint="cs"/>
          <w:rtl/>
        </w:rPr>
        <w:t>2.</w:t>
      </w:r>
      <w:r>
        <w:rPr>
          <w:rFonts w:hint="cs"/>
          <w:rtl/>
        </w:rPr>
        <w:tab/>
      </w:r>
      <w:r w:rsidR="005F62FF" w:rsidRPr="009E0A1D">
        <w:rPr>
          <w:rFonts w:hint="cs"/>
          <w:rtl/>
        </w:rPr>
        <w:t xml:space="preserve">חברי השופט </w:t>
      </w:r>
      <w:r w:rsidR="005F62FF" w:rsidRPr="002B6E7F">
        <w:rPr>
          <w:rFonts w:ascii="Century" w:hAnsi="Century" w:cs="Miriam" w:hint="cs"/>
          <w:b/>
          <w:spacing w:val="0"/>
          <w:sz w:val="22"/>
          <w:szCs w:val="24"/>
          <w:rtl/>
        </w:rPr>
        <w:t>עמית</w:t>
      </w:r>
      <w:r w:rsidR="005F62FF" w:rsidRPr="009E0A1D">
        <w:rPr>
          <w:rFonts w:hint="cs"/>
          <w:rtl/>
        </w:rPr>
        <w:t xml:space="preserve"> סבור כי אין מדובר ב"עוולה נמשכת" </w:t>
      </w:r>
      <w:r w:rsidR="005F62FF">
        <w:rPr>
          <w:rFonts w:hint="cs"/>
          <w:rtl/>
        </w:rPr>
        <w:t>מפני ש</w:t>
      </w:r>
      <w:r w:rsidR="005F62FF" w:rsidRPr="009E0A1D">
        <w:rPr>
          <w:rFonts w:hint="cs"/>
          <w:rtl/>
        </w:rPr>
        <w:t xml:space="preserve">לא הוכחה הקרנת הסרט באופן רציף, בהינתן חלוף השנים בין הקרנה להקרנה. </w:t>
      </w:r>
      <w:r w:rsidR="005F62FF">
        <w:rPr>
          <w:rFonts w:hint="cs"/>
          <w:rtl/>
        </w:rPr>
        <w:t>אלא שכבר בתחילת הדרך, בכתב הגנתו שהוגש לבית המשפט המחוזי ב</w:t>
      </w:r>
      <w:r w:rsidR="005F62FF" w:rsidRPr="009E0A1D">
        <w:rPr>
          <w:rFonts w:hint="cs"/>
          <w:rtl/>
        </w:rPr>
        <w:t>יום 19.9.2017</w:t>
      </w:r>
      <w:r w:rsidR="005F62FF">
        <w:rPr>
          <w:rFonts w:hint="cs"/>
          <w:rtl/>
        </w:rPr>
        <w:t xml:space="preserve">, </w:t>
      </w:r>
      <w:r w:rsidR="005F62FF" w:rsidRPr="009E0A1D">
        <w:rPr>
          <w:rFonts w:hint="cs"/>
          <w:rtl/>
        </w:rPr>
        <w:t xml:space="preserve">המערער לא חלק על כך </w:t>
      </w:r>
      <w:r w:rsidR="005F62FF">
        <w:rPr>
          <w:rFonts w:hint="cs"/>
          <w:rtl/>
        </w:rPr>
        <w:t>ש</w:t>
      </w:r>
      <w:r w:rsidR="005F62FF" w:rsidRPr="009E0A1D">
        <w:rPr>
          <w:rFonts w:hint="cs"/>
          <w:rtl/>
        </w:rPr>
        <w:t>עותקים של</w:t>
      </w:r>
      <w:r w:rsidR="005F62FF">
        <w:rPr>
          <w:rFonts w:hint="cs"/>
          <w:rtl/>
        </w:rPr>
        <w:t xml:space="preserve"> הסרט</w:t>
      </w:r>
      <w:r w:rsidR="005F62FF" w:rsidRPr="009E0A1D">
        <w:rPr>
          <w:rFonts w:hint="cs"/>
          <w:rtl/>
        </w:rPr>
        <w:t xml:space="preserve"> היו "</w:t>
      </w:r>
      <w:r w:rsidR="005F62FF">
        <w:rPr>
          <w:rFonts w:hint="cs"/>
          <w:rtl/>
        </w:rPr>
        <w:t xml:space="preserve">נגישים לציבור החל משנת הפרסום", שנת 2002. המערער </w:t>
      </w:r>
      <w:r w:rsidR="005F62FF" w:rsidRPr="009E0A1D">
        <w:rPr>
          <w:rFonts w:hint="cs"/>
          <w:rtl/>
        </w:rPr>
        <w:t xml:space="preserve">אף חידד </w:t>
      </w:r>
      <w:r w:rsidR="005F62FF">
        <w:rPr>
          <w:rFonts w:hint="cs"/>
          <w:rtl/>
        </w:rPr>
        <w:t xml:space="preserve">בכתב הגנתו </w:t>
      </w:r>
      <w:r w:rsidR="005F62FF" w:rsidRPr="009E0A1D">
        <w:rPr>
          <w:rFonts w:hint="cs"/>
          <w:rtl/>
        </w:rPr>
        <w:t xml:space="preserve">כי "זוהי דוגמה מובהקת </w:t>
      </w:r>
      <w:r w:rsidR="005F62FF" w:rsidRPr="002B6E7F">
        <w:rPr>
          <w:rFonts w:ascii="Century" w:hAnsi="Century" w:cs="Miriam" w:hint="cs"/>
          <w:b/>
          <w:spacing w:val="0"/>
          <w:sz w:val="22"/>
          <w:szCs w:val="24"/>
          <w:rtl/>
        </w:rPr>
        <w:t>לפרסום נמשך</w:t>
      </w:r>
      <w:r w:rsidR="005F62FF" w:rsidRPr="003E1C04">
        <w:rPr>
          <w:rFonts w:hint="cs"/>
          <w:rtl/>
        </w:rPr>
        <w:t xml:space="preserve"> </w:t>
      </w:r>
      <w:r w:rsidR="005F62FF" w:rsidRPr="009E0A1D">
        <w:rPr>
          <w:rFonts w:hint="cs"/>
          <w:rtl/>
        </w:rPr>
        <w:t xml:space="preserve">ולא לפרסום חדש" (פסקה 69 לכתב </w:t>
      </w:r>
      <w:r w:rsidR="005F62FF">
        <w:rPr>
          <w:rFonts w:hint="cs"/>
          <w:rtl/>
        </w:rPr>
        <w:t>ה</w:t>
      </w:r>
      <w:r w:rsidR="005F62FF" w:rsidRPr="009E0A1D">
        <w:rPr>
          <w:rFonts w:hint="cs"/>
          <w:rtl/>
        </w:rPr>
        <w:t>הגנה</w:t>
      </w:r>
      <w:r w:rsidR="005F62FF">
        <w:rPr>
          <w:rFonts w:hint="cs"/>
          <w:rtl/>
        </w:rPr>
        <w:t>; ההדגשה הוספה</w:t>
      </w:r>
      <w:r w:rsidR="005F62FF" w:rsidRPr="009E0A1D">
        <w:rPr>
          <w:rFonts w:hint="cs"/>
          <w:rtl/>
        </w:rPr>
        <w:t xml:space="preserve">). </w:t>
      </w:r>
      <w:r w:rsidR="005F62FF">
        <w:rPr>
          <w:rFonts w:hint="cs"/>
          <w:rtl/>
        </w:rPr>
        <w:t>גם</w:t>
      </w:r>
      <w:r w:rsidR="005F62FF" w:rsidRPr="009E0A1D">
        <w:rPr>
          <w:rFonts w:hint="cs"/>
          <w:rtl/>
        </w:rPr>
        <w:t xml:space="preserve"> לשיטת המערער אפוא, לא הי</w:t>
      </w:r>
      <w:r w:rsidR="005F62FF">
        <w:rPr>
          <w:rFonts w:hint="cs"/>
          <w:rtl/>
        </w:rPr>
        <w:t>ית</w:t>
      </w:r>
      <w:r w:rsidR="005F62FF" w:rsidRPr="009E0A1D">
        <w:rPr>
          <w:rFonts w:hint="cs"/>
          <w:rtl/>
        </w:rPr>
        <w:t>ה כל הפוגה ב"פרסום</w:t>
      </w:r>
      <w:r w:rsidR="005F62FF">
        <w:rPr>
          <w:rFonts w:hint="cs"/>
          <w:rtl/>
        </w:rPr>
        <w:t>".</w:t>
      </w:r>
    </w:p>
    <w:p w:rsidR="005F62FF" w:rsidRDefault="005F62FF" w:rsidP="005F62FF">
      <w:pPr>
        <w:pStyle w:val="Ruller4"/>
        <w:numPr>
          <w:ilvl w:val="0"/>
          <w:numId w:val="0"/>
        </w:numPr>
      </w:pPr>
    </w:p>
    <w:p w:rsidR="005F62FF" w:rsidRPr="009E0A1D" w:rsidRDefault="004B51B6" w:rsidP="004B51B6">
      <w:pPr>
        <w:pStyle w:val="Ruller4"/>
        <w:numPr>
          <w:ilvl w:val="0"/>
          <w:numId w:val="0"/>
        </w:numPr>
        <w:rPr>
          <w:rtl/>
        </w:rPr>
      </w:pPr>
      <w:r>
        <w:rPr>
          <w:rFonts w:hint="cs"/>
          <w:rtl/>
        </w:rPr>
        <w:t>3.</w:t>
      </w:r>
      <w:r>
        <w:rPr>
          <w:rFonts w:hint="cs"/>
          <w:rtl/>
        </w:rPr>
        <w:tab/>
      </w:r>
      <w:r w:rsidR="005F62FF" w:rsidRPr="009E0A1D">
        <w:rPr>
          <w:rFonts w:hint="cs"/>
          <w:rtl/>
        </w:rPr>
        <w:t>אכן, ישנם מקרים מובהקים יותר שבהם סיווג המקרה כ"ע</w:t>
      </w:r>
      <w:r w:rsidR="005F62FF">
        <w:rPr>
          <w:rFonts w:hint="cs"/>
          <w:rtl/>
        </w:rPr>
        <w:t>וולה נמשכת" הוא ברור וגלוי לעין.</w:t>
      </w:r>
      <w:r w:rsidR="005F62FF" w:rsidRPr="009E0A1D">
        <w:rPr>
          <w:rFonts w:hint="cs"/>
          <w:rtl/>
        </w:rPr>
        <w:t xml:space="preserve"> למשל כאשר מדובר בעוולות אשר מעצם טבען עשויות להיות בעלות אופי נמשך, כגון עוולת המטרד או עוולת הסגת הגבול (ראו למשל: עניין </w:t>
      </w:r>
      <w:r w:rsidR="005F62FF" w:rsidRPr="009E0A1D">
        <w:rPr>
          <w:rFonts w:ascii="Century" w:hAnsi="Century" w:cs="Miriam" w:hint="cs"/>
          <w:b/>
          <w:spacing w:val="0"/>
          <w:szCs w:val="24"/>
          <w:rtl/>
        </w:rPr>
        <w:t>ג'הסי</w:t>
      </w:r>
      <w:r w:rsidR="005F62FF" w:rsidRPr="009E0A1D">
        <w:rPr>
          <w:rFonts w:hint="cs"/>
          <w:rtl/>
        </w:rPr>
        <w:t xml:space="preserve">, פסקה 21). לעומת זאת, כאשר מדובר בעוולת לשון הרע בשל פרסום (אשר בסופו של יום התגלגל אל רשת האינטרנט), עשויה להתעורר השאלה האם ראוי לסווג עוולה שכזו כ"עוולה נמשכת" (והשוו: </w:t>
      </w:r>
      <w:r w:rsidR="005F62FF" w:rsidRPr="009E0A1D">
        <w:rPr>
          <w:rFonts w:hint="eastAsia"/>
          <w:rtl/>
        </w:rPr>
        <w:t>רע</w:t>
      </w:r>
      <w:r w:rsidR="005F62FF" w:rsidRPr="009E0A1D">
        <w:rPr>
          <w:rFonts w:hint="cs"/>
          <w:rtl/>
        </w:rPr>
        <w:t>"</w:t>
      </w:r>
      <w:r w:rsidR="005F62FF" w:rsidRPr="009E0A1D">
        <w:rPr>
          <w:rFonts w:hint="eastAsia"/>
          <w:rtl/>
        </w:rPr>
        <w:t>א</w:t>
      </w:r>
      <w:r w:rsidR="005F62FF" w:rsidRPr="009E0A1D">
        <w:rPr>
          <w:rtl/>
        </w:rPr>
        <w:t xml:space="preserve"> 4673/15</w:t>
      </w:r>
      <w:r w:rsidR="005F62FF" w:rsidRPr="009E0A1D">
        <w:rPr>
          <w:rFonts w:hint="cs"/>
          <w:rtl/>
        </w:rPr>
        <w:t xml:space="preserve"> </w:t>
      </w:r>
      <w:r w:rsidR="005F62FF" w:rsidRPr="009E0A1D">
        <w:rPr>
          <w:rFonts w:ascii="Century" w:hAnsi="Century" w:cs="Miriam" w:hint="eastAsia"/>
          <w:b/>
          <w:spacing w:val="0"/>
          <w:szCs w:val="24"/>
          <w:rtl/>
        </w:rPr>
        <w:t>בר</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נוי</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נ</w:t>
      </w:r>
      <w:r w:rsidR="005F62FF" w:rsidRPr="009E0A1D">
        <w:rPr>
          <w:rFonts w:ascii="Century" w:hAnsi="Century" w:cs="Miriam"/>
          <w:b/>
          <w:spacing w:val="0"/>
          <w:szCs w:val="24"/>
          <w:rtl/>
        </w:rPr>
        <w:t xml:space="preserve">' </w:t>
      </w:r>
      <w:r w:rsidR="005F62FF" w:rsidRPr="009E0A1D">
        <w:rPr>
          <w:rFonts w:ascii="Century" w:hAnsi="Century" w:cs="Miriam" w:hint="eastAsia"/>
          <w:b/>
          <w:spacing w:val="0"/>
          <w:szCs w:val="24"/>
          <w:rtl/>
        </w:rPr>
        <w:t>סביר</w:t>
      </w:r>
      <w:r w:rsidR="005F62FF" w:rsidRPr="009E0A1D">
        <w:rPr>
          <w:rFonts w:hint="cs"/>
          <w:rtl/>
        </w:rPr>
        <w:t xml:space="preserve">, פסקה 8 (8.3.2016)). אולם בנסיבות מקרה זה, נוכח הודאתו המפורשת של המערער </w:t>
      </w:r>
      <w:r w:rsidR="005F62FF">
        <w:rPr>
          <w:rFonts w:hint="cs"/>
          <w:rtl/>
        </w:rPr>
        <w:t xml:space="preserve">כאמור </w:t>
      </w:r>
      <w:r w:rsidR="005F62FF" w:rsidRPr="009E0A1D">
        <w:rPr>
          <w:rFonts w:hint="cs"/>
          <w:rtl/>
        </w:rPr>
        <w:t>כי מדובר היה ב"פרסום נמשך</w:t>
      </w:r>
      <w:r w:rsidR="005F62FF">
        <w:rPr>
          <w:rFonts w:hint="cs"/>
          <w:rtl/>
        </w:rPr>
        <w:t>"</w:t>
      </w:r>
      <w:r w:rsidR="005F62FF" w:rsidRPr="009E0A1D">
        <w:rPr>
          <w:rFonts w:hint="cs"/>
          <w:rtl/>
        </w:rPr>
        <w:t xml:space="preserve"> במשך שנים, </w:t>
      </w:r>
      <w:r w:rsidR="005F62FF">
        <w:rPr>
          <w:rFonts w:hint="cs"/>
          <w:rtl/>
        </w:rPr>
        <w:t>האמור נאמר למעלה מן הדרוש.</w:t>
      </w:r>
      <w:r w:rsidR="005F62FF" w:rsidRPr="009E0A1D">
        <w:rPr>
          <w:rFonts w:hint="cs"/>
          <w:rtl/>
        </w:rPr>
        <w:t xml:space="preserve"> </w:t>
      </w:r>
    </w:p>
    <w:p w:rsidR="005F62FF" w:rsidRDefault="005F62FF" w:rsidP="005F62FF">
      <w:pPr>
        <w:pStyle w:val="Ruller41"/>
        <w:rPr>
          <w:rFonts w:ascii="Century" w:hAnsi="Century"/>
          <w:rtl/>
        </w:rPr>
      </w:pPr>
    </w:p>
    <w:p w:rsidR="005F62FF" w:rsidRDefault="005F62FF" w:rsidP="005F62FF">
      <w:pPr>
        <w:pStyle w:val="Ruller41"/>
        <w:rPr>
          <w:rFonts w:ascii="Century" w:hAnsi="Century" w:cs="Miriam"/>
          <w:b/>
          <w:spacing w:val="0"/>
          <w:szCs w:val="24"/>
          <w:rtl/>
        </w:rPr>
      </w:pPr>
      <w:r>
        <w:rPr>
          <w:rFonts w:ascii="Century" w:hAnsi="Century" w:cs="Miriam" w:hint="cs"/>
          <w:b/>
          <w:spacing w:val="0"/>
          <w:szCs w:val="24"/>
          <w:rtl/>
        </w:rPr>
        <w:t>התיישנות שלא מדעת</w:t>
      </w:r>
    </w:p>
    <w:p w:rsidR="00AA3853" w:rsidRPr="00864AA4" w:rsidRDefault="00AA3853" w:rsidP="005F62FF">
      <w:pPr>
        <w:pStyle w:val="Ruller41"/>
        <w:rPr>
          <w:rFonts w:ascii="Century" w:hAnsi="Century" w:cs="Miriam"/>
          <w:b/>
          <w:spacing w:val="0"/>
          <w:szCs w:val="24"/>
          <w:rtl/>
        </w:rPr>
      </w:pPr>
    </w:p>
    <w:p w:rsidR="005F62FF" w:rsidRPr="004B51B6" w:rsidRDefault="005F62FF" w:rsidP="004B51B6">
      <w:pPr>
        <w:pStyle w:val="Ruller4"/>
        <w:numPr>
          <w:ilvl w:val="0"/>
          <w:numId w:val="28"/>
        </w:numPr>
        <w:rPr>
          <w:rFonts w:ascii="Century" w:hAnsi="Century"/>
          <w:sz w:val="22"/>
          <w:rtl/>
        </w:rPr>
      </w:pPr>
      <w:r>
        <w:rPr>
          <w:rFonts w:hint="cs"/>
          <w:rtl/>
        </w:rPr>
        <w:t xml:space="preserve">חרף המסקנה האמורה ראיתי לנכון לומר ולוּ במישור העיוני מספר מילים על אודות ה"התיישנות שלא מדעת" במקרה קונקרטי זה. </w:t>
      </w:r>
      <w:r w:rsidRPr="009E0A1D">
        <w:rPr>
          <w:rFonts w:hint="cs"/>
          <w:rtl/>
        </w:rPr>
        <w:t xml:space="preserve">סעיף 8 לחוק ההתיישנות, התשי"ח-1958 </w:t>
      </w:r>
      <w:r w:rsidRPr="009E0A1D">
        <w:rPr>
          <w:rtl/>
        </w:rPr>
        <w:t>(</w:t>
      </w:r>
      <w:r w:rsidRPr="009E0A1D">
        <w:rPr>
          <w:rFonts w:hint="eastAsia"/>
          <w:rtl/>
        </w:rPr>
        <w:t>להלן</w:t>
      </w:r>
      <w:r w:rsidRPr="009E0A1D">
        <w:rPr>
          <w:rtl/>
        </w:rPr>
        <w:t xml:space="preserve">: </w:t>
      </w:r>
      <w:r w:rsidRPr="004B51B6">
        <w:rPr>
          <w:rFonts w:cs="Miriam" w:hint="cs"/>
          <w:b/>
          <w:spacing w:val="0"/>
          <w:szCs w:val="24"/>
          <w:rtl/>
        </w:rPr>
        <w:t>חוק ההתיישנות</w:t>
      </w:r>
      <w:r w:rsidRPr="009E0A1D">
        <w:rPr>
          <w:rFonts w:hint="cs"/>
          <w:rtl/>
        </w:rPr>
        <w:t xml:space="preserve">) קובע את כלל הגילוי המאוחר. בהתאם לכלל זה, מקום בו נעלמו מעיני התובע עובדות מהותיות המבססות את עילת התביעה "מסיבות שלא היו תלויות בו ושאף בזהירות סבירה לא יכול היה למנוע אותן" יתחיל מרוץ ההתיישנות עם גילוי עובדות אלו. </w:t>
      </w:r>
      <w:r>
        <w:rPr>
          <w:rFonts w:hint="cs"/>
          <w:rtl/>
        </w:rPr>
        <w:t>ה</w:t>
      </w:r>
      <w:r w:rsidRPr="004B51B6">
        <w:rPr>
          <w:rFonts w:hint="cs"/>
          <w:sz w:val="22"/>
          <w:rtl/>
        </w:rPr>
        <w:t xml:space="preserve">כלל חל כאשר קיים פער בין המציאות העובדתית והמשפטית לבין השתקפותה בתודעתו של התובע, והוא מַשעֶה את תקופת ההתיישנות עד למועד בו יש בידיו לעמוד על כוח תביעתו (ע"א 2919/07 </w:t>
      </w:r>
      <w:r w:rsidRPr="004B51B6">
        <w:rPr>
          <w:rFonts w:ascii="Century" w:hAnsi="Century" w:cs="Miriam" w:hint="cs"/>
          <w:b/>
          <w:spacing w:val="0"/>
          <w:sz w:val="22"/>
          <w:szCs w:val="24"/>
          <w:rtl/>
        </w:rPr>
        <w:t xml:space="preserve">מדינת ישראל </w:t>
      </w:r>
      <w:r w:rsidRPr="004B51B6">
        <w:rPr>
          <w:rFonts w:ascii="Century" w:hAnsi="Century" w:cs="Miriam"/>
          <w:b/>
          <w:spacing w:val="0"/>
          <w:sz w:val="22"/>
          <w:szCs w:val="24"/>
          <w:rtl/>
        </w:rPr>
        <w:t>–</w:t>
      </w:r>
      <w:r w:rsidRPr="004B51B6">
        <w:rPr>
          <w:rFonts w:ascii="Century" w:hAnsi="Century" w:cs="Miriam" w:hint="cs"/>
          <w:b/>
          <w:spacing w:val="0"/>
          <w:sz w:val="22"/>
          <w:szCs w:val="24"/>
          <w:rtl/>
        </w:rPr>
        <w:t xml:space="preserve"> הוועדה לאנרגיה אטומית נ' גיא-ליפל</w:t>
      </w:r>
      <w:r w:rsidRPr="004B51B6">
        <w:rPr>
          <w:rFonts w:ascii="Century" w:hAnsi="Century" w:hint="cs"/>
          <w:sz w:val="22"/>
          <w:rtl/>
        </w:rPr>
        <w:t xml:space="preserve">, פ"ד סד(2) 82, 117-116 (2011-2010) </w:t>
      </w:r>
      <w:r w:rsidRPr="004B51B6">
        <w:rPr>
          <w:rFonts w:ascii="Century" w:hAnsi="Century"/>
          <w:sz w:val="22"/>
          <w:rtl/>
        </w:rPr>
        <w:t>(</w:t>
      </w:r>
      <w:r w:rsidRPr="004B51B6">
        <w:rPr>
          <w:rFonts w:ascii="Century" w:hAnsi="Century" w:hint="eastAsia"/>
          <w:sz w:val="22"/>
          <w:rtl/>
        </w:rPr>
        <w:t>להלן</w:t>
      </w:r>
      <w:r w:rsidRPr="004B51B6">
        <w:rPr>
          <w:rFonts w:ascii="Century" w:hAnsi="Century"/>
          <w:sz w:val="22"/>
          <w:rtl/>
        </w:rPr>
        <w:t xml:space="preserve">: </w:t>
      </w:r>
      <w:r w:rsidRPr="004B51B6">
        <w:rPr>
          <w:rFonts w:ascii="Century" w:hAnsi="Century" w:hint="cs"/>
          <w:sz w:val="22"/>
          <w:rtl/>
        </w:rPr>
        <w:t xml:space="preserve">עניין </w:t>
      </w:r>
      <w:r w:rsidRPr="004B51B6">
        <w:rPr>
          <w:rFonts w:ascii="Century" w:hAnsi="Century" w:cs="Miriam" w:hint="cs"/>
          <w:b/>
          <w:spacing w:val="0"/>
          <w:sz w:val="22"/>
          <w:szCs w:val="24"/>
          <w:rtl/>
        </w:rPr>
        <w:t>גיא-ליפל</w:t>
      </w:r>
      <w:r w:rsidRPr="004B51B6">
        <w:rPr>
          <w:rFonts w:ascii="Century" w:hAnsi="Century" w:hint="cs"/>
          <w:sz w:val="22"/>
          <w:rtl/>
        </w:rPr>
        <w:t>)</w:t>
      </w:r>
      <w:r w:rsidRPr="004B51B6">
        <w:rPr>
          <w:rFonts w:hint="cs"/>
          <w:sz w:val="22"/>
          <w:rtl/>
        </w:rPr>
        <w:t xml:space="preserve">). </w:t>
      </w:r>
      <w:r w:rsidRPr="009E0A1D">
        <w:rPr>
          <w:rFonts w:hint="cs"/>
          <w:rtl/>
        </w:rPr>
        <w:t xml:space="preserve">נקודת המוצא היא כי בהיעדר "ידיעה" מצד התובע, אשר לא ידע ולא היה עליו לדעת כי קמה לו עילת תביעה, נחלש חלק ניכר מהיסודות הניצבים בבסיס דיני ההתיישנות. </w:t>
      </w:r>
      <w:r>
        <w:rPr>
          <w:rFonts w:hint="cs"/>
          <w:rtl/>
        </w:rPr>
        <w:t xml:space="preserve">כך, </w:t>
      </w:r>
      <w:r w:rsidRPr="009E0A1D">
        <w:rPr>
          <w:rFonts w:hint="cs"/>
          <w:rtl/>
        </w:rPr>
        <w:t>לא ניתן לראותו כמי ש"ישן על זכויותיו" וגם לא ניתן להלין על כך שיצר אצל הנתבע ציפייה כי ויתר או מחל על תביעתו (</w:t>
      </w:r>
      <w:r w:rsidRPr="004B51B6">
        <w:rPr>
          <w:rFonts w:ascii="Century" w:hAnsi="Century" w:hint="cs"/>
          <w:rtl/>
        </w:rPr>
        <w:t xml:space="preserve">ע"א 8416/19 </w:t>
      </w:r>
      <w:r w:rsidRPr="004B51B6">
        <w:rPr>
          <w:rFonts w:ascii="Century" w:hAnsi="Century" w:cs="Miriam"/>
          <w:b/>
          <w:spacing w:val="0"/>
          <w:sz w:val="22"/>
          <w:szCs w:val="24"/>
          <w:rtl/>
        </w:rPr>
        <w:t>עו"ד שלמה נס ורו"ח אלי שפלר – מפרקי חברת אגרקסקו חברה לייצור חקלאי בע"מ</w:t>
      </w:r>
      <w:r w:rsidRPr="004B51B6">
        <w:rPr>
          <w:rFonts w:ascii="Century" w:hAnsi="Century" w:cs="Miriam" w:hint="cs"/>
          <w:b/>
          <w:spacing w:val="0"/>
          <w:sz w:val="22"/>
          <w:szCs w:val="24"/>
          <w:rtl/>
        </w:rPr>
        <w:t xml:space="preserve"> נ' מדינת ישראל</w:t>
      </w:r>
      <w:r w:rsidRPr="004B51B6">
        <w:rPr>
          <w:rFonts w:ascii="Century" w:hAnsi="Century" w:hint="cs"/>
          <w:sz w:val="22"/>
          <w:rtl/>
        </w:rPr>
        <w:t xml:space="preserve">, פסקה 32 (22.12.2021); עניין </w:t>
      </w:r>
      <w:r w:rsidRPr="004B51B6">
        <w:rPr>
          <w:rFonts w:ascii="Century" w:hAnsi="Century" w:cs="Miriam" w:hint="cs"/>
          <w:b/>
          <w:spacing w:val="0"/>
          <w:sz w:val="22"/>
          <w:szCs w:val="24"/>
          <w:rtl/>
        </w:rPr>
        <w:t>גיא-ליפל</w:t>
      </w:r>
      <w:r w:rsidRPr="004B51B6">
        <w:rPr>
          <w:rFonts w:ascii="Century" w:hAnsi="Century" w:hint="cs"/>
          <w:sz w:val="22"/>
          <w:rtl/>
        </w:rPr>
        <w:t xml:space="preserve">, עמ' 117). </w:t>
      </w:r>
    </w:p>
    <w:p w:rsidR="005F62FF" w:rsidRPr="009E0A1D" w:rsidRDefault="005F62FF" w:rsidP="005F62FF">
      <w:pPr>
        <w:pStyle w:val="Ruller41"/>
        <w:rPr>
          <w:rtl/>
        </w:rPr>
      </w:pPr>
    </w:p>
    <w:p w:rsidR="005F62FF" w:rsidRPr="00864AA4" w:rsidRDefault="005F62FF" w:rsidP="005F62FF">
      <w:pPr>
        <w:pStyle w:val="Ruller4"/>
        <w:rPr>
          <w:rFonts w:ascii="Century" w:hAnsi="Century"/>
        </w:rPr>
      </w:pPr>
      <w:r>
        <w:rPr>
          <w:rFonts w:hint="cs"/>
          <w:rtl/>
        </w:rPr>
        <w:t xml:space="preserve">כפי שהצביע חברי השופט </w:t>
      </w:r>
      <w:r w:rsidRPr="0035107C">
        <w:rPr>
          <w:rFonts w:ascii="Century" w:hAnsi="Century" w:cs="Miriam" w:hint="cs"/>
          <w:b/>
          <w:spacing w:val="0"/>
          <w:sz w:val="22"/>
          <w:szCs w:val="24"/>
          <w:rtl/>
        </w:rPr>
        <w:t>עמית</w:t>
      </w:r>
      <w:r>
        <w:rPr>
          <w:rFonts w:hint="cs"/>
          <w:rtl/>
        </w:rPr>
        <w:t xml:space="preserve">, </w:t>
      </w:r>
      <w:r w:rsidRPr="009E0A1D">
        <w:rPr>
          <w:rFonts w:hint="cs"/>
          <w:rtl/>
        </w:rPr>
        <w:t xml:space="preserve">לאורך השנים דנה הפסיקה רבות בשאלת פרשנותו של כלל הגילוי המאוחר כמו גם בהיקף תחולתו על תביעות שונות. כלל זה מורכב מיסוד סובייקטיבי </w:t>
      </w:r>
      <w:r w:rsidRPr="009E0A1D">
        <w:rPr>
          <w:rFonts w:ascii="Century" w:hAnsi="Century" w:hint="eastAsia"/>
          <w:rtl/>
        </w:rPr>
        <w:t>ומיסוד</w:t>
      </w:r>
      <w:r w:rsidRPr="009E0A1D">
        <w:rPr>
          <w:rFonts w:ascii="Century" w:hAnsi="Century"/>
          <w:rtl/>
        </w:rPr>
        <w:t xml:space="preserve"> </w:t>
      </w:r>
      <w:r w:rsidRPr="009E0A1D">
        <w:rPr>
          <w:rFonts w:ascii="Century" w:hAnsi="Century" w:hint="eastAsia"/>
          <w:rtl/>
        </w:rPr>
        <w:t>אובייקטיבי</w:t>
      </w:r>
      <w:r w:rsidRPr="009E0A1D">
        <w:rPr>
          <w:rFonts w:ascii="Century" w:hAnsi="Century" w:hint="cs"/>
          <w:rtl/>
        </w:rPr>
        <w:t xml:space="preserve">. לא די בכך שהתובע </w:t>
      </w:r>
      <w:r w:rsidRPr="009E0A1D">
        <w:rPr>
          <w:rFonts w:ascii="Century" w:hAnsi="Century" w:cs="Miriam" w:hint="eastAsia"/>
          <w:b/>
          <w:spacing w:val="0"/>
          <w:sz w:val="22"/>
          <w:szCs w:val="24"/>
          <w:rtl/>
        </w:rPr>
        <w:t>לא</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ידע</w:t>
      </w:r>
      <w:r w:rsidRPr="009E0A1D">
        <w:rPr>
          <w:rFonts w:ascii="Century" w:hAnsi="Century" w:hint="cs"/>
          <w:rtl/>
        </w:rPr>
        <w:t xml:space="preserve"> על העובדות המהוות את עילת התובענה מסיבות שלא היו תלויות בו, אלא עליו להוכיח כי אף בזהירות סבירה </w:t>
      </w:r>
      <w:r w:rsidRPr="00E54260">
        <w:rPr>
          <w:rFonts w:ascii="Century" w:hAnsi="Century" w:cs="Miriam" w:hint="cs"/>
          <w:b/>
          <w:spacing w:val="0"/>
          <w:sz w:val="22"/>
          <w:szCs w:val="24"/>
          <w:rtl/>
        </w:rPr>
        <w:t>לא יכול היה לדעת</w:t>
      </w:r>
      <w:r w:rsidRPr="00E54260">
        <w:rPr>
          <w:rFonts w:ascii="Century" w:hAnsi="Century" w:hint="cs"/>
          <w:rtl/>
        </w:rPr>
        <w:t xml:space="preserve"> </w:t>
      </w:r>
      <w:r w:rsidRPr="009E0A1D">
        <w:rPr>
          <w:rFonts w:ascii="Century" w:hAnsi="Century" w:hint="cs"/>
          <w:rtl/>
        </w:rPr>
        <w:t>אותן, לפי אמת מידה אובייקטיבית של האדם הסביר (</w:t>
      </w:r>
      <w:r w:rsidRPr="009E0A1D">
        <w:rPr>
          <w:rFonts w:ascii="Century" w:hAnsi="Century" w:hint="eastAsia"/>
          <w:rtl/>
        </w:rPr>
        <w:t>עניין</w:t>
      </w:r>
      <w:r w:rsidRPr="009E0A1D">
        <w:rPr>
          <w:rFonts w:ascii="Century" w:hAnsi="Century"/>
          <w:rtl/>
        </w:rPr>
        <w:t xml:space="preserve"> </w:t>
      </w:r>
      <w:r w:rsidRPr="009E0A1D">
        <w:rPr>
          <w:rFonts w:ascii="Century" w:hAnsi="Century" w:cs="Miriam" w:hint="eastAsia"/>
          <w:b/>
          <w:spacing w:val="0"/>
          <w:szCs w:val="24"/>
          <w:rtl/>
        </w:rPr>
        <w:t>גיא</w:t>
      </w:r>
      <w:r w:rsidRPr="009E0A1D">
        <w:rPr>
          <w:rFonts w:ascii="Century" w:hAnsi="Century" w:cs="Miriam"/>
          <w:b/>
          <w:spacing w:val="0"/>
          <w:szCs w:val="24"/>
          <w:rtl/>
        </w:rPr>
        <w:t>-</w:t>
      </w:r>
      <w:r w:rsidRPr="009E0A1D">
        <w:rPr>
          <w:rFonts w:ascii="Century" w:hAnsi="Century" w:cs="Miriam" w:hint="eastAsia"/>
          <w:b/>
          <w:spacing w:val="0"/>
          <w:szCs w:val="24"/>
          <w:rtl/>
        </w:rPr>
        <w:t>ליפל</w:t>
      </w:r>
      <w:r w:rsidRPr="009E0A1D">
        <w:rPr>
          <w:rFonts w:ascii="Century" w:hAnsi="Century"/>
          <w:rtl/>
        </w:rPr>
        <w:t xml:space="preserve">, </w:t>
      </w:r>
      <w:r>
        <w:rPr>
          <w:rFonts w:ascii="Century" w:hAnsi="Century" w:hint="cs"/>
          <w:rtl/>
        </w:rPr>
        <w:t>עמ' 125</w:t>
      </w:r>
      <w:r w:rsidRPr="009E0A1D">
        <w:rPr>
          <w:rFonts w:ascii="Century" w:hAnsi="Century" w:hint="cs"/>
          <w:rtl/>
        </w:rPr>
        <w:t xml:space="preserve">; ע"א 393/08 </w:t>
      </w:r>
      <w:r w:rsidRPr="009E0A1D">
        <w:rPr>
          <w:rFonts w:ascii="Century" w:hAnsi="Century" w:cs="Miriam" w:hint="eastAsia"/>
          <w:b/>
          <w:spacing w:val="0"/>
          <w:sz w:val="22"/>
          <w:szCs w:val="24"/>
          <w:rtl/>
        </w:rPr>
        <w:t>שגיא</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נ</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כפר</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ביאליק</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כפר</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שיתופי</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להתיישבות</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חקלאית</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בע</w:t>
      </w:r>
      <w:r w:rsidRPr="009E0A1D">
        <w:rPr>
          <w:rFonts w:ascii="Century" w:hAnsi="Century" w:cs="Miriam"/>
          <w:b/>
          <w:spacing w:val="0"/>
          <w:sz w:val="22"/>
          <w:szCs w:val="24"/>
          <w:rtl/>
        </w:rPr>
        <w:t>"</w:t>
      </w:r>
      <w:r w:rsidRPr="009E0A1D">
        <w:rPr>
          <w:rFonts w:ascii="Century" w:hAnsi="Century" w:cs="Miriam" w:hint="eastAsia"/>
          <w:b/>
          <w:spacing w:val="0"/>
          <w:sz w:val="22"/>
          <w:szCs w:val="24"/>
          <w:rtl/>
        </w:rPr>
        <w:t>מ</w:t>
      </w:r>
      <w:r w:rsidRPr="009E0A1D">
        <w:rPr>
          <w:rFonts w:ascii="Century" w:hAnsi="Century" w:hint="cs"/>
          <w:rtl/>
        </w:rPr>
        <w:t xml:space="preserve">, פסקה 24 (23.2.2010); ע"א 4381/08 </w:t>
      </w:r>
      <w:r w:rsidRPr="009E0A1D">
        <w:rPr>
          <w:rFonts w:ascii="Century" w:hAnsi="Century" w:cs="Miriam" w:hint="cs"/>
          <w:b/>
          <w:spacing w:val="0"/>
          <w:szCs w:val="24"/>
          <w:rtl/>
        </w:rPr>
        <w:t>קופת חולים כללית נ' מוסקוביץ</w:t>
      </w:r>
      <w:r w:rsidRPr="009E0A1D">
        <w:rPr>
          <w:rFonts w:ascii="Century" w:hAnsi="Century" w:hint="cs"/>
          <w:rtl/>
        </w:rPr>
        <w:t xml:space="preserve">, פסקה ט"ז (16.1.2012) </w:t>
      </w:r>
      <w:r w:rsidRPr="009E0A1D">
        <w:rPr>
          <w:rFonts w:ascii="Century" w:hAnsi="Century"/>
          <w:rtl/>
        </w:rPr>
        <w:t>(</w:t>
      </w:r>
      <w:r w:rsidRPr="009E0A1D">
        <w:rPr>
          <w:rFonts w:ascii="Century" w:hAnsi="Century" w:hint="eastAsia"/>
          <w:rtl/>
        </w:rPr>
        <w:t>להלן</w:t>
      </w:r>
      <w:r w:rsidRPr="009E0A1D">
        <w:rPr>
          <w:rFonts w:ascii="Century" w:hAnsi="Century"/>
          <w:rtl/>
        </w:rPr>
        <w:t xml:space="preserve">: </w:t>
      </w:r>
      <w:r w:rsidRPr="009E0A1D">
        <w:rPr>
          <w:rFonts w:ascii="Century" w:hAnsi="Century" w:hint="cs"/>
          <w:rtl/>
        </w:rPr>
        <w:t xml:space="preserve">עניין </w:t>
      </w:r>
      <w:r w:rsidRPr="009E0A1D">
        <w:rPr>
          <w:rFonts w:ascii="Century" w:hAnsi="Century" w:cs="Miriam" w:hint="cs"/>
          <w:b/>
          <w:spacing w:val="0"/>
          <w:szCs w:val="24"/>
          <w:rtl/>
        </w:rPr>
        <w:t>מוסקוביץ</w:t>
      </w:r>
      <w:r w:rsidRPr="009E0A1D">
        <w:rPr>
          <w:rFonts w:ascii="Century" w:hAnsi="Century" w:hint="cs"/>
          <w:rtl/>
        </w:rPr>
        <w:t>))</w:t>
      </w:r>
      <w:r w:rsidRPr="009E0A1D">
        <w:rPr>
          <w:rFonts w:hint="cs"/>
          <w:rtl/>
        </w:rPr>
        <w:t>.</w:t>
      </w:r>
      <w:r>
        <w:rPr>
          <w:rFonts w:ascii="Century" w:hAnsi="Century" w:hint="cs"/>
          <w:rtl/>
        </w:rPr>
        <w:t xml:space="preserve"> </w:t>
      </w:r>
      <w:r w:rsidRPr="00AA3853">
        <w:rPr>
          <w:rFonts w:ascii="Century" w:hAnsi="Century" w:hint="cs"/>
          <w:sz w:val="22"/>
          <w:rtl/>
        </w:rPr>
        <w:t xml:space="preserve">בבחינת </w:t>
      </w:r>
      <w:r w:rsidRPr="00AA3853">
        <w:rPr>
          <w:rFonts w:ascii="Century" w:hAnsi="Century" w:hint="eastAsia"/>
          <w:sz w:val="22"/>
          <w:rtl/>
        </w:rPr>
        <w:t>השאלה</w:t>
      </w:r>
      <w:r w:rsidRPr="00AA3853">
        <w:rPr>
          <w:rFonts w:ascii="Century" w:hAnsi="Century"/>
          <w:sz w:val="22"/>
          <w:rtl/>
        </w:rPr>
        <w:t xml:space="preserve"> </w:t>
      </w:r>
      <w:r w:rsidRPr="00AA3853">
        <w:rPr>
          <w:rFonts w:ascii="Century" w:hAnsi="Century" w:hint="eastAsia"/>
          <w:sz w:val="22"/>
          <w:rtl/>
        </w:rPr>
        <w:t>האם</w:t>
      </w:r>
      <w:r w:rsidRPr="00AA3853">
        <w:rPr>
          <w:rFonts w:ascii="Century" w:hAnsi="Century"/>
          <w:sz w:val="22"/>
          <w:rtl/>
        </w:rPr>
        <w:t xml:space="preserve"> </w:t>
      </w:r>
      <w:r w:rsidRPr="00AA3853">
        <w:rPr>
          <w:rFonts w:ascii="Century" w:hAnsi="Century" w:hint="eastAsia"/>
          <w:sz w:val="22"/>
          <w:rtl/>
        </w:rPr>
        <w:t>עמד</w:t>
      </w:r>
      <w:r w:rsidRPr="00AA3853">
        <w:rPr>
          <w:rFonts w:ascii="Century" w:hAnsi="Century"/>
          <w:sz w:val="22"/>
          <w:rtl/>
        </w:rPr>
        <w:t xml:space="preserve"> </w:t>
      </w:r>
      <w:r w:rsidRPr="00AA3853">
        <w:rPr>
          <w:rFonts w:ascii="Century" w:hAnsi="Century" w:hint="cs"/>
          <w:sz w:val="22"/>
          <w:rtl/>
        </w:rPr>
        <w:t>ה</w:t>
      </w:r>
      <w:r w:rsidRPr="00AA3853">
        <w:rPr>
          <w:rFonts w:ascii="Century" w:hAnsi="Century" w:hint="eastAsia"/>
          <w:sz w:val="22"/>
          <w:rtl/>
        </w:rPr>
        <w:t>תובע</w:t>
      </w:r>
      <w:r w:rsidRPr="00AA3853">
        <w:rPr>
          <w:rFonts w:ascii="Century" w:hAnsi="Century"/>
          <w:sz w:val="22"/>
          <w:rtl/>
        </w:rPr>
        <w:t xml:space="preserve"> </w:t>
      </w:r>
      <w:r w:rsidRPr="00AA3853">
        <w:rPr>
          <w:rFonts w:ascii="Century" w:hAnsi="Century" w:hint="cs"/>
          <w:sz w:val="22"/>
          <w:rtl/>
        </w:rPr>
        <w:t xml:space="preserve">ברף הזהירות הנדרש נקבע כי יש להביא בחשבון בין היתר את </w:t>
      </w:r>
      <w:r w:rsidRPr="00AA3853">
        <w:rPr>
          <w:rFonts w:ascii="Century" w:hAnsi="Century" w:hint="eastAsia"/>
          <w:sz w:val="22"/>
          <w:rtl/>
        </w:rPr>
        <w:t>מושא</w:t>
      </w:r>
      <w:r w:rsidRPr="00AA3853">
        <w:rPr>
          <w:rFonts w:ascii="Century" w:hAnsi="Century"/>
          <w:sz w:val="22"/>
          <w:rtl/>
        </w:rPr>
        <w:t xml:space="preserve"> </w:t>
      </w:r>
      <w:r w:rsidRPr="00AA3853">
        <w:rPr>
          <w:rFonts w:ascii="Century" w:hAnsi="Century" w:hint="eastAsia"/>
          <w:sz w:val="22"/>
          <w:rtl/>
        </w:rPr>
        <w:t>הגילוי</w:t>
      </w:r>
      <w:r w:rsidRPr="00AA3853">
        <w:rPr>
          <w:rFonts w:ascii="Century" w:hAnsi="Century"/>
          <w:sz w:val="22"/>
          <w:rtl/>
        </w:rPr>
        <w:t xml:space="preserve">, </w:t>
      </w:r>
      <w:r w:rsidRPr="00AA3853">
        <w:rPr>
          <w:rFonts w:ascii="Century" w:hAnsi="Century" w:hint="cs"/>
          <w:sz w:val="22"/>
          <w:rtl/>
        </w:rPr>
        <w:t>את מידת המאמץ הכרוך בגילוי העובדות,</w:t>
      </w:r>
      <w:r w:rsidRPr="00AA3853">
        <w:rPr>
          <w:rFonts w:ascii="Century" w:hAnsi="Century" w:hint="eastAsia"/>
          <w:sz w:val="22"/>
          <w:rtl/>
        </w:rPr>
        <w:t xml:space="preserve"> </w:t>
      </w:r>
      <w:r w:rsidRPr="00AA3853">
        <w:rPr>
          <w:rFonts w:ascii="Century" w:hAnsi="Century" w:hint="cs"/>
          <w:sz w:val="22"/>
          <w:rtl/>
        </w:rPr>
        <w:t xml:space="preserve">את </w:t>
      </w:r>
      <w:r w:rsidRPr="00AA3853">
        <w:rPr>
          <w:rFonts w:ascii="Century" w:hAnsi="Century" w:hint="eastAsia"/>
          <w:sz w:val="22"/>
          <w:rtl/>
        </w:rPr>
        <w:t>המידע</w:t>
      </w:r>
      <w:r w:rsidRPr="00AA3853">
        <w:rPr>
          <w:rFonts w:ascii="Century" w:hAnsi="Century"/>
          <w:sz w:val="22"/>
          <w:rtl/>
        </w:rPr>
        <w:t xml:space="preserve"> </w:t>
      </w:r>
      <w:r w:rsidRPr="00AA3853">
        <w:rPr>
          <w:rFonts w:ascii="Century" w:hAnsi="Century" w:hint="eastAsia"/>
          <w:sz w:val="22"/>
          <w:rtl/>
        </w:rPr>
        <w:t>שהצטבר</w:t>
      </w:r>
      <w:r w:rsidRPr="00AA3853">
        <w:rPr>
          <w:rFonts w:ascii="Century" w:hAnsi="Century"/>
          <w:sz w:val="22"/>
          <w:rtl/>
        </w:rPr>
        <w:t xml:space="preserve"> </w:t>
      </w:r>
      <w:r w:rsidRPr="00AA3853">
        <w:rPr>
          <w:rFonts w:ascii="Century" w:hAnsi="Century" w:hint="eastAsia"/>
          <w:sz w:val="22"/>
          <w:rtl/>
        </w:rPr>
        <w:t>עד</w:t>
      </w:r>
      <w:r w:rsidRPr="00AA3853">
        <w:rPr>
          <w:rFonts w:ascii="Century" w:hAnsi="Century"/>
          <w:sz w:val="22"/>
          <w:rtl/>
        </w:rPr>
        <w:t xml:space="preserve"> </w:t>
      </w:r>
      <w:r w:rsidRPr="00AA3853">
        <w:rPr>
          <w:rFonts w:ascii="Century" w:hAnsi="Century" w:hint="eastAsia"/>
          <w:sz w:val="22"/>
          <w:rtl/>
        </w:rPr>
        <w:t>אותה</w:t>
      </w:r>
      <w:r w:rsidRPr="00AA3853">
        <w:rPr>
          <w:rFonts w:ascii="Century" w:hAnsi="Century"/>
          <w:sz w:val="22"/>
          <w:rtl/>
        </w:rPr>
        <w:t xml:space="preserve"> </w:t>
      </w:r>
      <w:r w:rsidRPr="00AA3853">
        <w:rPr>
          <w:rFonts w:ascii="Century" w:hAnsi="Century" w:hint="eastAsia"/>
          <w:sz w:val="22"/>
          <w:rtl/>
        </w:rPr>
        <w:t>העת</w:t>
      </w:r>
      <w:r w:rsidRPr="00AA3853">
        <w:rPr>
          <w:rFonts w:ascii="Century" w:hAnsi="Century"/>
          <w:sz w:val="22"/>
          <w:rtl/>
        </w:rPr>
        <w:t xml:space="preserve"> </w:t>
      </w:r>
      <w:r w:rsidRPr="00AA3853">
        <w:rPr>
          <w:rFonts w:ascii="Century" w:hAnsi="Century" w:hint="eastAsia"/>
          <w:sz w:val="22"/>
          <w:rtl/>
        </w:rPr>
        <w:t>אצל</w:t>
      </w:r>
      <w:r w:rsidRPr="00AA3853">
        <w:rPr>
          <w:rFonts w:ascii="Century" w:hAnsi="Century"/>
          <w:sz w:val="22"/>
          <w:rtl/>
        </w:rPr>
        <w:t xml:space="preserve"> </w:t>
      </w:r>
      <w:r w:rsidRPr="00AA3853">
        <w:rPr>
          <w:rFonts w:ascii="Century" w:hAnsi="Century" w:hint="eastAsia"/>
          <w:sz w:val="22"/>
          <w:rtl/>
        </w:rPr>
        <w:t>התובע</w:t>
      </w:r>
      <w:r w:rsidRPr="00AA3853">
        <w:rPr>
          <w:rFonts w:ascii="Century" w:hAnsi="Century" w:hint="cs"/>
          <w:sz w:val="22"/>
          <w:rtl/>
        </w:rPr>
        <w:t xml:space="preserve"> ואת רמת החשד שעורר אותו מידע</w:t>
      </w:r>
      <w:r w:rsidRPr="00AA3853">
        <w:rPr>
          <w:rFonts w:ascii="Century" w:hAnsi="Century" w:hint="cs"/>
          <w:rtl/>
        </w:rPr>
        <w:t xml:space="preserve"> </w:t>
      </w:r>
      <w:r w:rsidRPr="00864AA4">
        <w:rPr>
          <w:rFonts w:ascii="Century" w:hAnsi="Century"/>
          <w:rtl/>
        </w:rPr>
        <w:t>(</w:t>
      </w:r>
      <w:r w:rsidRPr="00864AA4">
        <w:rPr>
          <w:rFonts w:ascii="Century" w:hAnsi="Century" w:hint="cs"/>
          <w:rtl/>
        </w:rPr>
        <w:t xml:space="preserve">ע"א 8880/13 </w:t>
      </w:r>
      <w:r w:rsidRPr="00864AA4">
        <w:rPr>
          <w:rFonts w:ascii="Century" w:hAnsi="Century" w:cs="Miriam" w:hint="cs"/>
          <w:b/>
          <w:spacing w:val="0"/>
          <w:sz w:val="22"/>
          <w:szCs w:val="24"/>
          <w:rtl/>
        </w:rPr>
        <w:t>וינשל נ' מדינת ישראל משרד הביטחון</w:t>
      </w:r>
      <w:r w:rsidRPr="00864AA4">
        <w:rPr>
          <w:rFonts w:ascii="Century" w:hAnsi="Century" w:hint="cs"/>
          <w:sz w:val="22"/>
          <w:rtl/>
        </w:rPr>
        <w:t>, פסקה 30 (30.8.2016)</w:t>
      </w:r>
      <w:r w:rsidRPr="00864AA4">
        <w:rPr>
          <w:rFonts w:ascii="Century" w:hAnsi="Century"/>
          <w:rtl/>
        </w:rPr>
        <w:t xml:space="preserve">; </w:t>
      </w:r>
      <w:r w:rsidRPr="00864AA4">
        <w:rPr>
          <w:rFonts w:ascii="Century" w:hAnsi="Century" w:hint="eastAsia"/>
          <w:rtl/>
        </w:rPr>
        <w:t>עניין</w:t>
      </w:r>
      <w:r w:rsidRPr="00864AA4">
        <w:rPr>
          <w:rFonts w:ascii="Century" w:hAnsi="Century"/>
          <w:rtl/>
        </w:rPr>
        <w:t xml:space="preserve"> </w:t>
      </w:r>
      <w:r w:rsidRPr="00864AA4">
        <w:rPr>
          <w:rFonts w:ascii="Century" w:hAnsi="Century" w:cs="Miriam" w:hint="eastAsia"/>
          <w:b/>
          <w:spacing w:val="0"/>
          <w:szCs w:val="24"/>
          <w:rtl/>
        </w:rPr>
        <w:t>גיא</w:t>
      </w:r>
      <w:r w:rsidRPr="00864AA4">
        <w:rPr>
          <w:rFonts w:ascii="Century" w:hAnsi="Century" w:cs="Miriam"/>
          <w:b/>
          <w:spacing w:val="0"/>
          <w:szCs w:val="24"/>
          <w:rtl/>
        </w:rPr>
        <w:t>-</w:t>
      </w:r>
      <w:r w:rsidRPr="00864AA4">
        <w:rPr>
          <w:rFonts w:ascii="Century" w:hAnsi="Century" w:cs="Miriam" w:hint="eastAsia"/>
          <w:b/>
          <w:spacing w:val="0"/>
          <w:szCs w:val="24"/>
          <w:rtl/>
        </w:rPr>
        <w:t>ליפל</w:t>
      </w:r>
      <w:r w:rsidRPr="00864AA4">
        <w:rPr>
          <w:rFonts w:ascii="Century" w:hAnsi="Century"/>
          <w:rtl/>
        </w:rPr>
        <w:t xml:space="preserve">, </w:t>
      </w:r>
      <w:r w:rsidRPr="00864AA4">
        <w:rPr>
          <w:rFonts w:ascii="Century" w:hAnsi="Century" w:hint="cs"/>
          <w:rtl/>
        </w:rPr>
        <w:t>עמ' 125</w:t>
      </w:r>
      <w:r w:rsidRPr="00864AA4">
        <w:rPr>
          <w:rFonts w:ascii="Century" w:hAnsi="Century"/>
          <w:rtl/>
        </w:rPr>
        <w:t xml:space="preserve">; </w:t>
      </w:r>
      <w:r w:rsidRPr="00864AA4">
        <w:rPr>
          <w:rFonts w:ascii="Century" w:hAnsi="Century" w:hint="eastAsia"/>
          <w:rtl/>
        </w:rPr>
        <w:t>עניין</w:t>
      </w:r>
      <w:r w:rsidRPr="00864AA4">
        <w:rPr>
          <w:rFonts w:ascii="Century" w:hAnsi="Century"/>
          <w:rtl/>
        </w:rPr>
        <w:t xml:space="preserve"> </w:t>
      </w:r>
      <w:r w:rsidRPr="00864AA4">
        <w:rPr>
          <w:rFonts w:ascii="Century" w:hAnsi="Century" w:cs="Miriam" w:hint="eastAsia"/>
          <w:b/>
          <w:spacing w:val="0"/>
          <w:szCs w:val="24"/>
          <w:rtl/>
        </w:rPr>
        <w:t>מוסקוביץ</w:t>
      </w:r>
      <w:r w:rsidRPr="00864AA4">
        <w:rPr>
          <w:rFonts w:ascii="Century" w:hAnsi="Century"/>
          <w:rtl/>
        </w:rPr>
        <w:t xml:space="preserve">, </w:t>
      </w:r>
      <w:r w:rsidRPr="00864AA4">
        <w:rPr>
          <w:rFonts w:ascii="Century" w:hAnsi="Century" w:hint="eastAsia"/>
          <w:rtl/>
        </w:rPr>
        <w:t>פסקה</w:t>
      </w:r>
      <w:r w:rsidRPr="00864AA4">
        <w:rPr>
          <w:rFonts w:ascii="Century" w:hAnsi="Century"/>
          <w:rtl/>
        </w:rPr>
        <w:t xml:space="preserve"> </w:t>
      </w:r>
      <w:r w:rsidRPr="00864AA4">
        <w:rPr>
          <w:rFonts w:ascii="Century" w:hAnsi="Century" w:hint="eastAsia"/>
          <w:rtl/>
        </w:rPr>
        <w:t>י</w:t>
      </w:r>
      <w:r w:rsidRPr="00864AA4">
        <w:rPr>
          <w:rFonts w:ascii="Century" w:hAnsi="Century"/>
          <w:rtl/>
        </w:rPr>
        <w:t>"</w:t>
      </w:r>
      <w:r w:rsidRPr="00864AA4">
        <w:rPr>
          <w:rFonts w:ascii="Century" w:hAnsi="Century" w:hint="eastAsia"/>
          <w:rtl/>
        </w:rPr>
        <w:t>ח</w:t>
      </w:r>
      <w:r w:rsidRPr="00864AA4">
        <w:rPr>
          <w:rFonts w:ascii="Century" w:hAnsi="Century"/>
          <w:rtl/>
        </w:rPr>
        <w:t xml:space="preserve">; </w:t>
      </w:r>
      <w:r w:rsidRPr="009E0A1D">
        <w:rPr>
          <w:rFonts w:ascii="Century" w:hAnsi="Century" w:hint="eastAsia"/>
          <w:rtl/>
        </w:rPr>
        <w:t>ע</w:t>
      </w:r>
      <w:r w:rsidRPr="009E0A1D">
        <w:rPr>
          <w:rFonts w:ascii="Century" w:hAnsi="Century"/>
          <w:rtl/>
        </w:rPr>
        <w:t>"</w:t>
      </w:r>
      <w:r w:rsidRPr="009E0A1D">
        <w:rPr>
          <w:rFonts w:ascii="Century" w:hAnsi="Century" w:hint="eastAsia"/>
          <w:rtl/>
        </w:rPr>
        <w:t>א</w:t>
      </w:r>
      <w:r w:rsidRPr="009E0A1D">
        <w:rPr>
          <w:rFonts w:ascii="Century" w:hAnsi="Century"/>
          <w:rtl/>
        </w:rPr>
        <w:t xml:space="preserve"> 4275/10 </w:t>
      </w:r>
      <w:r w:rsidRPr="009E0A1D">
        <w:rPr>
          <w:rFonts w:ascii="Century" w:hAnsi="Century" w:cs="Miriam" w:hint="eastAsia"/>
          <w:b/>
          <w:spacing w:val="0"/>
          <w:szCs w:val="24"/>
          <w:rtl/>
        </w:rPr>
        <w:t>מולהי</w:t>
      </w:r>
      <w:r w:rsidRPr="009E0A1D">
        <w:rPr>
          <w:rFonts w:ascii="Century" w:hAnsi="Century" w:cs="Miriam"/>
          <w:b/>
          <w:spacing w:val="0"/>
          <w:szCs w:val="24"/>
          <w:rtl/>
        </w:rPr>
        <w:t xml:space="preserve"> </w:t>
      </w:r>
      <w:r w:rsidRPr="009E0A1D">
        <w:rPr>
          <w:rFonts w:ascii="Century" w:hAnsi="Century" w:cs="Miriam" w:hint="eastAsia"/>
          <w:b/>
          <w:spacing w:val="0"/>
          <w:szCs w:val="24"/>
          <w:rtl/>
        </w:rPr>
        <w:t>נ</w:t>
      </w:r>
      <w:r w:rsidRPr="009E0A1D">
        <w:rPr>
          <w:rFonts w:ascii="Century" w:hAnsi="Century" w:cs="Miriam"/>
          <w:b/>
          <w:spacing w:val="0"/>
          <w:szCs w:val="24"/>
          <w:rtl/>
        </w:rPr>
        <w:t xml:space="preserve">' </w:t>
      </w:r>
      <w:r w:rsidRPr="009E0A1D">
        <w:rPr>
          <w:rFonts w:ascii="Century" w:hAnsi="Century" w:cs="Miriam" w:hint="eastAsia"/>
          <w:b/>
          <w:spacing w:val="0"/>
          <w:szCs w:val="24"/>
          <w:rtl/>
        </w:rPr>
        <w:t>מדינת</w:t>
      </w:r>
      <w:r w:rsidRPr="009E0A1D">
        <w:rPr>
          <w:rFonts w:ascii="Century" w:hAnsi="Century" w:cs="Miriam"/>
          <w:b/>
          <w:spacing w:val="0"/>
          <w:szCs w:val="24"/>
          <w:rtl/>
        </w:rPr>
        <w:t xml:space="preserve"> </w:t>
      </w:r>
      <w:r w:rsidRPr="009E0A1D">
        <w:rPr>
          <w:rFonts w:ascii="Century" w:hAnsi="Century" w:cs="Miriam" w:hint="eastAsia"/>
          <w:b/>
          <w:spacing w:val="0"/>
          <w:szCs w:val="24"/>
          <w:rtl/>
        </w:rPr>
        <w:t>ישראל</w:t>
      </w:r>
      <w:r w:rsidRPr="009E0A1D">
        <w:rPr>
          <w:rFonts w:ascii="Century" w:hAnsi="Century" w:cs="Miriam"/>
          <w:b/>
          <w:spacing w:val="0"/>
          <w:szCs w:val="24"/>
          <w:rtl/>
        </w:rPr>
        <w:t xml:space="preserve"> – </w:t>
      </w:r>
      <w:r w:rsidRPr="009E0A1D">
        <w:rPr>
          <w:rFonts w:ascii="Century" w:hAnsi="Century" w:cs="Miriam" w:hint="eastAsia"/>
          <w:b/>
          <w:spacing w:val="0"/>
          <w:szCs w:val="24"/>
          <w:rtl/>
        </w:rPr>
        <w:t>משרד</w:t>
      </w:r>
      <w:r w:rsidRPr="009E0A1D">
        <w:rPr>
          <w:rFonts w:ascii="Century" w:hAnsi="Century" w:cs="Miriam"/>
          <w:b/>
          <w:spacing w:val="0"/>
          <w:szCs w:val="24"/>
          <w:rtl/>
        </w:rPr>
        <w:t xml:space="preserve"> </w:t>
      </w:r>
      <w:r w:rsidRPr="009E0A1D">
        <w:rPr>
          <w:rFonts w:ascii="Century" w:hAnsi="Century" w:cs="Miriam" w:hint="eastAsia"/>
          <w:b/>
          <w:spacing w:val="0"/>
          <w:szCs w:val="24"/>
          <w:rtl/>
        </w:rPr>
        <w:t>הבריאות</w:t>
      </w:r>
      <w:r w:rsidRPr="009E0A1D">
        <w:rPr>
          <w:rFonts w:ascii="Century" w:hAnsi="Century"/>
          <w:rtl/>
        </w:rPr>
        <w:t xml:space="preserve">, </w:t>
      </w:r>
      <w:r w:rsidRPr="009E0A1D">
        <w:rPr>
          <w:rFonts w:ascii="Century" w:hAnsi="Century" w:hint="eastAsia"/>
          <w:rtl/>
        </w:rPr>
        <w:t>פסקה</w:t>
      </w:r>
      <w:r w:rsidRPr="009E0A1D">
        <w:rPr>
          <w:rFonts w:ascii="Century" w:hAnsi="Century"/>
          <w:rtl/>
        </w:rPr>
        <w:t xml:space="preserve"> 13 (22.2.2012); </w:t>
      </w:r>
      <w:r w:rsidRPr="00864AA4">
        <w:rPr>
          <w:rFonts w:ascii="Century" w:hAnsi="Century" w:hint="eastAsia"/>
          <w:rtl/>
        </w:rPr>
        <w:t>עמוס</w:t>
      </w:r>
      <w:r w:rsidRPr="00864AA4">
        <w:rPr>
          <w:rFonts w:ascii="Century" w:hAnsi="Century"/>
          <w:rtl/>
        </w:rPr>
        <w:t xml:space="preserve"> </w:t>
      </w:r>
      <w:r w:rsidRPr="00864AA4">
        <w:rPr>
          <w:rFonts w:ascii="Century" w:hAnsi="Century" w:hint="eastAsia"/>
          <w:rtl/>
        </w:rPr>
        <w:t>הרמן</w:t>
      </w:r>
      <w:r w:rsidRPr="00864AA4">
        <w:rPr>
          <w:rFonts w:ascii="Century" w:hAnsi="Century"/>
          <w:rtl/>
        </w:rPr>
        <w:t xml:space="preserve"> </w:t>
      </w:r>
      <w:r w:rsidRPr="00864AA4">
        <w:rPr>
          <w:rFonts w:ascii="Century" w:hAnsi="Century" w:cs="Miriam" w:hint="eastAsia"/>
          <w:b/>
          <w:spacing w:val="0"/>
          <w:szCs w:val="24"/>
          <w:rtl/>
        </w:rPr>
        <w:t>דיני</w:t>
      </w:r>
      <w:r w:rsidRPr="00864AA4">
        <w:rPr>
          <w:rFonts w:ascii="Century" w:hAnsi="Century" w:cs="Miriam"/>
          <w:b/>
          <w:spacing w:val="0"/>
          <w:szCs w:val="24"/>
          <w:rtl/>
        </w:rPr>
        <w:t xml:space="preserve"> </w:t>
      </w:r>
      <w:r w:rsidRPr="00864AA4">
        <w:rPr>
          <w:rFonts w:ascii="Century" w:hAnsi="Century" w:cs="Miriam" w:hint="eastAsia"/>
          <w:b/>
          <w:spacing w:val="0"/>
          <w:szCs w:val="24"/>
          <w:rtl/>
        </w:rPr>
        <w:t>נזיקין</w:t>
      </w:r>
      <w:r w:rsidRPr="00864AA4">
        <w:rPr>
          <w:rFonts w:ascii="Century" w:hAnsi="Century"/>
          <w:rtl/>
        </w:rPr>
        <w:t xml:space="preserve"> 349 (</w:t>
      </w:r>
      <w:r w:rsidRPr="00864AA4">
        <w:rPr>
          <w:rFonts w:ascii="Century" w:hAnsi="Century" w:hint="cs"/>
          <w:rtl/>
        </w:rPr>
        <w:t xml:space="preserve">מהדורה שניה, </w:t>
      </w:r>
      <w:r w:rsidRPr="00864AA4">
        <w:rPr>
          <w:rFonts w:ascii="Century" w:hAnsi="Century"/>
          <w:rtl/>
        </w:rPr>
        <w:t>2020) (</w:t>
      </w:r>
      <w:r w:rsidRPr="00864AA4">
        <w:rPr>
          <w:rFonts w:ascii="Century" w:hAnsi="Century" w:hint="eastAsia"/>
          <w:rtl/>
        </w:rPr>
        <w:t>להלן</w:t>
      </w:r>
      <w:r w:rsidRPr="00864AA4">
        <w:rPr>
          <w:rFonts w:ascii="Century" w:hAnsi="Century"/>
          <w:rtl/>
        </w:rPr>
        <w:t xml:space="preserve">: </w:t>
      </w:r>
      <w:r w:rsidRPr="00864AA4">
        <w:rPr>
          <w:rFonts w:ascii="Century" w:hAnsi="Century" w:cs="Miriam" w:hint="eastAsia"/>
          <w:b/>
          <w:spacing w:val="0"/>
          <w:szCs w:val="24"/>
          <w:rtl/>
        </w:rPr>
        <w:t>הרמן</w:t>
      </w:r>
      <w:r w:rsidRPr="00864AA4">
        <w:rPr>
          <w:rFonts w:ascii="Century" w:hAnsi="Century"/>
          <w:rtl/>
        </w:rPr>
        <w:t xml:space="preserve">); </w:t>
      </w:r>
      <w:r w:rsidRPr="00864AA4">
        <w:rPr>
          <w:rFonts w:ascii="Century" w:hAnsi="Century" w:hint="eastAsia"/>
          <w:rtl/>
        </w:rPr>
        <w:t>טלי</w:t>
      </w:r>
      <w:r w:rsidRPr="00864AA4">
        <w:rPr>
          <w:rFonts w:ascii="Century" w:hAnsi="Century"/>
          <w:rtl/>
        </w:rPr>
        <w:t xml:space="preserve"> </w:t>
      </w:r>
      <w:r w:rsidRPr="00864AA4">
        <w:rPr>
          <w:rFonts w:ascii="Century" w:hAnsi="Century" w:hint="eastAsia"/>
          <w:rtl/>
        </w:rPr>
        <w:t>חבקין</w:t>
      </w:r>
      <w:r w:rsidRPr="00864AA4">
        <w:rPr>
          <w:rFonts w:ascii="Century" w:hAnsi="Century"/>
          <w:rtl/>
        </w:rPr>
        <w:t xml:space="preserve"> </w:t>
      </w:r>
      <w:r w:rsidRPr="00864AA4">
        <w:rPr>
          <w:rFonts w:ascii="Century" w:hAnsi="Century" w:cs="Miriam" w:hint="eastAsia"/>
          <w:b/>
          <w:spacing w:val="0"/>
          <w:szCs w:val="24"/>
          <w:rtl/>
        </w:rPr>
        <w:t>התיישנות</w:t>
      </w:r>
      <w:r w:rsidRPr="00864AA4">
        <w:rPr>
          <w:rFonts w:ascii="Century" w:hAnsi="Century"/>
          <w:rtl/>
        </w:rPr>
        <w:t xml:space="preserve"> 248-246 (</w:t>
      </w:r>
      <w:r w:rsidRPr="00864AA4">
        <w:rPr>
          <w:rFonts w:ascii="Century" w:hAnsi="Century" w:hint="eastAsia"/>
          <w:rtl/>
        </w:rPr>
        <w:t>מהדורה</w:t>
      </w:r>
      <w:r w:rsidRPr="00864AA4">
        <w:rPr>
          <w:rFonts w:ascii="Century" w:hAnsi="Century"/>
          <w:rtl/>
        </w:rPr>
        <w:t xml:space="preserve"> </w:t>
      </w:r>
      <w:r w:rsidRPr="00864AA4">
        <w:rPr>
          <w:rFonts w:ascii="Century" w:hAnsi="Century" w:hint="eastAsia"/>
          <w:rtl/>
        </w:rPr>
        <w:t>שניה</w:t>
      </w:r>
      <w:r w:rsidRPr="00864AA4">
        <w:rPr>
          <w:rFonts w:ascii="Century" w:hAnsi="Century"/>
          <w:rtl/>
        </w:rPr>
        <w:t>, 2021)</w:t>
      </w:r>
      <w:r w:rsidRPr="00864AA4">
        <w:rPr>
          <w:rFonts w:ascii="Century" w:hAnsi="Century" w:hint="cs"/>
          <w:rtl/>
        </w:rPr>
        <w:t xml:space="preserve"> </w:t>
      </w:r>
      <w:r w:rsidRPr="00864AA4">
        <w:rPr>
          <w:rFonts w:ascii="Century" w:hAnsi="Century"/>
          <w:rtl/>
        </w:rPr>
        <w:t>(</w:t>
      </w:r>
      <w:r w:rsidRPr="00864AA4">
        <w:rPr>
          <w:rFonts w:ascii="Century" w:hAnsi="Century" w:hint="eastAsia"/>
          <w:rtl/>
        </w:rPr>
        <w:t>להלן</w:t>
      </w:r>
      <w:r w:rsidRPr="00864AA4">
        <w:rPr>
          <w:rFonts w:ascii="Century" w:hAnsi="Century"/>
          <w:rtl/>
        </w:rPr>
        <w:t xml:space="preserve">: </w:t>
      </w:r>
      <w:r w:rsidRPr="00864AA4">
        <w:rPr>
          <w:rFonts w:ascii="Century" w:hAnsi="Century" w:cs="Miriam" w:hint="cs"/>
          <w:b/>
          <w:spacing w:val="0"/>
          <w:szCs w:val="24"/>
          <w:rtl/>
        </w:rPr>
        <w:t>חבקין</w:t>
      </w:r>
      <w:r w:rsidRPr="00864AA4">
        <w:rPr>
          <w:rFonts w:ascii="Century" w:hAnsi="Century" w:hint="cs"/>
          <w:rtl/>
        </w:rPr>
        <w:t>)</w:t>
      </w:r>
      <w:r w:rsidRPr="00864AA4">
        <w:rPr>
          <w:rFonts w:ascii="Century" w:hAnsi="Century"/>
          <w:rtl/>
        </w:rPr>
        <w:t xml:space="preserve">). </w:t>
      </w:r>
    </w:p>
    <w:p w:rsidR="005F62FF" w:rsidRPr="009E0A1D" w:rsidRDefault="005F62FF" w:rsidP="005F62FF">
      <w:pPr>
        <w:pStyle w:val="Ruller4"/>
        <w:numPr>
          <w:ilvl w:val="0"/>
          <w:numId w:val="0"/>
        </w:numPr>
        <w:rPr>
          <w:rFonts w:ascii="Century" w:hAnsi="Century"/>
        </w:rPr>
      </w:pPr>
    </w:p>
    <w:p w:rsidR="005F62FF" w:rsidRPr="009E0A1D" w:rsidRDefault="005F62FF" w:rsidP="005F62FF">
      <w:pPr>
        <w:pStyle w:val="Ruller4"/>
        <w:rPr>
          <w:rFonts w:ascii="Century" w:hAnsi="Century"/>
        </w:rPr>
      </w:pPr>
      <w:r w:rsidRPr="009E0A1D">
        <w:rPr>
          <w:rFonts w:ascii="Century" w:hAnsi="Century" w:hint="cs"/>
          <w:rtl/>
        </w:rPr>
        <w:t xml:space="preserve">לצד קריטריונים אלו, נפסק כי קביעת היקף החובה המוטלת על הניזוק על מנת לעמוד בסטנדרט הגילוי האובייקטיבי, איננה פשוטה. יש להיזהר מהטלת נטל בלתי סביר על הניזוק. בכלל זה, נקבע כי אף שמידת המאמץ הכרוכה בגילוי העובדות הרלוונטיות עשויה כאמור להיות שיקול רלוונטי, אין לומר כי "האפשרות לגלות את עובדות העילה בנקל כשלעצמה יש בה כדי להפוך את חוסר מודעותו של התובע לבלתי סבירה" </w:t>
      </w:r>
      <w:r w:rsidRPr="009E0A1D">
        <w:rPr>
          <w:rFonts w:ascii="Century" w:hAnsi="Century"/>
          <w:rtl/>
        </w:rPr>
        <w:t>(</w:t>
      </w:r>
      <w:r w:rsidRPr="009E0A1D">
        <w:rPr>
          <w:rFonts w:hint="cs"/>
          <w:rtl/>
        </w:rPr>
        <w:t xml:space="preserve">ע"א 1349/05 </w:t>
      </w:r>
      <w:r w:rsidRPr="009E0A1D">
        <w:rPr>
          <w:rFonts w:ascii="Century" w:hAnsi="Century" w:cs="Miriam" w:hint="eastAsia"/>
          <w:b/>
          <w:spacing w:val="0"/>
          <w:szCs w:val="24"/>
          <w:rtl/>
        </w:rPr>
        <w:t>שוב</w:t>
      </w:r>
      <w:r w:rsidRPr="009E0A1D">
        <w:rPr>
          <w:rFonts w:ascii="Century" w:hAnsi="Century" w:cs="Miriam"/>
          <w:b/>
          <w:spacing w:val="0"/>
          <w:szCs w:val="24"/>
          <w:rtl/>
        </w:rPr>
        <w:t xml:space="preserve"> </w:t>
      </w:r>
      <w:r w:rsidRPr="009E0A1D">
        <w:rPr>
          <w:rFonts w:ascii="Century" w:hAnsi="Century" w:cs="Miriam" w:hint="eastAsia"/>
          <w:b/>
          <w:spacing w:val="0"/>
          <w:szCs w:val="24"/>
          <w:rtl/>
        </w:rPr>
        <w:t>נ</w:t>
      </w:r>
      <w:r w:rsidRPr="009E0A1D">
        <w:rPr>
          <w:rFonts w:ascii="Century" w:hAnsi="Century" w:cs="Miriam"/>
          <w:b/>
          <w:spacing w:val="0"/>
          <w:szCs w:val="24"/>
          <w:rtl/>
        </w:rPr>
        <w:t xml:space="preserve">' </w:t>
      </w:r>
      <w:r w:rsidRPr="009E0A1D">
        <w:rPr>
          <w:rFonts w:ascii="Century" w:hAnsi="Century" w:cs="Miriam" w:hint="eastAsia"/>
          <w:b/>
          <w:spacing w:val="0"/>
          <w:szCs w:val="24"/>
          <w:rtl/>
        </w:rPr>
        <w:t>בנק</w:t>
      </w:r>
      <w:r w:rsidRPr="009E0A1D">
        <w:rPr>
          <w:rFonts w:ascii="Century" w:hAnsi="Century" w:cs="Miriam"/>
          <w:b/>
          <w:spacing w:val="0"/>
          <w:szCs w:val="24"/>
          <w:rtl/>
        </w:rPr>
        <w:t xml:space="preserve"> </w:t>
      </w:r>
      <w:r w:rsidRPr="009E0A1D">
        <w:rPr>
          <w:rFonts w:ascii="Century" w:hAnsi="Century" w:cs="Miriam" w:hint="eastAsia"/>
          <w:b/>
          <w:spacing w:val="0"/>
          <w:szCs w:val="24"/>
          <w:rtl/>
        </w:rPr>
        <w:t>ירושלים</w:t>
      </w:r>
      <w:r w:rsidRPr="009E0A1D">
        <w:rPr>
          <w:rFonts w:ascii="Century" w:hAnsi="Century"/>
          <w:rtl/>
        </w:rPr>
        <w:t xml:space="preserve">, </w:t>
      </w:r>
      <w:r w:rsidRPr="009E0A1D">
        <w:rPr>
          <w:rFonts w:ascii="Century" w:hAnsi="Century" w:hint="eastAsia"/>
          <w:rtl/>
        </w:rPr>
        <w:t>פסקה</w:t>
      </w:r>
      <w:r w:rsidRPr="009E0A1D">
        <w:rPr>
          <w:rFonts w:ascii="Century" w:hAnsi="Century"/>
          <w:rtl/>
        </w:rPr>
        <w:t xml:space="preserve"> 2 </w:t>
      </w:r>
      <w:r w:rsidRPr="009E0A1D">
        <w:rPr>
          <w:rFonts w:ascii="Century" w:hAnsi="Century" w:hint="eastAsia"/>
          <w:rtl/>
        </w:rPr>
        <w:t>לחוות</w:t>
      </w:r>
      <w:r w:rsidRPr="009E0A1D">
        <w:rPr>
          <w:rFonts w:ascii="Century" w:hAnsi="Century"/>
          <w:rtl/>
        </w:rPr>
        <w:t xml:space="preserve"> </w:t>
      </w:r>
      <w:r w:rsidRPr="009E0A1D">
        <w:rPr>
          <w:rFonts w:ascii="Century" w:hAnsi="Century" w:hint="eastAsia"/>
          <w:rtl/>
        </w:rPr>
        <w:t>דעתו</w:t>
      </w:r>
      <w:r w:rsidRPr="009E0A1D">
        <w:rPr>
          <w:rFonts w:ascii="Century" w:hAnsi="Century"/>
          <w:rtl/>
        </w:rPr>
        <w:t xml:space="preserve"> </w:t>
      </w:r>
      <w:r w:rsidRPr="009E0A1D">
        <w:rPr>
          <w:rFonts w:ascii="Century" w:hAnsi="Century" w:hint="eastAsia"/>
          <w:rtl/>
        </w:rPr>
        <w:t>של</w:t>
      </w:r>
      <w:r w:rsidRPr="009E0A1D">
        <w:rPr>
          <w:rFonts w:ascii="Century" w:hAnsi="Century"/>
          <w:rtl/>
        </w:rPr>
        <w:t xml:space="preserve"> </w:t>
      </w:r>
      <w:r w:rsidRPr="009E0A1D">
        <w:rPr>
          <w:rFonts w:ascii="Century" w:hAnsi="Century" w:hint="eastAsia"/>
          <w:rtl/>
        </w:rPr>
        <w:t>המשנה</w:t>
      </w:r>
      <w:r w:rsidRPr="009E0A1D">
        <w:rPr>
          <w:rFonts w:ascii="Century" w:hAnsi="Century"/>
          <w:rtl/>
        </w:rPr>
        <w:t xml:space="preserve"> </w:t>
      </w:r>
      <w:r w:rsidRPr="009E0A1D">
        <w:rPr>
          <w:rFonts w:ascii="Century" w:hAnsi="Century" w:hint="eastAsia"/>
          <w:rtl/>
        </w:rPr>
        <w:t>לנשיאה</w:t>
      </w:r>
      <w:r w:rsidRPr="009E0A1D">
        <w:rPr>
          <w:rFonts w:ascii="Century" w:hAnsi="Century"/>
          <w:rtl/>
        </w:rPr>
        <w:t xml:space="preserve"> </w:t>
      </w:r>
      <w:r w:rsidRPr="009E0A1D">
        <w:rPr>
          <w:rFonts w:ascii="Century" w:hAnsi="Century" w:cs="Miriam" w:hint="eastAsia"/>
          <w:b/>
          <w:spacing w:val="0"/>
          <w:szCs w:val="24"/>
          <w:rtl/>
        </w:rPr>
        <w:t>א</w:t>
      </w:r>
      <w:r w:rsidRPr="009E0A1D">
        <w:rPr>
          <w:rFonts w:ascii="Century" w:hAnsi="Century" w:cs="Miriam"/>
          <w:b/>
          <w:spacing w:val="0"/>
          <w:szCs w:val="24"/>
          <w:rtl/>
        </w:rPr>
        <w:t xml:space="preserve">' </w:t>
      </w:r>
      <w:r w:rsidRPr="009E0A1D">
        <w:rPr>
          <w:rFonts w:ascii="Century" w:hAnsi="Century" w:cs="Miriam" w:hint="eastAsia"/>
          <w:b/>
          <w:spacing w:val="0"/>
          <w:szCs w:val="24"/>
          <w:rtl/>
        </w:rPr>
        <w:t>ריבלין</w:t>
      </w:r>
      <w:r w:rsidRPr="009E0A1D">
        <w:rPr>
          <w:rFonts w:ascii="Century" w:hAnsi="Century" w:cs="Miriam"/>
          <w:b/>
          <w:spacing w:val="0"/>
          <w:szCs w:val="24"/>
          <w:rtl/>
        </w:rPr>
        <w:t xml:space="preserve"> </w:t>
      </w:r>
      <w:r w:rsidRPr="009E0A1D">
        <w:rPr>
          <w:rFonts w:ascii="Century" w:hAnsi="Century"/>
          <w:rtl/>
        </w:rPr>
        <w:t xml:space="preserve">(18.3.2009)). </w:t>
      </w:r>
      <w:r w:rsidRPr="009E0A1D">
        <w:rPr>
          <w:rFonts w:ascii="Century" w:hAnsi="Century" w:hint="cs"/>
          <w:rtl/>
        </w:rPr>
        <w:t xml:space="preserve">ברם, ככל שהנזק חמור ונסיבות גרימתו מעוררות חשד, כך תגבר הציפייה מהניזוק </w:t>
      </w:r>
      <w:r>
        <w:rPr>
          <w:rFonts w:ascii="Century" w:hAnsi="Century" w:hint="cs"/>
          <w:rtl/>
        </w:rPr>
        <w:t xml:space="preserve">שיברר את </w:t>
      </w:r>
      <w:r w:rsidRPr="009E0A1D">
        <w:rPr>
          <w:rFonts w:ascii="Century" w:hAnsi="Century" w:hint="cs"/>
          <w:rtl/>
        </w:rPr>
        <w:t xml:space="preserve">זכויותיו </w:t>
      </w:r>
      <w:r w:rsidRPr="009E0A1D">
        <w:rPr>
          <w:rFonts w:ascii="Century" w:hAnsi="Century"/>
          <w:rtl/>
        </w:rPr>
        <w:t>(</w:t>
      </w:r>
      <w:r w:rsidRPr="009E0A1D">
        <w:rPr>
          <w:rFonts w:ascii="Century" w:hAnsi="Century" w:hint="eastAsia"/>
          <w:rtl/>
        </w:rPr>
        <w:t>וראו</w:t>
      </w:r>
      <w:r w:rsidRPr="009E0A1D">
        <w:rPr>
          <w:rFonts w:ascii="Century" w:hAnsi="Century"/>
          <w:rtl/>
        </w:rPr>
        <w:t xml:space="preserve">: </w:t>
      </w:r>
      <w:r w:rsidRPr="009E0A1D">
        <w:rPr>
          <w:rFonts w:ascii="Century" w:hAnsi="Century" w:hint="eastAsia"/>
          <w:rtl/>
        </w:rPr>
        <w:t>עניין</w:t>
      </w:r>
      <w:r w:rsidRPr="009E0A1D">
        <w:rPr>
          <w:rFonts w:ascii="Century" w:hAnsi="Century"/>
          <w:rtl/>
        </w:rPr>
        <w:t xml:space="preserve"> </w:t>
      </w:r>
      <w:r w:rsidRPr="009E0A1D">
        <w:rPr>
          <w:rFonts w:ascii="Century" w:hAnsi="Century" w:cs="Miriam" w:hint="eastAsia"/>
          <w:b/>
          <w:spacing w:val="0"/>
          <w:szCs w:val="24"/>
          <w:rtl/>
        </w:rPr>
        <w:t>גיא</w:t>
      </w:r>
      <w:r w:rsidRPr="009E0A1D">
        <w:rPr>
          <w:rFonts w:ascii="Century" w:hAnsi="Century" w:cs="Miriam"/>
          <w:b/>
          <w:spacing w:val="0"/>
          <w:szCs w:val="24"/>
          <w:rtl/>
        </w:rPr>
        <w:t>-</w:t>
      </w:r>
      <w:r w:rsidRPr="009E0A1D">
        <w:rPr>
          <w:rFonts w:ascii="Century" w:hAnsi="Century" w:cs="Miriam" w:hint="eastAsia"/>
          <w:b/>
          <w:spacing w:val="0"/>
          <w:szCs w:val="24"/>
          <w:rtl/>
        </w:rPr>
        <w:t>ליפל</w:t>
      </w:r>
      <w:r w:rsidRPr="009E0A1D">
        <w:rPr>
          <w:rFonts w:ascii="Century" w:hAnsi="Century"/>
          <w:rtl/>
        </w:rPr>
        <w:t xml:space="preserve">, </w:t>
      </w:r>
      <w:r>
        <w:rPr>
          <w:rFonts w:ascii="Century" w:hAnsi="Century" w:hint="cs"/>
          <w:rtl/>
        </w:rPr>
        <w:t>עמ' 126-125</w:t>
      </w:r>
      <w:r w:rsidRPr="009E0A1D">
        <w:rPr>
          <w:rFonts w:ascii="Century" w:hAnsi="Century"/>
          <w:rtl/>
        </w:rPr>
        <w:t xml:space="preserve">; </w:t>
      </w:r>
      <w:r w:rsidRPr="009E0A1D">
        <w:rPr>
          <w:rFonts w:ascii="Century" w:hAnsi="Century" w:hint="eastAsia"/>
          <w:rtl/>
        </w:rPr>
        <w:t>ע</w:t>
      </w:r>
      <w:r w:rsidRPr="009E0A1D">
        <w:rPr>
          <w:rFonts w:ascii="Century" w:hAnsi="Century"/>
          <w:rtl/>
        </w:rPr>
        <w:t>"</w:t>
      </w:r>
      <w:r w:rsidRPr="009E0A1D">
        <w:rPr>
          <w:rFonts w:ascii="Century" w:hAnsi="Century" w:hint="eastAsia"/>
          <w:rtl/>
        </w:rPr>
        <w:t>א</w:t>
      </w:r>
      <w:r w:rsidRPr="009E0A1D">
        <w:rPr>
          <w:rFonts w:ascii="Century" w:hAnsi="Century"/>
          <w:rtl/>
        </w:rPr>
        <w:t xml:space="preserve"> 2387/06 </w:t>
      </w:r>
      <w:r w:rsidRPr="009E0A1D">
        <w:rPr>
          <w:rFonts w:ascii="Century" w:hAnsi="Century" w:cs="Miriam" w:hint="eastAsia"/>
          <w:b/>
          <w:spacing w:val="0"/>
          <w:szCs w:val="24"/>
          <w:rtl/>
        </w:rPr>
        <w:t>פלונית</w:t>
      </w:r>
      <w:r w:rsidRPr="009E0A1D">
        <w:rPr>
          <w:rFonts w:ascii="Century" w:hAnsi="Century" w:cs="Miriam"/>
          <w:b/>
          <w:spacing w:val="0"/>
          <w:szCs w:val="24"/>
          <w:rtl/>
        </w:rPr>
        <w:t xml:space="preserve"> </w:t>
      </w:r>
      <w:r w:rsidRPr="009E0A1D">
        <w:rPr>
          <w:rFonts w:ascii="Century" w:hAnsi="Century" w:cs="Miriam" w:hint="eastAsia"/>
          <w:b/>
          <w:spacing w:val="0"/>
          <w:szCs w:val="24"/>
          <w:rtl/>
        </w:rPr>
        <w:t>נ</w:t>
      </w:r>
      <w:r w:rsidRPr="009E0A1D">
        <w:rPr>
          <w:rFonts w:ascii="Century" w:hAnsi="Century" w:cs="Miriam"/>
          <w:b/>
          <w:spacing w:val="0"/>
          <w:szCs w:val="24"/>
          <w:rtl/>
        </w:rPr>
        <w:t xml:space="preserve">' </w:t>
      </w:r>
      <w:r w:rsidRPr="009E0A1D">
        <w:rPr>
          <w:rFonts w:ascii="Century" w:hAnsi="Century" w:cs="Miriam" w:hint="eastAsia"/>
          <w:b/>
          <w:spacing w:val="0"/>
          <w:szCs w:val="24"/>
          <w:rtl/>
        </w:rPr>
        <w:t>טבע</w:t>
      </w:r>
      <w:r w:rsidRPr="009E0A1D">
        <w:rPr>
          <w:rFonts w:ascii="Century" w:hAnsi="Century" w:cs="Miriam"/>
          <w:b/>
          <w:spacing w:val="0"/>
          <w:szCs w:val="24"/>
          <w:rtl/>
        </w:rPr>
        <w:t xml:space="preserve"> </w:t>
      </w:r>
      <w:r w:rsidRPr="009E0A1D">
        <w:rPr>
          <w:rFonts w:ascii="Century" w:hAnsi="Century" w:cs="Miriam" w:hint="eastAsia"/>
          <w:b/>
          <w:spacing w:val="0"/>
          <w:szCs w:val="24"/>
          <w:rtl/>
        </w:rPr>
        <w:t>תעשיות</w:t>
      </w:r>
      <w:r w:rsidRPr="009E0A1D">
        <w:rPr>
          <w:rFonts w:ascii="Century" w:hAnsi="Century" w:cs="Miriam"/>
          <w:b/>
          <w:spacing w:val="0"/>
          <w:szCs w:val="24"/>
          <w:rtl/>
        </w:rPr>
        <w:t xml:space="preserve"> </w:t>
      </w:r>
      <w:r w:rsidRPr="009E0A1D">
        <w:rPr>
          <w:rFonts w:ascii="Century" w:hAnsi="Century" w:cs="Miriam" w:hint="eastAsia"/>
          <w:b/>
          <w:spacing w:val="0"/>
          <w:szCs w:val="24"/>
          <w:rtl/>
        </w:rPr>
        <w:t>פרמצבטיות</w:t>
      </w:r>
      <w:r w:rsidRPr="009E0A1D">
        <w:rPr>
          <w:rFonts w:ascii="Century" w:hAnsi="Century" w:cs="Miriam"/>
          <w:b/>
          <w:spacing w:val="0"/>
          <w:szCs w:val="24"/>
          <w:rtl/>
        </w:rPr>
        <w:t xml:space="preserve"> </w:t>
      </w:r>
      <w:r w:rsidRPr="009E0A1D">
        <w:rPr>
          <w:rFonts w:ascii="Century" w:hAnsi="Century" w:cs="Miriam" w:hint="eastAsia"/>
          <w:b/>
          <w:spacing w:val="0"/>
          <w:szCs w:val="24"/>
          <w:rtl/>
        </w:rPr>
        <w:t>בע</w:t>
      </w:r>
      <w:r w:rsidRPr="009E0A1D">
        <w:rPr>
          <w:rFonts w:ascii="Century" w:hAnsi="Century" w:cs="Miriam"/>
          <w:b/>
          <w:spacing w:val="0"/>
          <w:szCs w:val="24"/>
          <w:rtl/>
        </w:rPr>
        <w:t>"</w:t>
      </w:r>
      <w:r w:rsidRPr="009E0A1D">
        <w:rPr>
          <w:rFonts w:ascii="Century" w:hAnsi="Century" w:cs="Miriam" w:hint="eastAsia"/>
          <w:b/>
          <w:spacing w:val="0"/>
          <w:szCs w:val="24"/>
          <w:rtl/>
        </w:rPr>
        <w:t>מ</w:t>
      </w:r>
      <w:r w:rsidRPr="009E0A1D">
        <w:rPr>
          <w:rFonts w:ascii="Century" w:hAnsi="Century"/>
          <w:rtl/>
        </w:rPr>
        <w:t xml:space="preserve">, </w:t>
      </w:r>
      <w:r w:rsidRPr="009E0A1D">
        <w:rPr>
          <w:rFonts w:ascii="Century" w:hAnsi="Century" w:hint="eastAsia"/>
          <w:rtl/>
        </w:rPr>
        <w:t>פסקה</w:t>
      </w:r>
      <w:r w:rsidRPr="009E0A1D">
        <w:rPr>
          <w:rFonts w:ascii="Century" w:hAnsi="Century"/>
          <w:rtl/>
        </w:rPr>
        <w:t xml:space="preserve"> 18 (31.8.2008) (</w:t>
      </w:r>
      <w:r w:rsidRPr="009E0A1D">
        <w:rPr>
          <w:rFonts w:ascii="Century" w:hAnsi="Century" w:hint="eastAsia"/>
          <w:rtl/>
        </w:rPr>
        <w:t>להלן</w:t>
      </w:r>
      <w:r w:rsidRPr="009E0A1D">
        <w:rPr>
          <w:rFonts w:ascii="Century" w:hAnsi="Century"/>
          <w:rtl/>
        </w:rPr>
        <w:t xml:space="preserve">: </w:t>
      </w:r>
      <w:r w:rsidRPr="009E0A1D">
        <w:rPr>
          <w:rFonts w:ascii="Century" w:hAnsi="Century" w:hint="eastAsia"/>
          <w:sz w:val="22"/>
          <w:rtl/>
        </w:rPr>
        <w:t>עניין</w:t>
      </w:r>
      <w:r w:rsidRPr="009E0A1D">
        <w:rPr>
          <w:rFonts w:ascii="Century" w:hAnsi="Century"/>
          <w:sz w:val="22"/>
          <w:rtl/>
        </w:rPr>
        <w:t xml:space="preserve"> </w:t>
      </w:r>
      <w:r w:rsidRPr="009E0A1D">
        <w:rPr>
          <w:rFonts w:ascii="Century" w:hAnsi="Century" w:cs="Miriam" w:hint="eastAsia"/>
          <w:b/>
          <w:spacing w:val="0"/>
          <w:sz w:val="22"/>
          <w:szCs w:val="24"/>
          <w:rtl/>
        </w:rPr>
        <w:t>פלונית</w:t>
      </w:r>
      <w:r w:rsidRPr="009E0A1D">
        <w:rPr>
          <w:rFonts w:ascii="Century" w:hAnsi="Century"/>
          <w:sz w:val="22"/>
          <w:rtl/>
        </w:rPr>
        <w:t>)</w:t>
      </w:r>
      <w:r w:rsidRPr="009E0A1D">
        <w:rPr>
          <w:rFonts w:ascii="Century" w:hAnsi="Century"/>
          <w:rtl/>
        </w:rPr>
        <w:t xml:space="preserve">). </w:t>
      </w:r>
    </w:p>
    <w:p w:rsidR="005F62FF" w:rsidRPr="009E0A1D" w:rsidRDefault="005F62FF" w:rsidP="005F62FF">
      <w:pPr>
        <w:pStyle w:val="Ruller41"/>
        <w:rPr>
          <w:rtl/>
        </w:rPr>
      </w:pPr>
    </w:p>
    <w:p w:rsidR="005F62FF" w:rsidRPr="009E0A1D" w:rsidRDefault="005F62FF" w:rsidP="00CD0DD7">
      <w:pPr>
        <w:pStyle w:val="Ruller4"/>
      </w:pPr>
      <w:r w:rsidRPr="009E0A1D">
        <w:rPr>
          <w:rFonts w:hint="cs"/>
          <w:rtl/>
        </w:rPr>
        <w:t xml:space="preserve">בענייננו, בית המשפט המחוזי קבע כממצא עובדתי כי המשיב צפה לראשונה בסרט </w:t>
      </w:r>
      <w:r w:rsidRPr="009E0A1D">
        <w:rPr>
          <w:rFonts w:ascii="Century" w:hAnsi="Century" w:hint="cs"/>
          <w:sz w:val="22"/>
          <w:rtl/>
        </w:rPr>
        <w:t>ב</w:t>
      </w:r>
      <w:r w:rsidRPr="009E0A1D">
        <w:rPr>
          <w:rFonts w:hint="cs"/>
          <w:rtl/>
        </w:rPr>
        <w:t xml:space="preserve">שנת 2015 </w:t>
      </w:r>
      <w:r>
        <w:rPr>
          <w:rFonts w:hint="cs"/>
          <w:rtl/>
        </w:rPr>
        <w:t>ו</w:t>
      </w:r>
      <w:r w:rsidRPr="009E0A1D">
        <w:rPr>
          <w:rFonts w:hint="cs"/>
          <w:rtl/>
        </w:rPr>
        <w:t xml:space="preserve">רק אז התברר לו כי הוא מופיע בסרט. </w:t>
      </w:r>
      <w:r w:rsidRPr="009E0A1D">
        <w:rPr>
          <w:rFonts w:ascii="Century" w:hAnsi="Century" w:hint="eastAsia"/>
          <w:sz w:val="22"/>
          <w:rtl/>
        </w:rPr>
        <w:t>מסכים</w:t>
      </w:r>
      <w:r w:rsidRPr="009E0A1D">
        <w:rPr>
          <w:rFonts w:ascii="Century" w:hAnsi="Century"/>
          <w:sz w:val="22"/>
          <w:rtl/>
        </w:rPr>
        <w:t xml:space="preserve"> </w:t>
      </w:r>
      <w:r>
        <w:rPr>
          <w:rFonts w:ascii="Century" w:hAnsi="Century" w:hint="cs"/>
          <w:sz w:val="22"/>
          <w:rtl/>
        </w:rPr>
        <w:t xml:space="preserve">אני </w:t>
      </w:r>
      <w:r w:rsidRPr="009E0A1D">
        <w:rPr>
          <w:rFonts w:ascii="Century" w:hAnsi="Century" w:hint="cs"/>
          <w:sz w:val="22"/>
          <w:rtl/>
        </w:rPr>
        <w:t xml:space="preserve">עם </w:t>
      </w:r>
      <w:r w:rsidRPr="009E0A1D">
        <w:rPr>
          <w:rFonts w:hint="cs"/>
          <w:rtl/>
        </w:rPr>
        <w:t xml:space="preserve">חברי השופט </w:t>
      </w:r>
      <w:r w:rsidRPr="009E0A1D">
        <w:rPr>
          <w:rFonts w:ascii="Century" w:hAnsi="Century" w:cs="Miriam" w:hint="cs"/>
          <w:b/>
          <w:spacing w:val="0"/>
          <w:sz w:val="22"/>
          <w:szCs w:val="24"/>
          <w:rtl/>
        </w:rPr>
        <w:t>עמית</w:t>
      </w:r>
      <w:r w:rsidRPr="009E0A1D">
        <w:rPr>
          <w:rFonts w:ascii="Century" w:hAnsi="Century" w:hint="cs"/>
          <w:sz w:val="22"/>
          <w:rtl/>
        </w:rPr>
        <w:t xml:space="preserve"> כי אין בסיס להתערבותנו בנקודה זו (פסקה 3</w:t>
      </w:r>
      <w:r w:rsidR="00CD0DD7">
        <w:rPr>
          <w:rFonts w:ascii="Century" w:hAnsi="Century" w:hint="cs"/>
          <w:sz w:val="22"/>
          <w:rtl/>
        </w:rPr>
        <w:t>5</w:t>
      </w:r>
      <w:r w:rsidRPr="009E0A1D">
        <w:rPr>
          <w:rFonts w:ascii="Century" w:hAnsi="Century" w:hint="cs"/>
          <w:sz w:val="22"/>
          <w:rtl/>
        </w:rPr>
        <w:t xml:space="preserve"> </w:t>
      </w:r>
      <w:r w:rsidRPr="009E0A1D">
        <w:rPr>
          <w:rFonts w:ascii="Century" w:hAnsi="Century" w:hint="eastAsia"/>
          <w:sz w:val="22"/>
          <w:rtl/>
        </w:rPr>
        <w:t>לחוות</w:t>
      </w:r>
      <w:r w:rsidRPr="009E0A1D">
        <w:rPr>
          <w:rFonts w:ascii="Century" w:hAnsi="Century" w:hint="cs"/>
          <w:sz w:val="22"/>
          <w:rtl/>
        </w:rPr>
        <w:t xml:space="preserve"> דעתו). </w:t>
      </w:r>
      <w:r>
        <w:rPr>
          <w:rFonts w:ascii="Century" w:hAnsi="Century" w:hint="cs"/>
          <w:sz w:val="22"/>
          <w:rtl/>
        </w:rPr>
        <w:t>מסקנה זו מבוסס</w:t>
      </w:r>
      <w:r w:rsidRPr="009E0A1D">
        <w:rPr>
          <w:rFonts w:ascii="Century" w:hAnsi="Century" w:hint="cs"/>
          <w:sz w:val="22"/>
          <w:rtl/>
        </w:rPr>
        <w:t xml:space="preserve">ת על התרשמותה הבלתי אמצעית של הערכאה הדיונית מהעדים שהופיעו לפניה ועל ממצאי מהימנות שאין זו דרכה של ערכאת הערעור להתערב בהם (וראו למשל: ע"א 2308/20 </w:t>
      </w:r>
      <w:r w:rsidRPr="009E0A1D">
        <w:rPr>
          <w:rFonts w:ascii="Century" w:hAnsi="Century" w:cs="Miriam" w:hint="cs"/>
          <w:b/>
          <w:spacing w:val="0"/>
          <w:sz w:val="22"/>
          <w:szCs w:val="24"/>
          <w:rtl/>
        </w:rPr>
        <w:t>פז חברת נפט בע"מ נ' ממן</w:t>
      </w:r>
      <w:r w:rsidRPr="009E0A1D">
        <w:rPr>
          <w:rFonts w:ascii="Century" w:hAnsi="Century" w:hint="cs"/>
          <w:sz w:val="22"/>
          <w:rtl/>
        </w:rPr>
        <w:t xml:space="preserve">, פסקה 48 (28.8.2022); ע"א 9098/20 </w:t>
      </w:r>
      <w:r w:rsidRPr="009E0A1D">
        <w:rPr>
          <w:rFonts w:ascii="Century" w:hAnsi="Century" w:cs="Miriam" w:hint="cs"/>
          <w:b/>
          <w:spacing w:val="0"/>
          <w:sz w:val="22"/>
          <w:szCs w:val="24"/>
          <w:rtl/>
        </w:rPr>
        <w:t>פלוני נ' ד"ר אלינה מיכאלי</w:t>
      </w:r>
      <w:r w:rsidRPr="009E0A1D">
        <w:rPr>
          <w:rFonts w:ascii="Century" w:hAnsi="Century" w:hint="cs"/>
          <w:sz w:val="22"/>
          <w:rtl/>
        </w:rPr>
        <w:t xml:space="preserve">, פסקה 16 (24.5.2022)). </w:t>
      </w:r>
      <w:r w:rsidRPr="009E0A1D">
        <w:rPr>
          <w:rFonts w:hint="cs"/>
          <w:rtl/>
        </w:rPr>
        <w:t xml:space="preserve">בנסיבות אלו, </w:t>
      </w:r>
      <w:r>
        <w:rPr>
          <w:rFonts w:hint="cs"/>
          <w:rtl/>
        </w:rPr>
        <w:t xml:space="preserve">הנחת היסוד </w:t>
      </w:r>
      <w:r w:rsidRPr="009E0A1D">
        <w:rPr>
          <w:rFonts w:hint="cs"/>
          <w:rtl/>
        </w:rPr>
        <w:t xml:space="preserve">לדיוננו היא כי המערער לא היה מודע </w:t>
      </w:r>
      <w:r w:rsidRPr="009E0A1D">
        <w:rPr>
          <w:rFonts w:ascii="Century" w:hAnsi="Century" w:hint="cs"/>
          <w:sz w:val="22"/>
          <w:rtl/>
        </w:rPr>
        <w:t>בפועל</w:t>
      </w:r>
      <w:r w:rsidRPr="009E0A1D">
        <w:rPr>
          <w:rFonts w:ascii="Century" w:hAnsi="Century" w:cs="Miriam" w:hint="cs"/>
          <w:b/>
          <w:spacing w:val="0"/>
          <w:sz w:val="22"/>
          <w:szCs w:val="24"/>
          <w:rtl/>
        </w:rPr>
        <w:t xml:space="preserve"> </w:t>
      </w:r>
      <w:r w:rsidRPr="009E0A1D">
        <w:rPr>
          <w:rFonts w:ascii="Century" w:hAnsi="Century" w:hint="cs"/>
          <w:sz w:val="22"/>
          <w:rtl/>
        </w:rPr>
        <w:t xml:space="preserve">לנזק שנגרם לו עד למועד </w:t>
      </w:r>
      <w:r>
        <w:rPr>
          <w:rFonts w:ascii="Century" w:hAnsi="Century" w:hint="cs"/>
          <w:sz w:val="22"/>
          <w:rtl/>
        </w:rPr>
        <w:t>ש</w:t>
      </w:r>
      <w:r w:rsidRPr="009E0A1D">
        <w:rPr>
          <w:rFonts w:ascii="Century" w:hAnsi="Century" w:hint="cs"/>
          <w:sz w:val="22"/>
          <w:rtl/>
        </w:rPr>
        <w:t>בו צפה בסרט</w:t>
      </w:r>
      <w:r>
        <w:rPr>
          <w:rFonts w:ascii="Century" w:hAnsi="Century" w:hint="cs"/>
          <w:sz w:val="22"/>
          <w:rtl/>
        </w:rPr>
        <w:t xml:space="preserve"> בשנת 2015</w:t>
      </w:r>
      <w:r w:rsidRPr="009E0A1D">
        <w:rPr>
          <w:rFonts w:ascii="Century" w:hAnsi="Century" w:hint="cs"/>
          <w:sz w:val="22"/>
          <w:rtl/>
        </w:rPr>
        <w:t xml:space="preserve">. </w:t>
      </w:r>
      <w:r w:rsidRPr="009E0A1D">
        <w:rPr>
          <w:rFonts w:hint="cs"/>
          <w:rtl/>
        </w:rPr>
        <w:t xml:space="preserve">לפיכך </w:t>
      </w:r>
      <w:r w:rsidRPr="009E0A1D">
        <w:rPr>
          <w:rFonts w:ascii="Century" w:hAnsi="Century" w:hint="cs"/>
          <w:sz w:val="22"/>
          <w:rtl/>
        </w:rPr>
        <w:t xml:space="preserve">יש להתמקד </w:t>
      </w:r>
      <w:r w:rsidRPr="009E0A1D">
        <w:rPr>
          <w:rFonts w:hint="cs"/>
          <w:rtl/>
        </w:rPr>
        <w:t xml:space="preserve">בהיבט האובייקטיבי של סעיף 8 לחוק ההתיישנות, ובפרט יש לבחון האם </w:t>
      </w:r>
      <w:r w:rsidRPr="009E0A1D">
        <w:rPr>
          <w:rFonts w:ascii="Century" w:hAnsi="Century" w:hint="cs"/>
          <w:rtl/>
        </w:rPr>
        <w:t>בחירתו של המשיב שלא לצפות בסרט</w:t>
      </w:r>
      <w:r>
        <w:rPr>
          <w:rFonts w:ascii="Century" w:hAnsi="Century" w:hint="cs"/>
          <w:rtl/>
        </w:rPr>
        <w:t xml:space="preserve"> במועד מוקדם יותר</w:t>
      </w:r>
      <w:r w:rsidRPr="009E0A1D">
        <w:rPr>
          <w:rFonts w:ascii="Century" w:hAnsi="Century" w:hint="cs"/>
          <w:rtl/>
        </w:rPr>
        <w:t>, מובילה לכלל מסקנה כי יש לראותו כמי שלא נקט צעדים סבירים לצורך בירור העובדות המהותיות המהוות את עילת תביעתו.</w:t>
      </w:r>
      <w:r w:rsidRPr="009E0A1D">
        <w:rPr>
          <w:rFonts w:hint="cs"/>
          <w:rtl/>
        </w:rPr>
        <w:t xml:space="preserve"> </w:t>
      </w:r>
      <w:r>
        <w:rPr>
          <w:rFonts w:hint="cs"/>
          <w:rtl/>
        </w:rPr>
        <w:t xml:space="preserve">לדעת חברי השופט </w:t>
      </w:r>
      <w:r w:rsidRPr="006F1290">
        <w:rPr>
          <w:rFonts w:ascii="Century" w:hAnsi="Century" w:cs="Miriam" w:hint="eastAsia"/>
          <w:b/>
          <w:spacing w:val="0"/>
          <w:sz w:val="22"/>
          <w:szCs w:val="24"/>
          <w:rtl/>
        </w:rPr>
        <w:t>עמית</w:t>
      </w:r>
      <w:r w:rsidRPr="00D659F4">
        <w:rPr>
          <w:rFonts w:hint="cs"/>
          <w:rtl/>
        </w:rPr>
        <w:t xml:space="preserve"> </w:t>
      </w:r>
      <w:r>
        <w:rPr>
          <w:rFonts w:hint="cs"/>
          <w:rtl/>
        </w:rPr>
        <w:t>התשובה לכך היא חיובית</w:t>
      </w:r>
      <w:r w:rsidRPr="009E0A1D">
        <w:rPr>
          <w:rFonts w:hint="cs"/>
          <w:rtl/>
        </w:rPr>
        <w:t>.</w:t>
      </w:r>
      <w:r>
        <w:rPr>
          <w:rFonts w:hint="cs"/>
          <w:rtl/>
        </w:rPr>
        <w:t xml:space="preserve"> מסכים אני עמו במסקנה זו, חרף העובדה ששאלה זו מעוררת לדעתי לא מעט התלבטויות במקרה קונקרטי זה.</w:t>
      </w:r>
      <w:r w:rsidRPr="009E0A1D">
        <w:rPr>
          <w:rFonts w:hint="cs"/>
          <w:rtl/>
        </w:rPr>
        <w:t xml:space="preserve"> </w:t>
      </w:r>
    </w:p>
    <w:p w:rsidR="005F62FF" w:rsidRPr="009E0A1D" w:rsidRDefault="005F62FF" w:rsidP="005F62FF">
      <w:pPr>
        <w:pStyle w:val="Ruller4"/>
        <w:numPr>
          <w:ilvl w:val="0"/>
          <w:numId w:val="0"/>
        </w:numPr>
      </w:pPr>
    </w:p>
    <w:p w:rsidR="005F62FF" w:rsidRPr="009E0A1D" w:rsidRDefault="005F62FF" w:rsidP="005F62FF">
      <w:pPr>
        <w:pStyle w:val="Ruller4"/>
      </w:pPr>
      <w:r>
        <w:rPr>
          <w:rFonts w:hint="cs"/>
          <w:rtl/>
        </w:rPr>
        <w:t>נקודת המוצא לדיון היא כי</w:t>
      </w:r>
      <w:r>
        <w:rPr>
          <w:rFonts w:ascii="Century" w:hAnsi="Century" w:hint="cs"/>
          <w:sz w:val="22"/>
          <w:rtl/>
        </w:rPr>
        <w:t xml:space="preserve"> לא היה די בידיעתו הכללית של המשיב כי הסרט עוסק בפעילות צה"ל במהלך מבצע "חומת מגן" כדי להביא למסקנה כי הוא היה חייב לצפות בו</w:t>
      </w:r>
      <w:r>
        <w:rPr>
          <w:rFonts w:hint="cs"/>
          <w:rtl/>
        </w:rPr>
        <w:t xml:space="preserve">. הטעם לכך נעוץ בעיקרו של דבר </w:t>
      </w:r>
      <w:r w:rsidRPr="005009FD">
        <w:rPr>
          <w:rFonts w:ascii="Century" w:hAnsi="Century" w:hint="eastAsia"/>
          <w:sz w:val="22"/>
          <w:rtl/>
        </w:rPr>
        <w:t>באופיו</w:t>
      </w:r>
      <w:r w:rsidRPr="009E0A1D">
        <w:rPr>
          <w:rFonts w:hint="cs"/>
          <w:rtl/>
        </w:rPr>
        <w:t xml:space="preserve"> של הסרט ו</w:t>
      </w:r>
      <w:r>
        <w:rPr>
          <w:rFonts w:hint="cs"/>
          <w:rtl/>
        </w:rPr>
        <w:t>ב</w:t>
      </w:r>
      <w:r w:rsidRPr="009E0A1D">
        <w:rPr>
          <w:rFonts w:hint="cs"/>
          <w:rtl/>
        </w:rPr>
        <w:t>פגיעה</w:t>
      </w:r>
      <w:r>
        <w:rPr>
          <w:rFonts w:hint="cs"/>
          <w:rtl/>
        </w:rPr>
        <w:t xml:space="preserve"> הנוספת</w:t>
      </w:r>
      <w:r w:rsidRPr="009E0A1D">
        <w:rPr>
          <w:rFonts w:hint="cs"/>
          <w:rtl/>
        </w:rPr>
        <w:t xml:space="preserve"> שהייתה צפויה להיגרם </w:t>
      </w:r>
      <w:r>
        <w:rPr>
          <w:rFonts w:hint="cs"/>
          <w:rtl/>
        </w:rPr>
        <w:t xml:space="preserve">למשיב </w:t>
      </w:r>
      <w:r w:rsidRPr="009E0A1D">
        <w:rPr>
          <w:rFonts w:hint="cs"/>
          <w:rtl/>
        </w:rPr>
        <w:t xml:space="preserve">מעצם החשיפה </w:t>
      </w:r>
      <w:r>
        <w:rPr>
          <w:rFonts w:hint="cs"/>
          <w:rtl/>
        </w:rPr>
        <w:t>אליו</w:t>
      </w:r>
      <w:r w:rsidRPr="009E0A1D">
        <w:rPr>
          <w:rFonts w:hint="cs"/>
          <w:rtl/>
        </w:rPr>
        <w:t>. מדובר בסרט אשר נקבע לגביו כי באופן אובייקטיבי</w:t>
      </w:r>
      <w:r w:rsidRPr="009E0A1D">
        <w:rPr>
          <w:rFonts w:hint="eastAsia"/>
          <w:rtl/>
        </w:rPr>
        <w:t> </w:t>
      </w:r>
      <w:r w:rsidRPr="009E0A1D">
        <w:rPr>
          <w:rFonts w:hint="cs"/>
          <w:rtl/>
        </w:rPr>
        <w:t>הוא מכיל שקרים וכזבים ו</w:t>
      </w:r>
      <w:r>
        <w:rPr>
          <w:rFonts w:hint="cs"/>
          <w:rtl/>
        </w:rPr>
        <w:t xml:space="preserve">כי </w:t>
      </w:r>
      <w:r w:rsidRPr="009E0A1D">
        <w:rPr>
          <w:rFonts w:hint="cs"/>
          <w:rtl/>
        </w:rPr>
        <w:t>צפייה בו צפויה לגרום ברמת "ודאות מוחלטת" לפגיעה עמוקה ורחבה ברגשות הציבור, ובעיקר של חיילי צה"ל שנלחמו במבצע "חומת מגן" באזור ג'נין. כך נאמר על אודות פגיעה זו:</w:t>
      </w:r>
    </w:p>
    <w:p w:rsidR="005F62FF" w:rsidRPr="009E0A1D" w:rsidRDefault="005F62FF" w:rsidP="005F62FF">
      <w:pPr>
        <w:pStyle w:val="Ruller41"/>
      </w:pPr>
    </w:p>
    <w:p w:rsidR="005F62FF" w:rsidRPr="009E0A1D" w:rsidRDefault="005F62FF" w:rsidP="005F62FF">
      <w:pPr>
        <w:pStyle w:val="Ruller5"/>
        <w:rPr>
          <w:rFonts w:ascii="Century" w:hAnsi="Century"/>
          <w:rtl/>
        </w:rPr>
      </w:pPr>
      <w:r w:rsidRPr="009E0A1D">
        <w:rPr>
          <w:rFonts w:hint="cs"/>
          <w:rtl/>
        </w:rPr>
        <w:t>"</w:t>
      </w:r>
      <w:r w:rsidRPr="009E0A1D">
        <w:rPr>
          <w:rFonts w:ascii="FrankRuehl" w:hAnsi="FrankRuehl"/>
          <w:color w:val="000000"/>
          <w:rtl/>
        </w:rPr>
        <w:t xml:space="preserve">לצורך ענייננו ראוי להניח כי ההסתברות להתרחשות הפגיעה ברגשות הציבור עקב התרתו של הסרט </w:t>
      </w:r>
      <w:r>
        <w:rPr>
          <w:rFonts w:ascii="FrankRuehl" w:hAnsi="FrankRuehl" w:hint="cs"/>
          <w:color w:val="000000"/>
          <w:rtl/>
        </w:rPr>
        <w:t>'</w:t>
      </w:r>
      <w:r w:rsidRPr="009E0A1D">
        <w:rPr>
          <w:rFonts w:ascii="FrankRuehl" w:hAnsi="FrankRuehl"/>
          <w:color w:val="000000"/>
          <w:rtl/>
        </w:rPr>
        <w:t>ג'נין, ג'נין</w:t>
      </w:r>
      <w:r>
        <w:rPr>
          <w:rFonts w:ascii="FrankRuehl" w:hAnsi="FrankRuehl" w:hint="cs"/>
          <w:color w:val="000000"/>
          <w:rtl/>
        </w:rPr>
        <w:t>'</w:t>
      </w:r>
      <w:r w:rsidRPr="009E0A1D">
        <w:rPr>
          <w:rFonts w:ascii="FrankRuehl" w:hAnsi="FrankRuehl"/>
          <w:color w:val="000000"/>
          <w:rtl/>
        </w:rPr>
        <w:t xml:space="preserve"> להקרנה בבתי הקולנוע אינה מסתכמת לגדר ודאות קרובה, אלא היא </w:t>
      </w:r>
      <w:r w:rsidRPr="009E0A1D">
        <w:rPr>
          <w:rFonts w:ascii="Century" w:hAnsi="Century" w:cs="Miriam"/>
          <w:b/>
          <w:spacing w:val="0"/>
          <w:szCs w:val="24"/>
          <w:rtl/>
        </w:rPr>
        <w:t>בגדר ודאות מוחלטת</w:t>
      </w:r>
      <w:r w:rsidRPr="009E0A1D">
        <w:rPr>
          <w:rFonts w:hint="cs"/>
          <w:rtl/>
        </w:rPr>
        <w:t xml:space="preserve"> [...]. אכן, </w:t>
      </w:r>
      <w:r w:rsidRPr="009E0A1D">
        <w:rPr>
          <w:rFonts w:ascii="Century" w:hAnsi="Century" w:cs="Miriam" w:hint="cs"/>
          <w:b/>
          <w:spacing w:val="0"/>
          <w:szCs w:val="24"/>
          <w:rtl/>
        </w:rPr>
        <w:t>מדובר בפגיעה ברגשות שהיא רחבה ועמוקה כאחד</w:t>
      </w:r>
      <w:r w:rsidRPr="009E0A1D">
        <w:rPr>
          <w:rFonts w:hint="cs"/>
          <w:rtl/>
        </w:rPr>
        <w:t xml:space="preserve"> [...]. </w:t>
      </w:r>
      <w:r w:rsidRPr="009E0A1D">
        <w:rPr>
          <w:rFonts w:ascii="Century" w:hAnsi="Century" w:cs="Miriam" w:hint="cs"/>
          <w:b/>
          <w:spacing w:val="0"/>
          <w:szCs w:val="24"/>
          <w:rtl/>
        </w:rPr>
        <w:t xml:space="preserve">אין </w:t>
      </w:r>
      <w:r w:rsidRPr="009E0A1D">
        <w:rPr>
          <w:rFonts w:ascii="Century" w:hAnsi="Century" w:cs="Miriam"/>
          <w:b/>
          <w:spacing w:val="0"/>
          <w:szCs w:val="24"/>
          <w:rtl/>
        </w:rPr>
        <w:t xml:space="preserve">היא מוגבלת לאדם אחד או לקבוצה קטנה של אנשים שהם מיעוט קטן בחברה. </w:t>
      </w:r>
      <w:r w:rsidRPr="009E0A1D">
        <w:rPr>
          <w:rtl/>
        </w:rPr>
        <w:t xml:space="preserve">היא מקיפה את חיילי צה"ל שנלחמו בקרבות ג'נין וחבריהם המשרתים בחילות הסדירים והמילואים, המופקדים על משימות ההגנה על הביטחון; היא משותפת למשפחות השכולות של החיילים שנתנו את נפשם בקרבות ג'נין והיא נחלת חוגים רחבים בציבור כולו. </w:t>
      </w:r>
      <w:r w:rsidRPr="009E0A1D">
        <w:rPr>
          <w:rFonts w:ascii="Century" w:hAnsi="Century" w:cs="Miriam"/>
          <w:b/>
          <w:spacing w:val="0"/>
          <w:szCs w:val="24"/>
          <w:rtl/>
        </w:rPr>
        <w:t>אין מדובר בפגיעה קלת ערך החולפת על פני השטח ונישאת עם הרוח.</w:t>
      </w:r>
      <w:r w:rsidRPr="009E0A1D">
        <w:rPr>
          <w:rtl/>
        </w:rPr>
        <w:t xml:space="preserve"> </w:t>
      </w:r>
      <w:r w:rsidRPr="009E0A1D">
        <w:rPr>
          <w:rFonts w:ascii="Century" w:hAnsi="Century" w:cs="Miriam"/>
          <w:b/>
          <w:spacing w:val="0"/>
          <w:szCs w:val="24"/>
          <w:rtl/>
        </w:rPr>
        <w:t>זו פגיעה ממשית, אמ</w:t>
      </w:r>
      <w:r w:rsidRPr="009E0A1D">
        <w:rPr>
          <w:rFonts w:ascii="Century" w:hAnsi="Century" w:cs="Miriam" w:hint="cs"/>
          <w:b/>
          <w:spacing w:val="0"/>
          <w:szCs w:val="24"/>
          <w:rtl/>
        </w:rPr>
        <w:t>י</w:t>
      </w:r>
      <w:r w:rsidRPr="009E0A1D">
        <w:rPr>
          <w:rFonts w:ascii="Century" w:hAnsi="Century" w:cs="Miriam"/>
          <w:b/>
          <w:spacing w:val="0"/>
          <w:szCs w:val="24"/>
          <w:rtl/>
        </w:rPr>
        <w:t>תית וקשה.</w:t>
      </w:r>
      <w:r w:rsidRPr="009E0A1D">
        <w:rPr>
          <w:rtl/>
        </w:rPr>
        <w:t xml:space="preserve"> היא איננה מתמצית בפגיעה בעלת אופי כללי בהוויה הערכית</w:t>
      </w:r>
      <w:r w:rsidRPr="009E0A1D">
        <w:rPr>
          <w:vertAlign w:val="superscript"/>
        </w:rPr>
        <w:t>-</w:t>
      </w:r>
      <w:r w:rsidRPr="009E0A1D">
        <w:rPr>
          <w:rtl/>
        </w:rPr>
        <w:t>מוסרית של החברה בישראל, אלא היא קשורה באירועים ספציפיים וממוקדים שזיכרונם הקשה עדיין חי בקרב ישראלים רבים שלקחו בהם חלק</w:t>
      </w:r>
      <w:r w:rsidRPr="009E0A1D">
        <w:rPr>
          <w:rFonts w:hint="cs"/>
          <w:rtl/>
        </w:rPr>
        <w:t xml:space="preserve">" (בג"ץ 316/03 </w:t>
      </w:r>
      <w:r w:rsidRPr="009E0A1D">
        <w:rPr>
          <w:rFonts w:ascii="Century" w:hAnsi="Century" w:cs="Miriam" w:hint="cs"/>
          <w:b/>
          <w:spacing w:val="0"/>
          <w:szCs w:val="24"/>
          <w:rtl/>
        </w:rPr>
        <w:t>בכרי נ' המועצה לביקורת סרטים</w:t>
      </w:r>
      <w:r w:rsidRPr="009E0A1D">
        <w:rPr>
          <w:rFonts w:ascii="Century" w:hAnsi="Century" w:hint="cs"/>
          <w:rtl/>
        </w:rPr>
        <w:t xml:space="preserve">, פ"ד נח(1) 249, </w:t>
      </w:r>
      <w:r>
        <w:rPr>
          <w:rFonts w:ascii="Century" w:hAnsi="Century" w:hint="cs"/>
          <w:rtl/>
        </w:rPr>
        <w:t>284</w:t>
      </w:r>
      <w:r w:rsidRPr="009E0A1D">
        <w:rPr>
          <w:rFonts w:ascii="Century" w:hAnsi="Century" w:hint="cs"/>
          <w:rtl/>
        </w:rPr>
        <w:t xml:space="preserve"> (</w:t>
      </w:r>
      <w:r>
        <w:rPr>
          <w:rFonts w:ascii="Century" w:hAnsi="Century" w:hint="cs"/>
          <w:rtl/>
        </w:rPr>
        <w:t>2004</w:t>
      </w:r>
      <w:r w:rsidRPr="009E0A1D">
        <w:rPr>
          <w:rFonts w:ascii="Century" w:hAnsi="Century" w:hint="cs"/>
          <w:rtl/>
        </w:rPr>
        <w:t xml:space="preserve">); ההדגשות אינן במקור). </w:t>
      </w:r>
    </w:p>
    <w:p w:rsidR="005F62FF" w:rsidRPr="009E0A1D" w:rsidRDefault="005F62FF" w:rsidP="005F62FF">
      <w:pPr>
        <w:pStyle w:val="Ruller41"/>
        <w:rPr>
          <w:rtl/>
        </w:rPr>
      </w:pPr>
    </w:p>
    <w:p w:rsidR="005F62FF" w:rsidRPr="009E0A1D" w:rsidRDefault="005F62FF" w:rsidP="005F62FF">
      <w:pPr>
        <w:pStyle w:val="Ruller41"/>
        <w:rPr>
          <w:rtl/>
        </w:rPr>
      </w:pPr>
      <w:r w:rsidRPr="009E0A1D">
        <w:rPr>
          <w:rtl/>
        </w:rPr>
        <w:tab/>
      </w:r>
      <w:r w:rsidRPr="009E0A1D">
        <w:rPr>
          <w:rFonts w:hint="cs"/>
          <w:rtl/>
        </w:rPr>
        <w:t xml:space="preserve">כמו כן, על בסיס האמור, נאמר על ידי חברי השופט </w:t>
      </w:r>
      <w:r w:rsidRPr="009E0A1D">
        <w:rPr>
          <w:rFonts w:ascii="Century" w:hAnsi="Century" w:cs="Miriam" w:hint="eastAsia"/>
          <w:b/>
          <w:spacing w:val="0"/>
          <w:szCs w:val="24"/>
          <w:rtl/>
        </w:rPr>
        <w:t>עמית</w:t>
      </w:r>
      <w:r w:rsidRPr="009E0A1D">
        <w:rPr>
          <w:rFonts w:hint="cs"/>
          <w:rtl/>
        </w:rPr>
        <w:t>, בהקשר אחר:</w:t>
      </w:r>
    </w:p>
    <w:p w:rsidR="005F62FF" w:rsidRPr="009E0A1D" w:rsidRDefault="005F62FF" w:rsidP="005F62FF">
      <w:pPr>
        <w:pStyle w:val="Ruller41"/>
        <w:rPr>
          <w:rtl/>
        </w:rPr>
      </w:pPr>
    </w:p>
    <w:p w:rsidR="005F62FF" w:rsidRPr="009E0A1D" w:rsidRDefault="005F62FF" w:rsidP="005F62FF">
      <w:pPr>
        <w:pStyle w:val="Ruller5"/>
        <w:rPr>
          <w:rtl/>
        </w:rPr>
      </w:pPr>
      <w:r w:rsidRPr="009E0A1D">
        <w:rPr>
          <w:rFonts w:hint="cs"/>
          <w:rtl/>
        </w:rPr>
        <w:t>"</w:t>
      </w:r>
      <w:r w:rsidRPr="009E0A1D">
        <w:rPr>
          <w:rtl/>
        </w:rPr>
        <w:t>האמירות בסרט אינן מתייחסות ספציפית לחייל זה או אחר, אף לא ליחידה זו או אחרת בצה"ל, אלא לקבוצה רחבה דיה כדי להיתפס בציבור כקבוצה שאינה מוגדרת או מסוימת או מזוהה עם הפרטים המרכיבים אות</w:t>
      </w:r>
      <w:r w:rsidRPr="009E0A1D">
        <w:rPr>
          <w:rFonts w:hint="cs"/>
          <w:rtl/>
        </w:rPr>
        <w:t xml:space="preserve">ה" (ע"א 8345/08 </w:t>
      </w:r>
      <w:r w:rsidRPr="009E0A1D">
        <w:rPr>
          <w:rFonts w:ascii="Century" w:hAnsi="Century" w:cs="Miriam" w:hint="cs"/>
          <w:b/>
          <w:spacing w:val="0"/>
          <w:szCs w:val="24"/>
          <w:rtl/>
        </w:rPr>
        <w:t>בן נתן נ' בכרי</w:t>
      </w:r>
      <w:r w:rsidRPr="009E0A1D">
        <w:rPr>
          <w:rFonts w:ascii="Century" w:hAnsi="Century" w:hint="cs"/>
          <w:rtl/>
        </w:rPr>
        <w:t>,</w:t>
      </w:r>
      <w:r w:rsidRPr="009E0A1D">
        <w:rPr>
          <w:rFonts w:hint="cs"/>
          <w:rtl/>
        </w:rPr>
        <w:t xml:space="preserve"> פ"ד </w:t>
      </w:r>
      <w:r>
        <w:rPr>
          <w:rFonts w:hint="cs"/>
          <w:rtl/>
        </w:rPr>
        <w:t xml:space="preserve">סה(1) 567, </w:t>
      </w:r>
      <w:r>
        <w:rPr>
          <w:rFonts w:ascii="Century" w:hAnsi="Century" w:hint="cs"/>
          <w:rtl/>
        </w:rPr>
        <w:t>623</w:t>
      </w:r>
      <w:r w:rsidRPr="009E0A1D">
        <w:rPr>
          <w:rFonts w:ascii="Century" w:hAnsi="Century" w:cs="Miriam" w:hint="cs"/>
          <w:b/>
          <w:spacing w:val="0"/>
          <w:szCs w:val="24"/>
          <w:rtl/>
        </w:rPr>
        <w:t xml:space="preserve"> </w:t>
      </w:r>
      <w:r w:rsidRPr="009E0A1D">
        <w:rPr>
          <w:rFonts w:hint="cs"/>
          <w:rtl/>
        </w:rPr>
        <w:t>(</w:t>
      </w:r>
      <w:r>
        <w:rPr>
          <w:rFonts w:hint="cs"/>
          <w:rtl/>
        </w:rPr>
        <w:t>2012-2011</w:t>
      </w:r>
      <w:r w:rsidRPr="009E0A1D">
        <w:rPr>
          <w:rFonts w:hint="cs"/>
          <w:rtl/>
        </w:rPr>
        <w:t>)).</w:t>
      </w:r>
    </w:p>
    <w:p w:rsidR="005F62FF" w:rsidRPr="009E0A1D" w:rsidRDefault="005F62FF" w:rsidP="005F62FF">
      <w:pPr>
        <w:pStyle w:val="Ruller41"/>
        <w:rPr>
          <w:rtl/>
        </w:rPr>
      </w:pPr>
    </w:p>
    <w:p w:rsidR="005F62FF" w:rsidRPr="009E0A1D" w:rsidRDefault="005F62FF" w:rsidP="005F62FF">
      <w:pPr>
        <w:pStyle w:val="Ruller4"/>
        <w:numPr>
          <w:ilvl w:val="0"/>
          <w:numId w:val="0"/>
        </w:numPr>
        <w:rPr>
          <w:rtl/>
        </w:rPr>
      </w:pPr>
      <w:r w:rsidRPr="009E0A1D">
        <w:rPr>
          <w:rtl/>
        </w:rPr>
        <w:tab/>
      </w:r>
      <w:r w:rsidRPr="009E0A1D">
        <w:rPr>
          <w:rFonts w:hint="cs"/>
          <w:rtl/>
        </w:rPr>
        <w:t xml:space="preserve">בנסיבות אלה, שעה שצפייה בסרט הוכרה ככזו </w:t>
      </w:r>
      <w:r>
        <w:rPr>
          <w:rFonts w:hint="cs"/>
          <w:rtl/>
        </w:rPr>
        <w:t xml:space="preserve">הצפויה </w:t>
      </w:r>
      <w:r w:rsidRPr="009E0A1D">
        <w:rPr>
          <w:rFonts w:hint="cs"/>
          <w:rtl/>
        </w:rPr>
        <w:t xml:space="preserve">לגרום לכל אדם סביר בנעלי המשיב לפגיעה "ממשית, אמיתית וקשה" ברמת הסתברות של ודאות מוחלטת, </w:t>
      </w:r>
      <w:r>
        <w:rPr>
          <w:rFonts w:hint="cs"/>
          <w:rtl/>
        </w:rPr>
        <w:t xml:space="preserve">ניתן להבין ללבו של המשיב אשר בחר </w:t>
      </w:r>
      <w:r w:rsidRPr="009E0A1D">
        <w:rPr>
          <w:rFonts w:hint="cs"/>
          <w:rtl/>
        </w:rPr>
        <w:t xml:space="preserve">שלא לצפות בסרט. </w:t>
      </w:r>
      <w:r>
        <w:rPr>
          <w:rFonts w:hint="cs"/>
          <w:rtl/>
        </w:rPr>
        <w:t xml:space="preserve">בתוך כך היה נדרש </w:t>
      </w:r>
      <w:r w:rsidRPr="009E0A1D">
        <w:rPr>
          <w:rFonts w:hint="cs"/>
          <w:rtl/>
        </w:rPr>
        <w:t xml:space="preserve">המשיב לחשוף </w:t>
      </w:r>
      <w:r>
        <w:rPr>
          <w:rFonts w:hint="cs"/>
          <w:rtl/>
        </w:rPr>
        <w:t xml:space="preserve">את </w:t>
      </w:r>
      <w:r w:rsidRPr="009E0A1D">
        <w:rPr>
          <w:rFonts w:hint="cs"/>
          <w:rtl/>
        </w:rPr>
        <w:t xml:space="preserve">עצמו לפגיעה הנובעת מצפייה בהשמצות חבריו לקרב, רק כדי לבחון האם בתוך כך ייחשף לנזק </w:t>
      </w:r>
      <w:r>
        <w:rPr>
          <w:rFonts w:hint="cs"/>
          <w:rtl/>
        </w:rPr>
        <w:t>שנגרם לו באופן אישי</w:t>
      </w:r>
      <w:r w:rsidRPr="009E0A1D">
        <w:rPr>
          <w:rFonts w:hint="cs"/>
          <w:rtl/>
        </w:rPr>
        <w:t xml:space="preserve">. </w:t>
      </w:r>
      <w:r w:rsidRPr="006F1290">
        <w:rPr>
          <w:rFonts w:hint="eastAsia"/>
          <w:rtl/>
        </w:rPr>
        <w:t>בהיעדר</w:t>
      </w:r>
      <w:r w:rsidRPr="006F1290">
        <w:rPr>
          <w:rtl/>
        </w:rPr>
        <w:t xml:space="preserve"> </w:t>
      </w:r>
      <w:r w:rsidRPr="006F1290">
        <w:rPr>
          <w:rFonts w:hint="eastAsia"/>
          <w:rtl/>
        </w:rPr>
        <w:t>כל</w:t>
      </w:r>
      <w:r w:rsidRPr="006F1290">
        <w:rPr>
          <w:rtl/>
        </w:rPr>
        <w:t xml:space="preserve"> </w:t>
      </w:r>
      <w:r w:rsidRPr="006F1290">
        <w:rPr>
          <w:rFonts w:hint="eastAsia"/>
          <w:rtl/>
        </w:rPr>
        <w:t>ידיעה</w:t>
      </w:r>
      <w:r w:rsidRPr="006F1290">
        <w:rPr>
          <w:rtl/>
        </w:rPr>
        <w:t xml:space="preserve"> </w:t>
      </w:r>
      <w:r>
        <w:rPr>
          <w:rFonts w:hint="cs"/>
          <w:rtl/>
        </w:rPr>
        <w:t xml:space="preserve">או חשד </w:t>
      </w:r>
      <w:r w:rsidRPr="006F1290">
        <w:rPr>
          <w:rFonts w:hint="eastAsia"/>
          <w:rtl/>
        </w:rPr>
        <w:t>מצדו</w:t>
      </w:r>
      <w:r w:rsidRPr="006F1290">
        <w:rPr>
          <w:rtl/>
        </w:rPr>
        <w:t xml:space="preserve"> </w:t>
      </w:r>
      <w:r w:rsidRPr="006F1290">
        <w:rPr>
          <w:rFonts w:hint="eastAsia"/>
          <w:rtl/>
        </w:rPr>
        <w:t>על</w:t>
      </w:r>
      <w:r w:rsidRPr="006F1290">
        <w:rPr>
          <w:rtl/>
        </w:rPr>
        <w:t xml:space="preserve"> </w:t>
      </w:r>
      <w:r w:rsidRPr="006F1290">
        <w:rPr>
          <w:rFonts w:hint="eastAsia"/>
          <w:rtl/>
        </w:rPr>
        <w:t>מעורבותו</w:t>
      </w:r>
      <w:r w:rsidRPr="006F1290">
        <w:rPr>
          <w:rtl/>
        </w:rPr>
        <w:t xml:space="preserve"> </w:t>
      </w:r>
      <w:r w:rsidRPr="006F1290">
        <w:rPr>
          <w:rFonts w:hint="eastAsia"/>
          <w:rtl/>
        </w:rPr>
        <w:t>בסרט</w:t>
      </w:r>
      <w:r w:rsidRPr="009E0A1D">
        <w:rPr>
          <w:rFonts w:hint="cs"/>
          <w:rtl/>
        </w:rPr>
        <w:t>, הדרישה כי אדם במצבו יחשוף עצמו לפגיעה מסוג אחד</w:t>
      </w:r>
      <w:r>
        <w:rPr>
          <w:rFonts w:hint="cs"/>
          <w:rtl/>
        </w:rPr>
        <w:t xml:space="preserve"> </w:t>
      </w:r>
      <w:r w:rsidRPr="009E0A1D">
        <w:rPr>
          <w:rFonts w:hint="cs"/>
          <w:rtl/>
        </w:rPr>
        <w:t xml:space="preserve">רק כדי לבחון האם נגרם לו כתוצאה מכך </w:t>
      </w:r>
      <w:r w:rsidRPr="009E0A1D">
        <w:rPr>
          <w:rFonts w:ascii="Century" w:hAnsi="Century" w:hint="eastAsia"/>
          <w:sz w:val="22"/>
          <w:rtl/>
        </w:rPr>
        <w:t>נזק</w:t>
      </w:r>
      <w:r w:rsidRPr="009E0A1D">
        <w:rPr>
          <w:rFonts w:ascii="Century" w:hAnsi="Century"/>
          <w:sz w:val="22"/>
          <w:rtl/>
        </w:rPr>
        <w:t xml:space="preserve"> </w:t>
      </w:r>
      <w:r w:rsidRPr="009E0A1D">
        <w:rPr>
          <w:rFonts w:ascii="Century" w:hAnsi="Century" w:hint="eastAsia"/>
          <w:sz w:val="22"/>
          <w:rtl/>
        </w:rPr>
        <w:t>מסוג</w:t>
      </w:r>
      <w:r w:rsidRPr="009E0A1D">
        <w:rPr>
          <w:rFonts w:ascii="Century" w:hAnsi="Century"/>
          <w:sz w:val="22"/>
          <w:rtl/>
        </w:rPr>
        <w:t xml:space="preserve"> </w:t>
      </w:r>
      <w:r w:rsidRPr="009E0A1D">
        <w:rPr>
          <w:rFonts w:ascii="Century" w:hAnsi="Century" w:hint="eastAsia"/>
          <w:sz w:val="22"/>
          <w:rtl/>
        </w:rPr>
        <w:t>אחר</w:t>
      </w:r>
      <w:r w:rsidRPr="009E0A1D">
        <w:rPr>
          <w:rFonts w:ascii="Century" w:hAnsi="Century" w:hint="cs"/>
          <w:sz w:val="22"/>
          <w:rtl/>
        </w:rPr>
        <w:t xml:space="preserve">, </w:t>
      </w:r>
      <w:r>
        <w:rPr>
          <w:rFonts w:ascii="Century" w:hAnsi="Century" w:hint="cs"/>
          <w:sz w:val="22"/>
          <w:rtl/>
        </w:rPr>
        <w:t>אינה פשוטה</w:t>
      </w:r>
      <w:r w:rsidRPr="009E0A1D">
        <w:rPr>
          <w:rFonts w:ascii="Century" w:hAnsi="Century" w:hint="cs"/>
          <w:sz w:val="22"/>
          <w:rtl/>
        </w:rPr>
        <w:t>.</w:t>
      </w:r>
      <w:r w:rsidRPr="009E0A1D">
        <w:rPr>
          <w:rFonts w:hint="cs"/>
          <w:rtl/>
        </w:rPr>
        <w:t xml:space="preserve"> </w:t>
      </w:r>
    </w:p>
    <w:p w:rsidR="005F62FF" w:rsidRPr="009E0A1D" w:rsidRDefault="005F62FF" w:rsidP="005F62FF">
      <w:pPr>
        <w:pStyle w:val="Ruller41"/>
      </w:pPr>
    </w:p>
    <w:p w:rsidR="005F62FF" w:rsidRDefault="005F62FF" w:rsidP="005F62FF">
      <w:pPr>
        <w:pStyle w:val="Ruller4"/>
        <w:rPr>
          <w:rtl/>
        </w:rPr>
      </w:pPr>
      <w:r w:rsidRPr="009E0A1D">
        <w:rPr>
          <w:rFonts w:hint="cs"/>
          <w:rtl/>
        </w:rPr>
        <w:t xml:space="preserve">בענייננו, אין להניח כי השתתפותו של חייל במבצע "חומת מגן", </w:t>
      </w:r>
      <w:r>
        <w:rPr>
          <w:rFonts w:hint="cs"/>
          <w:rtl/>
        </w:rPr>
        <w:t>צריכה</w:t>
      </w:r>
      <w:r w:rsidRPr="009E0A1D">
        <w:rPr>
          <w:rFonts w:hint="cs"/>
          <w:rtl/>
        </w:rPr>
        <w:t xml:space="preserve"> הייתה לעורר </w:t>
      </w:r>
      <w:r w:rsidRPr="005009FD">
        <w:rPr>
          <w:rFonts w:ascii="Century" w:hAnsi="Century" w:cs="Miriam" w:hint="eastAsia"/>
          <w:b/>
          <w:spacing w:val="0"/>
          <w:sz w:val="22"/>
          <w:szCs w:val="24"/>
          <w:rtl/>
        </w:rPr>
        <w:t>כשלעצמה</w:t>
      </w:r>
      <w:r w:rsidRPr="009E0A1D">
        <w:rPr>
          <w:rFonts w:hint="cs"/>
          <w:rtl/>
        </w:rPr>
        <w:t xml:space="preserve"> את חשדו בדבר הופעתו בסרט</w:t>
      </w:r>
      <w:r>
        <w:rPr>
          <w:rFonts w:hint="cs"/>
          <w:rtl/>
        </w:rPr>
        <w:t>,</w:t>
      </w:r>
      <w:r w:rsidRPr="009E0A1D">
        <w:rPr>
          <w:rFonts w:hint="cs"/>
          <w:rtl/>
        </w:rPr>
        <w:t xml:space="preserve"> אף אם שהה במהלך המבצע בקרבת העיר ג'נין. מבצע "חומת מגן" אינו נופל בגדר אירוע נקודתי מצומצם, אלא מדובר במבצע צבאי רחב היקף בו השתתפו כוחות ביטחון רבים במספר </w:t>
      </w:r>
      <w:r>
        <w:rPr>
          <w:rFonts w:hint="cs"/>
          <w:rtl/>
        </w:rPr>
        <w:t>רב של זירות</w:t>
      </w:r>
      <w:r w:rsidRPr="009E0A1D">
        <w:rPr>
          <w:rFonts w:hint="cs"/>
          <w:rtl/>
        </w:rPr>
        <w:t xml:space="preserve">. אין להלום קביעה לפיה מצופה היה מכל חייל צה"ל </w:t>
      </w:r>
      <w:r w:rsidRPr="009E0A1D">
        <w:rPr>
          <w:rtl/>
        </w:rPr>
        <w:t>–</w:t>
      </w:r>
      <w:r w:rsidRPr="009E0A1D">
        <w:rPr>
          <w:rFonts w:hint="cs"/>
          <w:rtl/>
        </w:rPr>
        <w:t xml:space="preserve"> הן בסדיר והן במילואים, אשר שירת במהלך המבצע ושהה בעיר ג'נין, לצפות בסרט זה </w:t>
      </w:r>
      <w:r>
        <w:rPr>
          <w:rFonts w:hint="cs"/>
          <w:rtl/>
        </w:rPr>
        <w:t xml:space="preserve">רק </w:t>
      </w:r>
      <w:r w:rsidRPr="009E0A1D">
        <w:rPr>
          <w:rFonts w:hint="cs"/>
          <w:rtl/>
        </w:rPr>
        <w:t xml:space="preserve">כדי לבחון האם קמה לו עילת תביעה כתוצאה מכך. </w:t>
      </w:r>
      <w:r w:rsidRPr="00FE7A6F">
        <w:rPr>
          <w:rFonts w:hint="eastAsia"/>
          <w:rtl/>
        </w:rPr>
        <w:t>אין</w:t>
      </w:r>
      <w:r w:rsidRPr="00FE7A6F">
        <w:rPr>
          <w:rtl/>
        </w:rPr>
        <w:t xml:space="preserve"> </w:t>
      </w:r>
      <w:r>
        <w:rPr>
          <w:rFonts w:hint="cs"/>
          <w:rtl/>
        </w:rPr>
        <w:t xml:space="preserve">גם מקום </w:t>
      </w:r>
      <w:r w:rsidRPr="00FE7A6F">
        <w:rPr>
          <w:rFonts w:hint="eastAsia"/>
          <w:rtl/>
        </w:rPr>
        <w:t>להתעלם</w:t>
      </w:r>
      <w:r w:rsidRPr="00FE7A6F">
        <w:rPr>
          <w:rtl/>
        </w:rPr>
        <w:t xml:space="preserve"> </w:t>
      </w:r>
      <w:r w:rsidRPr="00FE7A6F">
        <w:rPr>
          <w:rFonts w:hint="eastAsia"/>
          <w:rtl/>
        </w:rPr>
        <w:t>מהמחירים</w:t>
      </w:r>
      <w:r w:rsidRPr="00FE7A6F">
        <w:rPr>
          <w:rtl/>
        </w:rPr>
        <w:t xml:space="preserve"> </w:t>
      </w:r>
      <w:r w:rsidRPr="00FE7A6F">
        <w:rPr>
          <w:rFonts w:hint="eastAsia"/>
          <w:rtl/>
        </w:rPr>
        <w:t>הגופניים</w:t>
      </w:r>
      <w:r w:rsidRPr="00FE7A6F">
        <w:rPr>
          <w:rtl/>
        </w:rPr>
        <w:t xml:space="preserve"> </w:t>
      </w:r>
      <w:r w:rsidRPr="00FE7A6F">
        <w:rPr>
          <w:rFonts w:hint="eastAsia"/>
          <w:rtl/>
        </w:rPr>
        <w:t>והנפשיים</w:t>
      </w:r>
      <w:r w:rsidRPr="00FE7A6F">
        <w:rPr>
          <w:rtl/>
        </w:rPr>
        <w:t xml:space="preserve"> </w:t>
      </w:r>
      <w:r w:rsidRPr="00FE7A6F">
        <w:rPr>
          <w:rFonts w:hint="eastAsia"/>
          <w:rtl/>
        </w:rPr>
        <w:t>הנלווים</w:t>
      </w:r>
      <w:r w:rsidRPr="00FE7A6F">
        <w:rPr>
          <w:rtl/>
        </w:rPr>
        <w:t xml:space="preserve"> </w:t>
      </w:r>
      <w:r w:rsidRPr="00FE7A6F">
        <w:rPr>
          <w:rFonts w:hint="eastAsia"/>
          <w:rtl/>
        </w:rPr>
        <w:t>ללחימה</w:t>
      </w:r>
      <w:r>
        <w:rPr>
          <w:rFonts w:hint="cs"/>
          <w:rtl/>
        </w:rPr>
        <w:t xml:space="preserve"> באשר היא</w:t>
      </w:r>
      <w:r w:rsidRPr="00FE7A6F">
        <w:rPr>
          <w:rtl/>
        </w:rPr>
        <w:t xml:space="preserve">, </w:t>
      </w:r>
      <w:r w:rsidRPr="00FE7A6F">
        <w:rPr>
          <w:rFonts w:hint="eastAsia"/>
          <w:rtl/>
        </w:rPr>
        <w:t>המתגלים</w:t>
      </w:r>
      <w:r w:rsidRPr="00FE7A6F">
        <w:rPr>
          <w:rtl/>
        </w:rPr>
        <w:t xml:space="preserve"> </w:t>
      </w:r>
      <w:r w:rsidRPr="00FE7A6F">
        <w:rPr>
          <w:rFonts w:hint="eastAsia"/>
          <w:rtl/>
        </w:rPr>
        <w:t>לעתים</w:t>
      </w:r>
      <w:r w:rsidRPr="00FE7A6F">
        <w:rPr>
          <w:rtl/>
        </w:rPr>
        <w:t xml:space="preserve"> </w:t>
      </w:r>
      <w:r w:rsidRPr="00FE7A6F">
        <w:rPr>
          <w:rFonts w:hint="eastAsia"/>
          <w:rtl/>
        </w:rPr>
        <w:t>זמן</w:t>
      </w:r>
      <w:r w:rsidRPr="00FE7A6F">
        <w:rPr>
          <w:rtl/>
        </w:rPr>
        <w:t xml:space="preserve"> </w:t>
      </w:r>
      <w:r w:rsidRPr="00FE7A6F">
        <w:rPr>
          <w:rFonts w:hint="eastAsia"/>
          <w:rtl/>
        </w:rPr>
        <w:t>רב</w:t>
      </w:r>
      <w:r w:rsidRPr="00FE7A6F">
        <w:rPr>
          <w:rtl/>
        </w:rPr>
        <w:t xml:space="preserve"> </w:t>
      </w:r>
      <w:r w:rsidRPr="00FE7A6F">
        <w:rPr>
          <w:rFonts w:hint="eastAsia"/>
          <w:rtl/>
        </w:rPr>
        <w:t>לאחר</w:t>
      </w:r>
      <w:r w:rsidRPr="00FE7A6F">
        <w:rPr>
          <w:rtl/>
        </w:rPr>
        <w:t xml:space="preserve"> </w:t>
      </w:r>
      <w:r w:rsidRPr="00FE7A6F">
        <w:rPr>
          <w:rFonts w:hint="eastAsia"/>
          <w:rtl/>
        </w:rPr>
        <w:t>שוך</w:t>
      </w:r>
      <w:r w:rsidRPr="00FE7A6F">
        <w:rPr>
          <w:rtl/>
        </w:rPr>
        <w:t xml:space="preserve"> </w:t>
      </w:r>
      <w:r w:rsidRPr="00FE7A6F">
        <w:rPr>
          <w:rFonts w:hint="eastAsia"/>
          <w:rtl/>
        </w:rPr>
        <w:t>הקרבות</w:t>
      </w:r>
      <w:r>
        <w:rPr>
          <w:rFonts w:hint="cs"/>
          <w:rtl/>
        </w:rPr>
        <w:t xml:space="preserve">. </w:t>
      </w:r>
      <w:r w:rsidRPr="00FE7A6F">
        <w:rPr>
          <w:rFonts w:hint="cs"/>
          <w:rtl/>
        </w:rPr>
        <w:t>הטלת נטל נוסף לחקור ולדרוש על אודות נזקים עקיפים לשמם הטוב של חיילי צה"ל, שנגרמו בזדון על ידי גורמים עוינים, אינו נכון, אינו צודק ו</w:t>
      </w:r>
      <w:r>
        <w:rPr>
          <w:rFonts w:hint="cs"/>
          <w:rtl/>
        </w:rPr>
        <w:t>אף עשוי להיות בלתי</w:t>
      </w:r>
      <w:r w:rsidRPr="00FE7A6F">
        <w:rPr>
          <w:rFonts w:hint="cs"/>
          <w:rtl/>
        </w:rPr>
        <w:t xml:space="preserve"> מוסרי.</w:t>
      </w:r>
      <w:r>
        <w:rPr>
          <w:rFonts w:hint="cs"/>
          <w:rtl/>
        </w:rPr>
        <w:t xml:space="preserve"> </w:t>
      </w:r>
    </w:p>
    <w:p w:rsidR="005F62FF" w:rsidRPr="0073109C" w:rsidRDefault="005F62FF" w:rsidP="005F62FF">
      <w:pPr>
        <w:pStyle w:val="Ruller41"/>
      </w:pPr>
    </w:p>
    <w:p w:rsidR="005F62FF" w:rsidRDefault="005F62FF" w:rsidP="005F62FF">
      <w:pPr>
        <w:pStyle w:val="Ruller4"/>
      </w:pPr>
      <w:r>
        <w:rPr>
          <w:rFonts w:hint="cs"/>
          <w:rtl/>
        </w:rPr>
        <w:t xml:space="preserve">חרף האמור, ועם כל ההבנה למצבו של המשיב, בצדק קבע חברי השופט </w:t>
      </w:r>
      <w:r w:rsidRPr="005009FD">
        <w:rPr>
          <w:rFonts w:ascii="Century" w:hAnsi="Century" w:cs="Miriam" w:hint="eastAsia"/>
          <w:b/>
          <w:spacing w:val="0"/>
          <w:sz w:val="22"/>
          <w:szCs w:val="24"/>
          <w:rtl/>
        </w:rPr>
        <w:t>עמית</w:t>
      </w:r>
      <w:r w:rsidRPr="00B625BF">
        <w:rPr>
          <w:rFonts w:hint="cs"/>
          <w:rtl/>
        </w:rPr>
        <w:t xml:space="preserve"> </w:t>
      </w:r>
      <w:r>
        <w:rPr>
          <w:rFonts w:hint="cs"/>
          <w:rtl/>
        </w:rPr>
        <w:t xml:space="preserve">כי לא ניתן לומר כי התקיימו במקרה זה תנאי סעיף 8 לחוק ההתיישנות. </w:t>
      </w:r>
      <w:r w:rsidRPr="00E4039D">
        <w:rPr>
          <w:rtl/>
        </w:rPr>
        <w:t xml:space="preserve">ויודגש, טיב האמצעים שעל תובע לנקוט כדי שייחשב כמי שנקט זהירות סבירה בגילוי עובדות הנזק, נגזר מטיב העניין ומהנסיבות הייחודיות האופייניות לתחום בו מדובר (ע"א 2206/08 </w:t>
      </w:r>
      <w:r w:rsidRPr="00592765">
        <w:rPr>
          <w:rFonts w:ascii="Century" w:hAnsi="Century" w:cs="Miriam"/>
          <w:b/>
          <w:spacing w:val="0"/>
          <w:sz w:val="22"/>
          <w:szCs w:val="24"/>
          <w:rtl/>
        </w:rPr>
        <w:t>סיגמן נ' חב' דובק בע"מ</w:t>
      </w:r>
      <w:r w:rsidRPr="00E4039D">
        <w:rPr>
          <w:rtl/>
        </w:rPr>
        <w:t xml:space="preserve">, פסקה 25 (11.7.2010); עניין </w:t>
      </w:r>
      <w:r w:rsidRPr="00592765">
        <w:rPr>
          <w:rFonts w:ascii="Century" w:hAnsi="Century" w:cs="Miriam"/>
          <w:b/>
          <w:spacing w:val="0"/>
          <w:sz w:val="22"/>
          <w:szCs w:val="24"/>
          <w:rtl/>
        </w:rPr>
        <w:t>פלונית</w:t>
      </w:r>
      <w:r w:rsidRPr="00E4039D">
        <w:rPr>
          <w:rtl/>
        </w:rPr>
        <w:t xml:space="preserve">, פסקה 18). </w:t>
      </w:r>
      <w:r>
        <w:rPr>
          <w:rFonts w:hint="cs"/>
          <w:rtl/>
        </w:rPr>
        <w:t xml:space="preserve">בנסיבותיו האובייקטיביות של מקרה זה, קשה לומר כי למשיב לא הייתה ידיעה בכוח, ולוּ ברמה של "קצה חוט", כי הוא מופיע בסרט. אין חולק </w:t>
      </w:r>
      <w:r>
        <w:rPr>
          <w:rtl/>
        </w:rPr>
        <w:t>–</w:t>
      </w:r>
      <w:r>
        <w:rPr>
          <w:rFonts w:hint="cs"/>
          <w:rtl/>
        </w:rPr>
        <w:t xml:space="preserve"> על פי קביעותיו של בית המשפט המחוזי ועל פי נתונים שאושרו בחקירתו הנגדית של המשיב </w:t>
      </w:r>
      <w:r>
        <w:rPr>
          <w:rtl/>
        </w:rPr>
        <w:t>–</w:t>
      </w:r>
      <w:r>
        <w:rPr>
          <w:rFonts w:hint="cs"/>
          <w:rtl/>
        </w:rPr>
        <w:t xml:space="preserve"> כי המשיב היה מודע לקיומו של הסרט; ידע על עצם ניהול ההליכים המשפטיים בקשר אליו; סוגיית תוכנו של הסרט וההליכים שנוהלו בקשר אליו היו נושא לשיח בין הלוחמים. אחרי ככלות הכול אפוא, אין מדובר בנסיבות שבהן ניתן לומר כי </w:t>
      </w:r>
      <w:r w:rsidRPr="005009FD">
        <w:rPr>
          <w:rFonts w:ascii="Century" w:hAnsi="Century" w:cs="Miriam" w:hint="eastAsia"/>
          <w:b/>
          <w:spacing w:val="0"/>
          <w:sz w:val="22"/>
          <w:szCs w:val="24"/>
          <w:rtl/>
        </w:rPr>
        <w:t>לא</w:t>
      </w:r>
      <w:r w:rsidRPr="005009FD">
        <w:rPr>
          <w:rFonts w:ascii="Century" w:hAnsi="Century" w:cs="Miriam"/>
          <w:b/>
          <w:spacing w:val="0"/>
          <w:sz w:val="22"/>
          <w:szCs w:val="24"/>
          <w:rtl/>
        </w:rPr>
        <w:t xml:space="preserve"> </w:t>
      </w:r>
      <w:r w:rsidRPr="005009FD">
        <w:rPr>
          <w:rFonts w:ascii="Century" w:hAnsi="Century" w:cs="Miriam" w:hint="eastAsia"/>
          <w:b/>
          <w:spacing w:val="0"/>
          <w:sz w:val="22"/>
          <w:szCs w:val="24"/>
          <w:rtl/>
        </w:rPr>
        <w:t>היה</w:t>
      </w:r>
      <w:r w:rsidRPr="005009FD">
        <w:rPr>
          <w:rFonts w:ascii="Century" w:hAnsi="Century" w:cs="Miriam"/>
          <w:b/>
          <w:spacing w:val="0"/>
          <w:sz w:val="22"/>
          <w:szCs w:val="24"/>
          <w:rtl/>
        </w:rPr>
        <w:t xml:space="preserve"> </w:t>
      </w:r>
      <w:r w:rsidRPr="005009FD">
        <w:rPr>
          <w:rFonts w:ascii="Century" w:hAnsi="Century" w:cs="Miriam" w:hint="eastAsia"/>
          <w:b/>
          <w:spacing w:val="0"/>
          <w:sz w:val="22"/>
          <w:szCs w:val="24"/>
          <w:rtl/>
        </w:rPr>
        <w:t>על</w:t>
      </w:r>
      <w:r w:rsidRPr="005009FD">
        <w:rPr>
          <w:rFonts w:ascii="Century" w:hAnsi="Century" w:cs="Miriam"/>
          <w:b/>
          <w:spacing w:val="0"/>
          <w:sz w:val="22"/>
          <w:szCs w:val="24"/>
          <w:rtl/>
        </w:rPr>
        <w:t xml:space="preserve"> </w:t>
      </w:r>
      <w:r w:rsidRPr="005009FD">
        <w:rPr>
          <w:rFonts w:ascii="Century" w:hAnsi="Century" w:cs="Miriam" w:hint="eastAsia"/>
          <w:b/>
          <w:spacing w:val="0"/>
          <w:sz w:val="22"/>
          <w:szCs w:val="24"/>
          <w:rtl/>
        </w:rPr>
        <w:t>המשיב</w:t>
      </w:r>
      <w:r w:rsidRPr="00B625BF">
        <w:rPr>
          <w:rFonts w:hint="cs"/>
          <w:rtl/>
        </w:rPr>
        <w:t xml:space="preserve"> </w:t>
      </w:r>
      <w:r>
        <w:rPr>
          <w:rFonts w:hint="cs"/>
          <w:rtl/>
        </w:rPr>
        <w:t xml:space="preserve">לדעת את הנסיבות המקימות לו עילת תביעה. </w:t>
      </w:r>
    </w:p>
    <w:p w:rsidR="005F62FF" w:rsidRDefault="005F62FF" w:rsidP="005F62FF">
      <w:pPr>
        <w:pStyle w:val="Ruller4"/>
        <w:numPr>
          <w:ilvl w:val="0"/>
          <w:numId w:val="0"/>
        </w:numPr>
      </w:pPr>
    </w:p>
    <w:p w:rsidR="005F62FF" w:rsidRDefault="005F62FF" w:rsidP="005F62FF">
      <w:pPr>
        <w:pStyle w:val="Ruller4"/>
        <w:rPr>
          <w:rtl/>
        </w:rPr>
      </w:pPr>
      <w:r>
        <w:rPr>
          <w:rFonts w:hint="cs"/>
          <w:rtl/>
        </w:rPr>
        <w:t xml:space="preserve">המסקנה היא אפוא, כפי שהצביע חברי השופט </w:t>
      </w:r>
      <w:r w:rsidRPr="004E2E52">
        <w:rPr>
          <w:rFonts w:ascii="Century" w:hAnsi="Century" w:cs="Miriam" w:hint="cs"/>
          <w:b/>
          <w:spacing w:val="0"/>
          <w:sz w:val="22"/>
          <w:szCs w:val="24"/>
          <w:rtl/>
        </w:rPr>
        <w:t>עמית</w:t>
      </w:r>
      <w:r>
        <w:rPr>
          <w:rFonts w:hint="cs"/>
          <w:rtl/>
        </w:rPr>
        <w:t xml:space="preserve">, שאין תחולה לסעיף 8 לחוק ההתיישנות במקרה זה, ואילולא הגדרתו של מעשה העוולה כ"עוולה נמשכת", התביעה הייתה מתיישנת בכל הנוגע להקרנת הסרט לפני ארבע ההקרנות שנערכו בשנים 2012-2010. </w:t>
      </w:r>
    </w:p>
    <w:p w:rsidR="005F62FF" w:rsidRDefault="005F62FF" w:rsidP="005F62FF">
      <w:pPr>
        <w:pStyle w:val="Ruller41"/>
        <w:rPr>
          <w:rtl/>
        </w:rPr>
      </w:pPr>
    </w:p>
    <w:p w:rsidR="005F62FF" w:rsidRDefault="005F62FF" w:rsidP="005F62FF">
      <w:pPr>
        <w:pStyle w:val="Ruller41"/>
        <w:rPr>
          <w:rtl/>
        </w:rPr>
      </w:pPr>
      <w:r w:rsidRPr="00E42972">
        <w:rPr>
          <w:rFonts w:ascii="Century" w:hAnsi="Century" w:cs="Miriam" w:hint="cs"/>
          <w:b/>
          <w:spacing w:val="0"/>
          <w:szCs w:val="24"/>
          <w:rtl/>
        </w:rPr>
        <w:t xml:space="preserve">פרסום </w:t>
      </w:r>
      <w:r w:rsidRPr="00E42972">
        <w:rPr>
          <w:rFonts w:ascii="Century" w:hAnsi="Century" w:cs="Miriam" w:hint="eastAsia"/>
          <w:b/>
          <w:spacing w:val="0"/>
          <w:szCs w:val="24"/>
          <w:rtl/>
        </w:rPr>
        <w:t>ב</w:t>
      </w:r>
      <w:r w:rsidRPr="00E42972">
        <w:rPr>
          <w:rFonts w:ascii="Century" w:hAnsi="Century" w:cs="Miriam"/>
          <w:b/>
          <w:spacing w:val="0"/>
          <w:szCs w:val="24"/>
          <w:rtl/>
        </w:rPr>
        <w:t>-</w:t>
      </w:r>
      <w:r w:rsidRPr="00D91730">
        <w:rPr>
          <w:rFonts w:ascii="Garamond" w:hAnsi="Garamond" w:cstheme="majorBidi"/>
          <w:sz w:val="24"/>
          <w:szCs w:val="24"/>
        </w:rPr>
        <w:t>YouTube</w:t>
      </w:r>
    </w:p>
    <w:p w:rsidR="008A374F" w:rsidRDefault="008A374F" w:rsidP="005F62FF">
      <w:pPr>
        <w:pStyle w:val="Ruller41"/>
        <w:rPr>
          <w:rtl/>
        </w:rPr>
      </w:pPr>
    </w:p>
    <w:p w:rsidR="005F62FF" w:rsidRPr="00B07E11" w:rsidRDefault="005F62FF" w:rsidP="00CD0DD7">
      <w:pPr>
        <w:pStyle w:val="Ruller4"/>
        <w:rPr>
          <w:rtl/>
        </w:rPr>
      </w:pPr>
      <w:r w:rsidRPr="009E0A1D">
        <w:rPr>
          <w:rFonts w:hint="eastAsia"/>
          <w:rtl/>
        </w:rPr>
        <w:t>אקדים</w:t>
      </w:r>
      <w:r w:rsidRPr="009E0A1D">
        <w:rPr>
          <w:rtl/>
        </w:rPr>
        <w:t xml:space="preserve"> </w:t>
      </w:r>
      <w:r w:rsidRPr="009E0A1D">
        <w:rPr>
          <w:rFonts w:hint="eastAsia"/>
          <w:rtl/>
        </w:rPr>
        <w:t>ואומר</w:t>
      </w:r>
      <w:r w:rsidRPr="009E0A1D">
        <w:rPr>
          <w:rtl/>
        </w:rPr>
        <w:t xml:space="preserve"> </w:t>
      </w:r>
      <w:r w:rsidRPr="009E0A1D">
        <w:rPr>
          <w:rFonts w:hint="eastAsia"/>
          <w:rtl/>
        </w:rPr>
        <w:t>בהקשר</w:t>
      </w:r>
      <w:r w:rsidRPr="009E0A1D">
        <w:rPr>
          <w:rtl/>
        </w:rPr>
        <w:t xml:space="preserve"> </w:t>
      </w:r>
      <w:r w:rsidRPr="009E0A1D">
        <w:rPr>
          <w:rFonts w:hint="eastAsia"/>
          <w:rtl/>
        </w:rPr>
        <w:t>זה</w:t>
      </w:r>
      <w:r w:rsidRPr="009E0A1D">
        <w:rPr>
          <w:rtl/>
        </w:rPr>
        <w:t xml:space="preserve"> </w:t>
      </w:r>
      <w:r w:rsidRPr="009E0A1D">
        <w:rPr>
          <w:rFonts w:hint="cs"/>
          <w:rtl/>
        </w:rPr>
        <w:t xml:space="preserve">כי </w:t>
      </w:r>
      <w:r w:rsidRPr="009E0A1D">
        <w:rPr>
          <w:rFonts w:hint="eastAsia"/>
          <w:rtl/>
        </w:rPr>
        <w:t>המערער</w:t>
      </w:r>
      <w:r w:rsidRPr="009E0A1D">
        <w:rPr>
          <w:rtl/>
        </w:rPr>
        <w:t xml:space="preserve"> </w:t>
      </w:r>
      <w:r w:rsidRPr="009E0A1D">
        <w:rPr>
          <w:rFonts w:hint="eastAsia"/>
          <w:rtl/>
        </w:rPr>
        <w:t>לא</w:t>
      </w:r>
      <w:r w:rsidRPr="009E0A1D">
        <w:rPr>
          <w:rtl/>
        </w:rPr>
        <w:t xml:space="preserve"> </w:t>
      </w:r>
      <w:r w:rsidRPr="009E0A1D">
        <w:rPr>
          <w:rFonts w:hint="eastAsia"/>
          <w:rtl/>
        </w:rPr>
        <w:t>העלה</w:t>
      </w:r>
      <w:r w:rsidRPr="009E0A1D">
        <w:rPr>
          <w:rtl/>
        </w:rPr>
        <w:t xml:space="preserve"> </w:t>
      </w:r>
      <w:r w:rsidRPr="009E0A1D">
        <w:rPr>
          <w:rFonts w:hint="eastAsia"/>
          <w:rtl/>
        </w:rPr>
        <w:t>בערעורו</w:t>
      </w:r>
      <w:r w:rsidRPr="009E0A1D">
        <w:rPr>
          <w:rtl/>
        </w:rPr>
        <w:t xml:space="preserve">, </w:t>
      </w:r>
      <w:r w:rsidRPr="009E0A1D">
        <w:rPr>
          <w:rFonts w:hint="eastAsia"/>
          <w:rtl/>
        </w:rPr>
        <w:t>אף</w:t>
      </w:r>
      <w:r w:rsidRPr="009E0A1D">
        <w:rPr>
          <w:rtl/>
        </w:rPr>
        <w:t xml:space="preserve"> </w:t>
      </w:r>
      <w:r w:rsidRPr="009E0A1D">
        <w:rPr>
          <w:rFonts w:hint="eastAsia"/>
          <w:rtl/>
        </w:rPr>
        <w:t>לא</w:t>
      </w:r>
      <w:r w:rsidRPr="009E0A1D">
        <w:rPr>
          <w:rtl/>
        </w:rPr>
        <w:t xml:space="preserve"> </w:t>
      </w:r>
      <w:r w:rsidRPr="009E0A1D">
        <w:rPr>
          <w:rFonts w:hint="eastAsia"/>
          <w:rtl/>
        </w:rPr>
        <w:t>ברמז</w:t>
      </w:r>
      <w:r w:rsidRPr="009E0A1D">
        <w:rPr>
          <w:rtl/>
        </w:rPr>
        <w:t xml:space="preserve">, </w:t>
      </w:r>
      <w:r w:rsidRPr="009E0A1D">
        <w:rPr>
          <w:rFonts w:hint="cs"/>
          <w:rtl/>
        </w:rPr>
        <w:t xml:space="preserve">כל </w:t>
      </w:r>
      <w:r w:rsidRPr="009E0A1D">
        <w:rPr>
          <w:rFonts w:hint="eastAsia"/>
          <w:rtl/>
        </w:rPr>
        <w:t>טענה</w:t>
      </w:r>
      <w:r w:rsidRPr="009E0A1D">
        <w:rPr>
          <w:rtl/>
        </w:rPr>
        <w:t xml:space="preserve"> </w:t>
      </w:r>
      <w:r>
        <w:rPr>
          <w:rFonts w:hint="cs"/>
          <w:rtl/>
        </w:rPr>
        <w:t xml:space="preserve">נגד </w:t>
      </w:r>
      <w:r w:rsidRPr="009E0A1D">
        <w:rPr>
          <w:rFonts w:hint="eastAsia"/>
          <w:rtl/>
        </w:rPr>
        <w:t>הטלת</w:t>
      </w:r>
      <w:r w:rsidRPr="009E0A1D">
        <w:rPr>
          <w:rtl/>
        </w:rPr>
        <w:t xml:space="preserve"> </w:t>
      </w:r>
      <w:r w:rsidRPr="009E0A1D">
        <w:rPr>
          <w:rFonts w:hint="eastAsia"/>
          <w:rtl/>
        </w:rPr>
        <w:t>האחריות</w:t>
      </w:r>
      <w:r w:rsidRPr="009E0A1D">
        <w:rPr>
          <w:rtl/>
        </w:rPr>
        <w:t xml:space="preserve"> </w:t>
      </w:r>
      <w:r w:rsidRPr="009E0A1D">
        <w:rPr>
          <w:rFonts w:hint="eastAsia"/>
          <w:rtl/>
        </w:rPr>
        <w:t>עליו</w:t>
      </w:r>
      <w:r w:rsidRPr="009E0A1D">
        <w:rPr>
          <w:rtl/>
        </w:rPr>
        <w:t xml:space="preserve"> </w:t>
      </w:r>
      <w:r w:rsidRPr="009E0A1D">
        <w:rPr>
          <w:rFonts w:hint="eastAsia"/>
          <w:rtl/>
        </w:rPr>
        <w:t>בקשר</w:t>
      </w:r>
      <w:r w:rsidRPr="009E0A1D">
        <w:rPr>
          <w:rtl/>
        </w:rPr>
        <w:t xml:space="preserve"> </w:t>
      </w:r>
      <w:r w:rsidRPr="009E0A1D">
        <w:rPr>
          <w:rFonts w:hint="eastAsia"/>
          <w:rtl/>
        </w:rPr>
        <w:t>לפרסום</w:t>
      </w:r>
      <w:r w:rsidRPr="009E0A1D">
        <w:rPr>
          <w:rtl/>
        </w:rPr>
        <w:t xml:space="preserve"> </w:t>
      </w:r>
      <w:r w:rsidRPr="009E0A1D">
        <w:rPr>
          <w:rFonts w:hint="eastAsia"/>
          <w:rtl/>
        </w:rPr>
        <w:t>ב</w:t>
      </w:r>
      <w:r w:rsidRPr="00E54260">
        <w:rPr>
          <w:rFonts w:asciiTheme="majorBidi" w:hAnsiTheme="majorBidi" w:cstheme="majorBidi" w:hint="cs"/>
          <w:szCs w:val="24"/>
          <w:rtl/>
        </w:rPr>
        <w:t>-</w:t>
      </w:r>
      <w:r w:rsidRPr="00E54260">
        <w:rPr>
          <w:rFonts w:cstheme="majorBidi"/>
          <w:szCs w:val="24"/>
        </w:rPr>
        <w:t>YouTube</w:t>
      </w:r>
      <w:r>
        <w:rPr>
          <w:rFonts w:hint="cs"/>
          <w:rtl/>
        </w:rPr>
        <w:t>.</w:t>
      </w:r>
      <w:r w:rsidRPr="008C7AEB">
        <w:rPr>
          <w:rFonts w:hint="cs"/>
          <w:rtl/>
        </w:rPr>
        <w:t xml:space="preserve"> </w:t>
      </w:r>
      <w:r w:rsidRPr="009E0A1D">
        <w:rPr>
          <w:rFonts w:hint="eastAsia"/>
          <w:rtl/>
        </w:rPr>
        <w:t>די</w:t>
      </w:r>
      <w:r w:rsidRPr="009E0A1D">
        <w:rPr>
          <w:rtl/>
        </w:rPr>
        <w:t xml:space="preserve"> </w:t>
      </w:r>
      <w:r>
        <w:rPr>
          <w:rFonts w:hint="cs"/>
          <w:rtl/>
        </w:rPr>
        <w:t xml:space="preserve">בכך אפוא </w:t>
      </w:r>
      <w:r w:rsidRPr="009E0A1D">
        <w:rPr>
          <w:rFonts w:hint="eastAsia"/>
          <w:rtl/>
        </w:rPr>
        <w:t>לטעמי</w:t>
      </w:r>
      <w:r>
        <w:rPr>
          <w:rFonts w:hint="cs"/>
          <w:rtl/>
        </w:rPr>
        <w:t>,</w:t>
      </w:r>
      <w:r w:rsidRPr="009E0A1D">
        <w:rPr>
          <w:rFonts w:hint="cs"/>
          <w:rtl/>
        </w:rPr>
        <w:t xml:space="preserve"> כדי </w:t>
      </w:r>
      <w:r>
        <w:rPr>
          <w:rFonts w:hint="cs"/>
          <w:rtl/>
        </w:rPr>
        <w:t>לקבוע כי אין מקום להתערב בסעד</w:t>
      </w:r>
      <w:r w:rsidRPr="009E0A1D">
        <w:rPr>
          <w:rFonts w:hint="cs"/>
          <w:rtl/>
        </w:rPr>
        <w:t xml:space="preserve"> </w:t>
      </w:r>
      <w:r>
        <w:rPr>
          <w:rFonts w:hint="cs"/>
          <w:rtl/>
        </w:rPr>
        <w:t>שניתן בקשר לפרסום זה</w:t>
      </w:r>
      <w:r w:rsidRPr="009E0A1D">
        <w:rPr>
          <w:rFonts w:hint="cs"/>
          <w:rtl/>
        </w:rPr>
        <w:t xml:space="preserve">, אליו לא נדרשו הצדדים ולא העלו טענותיהם לפנינו. יתר על כן, כפי שציין חברי השופט </w:t>
      </w:r>
      <w:r w:rsidRPr="00E54260">
        <w:rPr>
          <w:rFonts w:cs="Miriam" w:hint="eastAsia"/>
          <w:b/>
          <w:spacing w:val="0"/>
          <w:szCs w:val="24"/>
          <w:rtl/>
        </w:rPr>
        <w:t>עמית</w:t>
      </w:r>
      <w:r w:rsidRPr="009E0A1D">
        <w:rPr>
          <w:rtl/>
        </w:rPr>
        <w:t xml:space="preserve"> </w:t>
      </w:r>
      <w:r>
        <w:rPr>
          <w:rFonts w:hint="cs"/>
          <w:rtl/>
        </w:rPr>
        <w:t>(</w:t>
      </w:r>
      <w:r w:rsidRPr="009E0A1D">
        <w:rPr>
          <w:rFonts w:hint="cs"/>
          <w:rtl/>
        </w:rPr>
        <w:t>פסקה 7</w:t>
      </w:r>
      <w:r w:rsidR="00CD0DD7">
        <w:rPr>
          <w:rFonts w:hint="cs"/>
          <w:rtl/>
        </w:rPr>
        <w:t>3</w:t>
      </w:r>
      <w:r>
        <w:rPr>
          <w:rFonts w:hint="cs"/>
          <w:rtl/>
        </w:rPr>
        <w:t xml:space="preserve"> לחוות דעתו)</w:t>
      </w:r>
      <w:r w:rsidRPr="009E0A1D">
        <w:rPr>
          <w:rFonts w:hint="cs"/>
          <w:rtl/>
        </w:rPr>
        <w:t xml:space="preserve">, כתב הערעור לא כלל אי-אלו טענות המכוונות נגד הסעדים שנפסקו, זולת מחאה כללית מדוע לא הסתפק בית המשפט המחוזי במחיקת השניות </w:t>
      </w:r>
      <w:r>
        <w:rPr>
          <w:rFonts w:hint="cs"/>
          <w:rtl/>
        </w:rPr>
        <w:t xml:space="preserve">הבודדות </w:t>
      </w:r>
      <w:r w:rsidRPr="009E0A1D">
        <w:rPr>
          <w:rFonts w:hint="cs"/>
          <w:rtl/>
        </w:rPr>
        <w:t>שבהן מופיע המשיב</w:t>
      </w:r>
      <w:r>
        <w:rPr>
          <w:rFonts w:hint="cs"/>
          <w:rtl/>
        </w:rPr>
        <w:t xml:space="preserve"> בסרט</w:t>
      </w:r>
      <w:r w:rsidRPr="009E0A1D">
        <w:rPr>
          <w:rFonts w:hint="cs"/>
          <w:rtl/>
        </w:rPr>
        <w:t>, חלף האיסור על הקרנת הסרט כולו. משכך, ממילא אין מקום לפסוק לטובת המערער סעד</w:t>
      </w:r>
      <w:r>
        <w:rPr>
          <w:rFonts w:hint="cs"/>
          <w:rtl/>
        </w:rPr>
        <w:t xml:space="preserve"> בדמות הפחתת הפיצוי,</w:t>
      </w:r>
      <w:r w:rsidRPr="009E0A1D">
        <w:rPr>
          <w:rFonts w:hint="cs"/>
          <w:rtl/>
        </w:rPr>
        <w:t xml:space="preserve"> </w:t>
      </w:r>
      <w:r>
        <w:rPr>
          <w:rFonts w:hint="cs"/>
          <w:rtl/>
        </w:rPr>
        <w:t xml:space="preserve">אשר </w:t>
      </w:r>
      <w:r w:rsidRPr="009E0A1D">
        <w:rPr>
          <w:rFonts w:hint="cs"/>
          <w:rtl/>
        </w:rPr>
        <w:t xml:space="preserve">כלל לא נתבקש. </w:t>
      </w:r>
      <w:r>
        <w:rPr>
          <w:rFonts w:hint="cs"/>
          <w:rtl/>
        </w:rPr>
        <w:t xml:space="preserve">גם </w:t>
      </w:r>
      <w:r w:rsidRPr="009E0A1D">
        <w:rPr>
          <w:rFonts w:hint="eastAsia"/>
          <w:rtl/>
        </w:rPr>
        <w:t>לגופו</w:t>
      </w:r>
      <w:r w:rsidRPr="009E0A1D">
        <w:rPr>
          <w:rtl/>
        </w:rPr>
        <w:t xml:space="preserve"> </w:t>
      </w:r>
      <w:r w:rsidRPr="009E0A1D">
        <w:rPr>
          <w:rFonts w:hint="eastAsia"/>
          <w:rtl/>
        </w:rPr>
        <w:t>של</w:t>
      </w:r>
      <w:r w:rsidRPr="009E0A1D">
        <w:rPr>
          <w:rtl/>
        </w:rPr>
        <w:t xml:space="preserve"> </w:t>
      </w:r>
      <w:r w:rsidRPr="009E0A1D">
        <w:rPr>
          <w:rFonts w:hint="cs"/>
          <w:rtl/>
        </w:rPr>
        <w:t>ה</w:t>
      </w:r>
      <w:r w:rsidRPr="009E0A1D">
        <w:rPr>
          <w:rFonts w:hint="eastAsia"/>
          <w:rtl/>
        </w:rPr>
        <w:t>פרסום</w:t>
      </w:r>
      <w:r w:rsidRPr="009E0A1D">
        <w:rPr>
          <w:rtl/>
        </w:rPr>
        <w:t xml:space="preserve"> </w:t>
      </w:r>
      <w:r w:rsidRPr="009E0A1D">
        <w:rPr>
          <w:rFonts w:hint="eastAsia"/>
          <w:rtl/>
        </w:rPr>
        <w:t>ב</w:t>
      </w:r>
      <w:r w:rsidRPr="009E0A1D">
        <w:rPr>
          <w:rtl/>
        </w:rPr>
        <w:t>-</w:t>
      </w:r>
      <w:r w:rsidRPr="00E54260">
        <w:rPr>
          <w:rFonts w:cstheme="majorBidi"/>
          <w:szCs w:val="24"/>
        </w:rPr>
        <w:t>YouTube</w:t>
      </w:r>
      <w:r w:rsidRPr="009E0A1D">
        <w:rPr>
          <w:rtl/>
        </w:rPr>
        <w:t>,</w:t>
      </w:r>
      <w:r w:rsidRPr="009E0A1D">
        <w:rPr>
          <w:rFonts w:hint="cs"/>
          <w:rtl/>
        </w:rPr>
        <w:t xml:space="preserve"> אינני שותף לקביעת חברי השופט </w:t>
      </w:r>
      <w:r w:rsidRPr="00E54260">
        <w:rPr>
          <w:rFonts w:cs="Miriam" w:hint="cs"/>
          <w:b/>
          <w:spacing w:val="0"/>
          <w:szCs w:val="24"/>
          <w:rtl/>
        </w:rPr>
        <w:t>עמית</w:t>
      </w:r>
      <w:r w:rsidRPr="009E0A1D">
        <w:rPr>
          <w:rFonts w:hint="cs"/>
          <w:rtl/>
        </w:rPr>
        <w:t xml:space="preserve"> כי המערער אינו </w:t>
      </w:r>
      <w:r>
        <w:rPr>
          <w:rFonts w:hint="cs"/>
          <w:rtl/>
        </w:rPr>
        <w:t xml:space="preserve">בבחינת </w:t>
      </w:r>
      <w:r w:rsidRPr="009E0A1D">
        <w:rPr>
          <w:rFonts w:hint="cs"/>
          <w:rtl/>
        </w:rPr>
        <w:t xml:space="preserve">"מפרסם" הסרט, בכל הנוגע לתפוצתו ברחבי האינטרנט. כל שטען המערער בעניין זה </w:t>
      </w:r>
      <w:r>
        <w:rPr>
          <w:rFonts w:hint="cs"/>
          <w:rtl/>
        </w:rPr>
        <w:t>(</w:t>
      </w:r>
      <w:r w:rsidRPr="009E0A1D">
        <w:rPr>
          <w:rFonts w:hint="cs"/>
          <w:rtl/>
        </w:rPr>
        <w:t>וזאת בבית המשפט המחוזי, שעה שבערעורו כאמור לא העלה כל טענה בעניין</w:t>
      </w:r>
      <w:r>
        <w:rPr>
          <w:rFonts w:hint="cs"/>
          <w:rtl/>
        </w:rPr>
        <w:t xml:space="preserve">) </w:t>
      </w:r>
      <w:r w:rsidRPr="009E0A1D">
        <w:rPr>
          <w:rFonts w:hint="cs"/>
          <w:rtl/>
        </w:rPr>
        <w:t>הוא</w:t>
      </w:r>
      <w:r>
        <w:rPr>
          <w:rFonts w:hint="cs"/>
          <w:rtl/>
        </w:rPr>
        <w:t>,</w:t>
      </w:r>
      <w:r w:rsidRPr="009E0A1D">
        <w:rPr>
          <w:rFonts w:hint="cs"/>
          <w:rtl/>
        </w:rPr>
        <w:t xml:space="preserve"> כי "אבדה לו השליטה" על הסרט מעת שהועלה לרשת האינטרנט (סעיף 76 לכתב </w:t>
      </w:r>
      <w:r w:rsidRPr="00B07E11">
        <w:rPr>
          <w:rFonts w:hint="cs"/>
          <w:rtl/>
        </w:rPr>
        <w:t xml:space="preserve">ההגנה). </w:t>
      </w:r>
      <w:r>
        <w:rPr>
          <w:rFonts w:hint="cs"/>
          <w:rtl/>
        </w:rPr>
        <w:t>אלא ש</w:t>
      </w:r>
      <w:r w:rsidRPr="00B07E11">
        <w:rPr>
          <w:rFonts w:hint="cs"/>
          <w:rtl/>
        </w:rPr>
        <w:t xml:space="preserve">ברי כי טענת "אבדן שליטה" </w:t>
      </w:r>
      <w:r>
        <w:rPr>
          <w:rFonts w:hint="cs"/>
          <w:rtl/>
        </w:rPr>
        <w:t xml:space="preserve">בנסיבות אלו </w:t>
      </w:r>
      <w:r w:rsidRPr="00B07E11">
        <w:rPr>
          <w:rFonts w:hint="cs"/>
          <w:rtl/>
        </w:rPr>
        <w:t xml:space="preserve">אינה ניתנת להתקבל, </w:t>
      </w:r>
      <w:r w:rsidRPr="00B07E11">
        <w:rPr>
          <w:rFonts w:hint="eastAsia"/>
          <w:rtl/>
        </w:rPr>
        <w:t>שעה</w:t>
      </w:r>
      <w:r w:rsidRPr="00B07E11">
        <w:rPr>
          <w:rtl/>
        </w:rPr>
        <w:t xml:space="preserve"> </w:t>
      </w:r>
      <w:r w:rsidRPr="00B07E11">
        <w:rPr>
          <w:rFonts w:hint="eastAsia"/>
          <w:rtl/>
        </w:rPr>
        <w:t>ש</w:t>
      </w:r>
      <w:r w:rsidRPr="00B07E11">
        <w:rPr>
          <w:rFonts w:hint="cs"/>
          <w:rtl/>
        </w:rPr>
        <w:t xml:space="preserve">כפי שהצביע חברי השופט </w:t>
      </w:r>
      <w:r w:rsidRPr="00B07E11">
        <w:rPr>
          <w:rFonts w:ascii="Century" w:hAnsi="Century" w:cs="Miriam" w:hint="cs"/>
          <w:b/>
          <w:spacing w:val="0"/>
          <w:sz w:val="22"/>
          <w:szCs w:val="24"/>
          <w:rtl/>
        </w:rPr>
        <w:t>שטיין</w:t>
      </w:r>
      <w:r w:rsidRPr="00B07E11">
        <w:rPr>
          <w:rFonts w:ascii="Century" w:hAnsi="Century" w:hint="cs"/>
          <w:sz w:val="22"/>
          <w:rtl/>
        </w:rPr>
        <w:t>,</w:t>
      </w:r>
      <w:r w:rsidRPr="00B07E11">
        <w:rPr>
          <w:rFonts w:hint="cs"/>
          <w:rtl/>
        </w:rPr>
        <w:t xml:space="preserve"> </w:t>
      </w:r>
      <w:r w:rsidRPr="00B07E11">
        <w:rPr>
          <w:rFonts w:hint="eastAsia"/>
          <w:rtl/>
        </w:rPr>
        <w:t>המערער</w:t>
      </w:r>
      <w:r w:rsidRPr="00B07E11">
        <w:rPr>
          <w:rtl/>
        </w:rPr>
        <w:t xml:space="preserve"> </w:t>
      </w:r>
      <w:r w:rsidRPr="00B07E11">
        <w:rPr>
          <w:rFonts w:hint="cs"/>
          <w:rtl/>
        </w:rPr>
        <w:t xml:space="preserve">לא עשה אף את תחילתה של הדרך, ולא פנה </w:t>
      </w:r>
      <w:r>
        <w:rPr>
          <w:rFonts w:hint="cs"/>
          <w:rtl/>
        </w:rPr>
        <w:t xml:space="preserve">כלל </w:t>
      </w:r>
      <w:r w:rsidRPr="00B07E11">
        <w:rPr>
          <w:rFonts w:hint="eastAsia"/>
          <w:rtl/>
        </w:rPr>
        <w:t>ל</w:t>
      </w:r>
      <w:r w:rsidRPr="00B07E11">
        <w:rPr>
          <w:rtl/>
        </w:rPr>
        <w:t>-</w:t>
      </w:r>
      <w:r w:rsidRPr="00B07E11">
        <w:rPr>
          <w:rFonts w:cstheme="majorBidi"/>
          <w:szCs w:val="24"/>
        </w:rPr>
        <w:t xml:space="preserve"> YouTube</w:t>
      </w:r>
      <w:r>
        <w:rPr>
          <w:rFonts w:hint="cs"/>
          <w:rtl/>
        </w:rPr>
        <w:t xml:space="preserve"> </w:t>
      </w:r>
      <w:r w:rsidRPr="00B07E11">
        <w:rPr>
          <w:rFonts w:hint="eastAsia"/>
          <w:rtl/>
        </w:rPr>
        <w:t>כדי</w:t>
      </w:r>
      <w:r w:rsidRPr="00B07E11">
        <w:rPr>
          <w:rtl/>
        </w:rPr>
        <w:t xml:space="preserve"> </w:t>
      </w:r>
      <w:r w:rsidRPr="00B07E11">
        <w:rPr>
          <w:rFonts w:hint="eastAsia"/>
          <w:rtl/>
        </w:rPr>
        <w:t>לבקש</w:t>
      </w:r>
      <w:r w:rsidRPr="00B07E11">
        <w:rPr>
          <w:rtl/>
        </w:rPr>
        <w:t xml:space="preserve"> </w:t>
      </w:r>
      <w:r w:rsidRPr="00B07E11">
        <w:rPr>
          <w:rFonts w:hint="eastAsia"/>
          <w:rtl/>
        </w:rPr>
        <w:t>את</w:t>
      </w:r>
      <w:r w:rsidRPr="00B07E11">
        <w:rPr>
          <w:rtl/>
        </w:rPr>
        <w:t xml:space="preserve"> </w:t>
      </w:r>
      <w:r w:rsidRPr="00B07E11">
        <w:rPr>
          <w:rFonts w:hint="eastAsia"/>
          <w:rtl/>
        </w:rPr>
        <w:t>הסרת</w:t>
      </w:r>
      <w:r w:rsidRPr="00B07E11">
        <w:rPr>
          <w:rtl/>
        </w:rPr>
        <w:t xml:space="preserve"> </w:t>
      </w:r>
      <w:r w:rsidRPr="00B07E11">
        <w:rPr>
          <w:rFonts w:hint="eastAsia"/>
          <w:rtl/>
        </w:rPr>
        <w:t>הסרט</w:t>
      </w:r>
      <w:r w:rsidRPr="00B07E11">
        <w:rPr>
          <w:rtl/>
        </w:rPr>
        <w:t xml:space="preserve">. </w:t>
      </w:r>
    </w:p>
    <w:p w:rsidR="005F62FF" w:rsidRPr="003E024E" w:rsidRDefault="005F62FF" w:rsidP="005F62FF">
      <w:pPr>
        <w:pStyle w:val="Ruller41"/>
      </w:pPr>
    </w:p>
    <w:p w:rsidR="005F62FF" w:rsidRDefault="005F62FF" w:rsidP="005F62FF">
      <w:pPr>
        <w:pStyle w:val="Ruller4"/>
      </w:pPr>
      <w:r>
        <w:rPr>
          <w:rFonts w:hint="cs"/>
          <w:rtl/>
        </w:rPr>
        <w:t xml:space="preserve">מעבר לכך, </w:t>
      </w:r>
      <w:r w:rsidRPr="009E0A1D">
        <w:rPr>
          <w:rFonts w:hint="cs"/>
          <w:rtl/>
        </w:rPr>
        <w:t xml:space="preserve">לא ניתן להתעלם בהקשר זה מההשלכות המשמעותיות שיש להתפתחות הטכנולוגית בעידן הנוכחי, אשר </w:t>
      </w:r>
      <w:r w:rsidRPr="00BB3031">
        <w:rPr>
          <w:rFonts w:hint="eastAsia"/>
          <w:rtl/>
        </w:rPr>
        <w:t>מתאפיין</w:t>
      </w:r>
      <w:r w:rsidRPr="00BB3031">
        <w:rPr>
          <w:rtl/>
        </w:rPr>
        <w:t xml:space="preserve"> </w:t>
      </w:r>
      <w:r w:rsidRPr="00BB3031">
        <w:rPr>
          <w:rFonts w:hint="eastAsia"/>
          <w:rtl/>
        </w:rPr>
        <w:t>בנתיבי</w:t>
      </w:r>
      <w:r w:rsidRPr="00BB3031">
        <w:rPr>
          <w:rtl/>
        </w:rPr>
        <w:t xml:space="preserve"> </w:t>
      </w:r>
      <w:r w:rsidRPr="00BB3031">
        <w:rPr>
          <w:rFonts w:hint="eastAsia"/>
          <w:rtl/>
        </w:rPr>
        <w:t>הפצה</w:t>
      </w:r>
      <w:r w:rsidRPr="00BB3031">
        <w:rPr>
          <w:rtl/>
        </w:rPr>
        <w:t xml:space="preserve"> </w:t>
      </w:r>
      <w:r w:rsidRPr="00BB3031">
        <w:rPr>
          <w:rFonts w:hint="eastAsia"/>
          <w:rtl/>
        </w:rPr>
        <w:t>חדשים</w:t>
      </w:r>
      <w:r w:rsidRPr="00BB3031">
        <w:rPr>
          <w:rtl/>
        </w:rPr>
        <w:t xml:space="preserve"> </w:t>
      </w:r>
      <w:r w:rsidRPr="00BB3031">
        <w:rPr>
          <w:rFonts w:hint="eastAsia"/>
          <w:rtl/>
        </w:rPr>
        <w:t>ונרחבים</w:t>
      </w:r>
      <w:r w:rsidRPr="00BB3031">
        <w:rPr>
          <w:rtl/>
        </w:rPr>
        <w:t xml:space="preserve"> </w:t>
      </w:r>
      <w:r w:rsidRPr="00BB3031">
        <w:rPr>
          <w:rFonts w:hint="eastAsia"/>
          <w:rtl/>
        </w:rPr>
        <w:t>של</w:t>
      </w:r>
      <w:r w:rsidRPr="00BB3031">
        <w:rPr>
          <w:rtl/>
        </w:rPr>
        <w:t xml:space="preserve"> </w:t>
      </w:r>
      <w:r w:rsidRPr="00BB3031">
        <w:rPr>
          <w:rFonts w:hint="eastAsia"/>
          <w:rtl/>
        </w:rPr>
        <w:t>מידע</w:t>
      </w:r>
      <w:r w:rsidRPr="00BB3031">
        <w:rPr>
          <w:rtl/>
        </w:rPr>
        <w:t xml:space="preserve"> </w:t>
      </w:r>
      <w:r w:rsidRPr="00BB3031">
        <w:rPr>
          <w:rFonts w:hint="eastAsia"/>
          <w:rtl/>
        </w:rPr>
        <w:t>ופרסומים</w:t>
      </w:r>
      <w:r w:rsidRPr="00BB3031">
        <w:rPr>
          <w:rtl/>
        </w:rPr>
        <w:t xml:space="preserve"> </w:t>
      </w:r>
      <w:r w:rsidRPr="00BB3031">
        <w:rPr>
          <w:rFonts w:hint="eastAsia"/>
          <w:rtl/>
        </w:rPr>
        <w:t>באופן</w:t>
      </w:r>
      <w:r w:rsidRPr="00BB3031">
        <w:rPr>
          <w:rtl/>
        </w:rPr>
        <w:t xml:space="preserve"> </w:t>
      </w:r>
      <w:r w:rsidRPr="00BB3031">
        <w:rPr>
          <w:rFonts w:hint="eastAsia"/>
          <w:rtl/>
        </w:rPr>
        <w:t>שלא</w:t>
      </w:r>
      <w:r w:rsidRPr="00BB3031">
        <w:rPr>
          <w:rtl/>
        </w:rPr>
        <w:t xml:space="preserve"> </w:t>
      </w:r>
      <w:r w:rsidRPr="00BB3031">
        <w:rPr>
          <w:rFonts w:hint="eastAsia"/>
          <w:rtl/>
        </w:rPr>
        <w:t>נראה</w:t>
      </w:r>
      <w:r w:rsidRPr="00BB3031">
        <w:rPr>
          <w:rtl/>
        </w:rPr>
        <w:t xml:space="preserve"> </w:t>
      </w:r>
      <w:r w:rsidRPr="00BB3031">
        <w:rPr>
          <w:rFonts w:hint="eastAsia"/>
          <w:rtl/>
        </w:rPr>
        <w:t>כדוגמתו</w:t>
      </w:r>
      <w:r w:rsidRPr="00BB3031">
        <w:rPr>
          <w:rtl/>
        </w:rPr>
        <w:t xml:space="preserve"> </w:t>
      </w:r>
      <w:r w:rsidRPr="00BB3031">
        <w:rPr>
          <w:rFonts w:hint="eastAsia"/>
          <w:rtl/>
        </w:rPr>
        <w:t>בעבר</w:t>
      </w:r>
      <w:r w:rsidRPr="00BB3031">
        <w:rPr>
          <w:rtl/>
        </w:rPr>
        <w:t xml:space="preserve"> (</w:t>
      </w:r>
      <w:r w:rsidRPr="00BB3031">
        <w:rPr>
          <w:rFonts w:hint="eastAsia"/>
          <w:rtl/>
        </w:rPr>
        <w:t>וראו</w:t>
      </w:r>
      <w:r w:rsidRPr="00BB3031">
        <w:rPr>
          <w:rtl/>
        </w:rPr>
        <w:t xml:space="preserve"> </w:t>
      </w:r>
      <w:r w:rsidRPr="00BB3031">
        <w:rPr>
          <w:rFonts w:hint="eastAsia"/>
          <w:rtl/>
        </w:rPr>
        <w:t>למשל</w:t>
      </w:r>
      <w:r w:rsidRPr="00BB3031">
        <w:rPr>
          <w:rtl/>
        </w:rPr>
        <w:t xml:space="preserve">: </w:t>
      </w:r>
      <w:r w:rsidRPr="00BB3031">
        <w:rPr>
          <w:rFonts w:hint="eastAsia"/>
          <w:rtl/>
        </w:rPr>
        <w:t>חאלד</w:t>
      </w:r>
      <w:r w:rsidRPr="00BB3031">
        <w:rPr>
          <w:rtl/>
        </w:rPr>
        <w:t xml:space="preserve"> </w:t>
      </w:r>
      <w:r w:rsidRPr="00BB3031">
        <w:rPr>
          <w:rFonts w:hint="eastAsia"/>
          <w:rtl/>
        </w:rPr>
        <w:t>גנאים</w:t>
      </w:r>
      <w:r w:rsidRPr="00BB3031">
        <w:rPr>
          <w:rtl/>
        </w:rPr>
        <w:t xml:space="preserve">, </w:t>
      </w:r>
      <w:r w:rsidRPr="00BB3031">
        <w:rPr>
          <w:rFonts w:hint="eastAsia"/>
          <w:rtl/>
        </w:rPr>
        <w:t>מדרכי</w:t>
      </w:r>
      <w:r w:rsidRPr="00BB3031">
        <w:rPr>
          <w:rtl/>
        </w:rPr>
        <w:t xml:space="preserve"> </w:t>
      </w:r>
      <w:r w:rsidRPr="00BB3031">
        <w:rPr>
          <w:rFonts w:hint="eastAsia"/>
          <w:rtl/>
        </w:rPr>
        <w:t>קרמניצר</w:t>
      </w:r>
      <w:r w:rsidRPr="00BB3031">
        <w:rPr>
          <w:rtl/>
        </w:rPr>
        <w:t xml:space="preserve"> </w:t>
      </w:r>
      <w:r w:rsidRPr="00BB3031">
        <w:rPr>
          <w:rFonts w:hint="eastAsia"/>
          <w:rtl/>
        </w:rPr>
        <w:t>ובועז</w:t>
      </w:r>
      <w:r w:rsidRPr="00BB3031">
        <w:rPr>
          <w:rtl/>
        </w:rPr>
        <w:t xml:space="preserve"> </w:t>
      </w:r>
      <w:r w:rsidRPr="00BB3031">
        <w:rPr>
          <w:rFonts w:hint="eastAsia"/>
          <w:rtl/>
        </w:rPr>
        <w:t>שנור</w:t>
      </w:r>
      <w:r w:rsidRPr="00BB3031">
        <w:rPr>
          <w:rtl/>
        </w:rPr>
        <w:t xml:space="preserve"> </w:t>
      </w:r>
      <w:r w:rsidRPr="00BB3031">
        <w:rPr>
          <w:rFonts w:ascii="Century" w:hAnsi="Century" w:cs="Miriam" w:hint="eastAsia"/>
          <w:b/>
          <w:spacing w:val="0"/>
          <w:szCs w:val="24"/>
          <w:rtl/>
        </w:rPr>
        <w:t>לשון</w:t>
      </w:r>
      <w:r w:rsidRPr="00BB3031">
        <w:rPr>
          <w:rFonts w:ascii="Century" w:hAnsi="Century" w:cs="Miriam"/>
          <w:b/>
          <w:spacing w:val="0"/>
          <w:szCs w:val="24"/>
          <w:rtl/>
        </w:rPr>
        <w:t xml:space="preserve"> </w:t>
      </w:r>
      <w:r w:rsidRPr="00BB3031">
        <w:rPr>
          <w:rFonts w:ascii="Century" w:hAnsi="Century" w:cs="Miriam" w:hint="eastAsia"/>
          <w:b/>
          <w:spacing w:val="0"/>
          <w:szCs w:val="24"/>
          <w:rtl/>
        </w:rPr>
        <w:t>הרע</w:t>
      </w:r>
      <w:r w:rsidRPr="00BB3031">
        <w:rPr>
          <w:rFonts w:ascii="Century" w:hAnsi="Century" w:cs="Miriam"/>
          <w:b/>
          <w:spacing w:val="0"/>
          <w:szCs w:val="24"/>
          <w:rtl/>
        </w:rPr>
        <w:t xml:space="preserve"> – </w:t>
      </w:r>
      <w:r w:rsidRPr="00BB3031">
        <w:rPr>
          <w:rFonts w:ascii="Century" w:hAnsi="Century" w:cs="Miriam" w:hint="eastAsia"/>
          <w:b/>
          <w:spacing w:val="0"/>
          <w:szCs w:val="24"/>
          <w:rtl/>
        </w:rPr>
        <w:t>הדין</w:t>
      </w:r>
      <w:r w:rsidRPr="00BB3031">
        <w:rPr>
          <w:rFonts w:ascii="Century" w:hAnsi="Century" w:cs="Miriam"/>
          <w:b/>
          <w:spacing w:val="0"/>
          <w:szCs w:val="24"/>
          <w:rtl/>
        </w:rPr>
        <w:t xml:space="preserve"> </w:t>
      </w:r>
      <w:r w:rsidRPr="00BB3031">
        <w:rPr>
          <w:rFonts w:ascii="Century" w:hAnsi="Century" w:cs="Miriam" w:hint="eastAsia"/>
          <w:b/>
          <w:spacing w:val="0"/>
          <w:szCs w:val="24"/>
          <w:rtl/>
        </w:rPr>
        <w:t>המצוי</w:t>
      </w:r>
      <w:r w:rsidRPr="00BB3031">
        <w:rPr>
          <w:rFonts w:ascii="Century" w:hAnsi="Century" w:cs="Miriam"/>
          <w:b/>
          <w:spacing w:val="0"/>
          <w:szCs w:val="24"/>
          <w:rtl/>
        </w:rPr>
        <w:t xml:space="preserve"> </w:t>
      </w:r>
      <w:r w:rsidRPr="00BB3031">
        <w:rPr>
          <w:rFonts w:ascii="Century" w:hAnsi="Century" w:cs="Miriam" w:hint="eastAsia"/>
          <w:b/>
          <w:spacing w:val="0"/>
          <w:szCs w:val="24"/>
          <w:rtl/>
        </w:rPr>
        <w:t>והדין</w:t>
      </w:r>
      <w:r w:rsidRPr="00BB3031">
        <w:rPr>
          <w:rFonts w:ascii="Century" w:hAnsi="Century" w:cs="Miriam"/>
          <w:b/>
          <w:spacing w:val="0"/>
          <w:szCs w:val="24"/>
          <w:rtl/>
        </w:rPr>
        <w:t xml:space="preserve"> </w:t>
      </w:r>
      <w:r w:rsidRPr="00BB3031">
        <w:rPr>
          <w:rFonts w:ascii="Century" w:hAnsi="Century" w:cs="Miriam" w:hint="eastAsia"/>
          <w:b/>
          <w:spacing w:val="0"/>
          <w:szCs w:val="24"/>
          <w:rtl/>
        </w:rPr>
        <w:t>הרצוי</w:t>
      </w:r>
      <w:r w:rsidRPr="00BB3031">
        <w:rPr>
          <w:rtl/>
        </w:rPr>
        <w:t xml:space="preserve"> 252-251 (</w:t>
      </w:r>
      <w:r w:rsidRPr="00BB3031">
        <w:rPr>
          <w:rFonts w:hint="eastAsia"/>
          <w:rtl/>
        </w:rPr>
        <w:t>מהדורה</w:t>
      </w:r>
      <w:r w:rsidRPr="00BB3031">
        <w:rPr>
          <w:rtl/>
        </w:rPr>
        <w:t xml:space="preserve"> </w:t>
      </w:r>
      <w:r w:rsidRPr="00BB3031">
        <w:rPr>
          <w:rFonts w:hint="eastAsia"/>
          <w:rtl/>
        </w:rPr>
        <w:t>שניה</w:t>
      </w:r>
      <w:r w:rsidRPr="00BB3031">
        <w:rPr>
          <w:rtl/>
        </w:rPr>
        <w:t xml:space="preserve"> </w:t>
      </w:r>
      <w:r w:rsidRPr="00BB3031">
        <w:rPr>
          <w:rFonts w:hint="eastAsia"/>
          <w:rtl/>
        </w:rPr>
        <w:t>מורחבת</w:t>
      </w:r>
      <w:r w:rsidRPr="00BB3031">
        <w:rPr>
          <w:rtl/>
        </w:rPr>
        <w:t xml:space="preserve">, 2019)). </w:t>
      </w:r>
      <w:r w:rsidRPr="00BB3031">
        <w:rPr>
          <w:rFonts w:hint="eastAsia"/>
          <w:rtl/>
        </w:rPr>
        <w:t>הרשת</w:t>
      </w:r>
      <w:r w:rsidRPr="00BB3031">
        <w:rPr>
          <w:rtl/>
        </w:rPr>
        <w:t xml:space="preserve"> </w:t>
      </w:r>
      <w:r w:rsidRPr="00BB3031">
        <w:rPr>
          <w:rFonts w:hint="eastAsia"/>
          <w:rtl/>
        </w:rPr>
        <w:t>הדיגיטלית</w:t>
      </w:r>
      <w:r w:rsidRPr="00BB3031">
        <w:rPr>
          <w:rtl/>
        </w:rPr>
        <w:t xml:space="preserve"> </w:t>
      </w:r>
      <w:r w:rsidRPr="00BB3031">
        <w:rPr>
          <w:rFonts w:hint="eastAsia"/>
          <w:rtl/>
        </w:rPr>
        <w:t>מאפשרת</w:t>
      </w:r>
      <w:r w:rsidRPr="00BB3031">
        <w:rPr>
          <w:rtl/>
        </w:rPr>
        <w:t xml:space="preserve"> </w:t>
      </w:r>
      <w:r w:rsidRPr="00BB3031">
        <w:rPr>
          <w:rFonts w:hint="eastAsia"/>
          <w:rtl/>
        </w:rPr>
        <w:t>תפוצת</w:t>
      </w:r>
      <w:r w:rsidRPr="00BB3031">
        <w:rPr>
          <w:rtl/>
        </w:rPr>
        <w:t xml:space="preserve"> </w:t>
      </w:r>
      <w:r w:rsidRPr="00BB3031">
        <w:rPr>
          <w:rFonts w:hint="eastAsia"/>
          <w:rtl/>
        </w:rPr>
        <w:t>מידע</w:t>
      </w:r>
      <w:r w:rsidRPr="00BB3031">
        <w:rPr>
          <w:rtl/>
        </w:rPr>
        <w:t xml:space="preserve"> </w:t>
      </w:r>
      <w:r w:rsidRPr="00BB3031">
        <w:rPr>
          <w:rFonts w:hint="eastAsia"/>
          <w:rtl/>
        </w:rPr>
        <w:t>רחבה</w:t>
      </w:r>
      <w:r w:rsidRPr="00BB3031">
        <w:rPr>
          <w:rtl/>
        </w:rPr>
        <w:t xml:space="preserve"> </w:t>
      </w:r>
      <w:r w:rsidRPr="00BB3031">
        <w:rPr>
          <w:rFonts w:hint="eastAsia"/>
          <w:rtl/>
        </w:rPr>
        <w:t>ומהירה</w:t>
      </w:r>
      <w:r w:rsidRPr="00BB3031">
        <w:rPr>
          <w:rtl/>
        </w:rPr>
        <w:t xml:space="preserve">. </w:t>
      </w:r>
      <w:r w:rsidRPr="00BB3031">
        <w:rPr>
          <w:rFonts w:hint="eastAsia"/>
          <w:rtl/>
        </w:rPr>
        <w:t>פרסום</w:t>
      </w:r>
      <w:r w:rsidRPr="00BB3031">
        <w:rPr>
          <w:rtl/>
        </w:rPr>
        <w:t xml:space="preserve"> </w:t>
      </w:r>
      <w:r w:rsidRPr="00BB3031">
        <w:rPr>
          <w:rFonts w:hint="eastAsia"/>
          <w:rtl/>
        </w:rPr>
        <w:t>במדיה</w:t>
      </w:r>
      <w:r w:rsidRPr="00BB3031">
        <w:rPr>
          <w:rtl/>
        </w:rPr>
        <w:t xml:space="preserve"> </w:t>
      </w:r>
      <w:r w:rsidRPr="00BB3031">
        <w:rPr>
          <w:rFonts w:hint="eastAsia"/>
          <w:rtl/>
        </w:rPr>
        <w:t>דיגיטלית</w:t>
      </w:r>
      <w:r w:rsidRPr="00BB3031">
        <w:rPr>
          <w:rtl/>
        </w:rPr>
        <w:t xml:space="preserve"> </w:t>
      </w:r>
      <w:r w:rsidRPr="00BB3031">
        <w:rPr>
          <w:rFonts w:hint="eastAsia"/>
          <w:rtl/>
        </w:rPr>
        <w:t>הינו</w:t>
      </w:r>
      <w:r w:rsidRPr="00BB3031">
        <w:rPr>
          <w:rtl/>
        </w:rPr>
        <w:t xml:space="preserve"> </w:t>
      </w:r>
      <w:r w:rsidRPr="00BB3031">
        <w:rPr>
          <w:rFonts w:hint="eastAsia"/>
          <w:rtl/>
        </w:rPr>
        <w:t>מעשה</w:t>
      </w:r>
      <w:r w:rsidRPr="00BB3031">
        <w:rPr>
          <w:rtl/>
        </w:rPr>
        <w:t xml:space="preserve"> </w:t>
      </w:r>
      <w:r w:rsidRPr="00BB3031">
        <w:rPr>
          <w:rFonts w:hint="eastAsia"/>
          <w:rtl/>
        </w:rPr>
        <w:t>כמעט</w:t>
      </w:r>
      <w:r w:rsidRPr="00BB3031">
        <w:rPr>
          <w:rtl/>
        </w:rPr>
        <w:t xml:space="preserve"> </w:t>
      </w:r>
      <w:r w:rsidRPr="00BB3031">
        <w:rPr>
          <w:rFonts w:hint="eastAsia"/>
          <w:rtl/>
        </w:rPr>
        <w:t>בלתי</w:t>
      </w:r>
      <w:r w:rsidRPr="00BB3031">
        <w:rPr>
          <w:rtl/>
        </w:rPr>
        <w:t xml:space="preserve"> </w:t>
      </w:r>
      <w:r w:rsidRPr="00BB3031">
        <w:rPr>
          <w:rFonts w:hint="eastAsia"/>
          <w:rtl/>
        </w:rPr>
        <w:t>הפיך</w:t>
      </w:r>
      <w:r w:rsidRPr="00430823">
        <w:rPr>
          <w:rtl/>
        </w:rPr>
        <w:t xml:space="preserve">, </w:t>
      </w:r>
      <w:r w:rsidRPr="00430823">
        <w:rPr>
          <w:rFonts w:hint="eastAsia"/>
          <w:rtl/>
        </w:rPr>
        <w:t>הוא</w:t>
      </w:r>
      <w:r w:rsidRPr="00430823">
        <w:rPr>
          <w:rtl/>
        </w:rPr>
        <w:t xml:space="preserve"> "</w:t>
      </w:r>
      <w:r w:rsidRPr="00430823">
        <w:rPr>
          <w:rFonts w:hint="eastAsia"/>
          <w:rtl/>
        </w:rPr>
        <w:t>מתפשט</w:t>
      </w:r>
      <w:r w:rsidRPr="00430823">
        <w:rPr>
          <w:rtl/>
        </w:rPr>
        <w:t xml:space="preserve">" </w:t>
      </w:r>
      <w:r w:rsidRPr="00430823">
        <w:rPr>
          <w:rFonts w:hint="eastAsia"/>
          <w:rtl/>
        </w:rPr>
        <w:t>במרחב</w:t>
      </w:r>
      <w:r w:rsidRPr="00430823">
        <w:rPr>
          <w:rtl/>
        </w:rPr>
        <w:t xml:space="preserve"> </w:t>
      </w:r>
      <w:r w:rsidRPr="00430823">
        <w:rPr>
          <w:rFonts w:hint="eastAsia"/>
          <w:rtl/>
        </w:rPr>
        <w:t>המקוון</w:t>
      </w:r>
      <w:r w:rsidRPr="00430823">
        <w:rPr>
          <w:rtl/>
        </w:rPr>
        <w:t xml:space="preserve"> </w:t>
      </w:r>
      <w:r w:rsidRPr="00430823">
        <w:rPr>
          <w:rFonts w:hint="eastAsia"/>
          <w:rtl/>
        </w:rPr>
        <w:t>במהירות</w:t>
      </w:r>
      <w:r w:rsidRPr="00430823">
        <w:rPr>
          <w:rtl/>
        </w:rPr>
        <w:t xml:space="preserve"> </w:t>
      </w:r>
      <w:r w:rsidRPr="00430823">
        <w:rPr>
          <w:rFonts w:hint="eastAsia"/>
          <w:rtl/>
        </w:rPr>
        <w:t>הבזק</w:t>
      </w:r>
      <w:r w:rsidRPr="00430823">
        <w:rPr>
          <w:rtl/>
        </w:rPr>
        <w:t xml:space="preserve">, </w:t>
      </w:r>
      <w:r w:rsidRPr="00430823">
        <w:rPr>
          <w:rFonts w:hint="eastAsia"/>
          <w:rtl/>
        </w:rPr>
        <w:t>ויוצר</w:t>
      </w:r>
      <w:r w:rsidRPr="00430823">
        <w:rPr>
          <w:rtl/>
        </w:rPr>
        <w:t xml:space="preserve"> </w:t>
      </w:r>
      <w:r w:rsidRPr="00430823">
        <w:rPr>
          <w:rFonts w:hint="eastAsia"/>
          <w:rtl/>
        </w:rPr>
        <w:t>עוד</w:t>
      </w:r>
      <w:r w:rsidRPr="00430823">
        <w:rPr>
          <w:rtl/>
        </w:rPr>
        <w:t xml:space="preserve"> </w:t>
      </w:r>
      <w:r w:rsidRPr="00430823">
        <w:rPr>
          <w:rFonts w:hint="eastAsia"/>
          <w:rtl/>
        </w:rPr>
        <w:t>ועוד</w:t>
      </w:r>
      <w:r w:rsidRPr="00430823">
        <w:rPr>
          <w:rtl/>
        </w:rPr>
        <w:t xml:space="preserve"> </w:t>
      </w:r>
      <w:r w:rsidRPr="00430823">
        <w:rPr>
          <w:rFonts w:hint="eastAsia"/>
          <w:rtl/>
        </w:rPr>
        <w:t>חשיפה</w:t>
      </w:r>
      <w:r w:rsidRPr="00430823">
        <w:rPr>
          <w:rtl/>
        </w:rPr>
        <w:t xml:space="preserve"> </w:t>
      </w:r>
      <w:r w:rsidRPr="00430823">
        <w:rPr>
          <w:rFonts w:hint="eastAsia"/>
          <w:rtl/>
        </w:rPr>
        <w:t>אשר</w:t>
      </w:r>
      <w:r w:rsidRPr="00430823">
        <w:rPr>
          <w:rtl/>
        </w:rPr>
        <w:t xml:space="preserve"> </w:t>
      </w:r>
      <w:r w:rsidRPr="00430823">
        <w:rPr>
          <w:rFonts w:hint="eastAsia"/>
          <w:rtl/>
        </w:rPr>
        <w:t>קשה</w:t>
      </w:r>
      <w:r w:rsidRPr="00430823">
        <w:rPr>
          <w:rtl/>
        </w:rPr>
        <w:t xml:space="preserve"> </w:t>
      </w:r>
      <w:r w:rsidRPr="00430823">
        <w:rPr>
          <w:rFonts w:hint="eastAsia"/>
          <w:rtl/>
        </w:rPr>
        <w:t>להביא</w:t>
      </w:r>
      <w:r w:rsidRPr="00430823">
        <w:rPr>
          <w:rtl/>
        </w:rPr>
        <w:t xml:space="preserve"> </w:t>
      </w:r>
      <w:r w:rsidRPr="00AA1281">
        <w:rPr>
          <w:rFonts w:hint="eastAsia"/>
          <w:rtl/>
        </w:rPr>
        <w:t>לבלימתה</w:t>
      </w:r>
      <w:r w:rsidRPr="00AA1281">
        <w:rPr>
          <w:rtl/>
        </w:rPr>
        <w:t xml:space="preserve"> (</w:t>
      </w:r>
      <w:r w:rsidRPr="00AA1281">
        <w:rPr>
          <w:rFonts w:hint="eastAsia"/>
          <w:rtl/>
        </w:rPr>
        <w:t>ראו</w:t>
      </w:r>
      <w:r w:rsidRPr="00AA1281">
        <w:rPr>
          <w:rtl/>
        </w:rPr>
        <w:t xml:space="preserve"> </w:t>
      </w:r>
      <w:r w:rsidRPr="00AA1281">
        <w:rPr>
          <w:rFonts w:hint="eastAsia"/>
          <w:rtl/>
        </w:rPr>
        <w:t>למשל</w:t>
      </w:r>
      <w:r w:rsidRPr="00AA1281">
        <w:rPr>
          <w:rtl/>
        </w:rPr>
        <w:t xml:space="preserve">: </w:t>
      </w:r>
      <w:r w:rsidRPr="00AA1281">
        <w:rPr>
          <w:rFonts w:hint="eastAsia"/>
          <w:rtl/>
        </w:rPr>
        <w:t>מיכל</w:t>
      </w:r>
      <w:r w:rsidRPr="00AA1281">
        <w:rPr>
          <w:rtl/>
        </w:rPr>
        <w:t xml:space="preserve"> </w:t>
      </w:r>
      <w:r w:rsidRPr="00AA1281">
        <w:rPr>
          <w:rFonts w:hint="eastAsia"/>
          <w:rtl/>
        </w:rPr>
        <w:t>לביא</w:t>
      </w:r>
      <w:r w:rsidRPr="00AA1281">
        <w:rPr>
          <w:rtl/>
        </w:rPr>
        <w:t xml:space="preserve"> "</w:t>
      </w:r>
      <w:r w:rsidRPr="00AA1281">
        <w:rPr>
          <w:rFonts w:hint="eastAsia"/>
          <w:rtl/>
        </w:rPr>
        <w:t>הוצאה</w:t>
      </w:r>
      <w:r w:rsidRPr="00AA1281">
        <w:rPr>
          <w:rtl/>
        </w:rPr>
        <w:t xml:space="preserve"> </w:t>
      </w:r>
      <w:r w:rsidRPr="00AA1281">
        <w:rPr>
          <w:rFonts w:hint="eastAsia"/>
          <w:rtl/>
        </w:rPr>
        <w:t>מהקשר</w:t>
      </w:r>
      <w:r w:rsidRPr="00AA1281">
        <w:rPr>
          <w:rtl/>
        </w:rPr>
        <w:t xml:space="preserve">: </w:t>
      </w:r>
      <w:r w:rsidRPr="00AA1281">
        <w:rPr>
          <w:rFonts w:hint="eastAsia"/>
          <w:rtl/>
        </w:rPr>
        <w:t>על</w:t>
      </w:r>
      <w:r w:rsidRPr="00AA1281">
        <w:rPr>
          <w:rtl/>
        </w:rPr>
        <w:t xml:space="preserve"> </w:t>
      </w:r>
      <w:r w:rsidRPr="00AA1281">
        <w:rPr>
          <w:rFonts w:hint="eastAsia"/>
          <w:rtl/>
        </w:rPr>
        <w:t>אחריות</w:t>
      </w:r>
      <w:r w:rsidRPr="00AA1281">
        <w:rPr>
          <w:rtl/>
        </w:rPr>
        <w:t xml:space="preserve"> </w:t>
      </w:r>
      <w:r w:rsidRPr="00AA1281">
        <w:rPr>
          <w:rFonts w:hint="eastAsia"/>
          <w:rtl/>
        </w:rPr>
        <w:t>מתווכים</w:t>
      </w:r>
      <w:r w:rsidRPr="00AA1281">
        <w:rPr>
          <w:rtl/>
        </w:rPr>
        <w:t xml:space="preserve"> </w:t>
      </w:r>
      <w:r w:rsidRPr="00AA1281">
        <w:rPr>
          <w:rFonts w:hint="eastAsia"/>
          <w:rtl/>
        </w:rPr>
        <w:t>מקוונים</w:t>
      </w:r>
      <w:r w:rsidRPr="00AA1281">
        <w:rPr>
          <w:rtl/>
        </w:rPr>
        <w:t xml:space="preserve"> </w:t>
      </w:r>
      <w:r w:rsidRPr="00AA1281">
        <w:rPr>
          <w:rFonts w:hint="eastAsia"/>
          <w:rtl/>
        </w:rPr>
        <w:t>להפצה</w:t>
      </w:r>
      <w:r w:rsidRPr="00AA1281">
        <w:rPr>
          <w:rtl/>
        </w:rPr>
        <w:t xml:space="preserve"> </w:t>
      </w:r>
      <w:r w:rsidRPr="00AA1281">
        <w:rPr>
          <w:rFonts w:hint="eastAsia"/>
          <w:rtl/>
        </w:rPr>
        <w:t>משנית</w:t>
      </w:r>
      <w:r w:rsidRPr="00AA1281">
        <w:rPr>
          <w:rtl/>
        </w:rPr>
        <w:t xml:space="preserve"> </w:t>
      </w:r>
      <w:r w:rsidRPr="00C72C0F">
        <w:rPr>
          <w:rFonts w:hint="eastAsia"/>
          <w:rtl/>
        </w:rPr>
        <w:t>ולהשפעה</w:t>
      </w:r>
      <w:r w:rsidRPr="00C72C0F">
        <w:rPr>
          <w:rtl/>
        </w:rPr>
        <w:t xml:space="preserve"> </w:t>
      </w:r>
      <w:r w:rsidRPr="00C72C0F">
        <w:rPr>
          <w:rFonts w:hint="eastAsia"/>
          <w:rtl/>
        </w:rPr>
        <w:t>על</w:t>
      </w:r>
      <w:r w:rsidRPr="00C72C0F">
        <w:rPr>
          <w:rtl/>
        </w:rPr>
        <w:t xml:space="preserve"> </w:t>
      </w:r>
      <w:r w:rsidRPr="00C72C0F">
        <w:rPr>
          <w:rFonts w:hint="eastAsia"/>
          <w:rtl/>
        </w:rPr>
        <w:t>זמינות</w:t>
      </w:r>
      <w:r w:rsidRPr="00C72C0F">
        <w:rPr>
          <w:rtl/>
        </w:rPr>
        <w:t xml:space="preserve"> </w:t>
      </w:r>
      <w:r w:rsidRPr="00C72C0F">
        <w:rPr>
          <w:rFonts w:hint="eastAsia"/>
          <w:rtl/>
        </w:rPr>
        <w:t>מידע</w:t>
      </w:r>
      <w:r w:rsidRPr="00C72C0F">
        <w:rPr>
          <w:rtl/>
        </w:rPr>
        <w:t xml:space="preserve">" </w:t>
      </w:r>
      <w:r w:rsidRPr="00C72C0F">
        <w:rPr>
          <w:rFonts w:ascii="Century" w:hAnsi="Century" w:cs="Miriam" w:hint="eastAsia"/>
          <w:b/>
          <w:spacing w:val="0"/>
          <w:szCs w:val="24"/>
          <w:rtl/>
        </w:rPr>
        <w:t>מחקרי</w:t>
      </w:r>
      <w:r w:rsidRPr="00C72C0F">
        <w:rPr>
          <w:rFonts w:ascii="Century" w:hAnsi="Century" w:cs="Miriam"/>
          <w:b/>
          <w:spacing w:val="0"/>
          <w:szCs w:val="24"/>
          <w:rtl/>
        </w:rPr>
        <w:t xml:space="preserve"> </w:t>
      </w:r>
      <w:r w:rsidRPr="00C72C0F">
        <w:rPr>
          <w:rFonts w:ascii="Century" w:hAnsi="Century" w:cs="Miriam" w:hint="eastAsia"/>
          <w:b/>
          <w:spacing w:val="0"/>
          <w:szCs w:val="24"/>
          <w:rtl/>
        </w:rPr>
        <w:t>משפט</w:t>
      </w:r>
      <w:r w:rsidRPr="00C72C0F">
        <w:rPr>
          <w:rtl/>
        </w:rPr>
        <w:t xml:space="preserve"> </w:t>
      </w:r>
      <w:r w:rsidRPr="00C72C0F">
        <w:rPr>
          <w:rFonts w:hint="eastAsia"/>
          <w:rtl/>
        </w:rPr>
        <w:t>לא</w:t>
      </w:r>
      <w:r w:rsidRPr="00C72C0F">
        <w:rPr>
          <w:rtl/>
        </w:rPr>
        <w:t xml:space="preserve"> 491 (2018); </w:t>
      </w:r>
      <w:r w:rsidRPr="00C72C0F">
        <w:rPr>
          <w:rFonts w:hint="eastAsia"/>
          <w:rtl/>
        </w:rPr>
        <w:t>מיכל</w:t>
      </w:r>
      <w:r w:rsidRPr="00C72C0F">
        <w:rPr>
          <w:rtl/>
        </w:rPr>
        <w:t xml:space="preserve"> </w:t>
      </w:r>
      <w:r w:rsidRPr="00C72C0F">
        <w:rPr>
          <w:rFonts w:hint="eastAsia"/>
          <w:rtl/>
        </w:rPr>
        <w:t>לביא</w:t>
      </w:r>
      <w:r w:rsidRPr="00C72C0F">
        <w:rPr>
          <w:rtl/>
        </w:rPr>
        <w:t xml:space="preserve"> "</w:t>
      </w:r>
      <w:r w:rsidRPr="00C72C0F">
        <w:rPr>
          <w:rFonts w:hint="eastAsia"/>
          <w:rtl/>
        </w:rPr>
        <w:t>ביוש</w:t>
      </w:r>
      <w:r w:rsidRPr="00C72C0F">
        <w:rPr>
          <w:rtl/>
        </w:rPr>
        <w:t xml:space="preserve"> </w:t>
      </w:r>
      <w:r w:rsidRPr="00C72C0F">
        <w:rPr>
          <w:rFonts w:hint="eastAsia"/>
          <w:rtl/>
        </w:rPr>
        <w:t>לנצח</w:t>
      </w:r>
      <w:r w:rsidRPr="00C72C0F">
        <w:rPr>
          <w:rtl/>
        </w:rPr>
        <w:t xml:space="preserve">?" </w:t>
      </w:r>
      <w:r w:rsidRPr="00C72C0F">
        <w:rPr>
          <w:rFonts w:ascii="Century" w:hAnsi="Century" w:cs="Miriam" w:hint="eastAsia"/>
          <w:b/>
          <w:spacing w:val="0"/>
          <w:szCs w:val="24"/>
          <w:rtl/>
        </w:rPr>
        <w:t>משפטים</w:t>
      </w:r>
      <w:r w:rsidRPr="00C72C0F">
        <w:rPr>
          <w:rtl/>
        </w:rPr>
        <w:t xml:space="preserve"> </w:t>
      </w:r>
      <w:r w:rsidRPr="00C72C0F">
        <w:rPr>
          <w:rFonts w:hint="eastAsia"/>
          <w:rtl/>
        </w:rPr>
        <w:t>מט</w:t>
      </w:r>
      <w:r w:rsidRPr="00C72C0F">
        <w:rPr>
          <w:rtl/>
        </w:rPr>
        <w:t xml:space="preserve"> 439 (2019); </w:t>
      </w:r>
      <w:r w:rsidRPr="00C72C0F">
        <w:rPr>
          <w:rFonts w:hint="eastAsia"/>
          <w:rtl/>
        </w:rPr>
        <w:t>אלעד</w:t>
      </w:r>
      <w:r w:rsidRPr="00C72C0F">
        <w:rPr>
          <w:rtl/>
        </w:rPr>
        <w:t xml:space="preserve"> </w:t>
      </w:r>
      <w:r w:rsidRPr="00C72C0F">
        <w:rPr>
          <w:rFonts w:hint="eastAsia"/>
          <w:rtl/>
        </w:rPr>
        <w:t>פלד</w:t>
      </w:r>
      <w:r w:rsidRPr="00C72C0F">
        <w:rPr>
          <w:rtl/>
        </w:rPr>
        <w:t xml:space="preserve"> "</w:t>
      </w:r>
      <w:r w:rsidRPr="00C72C0F">
        <w:rPr>
          <w:rFonts w:hint="eastAsia"/>
          <w:rtl/>
        </w:rPr>
        <w:t>מניין</w:t>
      </w:r>
      <w:r w:rsidRPr="00C72C0F">
        <w:rPr>
          <w:rtl/>
        </w:rPr>
        <w:t xml:space="preserve"> </w:t>
      </w:r>
      <w:r w:rsidRPr="00C72C0F">
        <w:rPr>
          <w:rFonts w:hint="eastAsia"/>
          <w:rtl/>
        </w:rPr>
        <w:t>תקופת</w:t>
      </w:r>
      <w:r w:rsidRPr="00C72C0F">
        <w:rPr>
          <w:rtl/>
        </w:rPr>
        <w:t xml:space="preserve"> </w:t>
      </w:r>
      <w:r w:rsidRPr="00C72C0F">
        <w:rPr>
          <w:rFonts w:hint="eastAsia"/>
          <w:rtl/>
        </w:rPr>
        <w:t>ההתיישנות</w:t>
      </w:r>
      <w:r w:rsidRPr="00C72C0F">
        <w:rPr>
          <w:rtl/>
        </w:rPr>
        <w:t xml:space="preserve"> </w:t>
      </w:r>
      <w:r w:rsidRPr="00C72C0F">
        <w:rPr>
          <w:rFonts w:hint="eastAsia"/>
          <w:rtl/>
        </w:rPr>
        <w:t>בתביעות</w:t>
      </w:r>
      <w:r w:rsidRPr="00C72C0F">
        <w:rPr>
          <w:rtl/>
        </w:rPr>
        <w:t xml:space="preserve"> </w:t>
      </w:r>
      <w:r w:rsidRPr="00C72C0F">
        <w:rPr>
          <w:rFonts w:hint="eastAsia"/>
          <w:rtl/>
        </w:rPr>
        <w:t>בגין</w:t>
      </w:r>
      <w:r w:rsidRPr="00C72C0F">
        <w:rPr>
          <w:rtl/>
        </w:rPr>
        <w:t xml:space="preserve"> </w:t>
      </w:r>
      <w:r w:rsidRPr="00C72C0F">
        <w:rPr>
          <w:rFonts w:hint="eastAsia"/>
          <w:rtl/>
        </w:rPr>
        <w:t>עוולות</w:t>
      </w:r>
      <w:r w:rsidRPr="00C72C0F">
        <w:rPr>
          <w:rtl/>
        </w:rPr>
        <w:t xml:space="preserve"> </w:t>
      </w:r>
      <w:r w:rsidRPr="00C72C0F">
        <w:rPr>
          <w:rFonts w:hint="eastAsia"/>
          <w:rtl/>
        </w:rPr>
        <w:t>מקוונות</w:t>
      </w:r>
      <w:r w:rsidRPr="00C72C0F">
        <w:rPr>
          <w:rtl/>
        </w:rPr>
        <w:t xml:space="preserve">" </w:t>
      </w:r>
      <w:r w:rsidRPr="00C72C0F">
        <w:rPr>
          <w:rFonts w:ascii="Century" w:hAnsi="Century" w:cs="Miriam" w:hint="eastAsia"/>
          <w:b/>
          <w:spacing w:val="0"/>
          <w:szCs w:val="24"/>
          <w:rtl/>
        </w:rPr>
        <w:t>חוקים</w:t>
      </w:r>
      <w:r w:rsidRPr="00C72C0F">
        <w:rPr>
          <w:rtl/>
        </w:rPr>
        <w:t xml:space="preserve"> </w:t>
      </w:r>
      <w:r w:rsidRPr="00C72C0F">
        <w:rPr>
          <w:rFonts w:hint="eastAsia"/>
          <w:rtl/>
        </w:rPr>
        <w:t>ד</w:t>
      </w:r>
      <w:r w:rsidRPr="00C72C0F">
        <w:rPr>
          <w:rtl/>
        </w:rPr>
        <w:t xml:space="preserve"> 57, 66 (2012)). </w:t>
      </w:r>
      <w:r w:rsidRPr="00C72C0F">
        <w:rPr>
          <w:rFonts w:hint="eastAsia"/>
          <w:rtl/>
        </w:rPr>
        <w:t>פרסומו</w:t>
      </w:r>
      <w:r w:rsidRPr="00C72C0F">
        <w:rPr>
          <w:rtl/>
        </w:rPr>
        <w:t xml:space="preserve"> </w:t>
      </w:r>
      <w:r w:rsidRPr="00C72C0F">
        <w:rPr>
          <w:rFonts w:hint="eastAsia"/>
          <w:rtl/>
        </w:rPr>
        <w:t>של</w:t>
      </w:r>
      <w:r w:rsidRPr="00C72C0F">
        <w:rPr>
          <w:rtl/>
        </w:rPr>
        <w:t xml:space="preserve"> </w:t>
      </w:r>
      <w:r w:rsidRPr="00C72C0F">
        <w:rPr>
          <w:rFonts w:hint="eastAsia"/>
          <w:rtl/>
        </w:rPr>
        <w:t>כל</w:t>
      </w:r>
      <w:r w:rsidRPr="00C72C0F">
        <w:rPr>
          <w:rtl/>
        </w:rPr>
        <w:t xml:space="preserve"> </w:t>
      </w:r>
      <w:r w:rsidRPr="00C72C0F">
        <w:rPr>
          <w:rFonts w:hint="eastAsia"/>
          <w:rtl/>
        </w:rPr>
        <w:t>סרט</w:t>
      </w:r>
      <w:r w:rsidRPr="00C72C0F">
        <w:rPr>
          <w:rtl/>
        </w:rPr>
        <w:t xml:space="preserve"> </w:t>
      </w:r>
      <w:r w:rsidRPr="00C72C0F">
        <w:rPr>
          <w:rFonts w:hint="eastAsia"/>
          <w:rtl/>
        </w:rPr>
        <w:t>בעידן</w:t>
      </w:r>
      <w:r w:rsidRPr="00C72C0F">
        <w:rPr>
          <w:rtl/>
        </w:rPr>
        <w:t xml:space="preserve"> </w:t>
      </w:r>
      <w:r w:rsidRPr="00C72C0F">
        <w:rPr>
          <w:rFonts w:hint="eastAsia"/>
          <w:rtl/>
        </w:rPr>
        <w:t>הנוכחי</w:t>
      </w:r>
      <w:r w:rsidRPr="00C72C0F">
        <w:rPr>
          <w:rtl/>
        </w:rPr>
        <w:t xml:space="preserve"> </w:t>
      </w:r>
      <w:r w:rsidRPr="00C72C0F">
        <w:rPr>
          <w:rFonts w:hint="eastAsia"/>
          <w:rtl/>
        </w:rPr>
        <w:t>בכל</w:t>
      </w:r>
      <w:r w:rsidRPr="00C72C0F">
        <w:rPr>
          <w:rtl/>
        </w:rPr>
        <w:t xml:space="preserve"> </w:t>
      </w:r>
      <w:r w:rsidRPr="00C72C0F">
        <w:rPr>
          <w:rFonts w:hint="eastAsia"/>
          <w:rtl/>
        </w:rPr>
        <w:t>אמצעי</w:t>
      </w:r>
      <w:r w:rsidRPr="00C72C0F">
        <w:rPr>
          <w:rtl/>
        </w:rPr>
        <w:t xml:space="preserve"> </w:t>
      </w:r>
      <w:r w:rsidRPr="00C72C0F">
        <w:rPr>
          <w:rFonts w:hint="eastAsia"/>
          <w:rtl/>
        </w:rPr>
        <w:t>דיגיטלי</w:t>
      </w:r>
      <w:r w:rsidRPr="00C72C0F">
        <w:rPr>
          <w:rtl/>
        </w:rPr>
        <w:t xml:space="preserve"> </w:t>
      </w:r>
      <w:r w:rsidRPr="00C72C0F">
        <w:rPr>
          <w:rFonts w:hint="eastAsia"/>
          <w:rtl/>
        </w:rPr>
        <w:t>כולל</w:t>
      </w:r>
      <w:r w:rsidRPr="00C72C0F">
        <w:rPr>
          <w:rtl/>
        </w:rPr>
        <w:t xml:space="preserve"> </w:t>
      </w:r>
      <w:r w:rsidRPr="00C72C0F">
        <w:rPr>
          <w:rFonts w:hint="eastAsia"/>
          <w:rtl/>
        </w:rPr>
        <w:t>בחובו</w:t>
      </w:r>
      <w:r w:rsidRPr="00C72C0F">
        <w:rPr>
          <w:rtl/>
        </w:rPr>
        <w:t xml:space="preserve"> </w:t>
      </w:r>
      <w:r w:rsidRPr="00C72C0F">
        <w:rPr>
          <w:rFonts w:hint="eastAsia"/>
          <w:rtl/>
        </w:rPr>
        <w:t>את</w:t>
      </w:r>
      <w:r w:rsidRPr="009E0A1D">
        <w:rPr>
          <w:rFonts w:hint="cs"/>
          <w:rtl/>
        </w:rPr>
        <w:t xml:space="preserve"> הציפייה הסבירה </w:t>
      </w:r>
      <w:r>
        <w:rPr>
          <w:rFonts w:hint="cs"/>
          <w:rtl/>
        </w:rPr>
        <w:t xml:space="preserve">ואף המתבקשת </w:t>
      </w:r>
      <w:r w:rsidRPr="009E0A1D">
        <w:rPr>
          <w:rFonts w:hint="cs"/>
          <w:rtl/>
        </w:rPr>
        <w:t xml:space="preserve">כי הוא יתגלגל אל רשת האינטרנט ויזכה ל"פרסום" חוזר ונשנה ותהודה באופנים </w:t>
      </w:r>
      <w:r>
        <w:rPr>
          <w:rFonts w:hint="cs"/>
          <w:rtl/>
        </w:rPr>
        <w:t>שונים</w:t>
      </w:r>
      <w:r w:rsidRPr="009E0A1D">
        <w:rPr>
          <w:rFonts w:hint="cs"/>
          <w:rtl/>
        </w:rPr>
        <w:t>.</w:t>
      </w:r>
    </w:p>
    <w:p w:rsidR="005F62FF" w:rsidRPr="007D00CA" w:rsidRDefault="005F62FF" w:rsidP="005F62FF">
      <w:pPr>
        <w:pStyle w:val="Ruller4"/>
        <w:numPr>
          <w:ilvl w:val="0"/>
          <w:numId w:val="0"/>
        </w:numPr>
      </w:pPr>
    </w:p>
    <w:p w:rsidR="005F62FF" w:rsidRDefault="005F62FF" w:rsidP="005F62FF">
      <w:pPr>
        <w:pStyle w:val="Ruller4"/>
      </w:pPr>
      <w:r w:rsidRPr="009E0A1D">
        <w:rPr>
          <w:rFonts w:hint="cs"/>
          <w:rtl/>
        </w:rPr>
        <w:t xml:space="preserve">עם ההתקדמות הטכנולוגית, </w:t>
      </w:r>
      <w:r>
        <w:rPr>
          <w:rFonts w:hint="cs"/>
          <w:rtl/>
        </w:rPr>
        <w:t xml:space="preserve">פרסומו </w:t>
      </w:r>
      <w:r w:rsidRPr="009E0A1D">
        <w:rPr>
          <w:rFonts w:hint="cs"/>
          <w:rtl/>
        </w:rPr>
        <w:t xml:space="preserve">של סרט </w:t>
      </w:r>
      <w:r>
        <w:rPr>
          <w:rFonts w:hint="cs"/>
          <w:rtl/>
        </w:rPr>
        <w:t>משמעותו הרחבת ה</w:t>
      </w:r>
      <w:r w:rsidRPr="009E0A1D">
        <w:rPr>
          <w:rFonts w:hint="cs"/>
          <w:rtl/>
        </w:rPr>
        <w:t xml:space="preserve">תפוצה </w:t>
      </w:r>
      <w:r>
        <w:rPr>
          <w:rFonts w:hint="cs"/>
          <w:rtl/>
        </w:rPr>
        <w:t>אל הרבה מעבר למעגל הצופים הראשונים בו</w:t>
      </w:r>
      <w:r w:rsidRPr="009E0A1D">
        <w:rPr>
          <w:rFonts w:hint="cs"/>
          <w:rtl/>
        </w:rPr>
        <w:t xml:space="preserve">. </w:t>
      </w:r>
      <w:r>
        <w:rPr>
          <w:rFonts w:hint="cs"/>
          <w:rtl/>
        </w:rPr>
        <w:t xml:space="preserve">זאת בניגוד לעבר, כאשר </w:t>
      </w:r>
      <w:r w:rsidRPr="009E0A1D">
        <w:rPr>
          <w:rFonts w:hint="cs"/>
          <w:rtl/>
        </w:rPr>
        <w:t xml:space="preserve">פרסום </w:t>
      </w:r>
      <w:r>
        <w:rPr>
          <w:rFonts w:hint="cs"/>
          <w:rtl/>
        </w:rPr>
        <w:t xml:space="preserve">סרט עלי גלילי "פִילים" או פרסום </w:t>
      </w:r>
      <w:r w:rsidRPr="009E0A1D">
        <w:rPr>
          <w:rFonts w:hint="cs"/>
          <w:rtl/>
        </w:rPr>
        <w:t xml:space="preserve">בכתב </w:t>
      </w:r>
      <w:r>
        <w:rPr>
          <w:rFonts w:hint="cs"/>
          <w:rtl/>
        </w:rPr>
        <w:t xml:space="preserve">על גבי גיליונות נייר, הן בדמות כתיבה עלי ספר או עיתון והן בכל דרך פיסית אחרת, היה מתוחם בגבולות אשר פריצתם היא זו שיכלה להביא ל"איבוד שליטה". כיום </w:t>
      </w:r>
      <w:r w:rsidRPr="009E0A1D">
        <w:rPr>
          <w:rFonts w:hint="cs"/>
          <w:rtl/>
        </w:rPr>
        <w:t>כל בר דעת יודע כי פרסום קטן שבקטנים ולו</w:t>
      </w:r>
      <w:r>
        <w:rPr>
          <w:rFonts w:hint="cs"/>
          <w:rtl/>
        </w:rPr>
        <w:t>ּ</w:t>
      </w:r>
      <w:r w:rsidRPr="009E0A1D">
        <w:rPr>
          <w:rFonts w:hint="cs"/>
          <w:rtl/>
        </w:rPr>
        <w:t xml:space="preserve"> במכשיר הטלפון הסלולרי האישי הנמצא בכיסו</w:t>
      </w:r>
      <w:r>
        <w:rPr>
          <w:rFonts w:hint="cs"/>
          <w:rtl/>
        </w:rPr>
        <w:t xml:space="preserve"> של כל אחד מאיתנו</w:t>
      </w:r>
      <w:r w:rsidRPr="009E0A1D">
        <w:rPr>
          <w:rFonts w:hint="cs"/>
          <w:rtl/>
        </w:rPr>
        <w:t xml:space="preserve">, עלול להתגלגל למחוזות שלא שיערום אבותינו. מעשים שבכל יום הם. </w:t>
      </w:r>
      <w:r>
        <w:rPr>
          <w:rFonts w:hint="cs"/>
          <w:rtl/>
        </w:rPr>
        <w:t xml:space="preserve">משכך, </w:t>
      </w:r>
      <w:r w:rsidRPr="009E0A1D">
        <w:rPr>
          <w:rFonts w:hint="cs"/>
          <w:rtl/>
        </w:rPr>
        <w:t xml:space="preserve">אופיו של הפרסום ברשת האינטרנט, מהירות ההפצה והיקף החשיפה העצום, </w:t>
      </w:r>
      <w:r>
        <w:rPr>
          <w:rFonts w:hint="cs"/>
          <w:rtl/>
        </w:rPr>
        <w:t>מקשים על ניסיון המערער להסתתר מאחורי</w:t>
      </w:r>
      <w:r w:rsidRPr="009E0A1D">
        <w:rPr>
          <w:rFonts w:hint="cs"/>
          <w:rtl/>
        </w:rPr>
        <w:t xml:space="preserve"> טענת הגנה מעין זו. </w:t>
      </w:r>
      <w:r>
        <w:rPr>
          <w:rFonts w:hint="cs"/>
          <w:rtl/>
        </w:rPr>
        <w:t>זאת בפרט</w:t>
      </w:r>
      <w:r w:rsidRPr="009E0A1D">
        <w:rPr>
          <w:rFonts w:hint="cs"/>
          <w:rtl/>
        </w:rPr>
        <w:t xml:space="preserve"> בנסיבות שבהן פרסום הסרט </w:t>
      </w:r>
      <w:r w:rsidRPr="009E0A1D">
        <w:rPr>
          <w:rtl/>
        </w:rPr>
        <w:t>–</w:t>
      </w:r>
      <w:r w:rsidRPr="009E0A1D">
        <w:rPr>
          <w:rFonts w:hint="cs"/>
          <w:rtl/>
        </w:rPr>
        <w:t xml:space="preserve"> הכוזב והמהווה כאמור "לשון הרע" </w:t>
      </w:r>
      <w:r w:rsidRPr="009E0A1D">
        <w:rPr>
          <w:rtl/>
        </w:rPr>
        <w:t>–</w:t>
      </w:r>
      <w:r w:rsidRPr="009E0A1D">
        <w:rPr>
          <w:rFonts w:hint="cs"/>
          <w:rtl/>
        </w:rPr>
        <w:t xml:space="preserve"> במרחב הציבורי נעשה מלכתחילה בידי המערער,</w:t>
      </w:r>
      <w:r>
        <w:rPr>
          <w:rFonts w:hint="cs"/>
          <w:rtl/>
        </w:rPr>
        <w:t xml:space="preserve"> בכוונת מכוון על מנת שיפורסם בראש כל חוצות. </w:t>
      </w:r>
      <w:r w:rsidRPr="009E0A1D">
        <w:rPr>
          <w:rFonts w:hint="cs"/>
          <w:rtl/>
        </w:rPr>
        <w:t xml:space="preserve">על אחת כמה וכמה שעה שכפי שגם ציין בית המשפט המחוזי, בעדותו אף עלה כי המערער היה </w:t>
      </w:r>
      <w:r w:rsidRPr="00FD73C8">
        <w:rPr>
          <w:rFonts w:ascii="Century" w:hAnsi="Century" w:cs="Miriam" w:hint="cs"/>
          <w:b/>
          <w:spacing w:val="0"/>
          <w:sz w:val="22"/>
          <w:szCs w:val="24"/>
          <w:rtl/>
        </w:rPr>
        <w:t>מעוניין</w:t>
      </w:r>
      <w:r w:rsidRPr="00FD73C8">
        <w:rPr>
          <w:rFonts w:hint="cs"/>
          <w:rtl/>
        </w:rPr>
        <w:t xml:space="preserve"> </w:t>
      </w:r>
      <w:r w:rsidRPr="009E0A1D">
        <w:rPr>
          <w:rFonts w:hint="cs"/>
          <w:rtl/>
        </w:rPr>
        <w:t>בהפצת הסרט ללא הגבלה.</w:t>
      </w:r>
      <w:r>
        <w:rPr>
          <w:rFonts w:hint="cs"/>
          <w:rtl/>
        </w:rPr>
        <w:t xml:space="preserve"> </w:t>
      </w:r>
    </w:p>
    <w:p w:rsidR="005F62FF" w:rsidRDefault="005F62FF" w:rsidP="005F62FF">
      <w:pPr>
        <w:pStyle w:val="Ruller4"/>
        <w:numPr>
          <w:ilvl w:val="0"/>
          <w:numId w:val="0"/>
        </w:numPr>
        <w:rPr>
          <w:rtl/>
        </w:rPr>
      </w:pPr>
    </w:p>
    <w:p w:rsidR="005F62FF" w:rsidRDefault="005F62FF" w:rsidP="005F62FF">
      <w:pPr>
        <w:pStyle w:val="Ruller4"/>
        <w:numPr>
          <w:ilvl w:val="0"/>
          <w:numId w:val="0"/>
        </w:numPr>
        <w:rPr>
          <w:rtl/>
        </w:rPr>
      </w:pPr>
      <w:r>
        <w:rPr>
          <w:rtl/>
        </w:rPr>
        <w:tab/>
      </w:r>
      <w:r>
        <w:rPr>
          <w:rFonts w:hint="cs"/>
          <w:rtl/>
        </w:rPr>
        <w:t xml:space="preserve">במאמר מוסגר יצוין כי האמור לעיל גם משליך על הגדרת העוולה בענייננו </w:t>
      </w:r>
      <w:r>
        <w:rPr>
          <w:rtl/>
        </w:rPr>
        <w:t>–</w:t>
      </w:r>
      <w:r>
        <w:rPr>
          <w:rFonts w:hint="cs"/>
          <w:rtl/>
        </w:rPr>
        <w:t xml:space="preserve"> גם בקשר ל</w:t>
      </w:r>
      <w:r w:rsidRPr="00A30CA3">
        <w:rPr>
          <w:rFonts w:hint="cs"/>
          <w:rtl/>
        </w:rPr>
        <w:t>פרסום ב-</w:t>
      </w:r>
      <w:r w:rsidRPr="00A30CA3">
        <w:t>YouTube</w:t>
      </w:r>
      <w:r w:rsidRPr="00A30CA3">
        <w:rPr>
          <w:rFonts w:hint="cs"/>
          <w:rtl/>
        </w:rPr>
        <w:t xml:space="preserve"> </w:t>
      </w:r>
      <w:r w:rsidRPr="00A30CA3">
        <w:rPr>
          <w:rtl/>
        </w:rPr>
        <w:t>–</w:t>
      </w:r>
      <w:r>
        <w:rPr>
          <w:rFonts w:hint="cs"/>
          <w:rtl/>
        </w:rPr>
        <w:t xml:space="preserve"> כעוולה נמשכת</w:t>
      </w:r>
      <w:r w:rsidRPr="00A30CA3">
        <w:rPr>
          <w:rFonts w:hint="cs"/>
          <w:rtl/>
        </w:rPr>
        <w:t xml:space="preserve">. אוסיף כי לא נעלם מעיניי התנאי שנקבע בפסיקה בקשר לקיומה של עוולה נמשכת, כי נדרש שיהיה בכוחו הסביר של המעוול להפסיק את מחדלו (וראו: עניין </w:t>
      </w:r>
      <w:r w:rsidRPr="00A30CA3">
        <w:rPr>
          <w:rFonts w:ascii="Century" w:hAnsi="Century" w:cs="Miriam" w:hint="cs"/>
          <w:b/>
          <w:spacing w:val="0"/>
          <w:sz w:val="22"/>
          <w:szCs w:val="24"/>
          <w:rtl/>
        </w:rPr>
        <w:t>ג'הסי</w:t>
      </w:r>
      <w:r w:rsidRPr="00A30CA3">
        <w:rPr>
          <w:rFonts w:hint="cs"/>
          <w:rtl/>
        </w:rPr>
        <w:t xml:space="preserve">, פסקה 23; </w:t>
      </w:r>
      <w:r w:rsidRPr="00A30CA3">
        <w:rPr>
          <w:rFonts w:ascii="Century" w:hAnsi="Century" w:cs="Miriam" w:hint="cs"/>
          <w:b/>
          <w:spacing w:val="0"/>
          <w:sz w:val="22"/>
          <w:szCs w:val="24"/>
          <w:rtl/>
        </w:rPr>
        <w:t>חבקין</w:t>
      </w:r>
      <w:r w:rsidRPr="00A30CA3">
        <w:rPr>
          <w:rFonts w:hint="cs"/>
          <w:rtl/>
        </w:rPr>
        <w:t xml:space="preserve">, עמ' 453). אולם סבורני כי "היעדר השליטה" המובנה המאפיין כאמור את הפרסום בעידן הדיגיטלי, </w:t>
      </w:r>
      <w:r>
        <w:rPr>
          <w:rFonts w:hint="cs"/>
          <w:rtl/>
        </w:rPr>
        <w:t>יש בכוחו כדי לעדן באופן משמעותי את הכלל האמור.</w:t>
      </w:r>
    </w:p>
    <w:p w:rsidR="005F62FF" w:rsidRPr="00A30CA3" w:rsidRDefault="005F62FF" w:rsidP="005F62FF">
      <w:pPr>
        <w:pStyle w:val="Ruller41"/>
      </w:pPr>
    </w:p>
    <w:p w:rsidR="005F62FF" w:rsidRDefault="005F62FF" w:rsidP="005F62FF">
      <w:pPr>
        <w:pStyle w:val="Ruller41"/>
        <w:rPr>
          <w:rFonts w:ascii="Century" w:hAnsi="Century" w:cs="Miriam"/>
          <w:b/>
          <w:spacing w:val="0"/>
          <w:szCs w:val="24"/>
          <w:rtl/>
        </w:rPr>
      </w:pPr>
      <w:r w:rsidRPr="002758FC">
        <w:rPr>
          <w:rFonts w:ascii="Century" w:hAnsi="Century" w:cs="Miriam" w:hint="cs"/>
          <w:b/>
          <w:spacing w:val="0"/>
          <w:szCs w:val="24"/>
          <w:rtl/>
        </w:rPr>
        <w:t>היקף צו המניעה</w:t>
      </w:r>
    </w:p>
    <w:p w:rsidR="008A374F" w:rsidRPr="002758FC" w:rsidRDefault="008A374F" w:rsidP="005F62FF">
      <w:pPr>
        <w:pStyle w:val="Ruller41"/>
        <w:rPr>
          <w:rFonts w:ascii="Century" w:hAnsi="Century" w:cs="Miriam"/>
          <w:b/>
          <w:spacing w:val="0"/>
          <w:szCs w:val="24"/>
          <w:rtl/>
        </w:rPr>
      </w:pPr>
    </w:p>
    <w:p w:rsidR="005F62FF" w:rsidRDefault="005F62FF" w:rsidP="005F62FF">
      <w:pPr>
        <w:pStyle w:val="Ruller4"/>
        <w:rPr>
          <w:rtl/>
        </w:rPr>
      </w:pPr>
      <w:r>
        <w:rPr>
          <w:rFonts w:hint="cs"/>
          <w:rtl/>
        </w:rPr>
        <w:t xml:space="preserve">בשים לב לאמור, </w:t>
      </w:r>
      <w:r w:rsidRPr="009E0A1D">
        <w:rPr>
          <w:rFonts w:hint="cs"/>
          <w:rtl/>
        </w:rPr>
        <w:t xml:space="preserve">גם אני כמו חברי השופט </w:t>
      </w:r>
      <w:r w:rsidRPr="009E0A1D">
        <w:rPr>
          <w:rFonts w:ascii="Century" w:hAnsi="Century" w:cs="Miriam" w:hint="eastAsia"/>
          <w:b/>
          <w:spacing w:val="0"/>
          <w:sz w:val="22"/>
          <w:szCs w:val="24"/>
          <w:rtl/>
        </w:rPr>
        <w:t>שטיין</w:t>
      </w:r>
      <w:r>
        <w:rPr>
          <w:rFonts w:hint="cs"/>
          <w:rtl/>
        </w:rPr>
        <w:t>,</w:t>
      </w:r>
      <w:r w:rsidRPr="009E0A1D">
        <w:rPr>
          <w:rtl/>
        </w:rPr>
        <w:t xml:space="preserve"> </w:t>
      </w:r>
      <w:r w:rsidRPr="009E0A1D">
        <w:rPr>
          <w:rFonts w:hint="cs"/>
          <w:rtl/>
        </w:rPr>
        <w:t xml:space="preserve">לא מצאתי לנכון להתערב בהיקפו של צו המניעה עליו הורה בית המשפט המחוזי. אמנם, לא ניתן להתעלם בהקשר זה מהביקורת בקשר למידת האפקטיביות של צווי מניעה כגון </w:t>
      </w:r>
      <w:r>
        <w:rPr>
          <w:rFonts w:hint="cs"/>
          <w:rtl/>
        </w:rPr>
        <w:t>אלו</w:t>
      </w:r>
      <w:r w:rsidRPr="009E0A1D">
        <w:rPr>
          <w:rFonts w:hint="cs"/>
          <w:rtl/>
        </w:rPr>
        <w:t xml:space="preserve">, ועל הקושי בקביעת מנגנוני "צנזור" בעידן הנוכחי, אשר בו כאמור רשת האינטרנט משמשת כזירה מרכזית, זמינה ונגישה לפרסום ולהפצה של תכנים ללא חסמים (וראו למשל: קרין ברזילי-נהון וגד ברזילי "חופש הביטוי המעשי והמדומיין באינטרנט: על בטלותה והולדתה המחודשת של הצנזורה" </w:t>
      </w:r>
      <w:r w:rsidRPr="009E0A1D">
        <w:rPr>
          <w:rFonts w:ascii="Century" w:hAnsi="Century" w:cs="Miriam" w:hint="eastAsia"/>
          <w:b/>
          <w:spacing w:val="0"/>
          <w:sz w:val="22"/>
          <w:szCs w:val="24"/>
          <w:rtl/>
        </w:rPr>
        <w:t>שקט</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מדברים</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התרבות</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המשפטית</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של</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חופש</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הביטוי</w:t>
      </w:r>
      <w:r w:rsidRPr="009E0A1D">
        <w:rPr>
          <w:rFonts w:ascii="Century" w:hAnsi="Century" w:cs="Miriam"/>
          <w:b/>
          <w:spacing w:val="0"/>
          <w:sz w:val="22"/>
          <w:szCs w:val="24"/>
          <w:rtl/>
        </w:rPr>
        <w:t xml:space="preserve"> </w:t>
      </w:r>
      <w:r w:rsidRPr="009E0A1D">
        <w:rPr>
          <w:rFonts w:ascii="Century" w:hAnsi="Century" w:cs="Miriam" w:hint="eastAsia"/>
          <w:b/>
          <w:spacing w:val="0"/>
          <w:sz w:val="22"/>
          <w:szCs w:val="24"/>
          <w:rtl/>
        </w:rPr>
        <w:t>בישראל</w:t>
      </w:r>
      <w:r w:rsidRPr="009E0A1D">
        <w:rPr>
          <w:rtl/>
        </w:rPr>
        <w:t xml:space="preserve"> </w:t>
      </w:r>
      <w:r w:rsidRPr="009E0A1D">
        <w:rPr>
          <w:rFonts w:hint="cs"/>
          <w:rtl/>
        </w:rPr>
        <w:t xml:space="preserve">483 (2006)). על כגון דא ניתן לומר כי </w:t>
      </w:r>
      <w:r>
        <w:rPr>
          <w:rFonts w:hint="cs"/>
          <w:rtl/>
        </w:rPr>
        <w:t>"</w:t>
      </w:r>
      <w:r w:rsidRPr="009E0A1D">
        <w:rPr>
          <w:rFonts w:hint="cs"/>
          <w:rtl/>
        </w:rPr>
        <w:t>הסוסים כבר ברחו מהאורווה</w:t>
      </w:r>
      <w:r>
        <w:rPr>
          <w:rFonts w:hint="cs"/>
          <w:rtl/>
        </w:rPr>
        <w:t>"</w:t>
      </w:r>
      <w:r w:rsidRPr="009E0A1D">
        <w:rPr>
          <w:rFonts w:hint="cs"/>
          <w:rtl/>
        </w:rPr>
        <w:t xml:space="preserve">. חיים ומוות ביד המקלדת הדיגיטלית </w:t>
      </w:r>
      <w:r w:rsidRPr="009E0A1D">
        <w:rPr>
          <w:rtl/>
        </w:rPr>
        <w:t>–</w:t>
      </w:r>
      <w:r w:rsidRPr="009E0A1D">
        <w:rPr>
          <w:rFonts w:hint="cs"/>
          <w:rtl/>
        </w:rPr>
        <w:t xml:space="preserve"> כקטון וכגדול. שעה שהפרסום התגלגל כפי שהוא אל רשת האינטרנט, עצירתו ומניעת התפשטותו היא קשה ביותר</w:t>
      </w:r>
      <w:r>
        <w:rPr>
          <w:rFonts w:hint="cs"/>
          <w:rtl/>
        </w:rPr>
        <w:t xml:space="preserve"> ואף בלתי אפשרית</w:t>
      </w:r>
      <w:r w:rsidRPr="009E0A1D">
        <w:rPr>
          <w:rFonts w:hint="cs"/>
          <w:rtl/>
        </w:rPr>
        <w:t xml:space="preserve">, </w:t>
      </w:r>
      <w:r>
        <w:rPr>
          <w:rFonts w:hint="cs"/>
          <w:rtl/>
        </w:rPr>
        <w:t xml:space="preserve">והאיסור על הקרנתו הפורמלית </w:t>
      </w:r>
      <w:r w:rsidRPr="009E0A1D">
        <w:rPr>
          <w:rFonts w:hint="cs"/>
          <w:rtl/>
        </w:rPr>
        <w:t>בעת הזו בחלוף השנים הינה במובן מסוים בבחינת ל</w:t>
      </w:r>
      <w:r>
        <w:rPr>
          <w:rFonts w:hint="cs"/>
          <w:rtl/>
        </w:rPr>
        <w:t>ֹ</w:t>
      </w:r>
      <w:r w:rsidRPr="009E0A1D">
        <w:rPr>
          <w:rFonts w:hint="cs"/>
          <w:rtl/>
        </w:rPr>
        <w:t xml:space="preserve">עג לרש. </w:t>
      </w:r>
      <w:r>
        <w:rPr>
          <w:rFonts w:hint="cs"/>
          <w:rtl/>
        </w:rPr>
        <w:t xml:space="preserve">אף </w:t>
      </w:r>
      <w:r w:rsidRPr="009E0A1D">
        <w:rPr>
          <w:rFonts w:hint="cs"/>
          <w:rtl/>
        </w:rPr>
        <w:t xml:space="preserve">ניתן לומר כי האיזון אליו הגיע בית המשפט, אינו נוטה </w:t>
      </w:r>
      <w:r>
        <w:rPr>
          <w:rFonts w:hint="cs"/>
          <w:rtl/>
        </w:rPr>
        <w:t xml:space="preserve">כלל </w:t>
      </w:r>
      <w:r w:rsidRPr="009E0A1D">
        <w:rPr>
          <w:rFonts w:hint="cs"/>
          <w:rtl/>
        </w:rPr>
        <w:t xml:space="preserve">לרעת המערער. אדרבה, </w:t>
      </w:r>
      <w:r>
        <w:rPr>
          <w:rFonts w:hint="cs"/>
          <w:rtl/>
        </w:rPr>
        <w:t xml:space="preserve">המערער בא על סיפוקו. הסרט נצפה באין מפריע על ידי כל מאן דבעי. </w:t>
      </w:r>
      <w:r w:rsidRPr="009E0A1D">
        <w:rPr>
          <w:rFonts w:hint="cs"/>
          <w:rtl/>
        </w:rPr>
        <w:t xml:space="preserve">יתכן כי </w:t>
      </w:r>
      <w:r>
        <w:rPr>
          <w:rFonts w:hint="cs"/>
          <w:rtl/>
        </w:rPr>
        <w:t xml:space="preserve">בנסיבות אלו </w:t>
      </w:r>
      <w:r w:rsidRPr="009E0A1D">
        <w:rPr>
          <w:rFonts w:hint="cs"/>
          <w:rtl/>
        </w:rPr>
        <w:t xml:space="preserve">היה מקום לפסוק למשיב פיצוי משמעותי </w:t>
      </w:r>
      <w:r>
        <w:rPr>
          <w:rFonts w:hint="cs"/>
          <w:rtl/>
        </w:rPr>
        <w:t xml:space="preserve">וגדול בהרבה ממה שנפסק, פיצוי </w:t>
      </w:r>
      <w:r w:rsidRPr="009E0A1D">
        <w:rPr>
          <w:rFonts w:hint="cs"/>
          <w:rtl/>
        </w:rPr>
        <w:t xml:space="preserve">שהיה בו כדי לשקף את היקף הפגיעה באופן ראוי יותר נוכח העובדה </w:t>
      </w:r>
      <w:r w:rsidRPr="000D5AE6">
        <w:rPr>
          <w:rFonts w:ascii="Century" w:hAnsi="Century" w:hint="cs"/>
          <w:sz w:val="22"/>
          <w:rtl/>
        </w:rPr>
        <w:t>שהאיסור</w:t>
      </w:r>
      <w:r w:rsidRPr="009E0A1D">
        <w:rPr>
          <w:rFonts w:hint="cs"/>
          <w:rtl/>
        </w:rPr>
        <w:t xml:space="preserve"> על הקרנת הסרט מכאן ואילך אינ</w:t>
      </w:r>
      <w:r>
        <w:rPr>
          <w:rFonts w:hint="cs"/>
          <w:rtl/>
        </w:rPr>
        <w:t>ו</w:t>
      </w:r>
      <w:r w:rsidRPr="009E0A1D">
        <w:rPr>
          <w:rFonts w:hint="cs"/>
          <w:rtl/>
        </w:rPr>
        <w:t xml:space="preserve"> מקהה את הפגיעה הקשה שנגרמה ושצפויה להמשיך להיגרם, </w:t>
      </w:r>
      <w:r>
        <w:rPr>
          <w:rFonts w:hint="cs"/>
          <w:rtl/>
        </w:rPr>
        <w:t xml:space="preserve">בשל </w:t>
      </w:r>
      <w:r w:rsidRPr="009E0A1D">
        <w:rPr>
          <w:rFonts w:hint="cs"/>
          <w:rtl/>
        </w:rPr>
        <w:t xml:space="preserve">הקושי המובנה </w:t>
      </w:r>
      <w:r>
        <w:rPr>
          <w:rFonts w:hint="cs"/>
          <w:rtl/>
        </w:rPr>
        <w:t>ב</w:t>
      </w:r>
      <w:r w:rsidRPr="009E0A1D">
        <w:rPr>
          <w:rFonts w:hint="cs"/>
          <w:rtl/>
        </w:rPr>
        <w:t xml:space="preserve">אכיפת </w:t>
      </w:r>
      <w:r>
        <w:rPr>
          <w:rFonts w:hint="cs"/>
          <w:rtl/>
        </w:rPr>
        <w:t>הצו במובן המהותי</w:t>
      </w:r>
      <w:r w:rsidRPr="009E0A1D">
        <w:rPr>
          <w:rFonts w:hint="cs"/>
          <w:rtl/>
        </w:rPr>
        <w:t xml:space="preserve">. מה גם שהובהר על ידי בית המשפט המחוזי כי הצו אינו מופנה כלפי </w:t>
      </w:r>
      <w:r w:rsidRPr="009E0A1D">
        <w:t>YouTube</w:t>
      </w:r>
      <w:r>
        <w:rPr>
          <w:rFonts w:hint="cs"/>
          <w:rtl/>
        </w:rPr>
        <w:t>.</w:t>
      </w:r>
      <w:r w:rsidRPr="009E0A1D">
        <w:rPr>
          <w:rFonts w:hint="cs"/>
          <w:rtl/>
        </w:rPr>
        <w:t xml:space="preserve"> היינו בכל מקרה כל </w:t>
      </w:r>
      <w:r>
        <w:rPr>
          <w:rFonts w:hint="cs"/>
          <w:rtl/>
        </w:rPr>
        <w:t xml:space="preserve">אדם </w:t>
      </w:r>
      <w:r w:rsidRPr="009E0A1D">
        <w:rPr>
          <w:rFonts w:hint="cs"/>
          <w:rtl/>
        </w:rPr>
        <w:t xml:space="preserve">יוכל להמשיך ולצפות בסרט בנקל. </w:t>
      </w:r>
    </w:p>
    <w:p w:rsidR="005F62FF" w:rsidRPr="0027163B" w:rsidRDefault="005F62FF" w:rsidP="005F62FF">
      <w:pPr>
        <w:pStyle w:val="Ruller41"/>
      </w:pPr>
    </w:p>
    <w:p w:rsidR="005F62FF" w:rsidRDefault="005F62FF" w:rsidP="00CD0DD7">
      <w:pPr>
        <w:pStyle w:val="Ruller4"/>
        <w:rPr>
          <w:rtl/>
        </w:rPr>
      </w:pPr>
      <w:r>
        <w:rPr>
          <w:rFonts w:hint="cs"/>
          <w:rtl/>
        </w:rPr>
        <w:t xml:space="preserve">במסגרת זו, חרף התועלת הנמוכה שניתן להפיק מצנזור הסרט, </w:t>
      </w:r>
      <w:r w:rsidRPr="009E0A1D">
        <w:rPr>
          <w:rFonts w:hint="cs"/>
          <w:rtl/>
        </w:rPr>
        <w:t xml:space="preserve">אינני סבור, כדעת חברי השופט </w:t>
      </w:r>
      <w:r w:rsidRPr="00951229">
        <w:rPr>
          <w:rFonts w:ascii="Century" w:hAnsi="Century" w:cs="Miriam" w:hint="cs"/>
          <w:b/>
          <w:spacing w:val="0"/>
          <w:sz w:val="22"/>
          <w:szCs w:val="24"/>
          <w:rtl/>
        </w:rPr>
        <w:t>עמית</w:t>
      </w:r>
      <w:r w:rsidRPr="009E0A1D">
        <w:rPr>
          <w:rFonts w:hint="cs"/>
          <w:rtl/>
        </w:rPr>
        <w:t xml:space="preserve">, כי יש מקום להורות על הסרת </w:t>
      </w:r>
      <w:r>
        <w:rPr>
          <w:rFonts w:hint="cs"/>
          <w:rtl/>
        </w:rPr>
        <w:t>קטע מצומצם לבדו</w:t>
      </w:r>
      <w:r w:rsidRPr="009E0A1D">
        <w:rPr>
          <w:rFonts w:hint="cs"/>
          <w:rtl/>
        </w:rPr>
        <w:t xml:space="preserve">. </w:t>
      </w:r>
      <w:r>
        <w:rPr>
          <w:rFonts w:hint="cs"/>
          <w:rtl/>
        </w:rPr>
        <w:t>מסכים אני עם חברי כי בית המשפט אינו "נטול סמכות" להורות על "עריכת" הסרט והשמטת לשון הרע המצויה בו (פסקה 7</w:t>
      </w:r>
      <w:r w:rsidR="00CD0DD7">
        <w:rPr>
          <w:rFonts w:hint="cs"/>
          <w:rtl/>
        </w:rPr>
        <w:t>8</w:t>
      </w:r>
      <w:r>
        <w:rPr>
          <w:rFonts w:hint="cs"/>
          <w:rtl/>
        </w:rPr>
        <w:t xml:space="preserve"> לחוות דעתו). ברם, בוחר אני לאמץ את דברי חברי בהם ציין כי נקודת המוצא המקובלת היא כי מקום שבו הוכרעה שאלת האחריות לחובת המפרסם ונקבע כי הפרסום מהווה לשון הרע שאינו חוסה תחת ההגנות שבחוק, אזי ככלל יש לתת צו מניעה קבוע האוסר על הפרסום (פסקה 7</w:t>
      </w:r>
      <w:r w:rsidR="00CD0DD7">
        <w:rPr>
          <w:rFonts w:hint="cs"/>
          <w:rtl/>
        </w:rPr>
        <w:t>7</w:t>
      </w:r>
      <w:r>
        <w:rPr>
          <w:rFonts w:hint="cs"/>
          <w:rtl/>
        </w:rPr>
        <w:t xml:space="preserve"> לחוות דעתו). אינני רואה לחרוג מהכלל במקרה זה (והשוו: דנ"א 2121/12 </w:t>
      </w:r>
      <w:r w:rsidRPr="00DD51B8">
        <w:rPr>
          <w:rFonts w:ascii="Century" w:hAnsi="Century" w:cs="Miriam" w:hint="cs"/>
          <w:b/>
          <w:spacing w:val="0"/>
          <w:sz w:val="22"/>
          <w:szCs w:val="24"/>
          <w:rtl/>
        </w:rPr>
        <w:t xml:space="preserve">פלוני נ' </w:t>
      </w:r>
      <w:r>
        <w:rPr>
          <w:rFonts w:ascii="Century" w:hAnsi="Century" w:cs="Miriam" w:hint="cs"/>
          <w:b/>
          <w:spacing w:val="0"/>
          <w:sz w:val="22"/>
          <w:szCs w:val="24"/>
          <w:rtl/>
        </w:rPr>
        <w:t xml:space="preserve">ד"ר אילנה </w:t>
      </w:r>
      <w:r w:rsidRPr="00DD51B8">
        <w:rPr>
          <w:rFonts w:ascii="Century" w:hAnsi="Century" w:cs="Miriam" w:hint="cs"/>
          <w:b/>
          <w:spacing w:val="0"/>
          <w:sz w:val="22"/>
          <w:szCs w:val="24"/>
          <w:rtl/>
        </w:rPr>
        <w:t>דיין-אורבך</w:t>
      </w:r>
      <w:r>
        <w:rPr>
          <w:rFonts w:hint="cs"/>
          <w:rtl/>
        </w:rPr>
        <w:t xml:space="preserve">, פ"ד סז(1) 667, 752-751 (2014)). </w:t>
      </w:r>
      <w:r w:rsidRPr="009E0A1D">
        <w:rPr>
          <w:rFonts w:hint="cs"/>
          <w:rtl/>
        </w:rPr>
        <w:t xml:space="preserve">יצירתו הכוזבת של המערער שוחררה </w:t>
      </w:r>
      <w:r>
        <w:rPr>
          <w:rFonts w:hint="cs"/>
          <w:rtl/>
        </w:rPr>
        <w:t xml:space="preserve">כאמור </w:t>
      </w:r>
      <w:r w:rsidRPr="009E0A1D">
        <w:rPr>
          <w:rFonts w:hint="cs"/>
          <w:rtl/>
        </w:rPr>
        <w:t>לאוויר העולם כשהיא נושאת בתוכה מטען כבד ופוגע. הותרת פרסום הסרט על כנו, תוך השמטת החלק הנקודתי שבו הופיע המשיב בסרט אשר "מתגלגל" וזוכה לתפוצה מזה עשרים שנה (ואפילו</w:t>
      </w:r>
      <w:r>
        <w:rPr>
          <w:rFonts w:hint="cs"/>
          <w:rtl/>
        </w:rPr>
        <w:t xml:space="preserve"> אם היינו לוקחים בחשבון</w:t>
      </w:r>
      <w:r w:rsidRPr="009E0A1D">
        <w:rPr>
          <w:rFonts w:hint="cs"/>
          <w:rtl/>
        </w:rPr>
        <w:t xml:space="preserve"> "רק" 12 שנה בהתייחס להקרנות </w:t>
      </w:r>
      <w:r>
        <w:rPr>
          <w:rFonts w:hint="cs"/>
          <w:rtl/>
        </w:rPr>
        <w:t xml:space="preserve">החל </w:t>
      </w:r>
      <w:r w:rsidRPr="009E0A1D">
        <w:rPr>
          <w:rFonts w:hint="cs"/>
          <w:rtl/>
        </w:rPr>
        <w:t xml:space="preserve">משנת 2010), מרוקנת מתוכן אף את מעט ההיגיון והתועלת שניתן למצוא בבסיסו של הוצאת צו מניעה כאמור. "העלמת" הקטע הפוגע, לאחר שנים של פרסומו בתוך הקשר של דברי בלע ושקר, אין בה להביא להקלה בפגיעה שנגרמה למשיב. </w:t>
      </w:r>
    </w:p>
    <w:p w:rsidR="005F62FF" w:rsidRPr="00951229" w:rsidRDefault="005F62FF" w:rsidP="005F62FF">
      <w:pPr>
        <w:pStyle w:val="Ruller41"/>
      </w:pPr>
    </w:p>
    <w:p w:rsidR="005F62FF" w:rsidRPr="009E0A1D" w:rsidRDefault="005F62FF" w:rsidP="005F62FF">
      <w:pPr>
        <w:pStyle w:val="Ruller4"/>
        <w:numPr>
          <w:ilvl w:val="0"/>
          <w:numId w:val="0"/>
        </w:numPr>
      </w:pPr>
      <w:r w:rsidRPr="0027163B">
        <w:rPr>
          <w:rtl/>
        </w:rPr>
        <w:tab/>
      </w:r>
      <w:r w:rsidRPr="0027163B">
        <w:rPr>
          <w:rFonts w:hint="cs"/>
          <w:rtl/>
        </w:rPr>
        <w:t xml:space="preserve">סופו של יום, מצרף אני את דעתי לעמדת </w:t>
      </w:r>
      <w:r>
        <w:rPr>
          <w:rFonts w:hint="cs"/>
          <w:rtl/>
        </w:rPr>
        <w:t xml:space="preserve">חברי </w:t>
      </w:r>
      <w:r w:rsidRPr="0027163B">
        <w:rPr>
          <w:rFonts w:hint="cs"/>
          <w:rtl/>
        </w:rPr>
        <w:t xml:space="preserve">השופט </w:t>
      </w:r>
      <w:r w:rsidRPr="0027163B">
        <w:rPr>
          <w:rFonts w:ascii="Century" w:hAnsi="Century" w:cs="Miriam" w:hint="eastAsia"/>
          <w:b/>
          <w:spacing w:val="0"/>
          <w:sz w:val="22"/>
          <w:szCs w:val="24"/>
          <w:rtl/>
        </w:rPr>
        <w:t>שטיין</w:t>
      </w:r>
      <w:r w:rsidRPr="0027163B">
        <w:rPr>
          <w:rFonts w:hint="cs"/>
          <w:rtl/>
        </w:rPr>
        <w:t xml:space="preserve">, לרבות לעניין ההוצאות, זאת גם בהתחשב בחוסר תום ליבו של המערער </w:t>
      </w:r>
      <w:r w:rsidRPr="0027163B">
        <w:rPr>
          <w:rtl/>
        </w:rPr>
        <w:t>–</w:t>
      </w:r>
      <w:r w:rsidRPr="0027163B">
        <w:rPr>
          <w:rFonts w:hint="cs"/>
          <w:rtl/>
        </w:rPr>
        <w:t xml:space="preserve"> הן במישור הדיוני והן במישור המעשי </w:t>
      </w:r>
      <w:r w:rsidRPr="0027163B">
        <w:rPr>
          <w:rtl/>
        </w:rPr>
        <w:t>–</w:t>
      </w:r>
      <w:r w:rsidRPr="0027163B">
        <w:rPr>
          <w:rFonts w:hint="cs"/>
          <w:rtl/>
        </w:rPr>
        <w:t xml:space="preserve"> עליו עמד גם חברי השופט </w:t>
      </w:r>
      <w:r w:rsidRPr="0027163B">
        <w:rPr>
          <w:rFonts w:ascii="Century" w:hAnsi="Century" w:cs="Miriam" w:hint="cs"/>
          <w:b/>
          <w:spacing w:val="0"/>
          <w:sz w:val="22"/>
          <w:szCs w:val="24"/>
          <w:rtl/>
        </w:rPr>
        <w:t>עמית</w:t>
      </w:r>
      <w:r w:rsidRPr="0027163B">
        <w:rPr>
          <w:rFonts w:hint="cs"/>
          <w:rtl/>
        </w:rPr>
        <w:t>.</w:t>
      </w:r>
      <w:r w:rsidRPr="009E0A1D">
        <w:rPr>
          <w:rFonts w:hint="cs"/>
          <w:rtl/>
        </w:rPr>
        <w:t xml:space="preserve"> </w:t>
      </w:r>
    </w:p>
    <w:p w:rsidR="00B347E6" w:rsidRDefault="00B347E6" w:rsidP="005F62FF">
      <w:pPr>
        <w:pStyle w:val="Ruller41"/>
        <w:rPr>
          <w:rtl/>
        </w:rPr>
      </w:pPr>
    </w:p>
    <w:p w:rsidR="00C31354" w:rsidRPr="004776CB" w:rsidRDefault="00C31354" w:rsidP="005F62FF">
      <w:pPr>
        <w:pStyle w:val="Ruller41"/>
        <w:rPr>
          <w:rtl/>
        </w:rPr>
      </w:pPr>
    </w:p>
    <w:tbl>
      <w:tblPr>
        <w:bidiVisual/>
        <w:tblW w:w="0" w:type="auto"/>
        <w:tblLook w:val="01E0" w:firstRow="1" w:lastRow="1" w:firstColumn="1" w:lastColumn="1" w:noHBand="0" w:noVBand="0"/>
      </w:tblPr>
      <w:tblGrid>
        <w:gridCol w:w="2769"/>
        <w:gridCol w:w="2769"/>
        <w:gridCol w:w="2774"/>
      </w:tblGrid>
      <w:tr w:rsidR="00B347E6" w:rsidRPr="004776CB" w:rsidTr="00B347E6">
        <w:tc>
          <w:tcPr>
            <w:tcW w:w="2769" w:type="dxa"/>
            <w:shd w:val="clear" w:color="auto" w:fill="auto"/>
          </w:tcPr>
          <w:p w:rsidR="00B347E6" w:rsidRPr="004776CB" w:rsidRDefault="00B347E6">
            <w:pPr>
              <w:pStyle w:val="Ruller41"/>
              <w:rPr>
                <w:rtl/>
              </w:rPr>
            </w:pPr>
            <w:r w:rsidRPr="004776CB">
              <w:rPr>
                <w:rFonts w:hint="cs"/>
                <w:rtl/>
              </w:rPr>
              <w:t xml:space="preserve">   </w:t>
            </w:r>
          </w:p>
        </w:tc>
        <w:tc>
          <w:tcPr>
            <w:tcW w:w="2769" w:type="dxa"/>
            <w:shd w:val="clear" w:color="auto" w:fill="auto"/>
          </w:tcPr>
          <w:p w:rsidR="00B347E6" w:rsidRPr="004776CB" w:rsidRDefault="00B347E6">
            <w:pPr>
              <w:pStyle w:val="Ruller41"/>
              <w:rPr>
                <w:rtl/>
              </w:rPr>
            </w:pPr>
          </w:p>
        </w:tc>
        <w:tc>
          <w:tcPr>
            <w:tcW w:w="2774" w:type="dxa"/>
            <w:shd w:val="clear" w:color="auto" w:fill="auto"/>
          </w:tcPr>
          <w:p w:rsidR="00B347E6" w:rsidRPr="004776CB" w:rsidRDefault="00B347E6" w:rsidP="004B4200">
            <w:pPr>
              <w:pStyle w:val="Ruller41"/>
              <w:jc w:val="center"/>
              <w:rPr>
                <w:rtl/>
              </w:rPr>
            </w:pPr>
            <w:r w:rsidRPr="004776CB">
              <w:rPr>
                <w:rtl/>
              </w:rPr>
              <w:t>ש ו פ ט</w:t>
            </w:r>
          </w:p>
        </w:tc>
      </w:tr>
    </w:tbl>
    <w:p w:rsidR="00B347E6" w:rsidRDefault="00B347E6" w:rsidP="00FD7407">
      <w:pPr>
        <w:tabs>
          <w:tab w:val="left" w:pos="800"/>
        </w:tabs>
        <w:jc w:val="both"/>
        <w:rPr>
          <w:rFonts w:ascii="Arial TUR" w:hAnsi="Arial TUR"/>
          <w:sz w:val="22"/>
          <w:rtl/>
        </w:rPr>
      </w:pPr>
    </w:p>
    <w:p w:rsidR="00C31354" w:rsidRDefault="00C31354" w:rsidP="00C31354">
      <w:pPr>
        <w:pStyle w:val="Ruller41"/>
        <w:rPr>
          <w:rFonts w:ascii="Century" w:hAnsi="Century"/>
          <w:rtl/>
        </w:rPr>
      </w:pPr>
      <w:r>
        <w:rPr>
          <w:rtl/>
        </w:rPr>
        <w:tab/>
      </w:r>
      <w:r w:rsidRPr="00572CB8">
        <w:rPr>
          <w:rFonts w:ascii="Century" w:hAnsi="Century" w:hint="cs"/>
          <w:rtl/>
        </w:rPr>
        <w:t xml:space="preserve">לפיכך הוחלט כאמור בפסק דינו של השופט </w:t>
      </w:r>
      <w:r w:rsidRPr="00C31354">
        <w:rPr>
          <w:rFonts w:ascii="Century" w:hAnsi="Century" w:cs="Miriam" w:hint="cs"/>
          <w:b/>
          <w:spacing w:val="0"/>
          <w:szCs w:val="24"/>
          <w:rtl/>
        </w:rPr>
        <w:t>י' עמית</w:t>
      </w:r>
      <w:r w:rsidRPr="00AA3853">
        <w:rPr>
          <w:rFonts w:ascii="Century" w:hAnsi="Century" w:hint="cs"/>
          <w:rtl/>
        </w:rPr>
        <w:t xml:space="preserve">, </w:t>
      </w:r>
      <w:r w:rsidRPr="00C31354">
        <w:rPr>
          <w:rFonts w:ascii="Century" w:hAnsi="Century" w:hint="cs"/>
          <w:rtl/>
        </w:rPr>
        <w:t>בהסכמת השופטים</w:t>
      </w:r>
      <w:r w:rsidRPr="00C31354">
        <w:rPr>
          <w:rFonts w:ascii="Century" w:hAnsi="Century" w:cs="Miriam" w:hint="cs"/>
          <w:b/>
          <w:spacing w:val="0"/>
          <w:szCs w:val="24"/>
          <w:rtl/>
        </w:rPr>
        <w:t xml:space="preserve"> </w:t>
      </w:r>
      <w:r>
        <w:rPr>
          <w:rFonts w:ascii="Century" w:hAnsi="Century" w:cs="Miriam" w:hint="cs"/>
          <w:b/>
          <w:spacing w:val="0"/>
          <w:szCs w:val="24"/>
          <w:rtl/>
        </w:rPr>
        <w:t xml:space="preserve">ד' מינץ </w:t>
      </w:r>
      <w:r w:rsidRPr="00C31354">
        <w:rPr>
          <w:rFonts w:ascii="Century" w:hAnsi="Century" w:hint="cs"/>
          <w:rtl/>
        </w:rPr>
        <w:t>ו</w:t>
      </w:r>
      <w:r>
        <w:rPr>
          <w:rFonts w:ascii="Century" w:hAnsi="Century" w:cs="Miriam" w:hint="cs"/>
          <w:b/>
          <w:spacing w:val="0"/>
          <w:szCs w:val="24"/>
          <w:rtl/>
        </w:rPr>
        <w:t>א' שטיין</w:t>
      </w:r>
      <w:r w:rsidR="00AA3853" w:rsidRPr="00AA3853">
        <w:rPr>
          <w:rFonts w:ascii="Century" w:hAnsi="Century" w:hint="cs"/>
          <w:rtl/>
        </w:rPr>
        <w:t>,</w:t>
      </w:r>
      <w:r>
        <w:rPr>
          <w:rFonts w:ascii="Century" w:hAnsi="Century" w:cs="Miriam" w:hint="cs"/>
          <w:b/>
          <w:spacing w:val="0"/>
          <w:szCs w:val="24"/>
          <w:rtl/>
        </w:rPr>
        <w:t xml:space="preserve"> </w:t>
      </w:r>
      <w:r w:rsidRPr="00C31354">
        <w:rPr>
          <w:rFonts w:hint="cs"/>
          <w:rtl/>
        </w:rPr>
        <w:t>לדחות את הערעור בסוגיית ההתיישנות.</w:t>
      </w:r>
      <w:r w:rsidRPr="00572CB8">
        <w:rPr>
          <w:rFonts w:ascii="Century" w:hAnsi="Century" w:hint="cs"/>
          <w:rtl/>
        </w:rPr>
        <w:t xml:space="preserve"> </w:t>
      </w:r>
      <w:r>
        <w:rPr>
          <w:rFonts w:ascii="Century" w:hAnsi="Century" w:hint="cs"/>
          <w:rtl/>
        </w:rPr>
        <w:t xml:space="preserve">עוד הוחלט, ברוב דעות של השופטים </w:t>
      </w:r>
      <w:r w:rsidRPr="00C31354">
        <w:rPr>
          <w:rFonts w:ascii="Century" w:hAnsi="Century" w:cs="Miriam" w:hint="cs"/>
          <w:b/>
          <w:spacing w:val="0"/>
          <w:szCs w:val="24"/>
          <w:rtl/>
        </w:rPr>
        <w:t>א' שטיין</w:t>
      </w:r>
      <w:r w:rsidRPr="00C31354">
        <w:rPr>
          <w:rFonts w:ascii="Century" w:hAnsi="Century" w:hint="cs"/>
          <w:rtl/>
        </w:rPr>
        <w:t xml:space="preserve"> </w:t>
      </w:r>
      <w:r>
        <w:rPr>
          <w:rFonts w:ascii="Century" w:hAnsi="Century" w:hint="cs"/>
          <w:rtl/>
        </w:rPr>
        <w:t>ו</w:t>
      </w:r>
      <w:r w:rsidRPr="00C31354">
        <w:rPr>
          <w:rFonts w:ascii="Century" w:hAnsi="Century" w:cs="Miriam" w:hint="cs"/>
          <w:b/>
          <w:spacing w:val="0"/>
          <w:szCs w:val="24"/>
          <w:rtl/>
        </w:rPr>
        <w:t>ד' מינץ</w:t>
      </w:r>
      <w:r>
        <w:rPr>
          <w:rFonts w:ascii="Century" w:hAnsi="Century" w:hint="cs"/>
          <w:rtl/>
        </w:rPr>
        <w:t xml:space="preserve">, כנגד דעתו החולקת של השופט </w:t>
      </w:r>
      <w:r w:rsidRPr="00C31354">
        <w:rPr>
          <w:rFonts w:ascii="Century" w:hAnsi="Century" w:cs="Miriam" w:hint="cs"/>
          <w:b/>
          <w:spacing w:val="0"/>
          <w:szCs w:val="24"/>
          <w:rtl/>
        </w:rPr>
        <w:t>י' עמית</w:t>
      </w:r>
      <w:r>
        <w:rPr>
          <w:rFonts w:ascii="Century" w:hAnsi="Century" w:hint="cs"/>
          <w:rtl/>
        </w:rPr>
        <w:t>, לדחות את הערעור במישור הסעד, ולהותיר את הסעדים שנפסקו בבית המשפט המחוזי על כנם, לצד חיוב המערער בהוצאות משפט בגין הערעור בסך 35,000 ש"ח.</w:t>
      </w:r>
    </w:p>
    <w:p w:rsidR="00C31354" w:rsidRDefault="00C31354" w:rsidP="00C31354">
      <w:pPr>
        <w:pStyle w:val="Ruller41"/>
        <w:rPr>
          <w:rFonts w:ascii="Century" w:hAnsi="Century"/>
          <w:rtl/>
        </w:rPr>
      </w:pPr>
    </w:p>
    <w:p w:rsidR="00C31354" w:rsidRDefault="004D0BB5" w:rsidP="00C31354">
      <w:pPr>
        <w:pStyle w:val="Ruller41"/>
        <w:rPr>
          <w:rFonts w:ascii="Century" w:hAnsi="Century"/>
          <w:rtl/>
        </w:rPr>
      </w:pPr>
      <w:r>
        <w:rPr>
          <w:rFonts w:ascii="Century" w:hAnsi="Century"/>
          <w:rtl/>
        </w:rPr>
        <w:tab/>
      </w:r>
      <w:r>
        <w:rPr>
          <w:rFonts w:ascii="Century" w:hAnsi="Century" w:hint="eastAsia"/>
          <w:rtl/>
        </w:rPr>
        <w:t>ניתן</w:t>
      </w:r>
      <w:r>
        <w:rPr>
          <w:rFonts w:ascii="Century" w:hAnsi="Century"/>
          <w:rtl/>
        </w:rPr>
        <w:t xml:space="preserve"> </w:t>
      </w:r>
      <w:r>
        <w:rPr>
          <w:rFonts w:ascii="Century" w:hAnsi="Century" w:hint="eastAsia"/>
          <w:rtl/>
        </w:rPr>
        <w:t>היום</w:t>
      </w:r>
      <w:r>
        <w:rPr>
          <w:rFonts w:ascii="Century" w:hAnsi="Century"/>
          <w:rtl/>
        </w:rPr>
        <w:t xml:space="preserve">, </w:t>
      </w:r>
      <w:r>
        <w:rPr>
          <w:rFonts w:ascii="Century" w:hAnsi="Century" w:hint="eastAsia"/>
          <w:rtl/>
        </w:rPr>
        <w:t>‏כ</w:t>
      </w:r>
      <w:r>
        <w:rPr>
          <w:rFonts w:ascii="Century" w:hAnsi="Century"/>
          <w:rtl/>
        </w:rPr>
        <w:t>"</w:t>
      </w:r>
      <w:r>
        <w:rPr>
          <w:rFonts w:ascii="Century" w:hAnsi="Century" w:hint="eastAsia"/>
          <w:rtl/>
        </w:rPr>
        <w:t>ט</w:t>
      </w:r>
      <w:r>
        <w:rPr>
          <w:rFonts w:ascii="Century" w:hAnsi="Century"/>
          <w:rtl/>
        </w:rPr>
        <w:t xml:space="preserve"> </w:t>
      </w:r>
      <w:r>
        <w:rPr>
          <w:rFonts w:ascii="Century" w:hAnsi="Century" w:hint="eastAsia"/>
          <w:rtl/>
        </w:rPr>
        <w:t>בחשון</w:t>
      </w:r>
      <w:r>
        <w:rPr>
          <w:rFonts w:ascii="Century" w:hAnsi="Century"/>
          <w:rtl/>
        </w:rPr>
        <w:t xml:space="preserve"> </w:t>
      </w:r>
      <w:r>
        <w:rPr>
          <w:rFonts w:ascii="Century" w:hAnsi="Century" w:hint="eastAsia"/>
          <w:rtl/>
        </w:rPr>
        <w:t>התשפ</w:t>
      </w:r>
      <w:r>
        <w:rPr>
          <w:rFonts w:ascii="Century" w:hAnsi="Century"/>
          <w:rtl/>
        </w:rPr>
        <w:t>"</w:t>
      </w:r>
      <w:r>
        <w:rPr>
          <w:rFonts w:ascii="Century" w:hAnsi="Century" w:hint="eastAsia"/>
          <w:rtl/>
        </w:rPr>
        <w:t>ג</w:t>
      </w:r>
      <w:r>
        <w:rPr>
          <w:rFonts w:ascii="Century" w:hAnsi="Century"/>
          <w:rtl/>
        </w:rPr>
        <w:t xml:space="preserve"> (</w:t>
      </w:r>
      <w:r>
        <w:rPr>
          <w:rFonts w:ascii="Century" w:hAnsi="Century" w:hint="eastAsia"/>
          <w:rtl/>
        </w:rPr>
        <w:t>‏</w:t>
      </w:r>
      <w:r>
        <w:rPr>
          <w:rFonts w:ascii="Century" w:hAnsi="Century"/>
          <w:rtl/>
        </w:rPr>
        <w:t>23.11.2022).</w:t>
      </w:r>
    </w:p>
    <w:p w:rsidR="003465F1" w:rsidRPr="003465F1" w:rsidRDefault="003465F1" w:rsidP="00C31354">
      <w:pPr>
        <w:pStyle w:val="Ruller41"/>
        <w:rPr>
          <w:rFonts w:ascii="Century" w:hAnsi="Century"/>
          <w:sz w:val="18"/>
          <w:szCs w:val="24"/>
          <w:rtl/>
        </w:rPr>
      </w:pPr>
    </w:p>
    <w:p w:rsidR="00493D1F" w:rsidRDefault="00493D1F" w:rsidP="00FD7407">
      <w:pPr>
        <w:tabs>
          <w:tab w:val="left" w:pos="800"/>
        </w:tabs>
        <w:jc w:val="both"/>
        <w:rPr>
          <w:rFonts w:ascii="Arial TUR" w:hAnsi="Arial TUR"/>
          <w:sz w:val="22"/>
          <w:rtl/>
        </w:rPr>
      </w:pPr>
    </w:p>
    <w:p w:rsidR="00B347E6" w:rsidRPr="003465F1" w:rsidRDefault="00B347E6" w:rsidP="00FD7407">
      <w:pPr>
        <w:tabs>
          <w:tab w:val="left" w:pos="800"/>
        </w:tabs>
        <w:jc w:val="both"/>
        <w:rPr>
          <w:rFonts w:ascii="Arial TUR" w:hAnsi="Arial TUR"/>
          <w:sz w:val="12"/>
          <w:szCs w:val="14"/>
          <w:rtl/>
        </w:rPr>
      </w:pPr>
    </w:p>
    <w:tbl>
      <w:tblPr>
        <w:bidiVisual/>
        <w:tblW w:w="8363" w:type="dxa"/>
        <w:tblLook w:val="01E0" w:firstRow="1" w:lastRow="1" w:firstColumn="1" w:lastColumn="1" w:noHBand="0" w:noVBand="0"/>
      </w:tblPr>
      <w:tblGrid>
        <w:gridCol w:w="2787"/>
        <w:gridCol w:w="2788"/>
        <w:gridCol w:w="2788"/>
      </w:tblGrid>
      <w:tr w:rsidR="001A0164" w:rsidTr="00B347E6">
        <w:tc>
          <w:tcPr>
            <w:tcW w:w="2787" w:type="dxa"/>
            <w:shd w:val="clear" w:color="auto" w:fill="auto"/>
          </w:tcPr>
          <w:p w:rsidR="00016EF1" w:rsidRDefault="00B54651" w:rsidP="00A51FAE">
            <w:pPr>
              <w:pStyle w:val="Ruller41"/>
              <w:rPr>
                <w:rtl/>
              </w:rPr>
            </w:pPr>
            <w:r>
              <w:rPr>
                <w:rtl/>
              </w:rPr>
              <w:t>ש ו פ ט</w:t>
            </w:r>
          </w:p>
        </w:tc>
        <w:tc>
          <w:tcPr>
            <w:tcW w:w="2788" w:type="dxa"/>
            <w:shd w:val="clear" w:color="auto" w:fill="auto"/>
          </w:tcPr>
          <w:p w:rsidR="001A0164" w:rsidRDefault="00B54651" w:rsidP="00BA0B08">
            <w:pPr>
              <w:pStyle w:val="Ruller41"/>
              <w:jc w:val="center"/>
              <w:rPr>
                <w:rtl/>
              </w:rPr>
            </w:pPr>
            <w:r>
              <w:rPr>
                <w:rtl/>
              </w:rPr>
              <w:t>ש ו פ ט</w:t>
            </w:r>
          </w:p>
        </w:tc>
        <w:tc>
          <w:tcPr>
            <w:tcW w:w="2788" w:type="dxa"/>
            <w:shd w:val="clear" w:color="auto" w:fill="auto"/>
          </w:tcPr>
          <w:p w:rsidR="001A0164" w:rsidRDefault="00B54651" w:rsidP="00BA0B08">
            <w:pPr>
              <w:pStyle w:val="Ruller41"/>
              <w:jc w:val="center"/>
              <w:rPr>
                <w:rtl/>
              </w:rPr>
            </w:pPr>
            <w:r>
              <w:rPr>
                <w:rtl/>
              </w:rPr>
              <w:t>ש ו פ ט</w:t>
            </w:r>
          </w:p>
        </w:tc>
      </w:tr>
    </w:tbl>
    <w:p w:rsidR="004D0BB5" w:rsidRPr="003465F1" w:rsidRDefault="004D0BB5">
      <w:pPr>
        <w:rPr>
          <w:sz w:val="2"/>
          <w:szCs w:val="2"/>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B54651">
        <w:rPr>
          <w:sz w:val="16"/>
        </w:rPr>
        <w:t xml:space="preserve">21017260_E13.docx   </w:t>
      </w:r>
      <w:r w:rsidR="00B54651">
        <w:rPr>
          <w:sz w:val="16"/>
          <w:rtl/>
        </w:rPr>
        <w:t>סח</w:t>
      </w:r>
    </w:p>
    <w:p w:rsidR="003F1F97" w:rsidRDefault="00591983" w:rsidP="003465F1">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8" w:history="1">
        <w:r w:rsidR="00FC0252" w:rsidRPr="00BB4C68">
          <w:rPr>
            <w:rStyle w:val="Hyperlink"/>
            <w:sz w:val="16"/>
          </w:rPr>
          <w:t>https://supreme.court.gov.il</w:t>
        </w:r>
      </w:hyperlink>
    </w:p>
    <w:sectPr w:rsidR="003F1F97" w:rsidSect="00591983">
      <w:headerReference w:type="even" r:id="rId9"/>
      <w:headerReference w:type="default" r:id="rId10"/>
      <w:footerReference w:type="even" r:id="rId11"/>
      <w:headerReference w:type="first" r:id="rId12"/>
      <w:footerReference w:type="first" r:id="rId13"/>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52D" w:rsidRDefault="0068352D">
      <w:r>
        <w:separator/>
      </w:r>
    </w:p>
  </w:endnote>
  <w:endnote w:type="continuationSeparator" w:id="0">
    <w:p w:rsidR="0068352D" w:rsidRDefault="0068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53" w:rsidRDefault="00AA3853">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AA3853" w:rsidRDefault="00AA3853">
    <w:pPr>
      <w:pStyle w:val="a3"/>
      <w:rPr>
        <w:rtl/>
      </w:rPr>
    </w:pPr>
  </w:p>
  <w:p w:rsidR="00AA3853" w:rsidRDefault="00AA38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53" w:rsidRPr="00F959DB" w:rsidRDefault="00AA3853" w:rsidP="00914156">
    <w:pPr>
      <w:pStyle w:val="a3"/>
      <w:bidi w:val="0"/>
      <w:jc w:val="right"/>
      <w:rPr>
        <w:sz w:val="16"/>
        <w:szCs w:val="16"/>
      </w:rPr>
    </w:pPr>
    <w:bookmarkStart w:id="5" w:name="footer_line"/>
    <w:bookmarkEnd w:id="5"/>
  </w:p>
  <w:p w:rsidR="00AA3853" w:rsidRDefault="00AA3853">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52D" w:rsidRDefault="0068352D">
      <w:r>
        <w:separator/>
      </w:r>
    </w:p>
  </w:footnote>
  <w:footnote w:type="continuationSeparator" w:id="0">
    <w:p w:rsidR="0068352D" w:rsidRDefault="0068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53" w:rsidRDefault="00AA3853">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AA3853" w:rsidRDefault="00AA3853">
    <w:pPr>
      <w:pStyle w:val="a6"/>
      <w:rPr>
        <w:rtl/>
      </w:rPr>
    </w:pPr>
  </w:p>
  <w:p w:rsidR="00AA3853" w:rsidRDefault="00AA38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853" w:rsidRDefault="00AA3853">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981881">
      <w:rPr>
        <w:rStyle w:val="a5"/>
        <w:noProof/>
        <w:rtl/>
      </w:rPr>
      <w:t>26</w:t>
    </w:r>
    <w:r>
      <w:rPr>
        <w:rStyle w:val="a5"/>
        <w:rtl/>
      </w:rPr>
      <w:fldChar w:fldCharType="end"/>
    </w:r>
  </w:p>
  <w:p w:rsidR="00AA3853" w:rsidRDefault="00AA3853">
    <w:pPr>
      <w:pStyle w:val="a6"/>
      <w:rPr>
        <w:rtl/>
      </w:rPr>
    </w:pPr>
  </w:p>
  <w:p w:rsidR="00AA3853" w:rsidRDefault="00AA385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AA3853" w:rsidTr="00EC23AC">
      <w:trPr>
        <w:trHeight w:val="342"/>
      </w:trPr>
      <w:tc>
        <w:tcPr>
          <w:tcW w:w="9828" w:type="dxa"/>
        </w:tcPr>
        <w:p w:rsidR="00AA3853" w:rsidRPr="002F7BB6" w:rsidRDefault="00AA3853"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AA3853" w:rsidRDefault="00AA3853" w:rsidP="00045B4D">
    <w:pPr>
      <w:pStyle w:val="a6"/>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76017"/>
    <w:multiLevelType w:val="multilevel"/>
    <w:tmpl w:val="5ABC4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8A6001B"/>
    <w:multiLevelType w:val="hybridMultilevel"/>
    <w:tmpl w:val="676054E0"/>
    <w:lvl w:ilvl="0" w:tplc="817AC256">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color w:val="auto"/>
        <w:spacing w:val="10"/>
        <w:w w:val="100"/>
        <w:kern w:val="0"/>
        <w:position w:val="0"/>
        <w:sz w:val="22"/>
        <w:szCs w:val="28"/>
        <w:u w:val="none"/>
        <w:effect w:val="none"/>
        <w:vertAlign w:val="baseline"/>
      </w:rPr>
    </w:lvl>
    <w:lvl w:ilvl="1" w:tplc="F9D8957C" w:tentative="1">
      <w:start w:val="1"/>
      <w:numFmt w:val="lowerLetter"/>
      <w:lvlText w:val="%2."/>
      <w:lvlJc w:val="left"/>
      <w:pPr>
        <w:tabs>
          <w:tab w:val="num" w:pos="1440"/>
        </w:tabs>
        <w:ind w:left="1440" w:hanging="360"/>
      </w:pPr>
    </w:lvl>
    <w:lvl w:ilvl="2" w:tplc="26B68926" w:tentative="1">
      <w:start w:val="1"/>
      <w:numFmt w:val="lowerRoman"/>
      <w:lvlText w:val="%3."/>
      <w:lvlJc w:val="right"/>
      <w:pPr>
        <w:tabs>
          <w:tab w:val="num" w:pos="2160"/>
        </w:tabs>
        <w:ind w:left="2160" w:hanging="180"/>
      </w:pPr>
    </w:lvl>
    <w:lvl w:ilvl="3" w:tplc="DDB64B4A" w:tentative="1">
      <w:start w:val="1"/>
      <w:numFmt w:val="decimal"/>
      <w:lvlText w:val="%4."/>
      <w:lvlJc w:val="left"/>
      <w:pPr>
        <w:tabs>
          <w:tab w:val="num" w:pos="2880"/>
        </w:tabs>
        <w:ind w:left="2880" w:hanging="360"/>
      </w:pPr>
    </w:lvl>
    <w:lvl w:ilvl="4" w:tplc="B67E6D90" w:tentative="1">
      <w:start w:val="1"/>
      <w:numFmt w:val="lowerLetter"/>
      <w:lvlText w:val="%5."/>
      <w:lvlJc w:val="left"/>
      <w:pPr>
        <w:tabs>
          <w:tab w:val="num" w:pos="3600"/>
        </w:tabs>
        <w:ind w:left="3600" w:hanging="360"/>
      </w:pPr>
    </w:lvl>
    <w:lvl w:ilvl="5" w:tplc="C0F87F36" w:tentative="1">
      <w:start w:val="1"/>
      <w:numFmt w:val="lowerRoman"/>
      <w:lvlText w:val="%6."/>
      <w:lvlJc w:val="right"/>
      <w:pPr>
        <w:tabs>
          <w:tab w:val="num" w:pos="4320"/>
        </w:tabs>
        <w:ind w:left="4320" w:hanging="180"/>
      </w:pPr>
    </w:lvl>
    <w:lvl w:ilvl="6" w:tplc="DE888758" w:tentative="1">
      <w:start w:val="1"/>
      <w:numFmt w:val="decimal"/>
      <w:lvlText w:val="%7."/>
      <w:lvlJc w:val="left"/>
      <w:pPr>
        <w:tabs>
          <w:tab w:val="num" w:pos="5040"/>
        </w:tabs>
        <w:ind w:left="5040" w:hanging="360"/>
      </w:pPr>
    </w:lvl>
    <w:lvl w:ilvl="7" w:tplc="B32C17CE" w:tentative="1">
      <w:start w:val="1"/>
      <w:numFmt w:val="lowerLetter"/>
      <w:lvlText w:val="%8."/>
      <w:lvlJc w:val="left"/>
      <w:pPr>
        <w:tabs>
          <w:tab w:val="num" w:pos="5760"/>
        </w:tabs>
        <w:ind w:left="5760" w:hanging="360"/>
      </w:pPr>
    </w:lvl>
    <w:lvl w:ilvl="8" w:tplc="93A6EB72" w:tentative="1">
      <w:start w:val="1"/>
      <w:numFmt w:val="lowerRoman"/>
      <w:lvlText w:val="%9."/>
      <w:lvlJc w:val="right"/>
      <w:pPr>
        <w:tabs>
          <w:tab w:val="num" w:pos="6480"/>
        </w:tabs>
        <w:ind w:left="6480" w:hanging="180"/>
      </w:pPr>
    </w:lvl>
  </w:abstractNum>
  <w:abstractNum w:abstractNumId="12" w15:restartNumberingAfterBreak="0">
    <w:nsid w:val="2A3A2EC1"/>
    <w:multiLevelType w:val="hybridMultilevel"/>
    <w:tmpl w:val="4E8231C6"/>
    <w:lvl w:ilvl="0" w:tplc="0CAC7C3E">
      <w:start w:val="79"/>
      <w:numFmt w:val="bullet"/>
      <w:lvlText w:val=""/>
      <w:lvlJc w:val="left"/>
      <w:pPr>
        <w:ind w:left="720" w:hanging="360"/>
      </w:pPr>
      <w:rPr>
        <w:rFonts w:ascii="Wingdings" w:eastAsia="Times New Roman" w:hAnsi="Wingdings" w:cs="FrankRuehl" w:hint="default"/>
      </w:rPr>
    </w:lvl>
    <w:lvl w:ilvl="1" w:tplc="EE2E1532" w:tentative="1">
      <w:start w:val="1"/>
      <w:numFmt w:val="bullet"/>
      <w:lvlText w:val="o"/>
      <w:lvlJc w:val="left"/>
      <w:pPr>
        <w:ind w:left="1440" w:hanging="360"/>
      </w:pPr>
      <w:rPr>
        <w:rFonts w:ascii="Courier New" w:hAnsi="Courier New" w:cs="Courier New" w:hint="default"/>
      </w:rPr>
    </w:lvl>
    <w:lvl w:ilvl="2" w:tplc="7C1A875A" w:tentative="1">
      <w:start w:val="1"/>
      <w:numFmt w:val="bullet"/>
      <w:lvlText w:val=""/>
      <w:lvlJc w:val="left"/>
      <w:pPr>
        <w:ind w:left="2160" w:hanging="360"/>
      </w:pPr>
      <w:rPr>
        <w:rFonts w:ascii="Wingdings" w:hAnsi="Wingdings" w:hint="default"/>
      </w:rPr>
    </w:lvl>
    <w:lvl w:ilvl="3" w:tplc="E6D4F722" w:tentative="1">
      <w:start w:val="1"/>
      <w:numFmt w:val="bullet"/>
      <w:lvlText w:val=""/>
      <w:lvlJc w:val="left"/>
      <w:pPr>
        <w:ind w:left="2880" w:hanging="360"/>
      </w:pPr>
      <w:rPr>
        <w:rFonts w:ascii="Symbol" w:hAnsi="Symbol" w:hint="default"/>
      </w:rPr>
    </w:lvl>
    <w:lvl w:ilvl="4" w:tplc="9FDAFBA2" w:tentative="1">
      <w:start w:val="1"/>
      <w:numFmt w:val="bullet"/>
      <w:lvlText w:val="o"/>
      <w:lvlJc w:val="left"/>
      <w:pPr>
        <w:ind w:left="3600" w:hanging="360"/>
      </w:pPr>
      <w:rPr>
        <w:rFonts w:ascii="Courier New" w:hAnsi="Courier New" w:cs="Courier New" w:hint="default"/>
      </w:rPr>
    </w:lvl>
    <w:lvl w:ilvl="5" w:tplc="F9A03BE2" w:tentative="1">
      <w:start w:val="1"/>
      <w:numFmt w:val="bullet"/>
      <w:lvlText w:val=""/>
      <w:lvlJc w:val="left"/>
      <w:pPr>
        <w:ind w:left="4320" w:hanging="360"/>
      </w:pPr>
      <w:rPr>
        <w:rFonts w:ascii="Wingdings" w:hAnsi="Wingdings" w:hint="default"/>
      </w:rPr>
    </w:lvl>
    <w:lvl w:ilvl="6" w:tplc="D0364076" w:tentative="1">
      <w:start w:val="1"/>
      <w:numFmt w:val="bullet"/>
      <w:lvlText w:val=""/>
      <w:lvlJc w:val="left"/>
      <w:pPr>
        <w:ind w:left="5040" w:hanging="360"/>
      </w:pPr>
      <w:rPr>
        <w:rFonts w:ascii="Symbol" w:hAnsi="Symbol" w:hint="default"/>
      </w:rPr>
    </w:lvl>
    <w:lvl w:ilvl="7" w:tplc="389650D6" w:tentative="1">
      <w:start w:val="1"/>
      <w:numFmt w:val="bullet"/>
      <w:lvlText w:val="o"/>
      <w:lvlJc w:val="left"/>
      <w:pPr>
        <w:ind w:left="5760" w:hanging="360"/>
      </w:pPr>
      <w:rPr>
        <w:rFonts w:ascii="Courier New" w:hAnsi="Courier New" w:cs="Courier New" w:hint="default"/>
      </w:rPr>
    </w:lvl>
    <w:lvl w:ilvl="8" w:tplc="926840A6" w:tentative="1">
      <w:start w:val="1"/>
      <w:numFmt w:val="bullet"/>
      <w:lvlText w:val=""/>
      <w:lvlJc w:val="left"/>
      <w:pPr>
        <w:ind w:left="6480" w:hanging="360"/>
      </w:pPr>
      <w:rPr>
        <w:rFonts w:ascii="Wingdings" w:hAnsi="Wingdings" w:hint="default"/>
      </w:rPr>
    </w:lvl>
  </w:abstractNum>
  <w:abstractNum w:abstractNumId="13" w15:restartNumberingAfterBreak="0">
    <w:nsid w:val="2B812CCA"/>
    <w:multiLevelType w:val="hybridMultilevel"/>
    <w:tmpl w:val="5DF01BA8"/>
    <w:lvl w:ilvl="0" w:tplc="55A4F0D6">
      <w:start w:val="1"/>
      <w:numFmt w:val="hebrew1"/>
      <w:lvlText w:val="%1."/>
      <w:lvlJc w:val="left"/>
      <w:pPr>
        <w:ind w:left="720" w:hanging="360"/>
      </w:pPr>
      <w:rPr>
        <w:rFonts w:hint="default"/>
      </w:rPr>
    </w:lvl>
    <w:lvl w:ilvl="1" w:tplc="E1CCF1DE" w:tentative="1">
      <w:start w:val="1"/>
      <w:numFmt w:val="lowerLetter"/>
      <w:lvlText w:val="%2."/>
      <w:lvlJc w:val="left"/>
      <w:pPr>
        <w:ind w:left="1440" w:hanging="360"/>
      </w:pPr>
    </w:lvl>
    <w:lvl w:ilvl="2" w:tplc="523081C2" w:tentative="1">
      <w:start w:val="1"/>
      <w:numFmt w:val="lowerRoman"/>
      <w:lvlText w:val="%3."/>
      <w:lvlJc w:val="right"/>
      <w:pPr>
        <w:ind w:left="2160" w:hanging="180"/>
      </w:pPr>
    </w:lvl>
    <w:lvl w:ilvl="3" w:tplc="8766E1CA" w:tentative="1">
      <w:start w:val="1"/>
      <w:numFmt w:val="decimal"/>
      <w:lvlText w:val="%4."/>
      <w:lvlJc w:val="left"/>
      <w:pPr>
        <w:ind w:left="2880" w:hanging="360"/>
      </w:pPr>
    </w:lvl>
    <w:lvl w:ilvl="4" w:tplc="9E72F128" w:tentative="1">
      <w:start w:val="1"/>
      <w:numFmt w:val="lowerLetter"/>
      <w:lvlText w:val="%5."/>
      <w:lvlJc w:val="left"/>
      <w:pPr>
        <w:ind w:left="3600" w:hanging="360"/>
      </w:pPr>
    </w:lvl>
    <w:lvl w:ilvl="5" w:tplc="4EEE8178" w:tentative="1">
      <w:start w:val="1"/>
      <w:numFmt w:val="lowerRoman"/>
      <w:lvlText w:val="%6."/>
      <w:lvlJc w:val="right"/>
      <w:pPr>
        <w:ind w:left="4320" w:hanging="180"/>
      </w:pPr>
    </w:lvl>
    <w:lvl w:ilvl="6" w:tplc="448E5C80" w:tentative="1">
      <w:start w:val="1"/>
      <w:numFmt w:val="decimal"/>
      <w:lvlText w:val="%7."/>
      <w:lvlJc w:val="left"/>
      <w:pPr>
        <w:ind w:left="5040" w:hanging="360"/>
      </w:pPr>
    </w:lvl>
    <w:lvl w:ilvl="7" w:tplc="317E1CCA" w:tentative="1">
      <w:start w:val="1"/>
      <w:numFmt w:val="lowerLetter"/>
      <w:lvlText w:val="%8."/>
      <w:lvlJc w:val="left"/>
      <w:pPr>
        <w:ind w:left="5760" w:hanging="360"/>
      </w:pPr>
    </w:lvl>
    <w:lvl w:ilvl="8" w:tplc="EF4A96D0" w:tentative="1">
      <w:start w:val="1"/>
      <w:numFmt w:val="lowerRoman"/>
      <w:lvlText w:val="%9."/>
      <w:lvlJc w:val="right"/>
      <w:pPr>
        <w:ind w:left="6480" w:hanging="180"/>
      </w:pPr>
    </w:lvl>
  </w:abstractNum>
  <w:abstractNum w:abstractNumId="14" w15:restartNumberingAfterBreak="0">
    <w:nsid w:val="2F823F59"/>
    <w:multiLevelType w:val="hybridMultilevel"/>
    <w:tmpl w:val="5DC24B08"/>
    <w:lvl w:ilvl="0" w:tplc="52DACCDA">
      <w:start w:val="1"/>
      <w:numFmt w:val="hebrew1"/>
      <w:lvlText w:val="%1."/>
      <w:lvlJc w:val="left"/>
      <w:pPr>
        <w:ind w:left="720" w:hanging="360"/>
      </w:pPr>
      <w:rPr>
        <w:rFonts w:hint="default"/>
      </w:rPr>
    </w:lvl>
    <w:lvl w:ilvl="1" w:tplc="4830D4D4">
      <w:start w:val="1"/>
      <w:numFmt w:val="lowerLetter"/>
      <w:lvlText w:val="%2."/>
      <w:lvlJc w:val="left"/>
      <w:pPr>
        <w:ind w:left="1440" w:hanging="360"/>
      </w:pPr>
    </w:lvl>
    <w:lvl w:ilvl="2" w:tplc="452896EE">
      <w:start w:val="1"/>
      <w:numFmt w:val="lowerRoman"/>
      <w:lvlText w:val="%3."/>
      <w:lvlJc w:val="right"/>
      <w:pPr>
        <w:ind w:left="2160" w:hanging="180"/>
      </w:pPr>
    </w:lvl>
    <w:lvl w:ilvl="3" w:tplc="BD60AD32">
      <w:start w:val="1"/>
      <w:numFmt w:val="decimal"/>
      <w:lvlText w:val="%4."/>
      <w:lvlJc w:val="left"/>
      <w:pPr>
        <w:ind w:left="2880" w:hanging="360"/>
      </w:pPr>
    </w:lvl>
    <w:lvl w:ilvl="4" w:tplc="EED28304" w:tentative="1">
      <w:start w:val="1"/>
      <w:numFmt w:val="lowerLetter"/>
      <w:lvlText w:val="%5."/>
      <w:lvlJc w:val="left"/>
      <w:pPr>
        <w:ind w:left="3600" w:hanging="360"/>
      </w:pPr>
    </w:lvl>
    <w:lvl w:ilvl="5" w:tplc="D8245A5E" w:tentative="1">
      <w:start w:val="1"/>
      <w:numFmt w:val="lowerRoman"/>
      <w:lvlText w:val="%6."/>
      <w:lvlJc w:val="right"/>
      <w:pPr>
        <w:ind w:left="4320" w:hanging="180"/>
      </w:pPr>
    </w:lvl>
    <w:lvl w:ilvl="6" w:tplc="38FA36A2" w:tentative="1">
      <w:start w:val="1"/>
      <w:numFmt w:val="decimal"/>
      <w:lvlText w:val="%7."/>
      <w:lvlJc w:val="left"/>
      <w:pPr>
        <w:ind w:left="5040" w:hanging="360"/>
      </w:pPr>
    </w:lvl>
    <w:lvl w:ilvl="7" w:tplc="4FB67F36" w:tentative="1">
      <w:start w:val="1"/>
      <w:numFmt w:val="lowerLetter"/>
      <w:lvlText w:val="%8."/>
      <w:lvlJc w:val="left"/>
      <w:pPr>
        <w:ind w:left="5760" w:hanging="360"/>
      </w:pPr>
    </w:lvl>
    <w:lvl w:ilvl="8" w:tplc="DD6ADA8E" w:tentative="1">
      <w:start w:val="1"/>
      <w:numFmt w:val="lowerRoman"/>
      <w:lvlText w:val="%9."/>
      <w:lvlJc w:val="right"/>
      <w:pPr>
        <w:ind w:left="6480" w:hanging="180"/>
      </w:pPr>
    </w:lvl>
  </w:abstractNum>
  <w:abstractNum w:abstractNumId="15" w15:restartNumberingAfterBreak="0">
    <w:nsid w:val="308358CC"/>
    <w:multiLevelType w:val="hybridMultilevel"/>
    <w:tmpl w:val="A57E751A"/>
    <w:lvl w:ilvl="0" w:tplc="153261E8">
      <w:start w:val="1"/>
      <w:numFmt w:val="hebrew1"/>
      <w:lvlText w:val="%1."/>
      <w:lvlJc w:val="center"/>
      <w:pPr>
        <w:ind w:left="720" w:hanging="360"/>
      </w:pPr>
    </w:lvl>
    <w:lvl w:ilvl="1" w:tplc="8C5068AE" w:tentative="1">
      <w:start w:val="1"/>
      <w:numFmt w:val="lowerLetter"/>
      <w:lvlText w:val="%2."/>
      <w:lvlJc w:val="left"/>
      <w:pPr>
        <w:ind w:left="1440" w:hanging="360"/>
      </w:pPr>
    </w:lvl>
    <w:lvl w:ilvl="2" w:tplc="3BD02352" w:tentative="1">
      <w:start w:val="1"/>
      <w:numFmt w:val="lowerRoman"/>
      <w:lvlText w:val="%3."/>
      <w:lvlJc w:val="right"/>
      <w:pPr>
        <w:ind w:left="2160" w:hanging="180"/>
      </w:pPr>
    </w:lvl>
    <w:lvl w:ilvl="3" w:tplc="50E4A0AE" w:tentative="1">
      <w:start w:val="1"/>
      <w:numFmt w:val="decimal"/>
      <w:lvlText w:val="%4."/>
      <w:lvlJc w:val="left"/>
      <w:pPr>
        <w:ind w:left="2880" w:hanging="360"/>
      </w:pPr>
    </w:lvl>
    <w:lvl w:ilvl="4" w:tplc="C38A3BB6" w:tentative="1">
      <w:start w:val="1"/>
      <w:numFmt w:val="lowerLetter"/>
      <w:lvlText w:val="%5."/>
      <w:lvlJc w:val="left"/>
      <w:pPr>
        <w:ind w:left="3600" w:hanging="360"/>
      </w:pPr>
    </w:lvl>
    <w:lvl w:ilvl="5" w:tplc="21227444" w:tentative="1">
      <w:start w:val="1"/>
      <w:numFmt w:val="lowerRoman"/>
      <w:lvlText w:val="%6."/>
      <w:lvlJc w:val="right"/>
      <w:pPr>
        <w:ind w:left="4320" w:hanging="180"/>
      </w:pPr>
    </w:lvl>
    <w:lvl w:ilvl="6" w:tplc="CC160B02" w:tentative="1">
      <w:start w:val="1"/>
      <w:numFmt w:val="decimal"/>
      <w:lvlText w:val="%7."/>
      <w:lvlJc w:val="left"/>
      <w:pPr>
        <w:ind w:left="5040" w:hanging="360"/>
      </w:pPr>
    </w:lvl>
    <w:lvl w:ilvl="7" w:tplc="BB0C32AA" w:tentative="1">
      <w:start w:val="1"/>
      <w:numFmt w:val="lowerLetter"/>
      <w:lvlText w:val="%8."/>
      <w:lvlJc w:val="left"/>
      <w:pPr>
        <w:ind w:left="5760" w:hanging="360"/>
      </w:pPr>
    </w:lvl>
    <w:lvl w:ilvl="8" w:tplc="100C0168" w:tentative="1">
      <w:start w:val="1"/>
      <w:numFmt w:val="lowerRoman"/>
      <w:lvlText w:val="%9."/>
      <w:lvlJc w:val="right"/>
      <w:pPr>
        <w:ind w:left="6480" w:hanging="180"/>
      </w:pPr>
    </w:lvl>
  </w:abstractNum>
  <w:abstractNum w:abstractNumId="16" w15:restartNumberingAfterBreak="0">
    <w:nsid w:val="31832BA3"/>
    <w:multiLevelType w:val="hybridMultilevel"/>
    <w:tmpl w:val="AB2E6EDA"/>
    <w:lvl w:ilvl="0" w:tplc="00307D50">
      <w:start w:val="1"/>
      <w:numFmt w:val="hebrew1"/>
      <w:lvlText w:val="%1."/>
      <w:lvlJc w:val="center"/>
      <w:pPr>
        <w:ind w:left="720" w:hanging="360"/>
      </w:pPr>
    </w:lvl>
    <w:lvl w:ilvl="1" w:tplc="F684EF40" w:tentative="1">
      <w:start w:val="1"/>
      <w:numFmt w:val="lowerLetter"/>
      <w:lvlText w:val="%2."/>
      <w:lvlJc w:val="left"/>
      <w:pPr>
        <w:ind w:left="1440" w:hanging="360"/>
      </w:pPr>
    </w:lvl>
    <w:lvl w:ilvl="2" w:tplc="290882A2" w:tentative="1">
      <w:start w:val="1"/>
      <w:numFmt w:val="lowerRoman"/>
      <w:lvlText w:val="%3."/>
      <w:lvlJc w:val="right"/>
      <w:pPr>
        <w:ind w:left="2160" w:hanging="180"/>
      </w:pPr>
    </w:lvl>
    <w:lvl w:ilvl="3" w:tplc="E8243F62" w:tentative="1">
      <w:start w:val="1"/>
      <w:numFmt w:val="decimal"/>
      <w:lvlText w:val="%4."/>
      <w:lvlJc w:val="left"/>
      <w:pPr>
        <w:ind w:left="2880" w:hanging="360"/>
      </w:pPr>
    </w:lvl>
    <w:lvl w:ilvl="4" w:tplc="DF7E99BC" w:tentative="1">
      <w:start w:val="1"/>
      <w:numFmt w:val="lowerLetter"/>
      <w:lvlText w:val="%5."/>
      <w:lvlJc w:val="left"/>
      <w:pPr>
        <w:ind w:left="3600" w:hanging="360"/>
      </w:pPr>
    </w:lvl>
    <w:lvl w:ilvl="5" w:tplc="59A696CC" w:tentative="1">
      <w:start w:val="1"/>
      <w:numFmt w:val="lowerRoman"/>
      <w:lvlText w:val="%6."/>
      <w:lvlJc w:val="right"/>
      <w:pPr>
        <w:ind w:left="4320" w:hanging="180"/>
      </w:pPr>
    </w:lvl>
    <w:lvl w:ilvl="6" w:tplc="BAC82F0A" w:tentative="1">
      <w:start w:val="1"/>
      <w:numFmt w:val="decimal"/>
      <w:lvlText w:val="%7."/>
      <w:lvlJc w:val="left"/>
      <w:pPr>
        <w:ind w:left="5040" w:hanging="360"/>
      </w:pPr>
    </w:lvl>
    <w:lvl w:ilvl="7" w:tplc="E03278C6" w:tentative="1">
      <w:start w:val="1"/>
      <w:numFmt w:val="lowerLetter"/>
      <w:lvlText w:val="%8."/>
      <w:lvlJc w:val="left"/>
      <w:pPr>
        <w:ind w:left="5760" w:hanging="360"/>
      </w:pPr>
    </w:lvl>
    <w:lvl w:ilvl="8" w:tplc="AECC7A9C" w:tentative="1">
      <w:start w:val="1"/>
      <w:numFmt w:val="lowerRoman"/>
      <w:lvlText w:val="%9."/>
      <w:lvlJc w:val="right"/>
      <w:pPr>
        <w:ind w:left="6480" w:hanging="180"/>
      </w:pPr>
    </w:lvl>
  </w:abstractNum>
  <w:abstractNum w:abstractNumId="17" w15:restartNumberingAfterBreak="0">
    <w:nsid w:val="32AD5A03"/>
    <w:multiLevelType w:val="hybridMultilevel"/>
    <w:tmpl w:val="23C0C462"/>
    <w:lvl w:ilvl="0" w:tplc="274CDA22">
      <w:start w:val="51"/>
      <w:numFmt w:val="bullet"/>
      <w:lvlText w:val=""/>
      <w:lvlJc w:val="left"/>
      <w:pPr>
        <w:ind w:left="720" w:hanging="360"/>
      </w:pPr>
      <w:rPr>
        <w:rFonts w:ascii="Wingdings" w:eastAsia="Times New Roman" w:hAnsi="Wingdings" w:cs="FrankRuehl" w:hint="default"/>
      </w:rPr>
    </w:lvl>
    <w:lvl w:ilvl="1" w:tplc="07F21904" w:tentative="1">
      <w:start w:val="1"/>
      <w:numFmt w:val="bullet"/>
      <w:lvlText w:val="o"/>
      <w:lvlJc w:val="left"/>
      <w:pPr>
        <w:ind w:left="1440" w:hanging="360"/>
      </w:pPr>
      <w:rPr>
        <w:rFonts w:ascii="Courier New" w:hAnsi="Courier New" w:cs="Courier New" w:hint="default"/>
      </w:rPr>
    </w:lvl>
    <w:lvl w:ilvl="2" w:tplc="1C486A7C" w:tentative="1">
      <w:start w:val="1"/>
      <w:numFmt w:val="bullet"/>
      <w:lvlText w:val=""/>
      <w:lvlJc w:val="left"/>
      <w:pPr>
        <w:ind w:left="2160" w:hanging="360"/>
      </w:pPr>
      <w:rPr>
        <w:rFonts w:ascii="Wingdings" w:hAnsi="Wingdings" w:hint="default"/>
      </w:rPr>
    </w:lvl>
    <w:lvl w:ilvl="3" w:tplc="B1E67114" w:tentative="1">
      <w:start w:val="1"/>
      <w:numFmt w:val="bullet"/>
      <w:lvlText w:val=""/>
      <w:lvlJc w:val="left"/>
      <w:pPr>
        <w:ind w:left="2880" w:hanging="360"/>
      </w:pPr>
      <w:rPr>
        <w:rFonts w:ascii="Symbol" w:hAnsi="Symbol" w:hint="default"/>
      </w:rPr>
    </w:lvl>
    <w:lvl w:ilvl="4" w:tplc="8682A7AA" w:tentative="1">
      <w:start w:val="1"/>
      <w:numFmt w:val="bullet"/>
      <w:lvlText w:val="o"/>
      <w:lvlJc w:val="left"/>
      <w:pPr>
        <w:ind w:left="3600" w:hanging="360"/>
      </w:pPr>
      <w:rPr>
        <w:rFonts w:ascii="Courier New" w:hAnsi="Courier New" w:cs="Courier New" w:hint="default"/>
      </w:rPr>
    </w:lvl>
    <w:lvl w:ilvl="5" w:tplc="A5FE920C" w:tentative="1">
      <w:start w:val="1"/>
      <w:numFmt w:val="bullet"/>
      <w:lvlText w:val=""/>
      <w:lvlJc w:val="left"/>
      <w:pPr>
        <w:ind w:left="4320" w:hanging="360"/>
      </w:pPr>
      <w:rPr>
        <w:rFonts w:ascii="Wingdings" w:hAnsi="Wingdings" w:hint="default"/>
      </w:rPr>
    </w:lvl>
    <w:lvl w:ilvl="6" w:tplc="83747E98" w:tentative="1">
      <w:start w:val="1"/>
      <w:numFmt w:val="bullet"/>
      <w:lvlText w:val=""/>
      <w:lvlJc w:val="left"/>
      <w:pPr>
        <w:ind w:left="5040" w:hanging="360"/>
      </w:pPr>
      <w:rPr>
        <w:rFonts w:ascii="Symbol" w:hAnsi="Symbol" w:hint="default"/>
      </w:rPr>
    </w:lvl>
    <w:lvl w:ilvl="7" w:tplc="02163D5C" w:tentative="1">
      <w:start w:val="1"/>
      <w:numFmt w:val="bullet"/>
      <w:lvlText w:val="o"/>
      <w:lvlJc w:val="left"/>
      <w:pPr>
        <w:ind w:left="5760" w:hanging="360"/>
      </w:pPr>
      <w:rPr>
        <w:rFonts w:ascii="Courier New" w:hAnsi="Courier New" w:cs="Courier New" w:hint="default"/>
      </w:rPr>
    </w:lvl>
    <w:lvl w:ilvl="8" w:tplc="40882146" w:tentative="1">
      <w:start w:val="1"/>
      <w:numFmt w:val="bullet"/>
      <w:lvlText w:val=""/>
      <w:lvlJc w:val="left"/>
      <w:pPr>
        <w:ind w:left="6480" w:hanging="360"/>
      </w:pPr>
      <w:rPr>
        <w:rFonts w:ascii="Wingdings" w:hAnsi="Wingdings" w:hint="default"/>
      </w:rPr>
    </w:lvl>
  </w:abstractNum>
  <w:abstractNum w:abstractNumId="18" w15:restartNumberingAfterBreak="0">
    <w:nsid w:val="47E02CE3"/>
    <w:multiLevelType w:val="hybridMultilevel"/>
    <w:tmpl w:val="6A804532"/>
    <w:lvl w:ilvl="0" w:tplc="02D606D0">
      <w:start w:val="1"/>
      <w:numFmt w:val="hebrew1"/>
      <w:lvlText w:val="%1."/>
      <w:lvlJc w:val="center"/>
      <w:pPr>
        <w:ind w:left="720" w:hanging="360"/>
      </w:pPr>
    </w:lvl>
    <w:lvl w:ilvl="1" w:tplc="AD90099E" w:tentative="1">
      <w:start w:val="1"/>
      <w:numFmt w:val="lowerLetter"/>
      <w:lvlText w:val="%2."/>
      <w:lvlJc w:val="left"/>
      <w:pPr>
        <w:ind w:left="1440" w:hanging="360"/>
      </w:pPr>
    </w:lvl>
    <w:lvl w:ilvl="2" w:tplc="39BA052A" w:tentative="1">
      <w:start w:val="1"/>
      <w:numFmt w:val="lowerRoman"/>
      <w:lvlText w:val="%3."/>
      <w:lvlJc w:val="right"/>
      <w:pPr>
        <w:ind w:left="2160" w:hanging="180"/>
      </w:pPr>
    </w:lvl>
    <w:lvl w:ilvl="3" w:tplc="8A288CC4" w:tentative="1">
      <w:start w:val="1"/>
      <w:numFmt w:val="decimal"/>
      <w:lvlText w:val="%4."/>
      <w:lvlJc w:val="left"/>
      <w:pPr>
        <w:ind w:left="2880" w:hanging="360"/>
      </w:pPr>
    </w:lvl>
    <w:lvl w:ilvl="4" w:tplc="D7D490D8" w:tentative="1">
      <w:start w:val="1"/>
      <w:numFmt w:val="lowerLetter"/>
      <w:lvlText w:val="%5."/>
      <w:lvlJc w:val="left"/>
      <w:pPr>
        <w:ind w:left="3600" w:hanging="360"/>
      </w:pPr>
    </w:lvl>
    <w:lvl w:ilvl="5" w:tplc="308E26B8" w:tentative="1">
      <w:start w:val="1"/>
      <w:numFmt w:val="lowerRoman"/>
      <w:lvlText w:val="%6."/>
      <w:lvlJc w:val="right"/>
      <w:pPr>
        <w:ind w:left="4320" w:hanging="180"/>
      </w:pPr>
    </w:lvl>
    <w:lvl w:ilvl="6" w:tplc="ADEA6964" w:tentative="1">
      <w:start w:val="1"/>
      <w:numFmt w:val="decimal"/>
      <w:lvlText w:val="%7."/>
      <w:lvlJc w:val="left"/>
      <w:pPr>
        <w:ind w:left="5040" w:hanging="360"/>
      </w:pPr>
    </w:lvl>
    <w:lvl w:ilvl="7" w:tplc="BA3E59E2" w:tentative="1">
      <w:start w:val="1"/>
      <w:numFmt w:val="lowerLetter"/>
      <w:lvlText w:val="%8."/>
      <w:lvlJc w:val="left"/>
      <w:pPr>
        <w:ind w:left="5760" w:hanging="360"/>
      </w:pPr>
    </w:lvl>
    <w:lvl w:ilvl="8" w:tplc="BF34B0B2" w:tentative="1">
      <w:start w:val="1"/>
      <w:numFmt w:val="lowerRoman"/>
      <w:lvlText w:val="%9."/>
      <w:lvlJc w:val="right"/>
      <w:pPr>
        <w:ind w:left="6480" w:hanging="180"/>
      </w:pPr>
    </w:lvl>
  </w:abstractNum>
  <w:abstractNum w:abstractNumId="19" w15:restartNumberingAfterBreak="0">
    <w:nsid w:val="4FE70B62"/>
    <w:multiLevelType w:val="hybridMultilevel"/>
    <w:tmpl w:val="ADA8711E"/>
    <w:lvl w:ilvl="0" w:tplc="848C9494">
      <w:start w:val="1"/>
      <w:numFmt w:val="hebrew1"/>
      <w:pStyle w:val="Ruller40"/>
      <w:lvlText w:val="%1."/>
      <w:lvlJc w:val="left"/>
      <w:pPr>
        <w:tabs>
          <w:tab w:val="num" w:pos="907"/>
        </w:tabs>
        <w:ind w:left="0" w:firstLine="0"/>
      </w:pPr>
      <w:rPr>
        <w:rFonts w:hint="default"/>
      </w:rPr>
    </w:lvl>
    <w:lvl w:ilvl="1" w:tplc="98662D02" w:tentative="1">
      <w:start w:val="1"/>
      <w:numFmt w:val="lowerLetter"/>
      <w:lvlText w:val="%2."/>
      <w:lvlJc w:val="left"/>
      <w:pPr>
        <w:tabs>
          <w:tab w:val="num" w:pos="1440"/>
        </w:tabs>
        <w:ind w:left="1440" w:hanging="360"/>
      </w:pPr>
    </w:lvl>
    <w:lvl w:ilvl="2" w:tplc="303A8346" w:tentative="1">
      <w:start w:val="1"/>
      <w:numFmt w:val="lowerRoman"/>
      <w:lvlText w:val="%3."/>
      <w:lvlJc w:val="right"/>
      <w:pPr>
        <w:tabs>
          <w:tab w:val="num" w:pos="2160"/>
        </w:tabs>
        <w:ind w:left="2160" w:hanging="180"/>
      </w:pPr>
    </w:lvl>
    <w:lvl w:ilvl="3" w:tplc="894E080C" w:tentative="1">
      <w:start w:val="1"/>
      <w:numFmt w:val="decimal"/>
      <w:lvlText w:val="%4."/>
      <w:lvlJc w:val="left"/>
      <w:pPr>
        <w:tabs>
          <w:tab w:val="num" w:pos="2880"/>
        </w:tabs>
        <w:ind w:left="2880" w:hanging="360"/>
      </w:pPr>
    </w:lvl>
    <w:lvl w:ilvl="4" w:tplc="ECECCB42" w:tentative="1">
      <w:start w:val="1"/>
      <w:numFmt w:val="lowerLetter"/>
      <w:lvlText w:val="%5."/>
      <w:lvlJc w:val="left"/>
      <w:pPr>
        <w:tabs>
          <w:tab w:val="num" w:pos="3600"/>
        </w:tabs>
        <w:ind w:left="3600" w:hanging="360"/>
      </w:pPr>
    </w:lvl>
    <w:lvl w:ilvl="5" w:tplc="6114C15C" w:tentative="1">
      <w:start w:val="1"/>
      <w:numFmt w:val="lowerRoman"/>
      <w:lvlText w:val="%6."/>
      <w:lvlJc w:val="right"/>
      <w:pPr>
        <w:tabs>
          <w:tab w:val="num" w:pos="4320"/>
        </w:tabs>
        <w:ind w:left="4320" w:hanging="180"/>
      </w:pPr>
    </w:lvl>
    <w:lvl w:ilvl="6" w:tplc="661E263E" w:tentative="1">
      <w:start w:val="1"/>
      <w:numFmt w:val="decimal"/>
      <w:lvlText w:val="%7."/>
      <w:lvlJc w:val="left"/>
      <w:pPr>
        <w:tabs>
          <w:tab w:val="num" w:pos="5040"/>
        </w:tabs>
        <w:ind w:left="5040" w:hanging="360"/>
      </w:pPr>
    </w:lvl>
    <w:lvl w:ilvl="7" w:tplc="7552515A" w:tentative="1">
      <w:start w:val="1"/>
      <w:numFmt w:val="lowerLetter"/>
      <w:lvlText w:val="%8."/>
      <w:lvlJc w:val="left"/>
      <w:pPr>
        <w:tabs>
          <w:tab w:val="num" w:pos="5760"/>
        </w:tabs>
        <w:ind w:left="5760" w:hanging="360"/>
      </w:pPr>
    </w:lvl>
    <w:lvl w:ilvl="8" w:tplc="5558812E" w:tentative="1">
      <w:start w:val="1"/>
      <w:numFmt w:val="lowerRoman"/>
      <w:lvlText w:val="%9."/>
      <w:lvlJc w:val="right"/>
      <w:pPr>
        <w:tabs>
          <w:tab w:val="num" w:pos="6480"/>
        </w:tabs>
        <w:ind w:left="6480" w:hanging="180"/>
      </w:pPr>
    </w:lvl>
  </w:abstractNum>
  <w:abstractNum w:abstractNumId="20" w15:restartNumberingAfterBreak="0">
    <w:nsid w:val="531F2684"/>
    <w:multiLevelType w:val="hybridMultilevel"/>
    <w:tmpl w:val="7EBEE736"/>
    <w:lvl w:ilvl="0" w:tplc="E0B082DC">
      <w:start w:val="1"/>
      <w:numFmt w:val="hebrew1"/>
      <w:lvlText w:val="%1."/>
      <w:lvlJc w:val="center"/>
      <w:pPr>
        <w:ind w:left="720" w:hanging="360"/>
      </w:pPr>
    </w:lvl>
    <w:lvl w:ilvl="1" w:tplc="C9A4498C" w:tentative="1">
      <w:start w:val="1"/>
      <w:numFmt w:val="lowerLetter"/>
      <w:lvlText w:val="%2."/>
      <w:lvlJc w:val="left"/>
      <w:pPr>
        <w:ind w:left="1440" w:hanging="360"/>
      </w:pPr>
    </w:lvl>
    <w:lvl w:ilvl="2" w:tplc="CC00D966" w:tentative="1">
      <w:start w:val="1"/>
      <w:numFmt w:val="lowerRoman"/>
      <w:lvlText w:val="%3."/>
      <w:lvlJc w:val="right"/>
      <w:pPr>
        <w:ind w:left="2160" w:hanging="180"/>
      </w:pPr>
    </w:lvl>
    <w:lvl w:ilvl="3" w:tplc="A3AA4008" w:tentative="1">
      <w:start w:val="1"/>
      <w:numFmt w:val="decimal"/>
      <w:lvlText w:val="%4."/>
      <w:lvlJc w:val="left"/>
      <w:pPr>
        <w:ind w:left="2880" w:hanging="360"/>
      </w:pPr>
    </w:lvl>
    <w:lvl w:ilvl="4" w:tplc="C7E89E28" w:tentative="1">
      <w:start w:val="1"/>
      <w:numFmt w:val="lowerLetter"/>
      <w:lvlText w:val="%5."/>
      <w:lvlJc w:val="left"/>
      <w:pPr>
        <w:ind w:left="3600" w:hanging="360"/>
      </w:pPr>
    </w:lvl>
    <w:lvl w:ilvl="5" w:tplc="CEBEF4CC" w:tentative="1">
      <w:start w:val="1"/>
      <w:numFmt w:val="lowerRoman"/>
      <w:lvlText w:val="%6."/>
      <w:lvlJc w:val="right"/>
      <w:pPr>
        <w:ind w:left="4320" w:hanging="180"/>
      </w:pPr>
    </w:lvl>
    <w:lvl w:ilvl="6" w:tplc="F920DBAA" w:tentative="1">
      <w:start w:val="1"/>
      <w:numFmt w:val="decimal"/>
      <w:lvlText w:val="%7."/>
      <w:lvlJc w:val="left"/>
      <w:pPr>
        <w:ind w:left="5040" w:hanging="360"/>
      </w:pPr>
    </w:lvl>
    <w:lvl w:ilvl="7" w:tplc="AD4CD414" w:tentative="1">
      <w:start w:val="1"/>
      <w:numFmt w:val="lowerLetter"/>
      <w:lvlText w:val="%8."/>
      <w:lvlJc w:val="left"/>
      <w:pPr>
        <w:ind w:left="5760" w:hanging="360"/>
      </w:pPr>
    </w:lvl>
    <w:lvl w:ilvl="8" w:tplc="997CC952" w:tentative="1">
      <w:start w:val="1"/>
      <w:numFmt w:val="lowerRoman"/>
      <w:lvlText w:val="%9."/>
      <w:lvlJc w:val="right"/>
      <w:pPr>
        <w:ind w:left="6480" w:hanging="180"/>
      </w:pPr>
    </w:lvl>
  </w:abstractNum>
  <w:abstractNum w:abstractNumId="21" w15:restartNumberingAfterBreak="0">
    <w:nsid w:val="54E7765E"/>
    <w:multiLevelType w:val="hybridMultilevel"/>
    <w:tmpl w:val="D6E8094A"/>
    <w:lvl w:ilvl="0" w:tplc="9C142A4A">
      <w:start w:val="1"/>
      <w:numFmt w:val="hebrew1"/>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5B004CA0"/>
    <w:multiLevelType w:val="hybridMultilevel"/>
    <w:tmpl w:val="29589FB6"/>
    <w:lvl w:ilvl="0" w:tplc="AF04B4C8">
      <w:start w:val="1"/>
      <w:numFmt w:val="hebrew1"/>
      <w:lvlText w:val="%1."/>
      <w:lvlJc w:val="left"/>
      <w:pPr>
        <w:ind w:left="720" w:hanging="360"/>
      </w:pPr>
      <w:rPr>
        <w:rFonts w:hint="default"/>
      </w:rPr>
    </w:lvl>
    <w:lvl w:ilvl="1" w:tplc="D310BB02" w:tentative="1">
      <w:start w:val="1"/>
      <w:numFmt w:val="lowerLetter"/>
      <w:lvlText w:val="%2."/>
      <w:lvlJc w:val="left"/>
      <w:pPr>
        <w:ind w:left="1440" w:hanging="360"/>
      </w:pPr>
    </w:lvl>
    <w:lvl w:ilvl="2" w:tplc="DAD4A03E" w:tentative="1">
      <w:start w:val="1"/>
      <w:numFmt w:val="lowerRoman"/>
      <w:lvlText w:val="%3."/>
      <w:lvlJc w:val="right"/>
      <w:pPr>
        <w:ind w:left="2160" w:hanging="180"/>
      </w:pPr>
    </w:lvl>
    <w:lvl w:ilvl="3" w:tplc="154EBEC6" w:tentative="1">
      <w:start w:val="1"/>
      <w:numFmt w:val="decimal"/>
      <w:lvlText w:val="%4."/>
      <w:lvlJc w:val="left"/>
      <w:pPr>
        <w:ind w:left="2880" w:hanging="360"/>
      </w:pPr>
    </w:lvl>
    <w:lvl w:ilvl="4" w:tplc="3E907BDE" w:tentative="1">
      <w:start w:val="1"/>
      <w:numFmt w:val="lowerLetter"/>
      <w:lvlText w:val="%5."/>
      <w:lvlJc w:val="left"/>
      <w:pPr>
        <w:ind w:left="3600" w:hanging="360"/>
      </w:pPr>
    </w:lvl>
    <w:lvl w:ilvl="5" w:tplc="64244A58" w:tentative="1">
      <w:start w:val="1"/>
      <w:numFmt w:val="lowerRoman"/>
      <w:lvlText w:val="%6."/>
      <w:lvlJc w:val="right"/>
      <w:pPr>
        <w:ind w:left="4320" w:hanging="180"/>
      </w:pPr>
    </w:lvl>
    <w:lvl w:ilvl="6" w:tplc="6C5C7786" w:tentative="1">
      <w:start w:val="1"/>
      <w:numFmt w:val="decimal"/>
      <w:lvlText w:val="%7."/>
      <w:lvlJc w:val="left"/>
      <w:pPr>
        <w:ind w:left="5040" w:hanging="360"/>
      </w:pPr>
    </w:lvl>
    <w:lvl w:ilvl="7" w:tplc="C074A6CA" w:tentative="1">
      <w:start w:val="1"/>
      <w:numFmt w:val="lowerLetter"/>
      <w:lvlText w:val="%8."/>
      <w:lvlJc w:val="left"/>
      <w:pPr>
        <w:ind w:left="5760" w:hanging="360"/>
      </w:pPr>
    </w:lvl>
    <w:lvl w:ilvl="8" w:tplc="1F7C3FBA" w:tentative="1">
      <w:start w:val="1"/>
      <w:numFmt w:val="lowerRoman"/>
      <w:lvlText w:val="%9."/>
      <w:lvlJc w:val="right"/>
      <w:pPr>
        <w:ind w:left="6480" w:hanging="180"/>
      </w:pPr>
    </w:lvl>
  </w:abstractNum>
  <w:abstractNum w:abstractNumId="23" w15:restartNumberingAfterBreak="0">
    <w:nsid w:val="62953570"/>
    <w:multiLevelType w:val="hybridMultilevel"/>
    <w:tmpl w:val="83C46DBA"/>
    <w:lvl w:ilvl="0" w:tplc="7CDEAE78">
      <w:start w:val="1"/>
      <w:numFmt w:val="hebrew1"/>
      <w:lvlText w:val="%1."/>
      <w:lvlJc w:val="left"/>
      <w:pPr>
        <w:ind w:left="720" w:hanging="360"/>
      </w:pPr>
      <w:rPr>
        <w:rFonts w:hint="default"/>
      </w:rPr>
    </w:lvl>
    <w:lvl w:ilvl="1" w:tplc="C13C9EA4" w:tentative="1">
      <w:start w:val="1"/>
      <w:numFmt w:val="lowerLetter"/>
      <w:lvlText w:val="%2."/>
      <w:lvlJc w:val="left"/>
      <w:pPr>
        <w:ind w:left="1440" w:hanging="360"/>
      </w:pPr>
    </w:lvl>
    <w:lvl w:ilvl="2" w:tplc="67CED400" w:tentative="1">
      <w:start w:val="1"/>
      <w:numFmt w:val="lowerRoman"/>
      <w:lvlText w:val="%3."/>
      <w:lvlJc w:val="right"/>
      <w:pPr>
        <w:ind w:left="2160" w:hanging="180"/>
      </w:pPr>
    </w:lvl>
    <w:lvl w:ilvl="3" w:tplc="A724ABD8" w:tentative="1">
      <w:start w:val="1"/>
      <w:numFmt w:val="decimal"/>
      <w:lvlText w:val="%4."/>
      <w:lvlJc w:val="left"/>
      <w:pPr>
        <w:ind w:left="2880" w:hanging="360"/>
      </w:pPr>
    </w:lvl>
    <w:lvl w:ilvl="4" w:tplc="2F0435B2" w:tentative="1">
      <w:start w:val="1"/>
      <w:numFmt w:val="lowerLetter"/>
      <w:lvlText w:val="%5."/>
      <w:lvlJc w:val="left"/>
      <w:pPr>
        <w:ind w:left="3600" w:hanging="360"/>
      </w:pPr>
    </w:lvl>
    <w:lvl w:ilvl="5" w:tplc="7396CFD0" w:tentative="1">
      <w:start w:val="1"/>
      <w:numFmt w:val="lowerRoman"/>
      <w:lvlText w:val="%6."/>
      <w:lvlJc w:val="right"/>
      <w:pPr>
        <w:ind w:left="4320" w:hanging="180"/>
      </w:pPr>
    </w:lvl>
    <w:lvl w:ilvl="6" w:tplc="1206F15A" w:tentative="1">
      <w:start w:val="1"/>
      <w:numFmt w:val="decimal"/>
      <w:lvlText w:val="%7."/>
      <w:lvlJc w:val="left"/>
      <w:pPr>
        <w:ind w:left="5040" w:hanging="360"/>
      </w:pPr>
    </w:lvl>
    <w:lvl w:ilvl="7" w:tplc="CDF6E894" w:tentative="1">
      <w:start w:val="1"/>
      <w:numFmt w:val="lowerLetter"/>
      <w:lvlText w:val="%8."/>
      <w:lvlJc w:val="left"/>
      <w:pPr>
        <w:ind w:left="5760" w:hanging="360"/>
      </w:pPr>
    </w:lvl>
    <w:lvl w:ilvl="8" w:tplc="26F03D3A" w:tentative="1">
      <w:start w:val="1"/>
      <w:numFmt w:val="lowerRoman"/>
      <w:lvlText w:val="%9."/>
      <w:lvlJc w:val="right"/>
      <w:pPr>
        <w:ind w:left="6480" w:hanging="180"/>
      </w:pPr>
    </w:lvl>
  </w:abstractNum>
  <w:abstractNum w:abstractNumId="24" w15:restartNumberingAfterBreak="0">
    <w:nsid w:val="6C5F5854"/>
    <w:multiLevelType w:val="hybridMultilevel"/>
    <w:tmpl w:val="A0E02FCC"/>
    <w:lvl w:ilvl="0" w:tplc="DB1419E6">
      <w:start w:val="1"/>
      <w:numFmt w:val="hebrew1"/>
      <w:lvlText w:val="%1."/>
      <w:lvlJc w:val="center"/>
      <w:pPr>
        <w:ind w:left="720" w:hanging="360"/>
      </w:pPr>
    </w:lvl>
    <w:lvl w:ilvl="1" w:tplc="170C8532" w:tentative="1">
      <w:start w:val="1"/>
      <w:numFmt w:val="lowerLetter"/>
      <w:lvlText w:val="%2."/>
      <w:lvlJc w:val="left"/>
      <w:pPr>
        <w:ind w:left="1440" w:hanging="360"/>
      </w:pPr>
    </w:lvl>
    <w:lvl w:ilvl="2" w:tplc="53541F50" w:tentative="1">
      <w:start w:val="1"/>
      <w:numFmt w:val="lowerRoman"/>
      <w:lvlText w:val="%3."/>
      <w:lvlJc w:val="right"/>
      <w:pPr>
        <w:ind w:left="2160" w:hanging="180"/>
      </w:pPr>
    </w:lvl>
    <w:lvl w:ilvl="3" w:tplc="AE86B8A4" w:tentative="1">
      <w:start w:val="1"/>
      <w:numFmt w:val="decimal"/>
      <w:lvlText w:val="%4."/>
      <w:lvlJc w:val="left"/>
      <w:pPr>
        <w:ind w:left="2880" w:hanging="360"/>
      </w:pPr>
    </w:lvl>
    <w:lvl w:ilvl="4" w:tplc="F0629082" w:tentative="1">
      <w:start w:val="1"/>
      <w:numFmt w:val="lowerLetter"/>
      <w:lvlText w:val="%5."/>
      <w:lvlJc w:val="left"/>
      <w:pPr>
        <w:ind w:left="3600" w:hanging="360"/>
      </w:pPr>
    </w:lvl>
    <w:lvl w:ilvl="5" w:tplc="482C1A6E" w:tentative="1">
      <w:start w:val="1"/>
      <w:numFmt w:val="lowerRoman"/>
      <w:lvlText w:val="%6."/>
      <w:lvlJc w:val="right"/>
      <w:pPr>
        <w:ind w:left="4320" w:hanging="180"/>
      </w:pPr>
    </w:lvl>
    <w:lvl w:ilvl="6" w:tplc="6E74C68E" w:tentative="1">
      <w:start w:val="1"/>
      <w:numFmt w:val="decimal"/>
      <w:lvlText w:val="%7."/>
      <w:lvlJc w:val="left"/>
      <w:pPr>
        <w:ind w:left="5040" w:hanging="360"/>
      </w:pPr>
    </w:lvl>
    <w:lvl w:ilvl="7" w:tplc="EBB07266" w:tentative="1">
      <w:start w:val="1"/>
      <w:numFmt w:val="lowerLetter"/>
      <w:lvlText w:val="%8."/>
      <w:lvlJc w:val="left"/>
      <w:pPr>
        <w:ind w:left="5760" w:hanging="360"/>
      </w:pPr>
    </w:lvl>
    <w:lvl w:ilvl="8" w:tplc="3C6ECE2C" w:tentative="1">
      <w:start w:val="1"/>
      <w:numFmt w:val="lowerRoman"/>
      <w:lvlText w:val="%9."/>
      <w:lvlJc w:val="right"/>
      <w:pPr>
        <w:ind w:left="6480" w:hanging="180"/>
      </w:pPr>
    </w:lvl>
  </w:abstractNum>
  <w:abstractNum w:abstractNumId="25" w15:restartNumberingAfterBreak="0">
    <w:nsid w:val="75FA5651"/>
    <w:multiLevelType w:val="hybridMultilevel"/>
    <w:tmpl w:val="E7F8C7F0"/>
    <w:lvl w:ilvl="0" w:tplc="689A5A4C">
      <w:start w:val="1"/>
      <w:numFmt w:val="decimal"/>
      <w:lvlText w:val="(%1)"/>
      <w:lvlJc w:val="left"/>
      <w:pPr>
        <w:ind w:left="1155" w:hanging="360"/>
      </w:pPr>
      <w:rPr>
        <w:rFonts w:ascii="Century" w:hAnsi="Century" w:hint="default"/>
      </w:rPr>
    </w:lvl>
    <w:lvl w:ilvl="1" w:tplc="A694037E" w:tentative="1">
      <w:start w:val="1"/>
      <w:numFmt w:val="lowerLetter"/>
      <w:lvlText w:val="%2."/>
      <w:lvlJc w:val="left"/>
      <w:pPr>
        <w:ind w:left="1875" w:hanging="360"/>
      </w:pPr>
    </w:lvl>
    <w:lvl w:ilvl="2" w:tplc="70168DE6" w:tentative="1">
      <w:start w:val="1"/>
      <w:numFmt w:val="lowerRoman"/>
      <w:lvlText w:val="%3."/>
      <w:lvlJc w:val="right"/>
      <w:pPr>
        <w:ind w:left="2595" w:hanging="180"/>
      </w:pPr>
    </w:lvl>
    <w:lvl w:ilvl="3" w:tplc="5CC69120" w:tentative="1">
      <w:start w:val="1"/>
      <w:numFmt w:val="decimal"/>
      <w:lvlText w:val="%4."/>
      <w:lvlJc w:val="left"/>
      <w:pPr>
        <w:ind w:left="3315" w:hanging="360"/>
      </w:pPr>
    </w:lvl>
    <w:lvl w:ilvl="4" w:tplc="FDC2C06E" w:tentative="1">
      <w:start w:val="1"/>
      <w:numFmt w:val="lowerLetter"/>
      <w:lvlText w:val="%5."/>
      <w:lvlJc w:val="left"/>
      <w:pPr>
        <w:ind w:left="4035" w:hanging="360"/>
      </w:pPr>
    </w:lvl>
    <w:lvl w:ilvl="5" w:tplc="D07824AE" w:tentative="1">
      <w:start w:val="1"/>
      <w:numFmt w:val="lowerRoman"/>
      <w:lvlText w:val="%6."/>
      <w:lvlJc w:val="right"/>
      <w:pPr>
        <w:ind w:left="4755" w:hanging="180"/>
      </w:pPr>
    </w:lvl>
    <w:lvl w:ilvl="6" w:tplc="A6DCB376" w:tentative="1">
      <w:start w:val="1"/>
      <w:numFmt w:val="decimal"/>
      <w:lvlText w:val="%7."/>
      <w:lvlJc w:val="left"/>
      <w:pPr>
        <w:ind w:left="5475" w:hanging="360"/>
      </w:pPr>
    </w:lvl>
    <w:lvl w:ilvl="7" w:tplc="4008F0A8" w:tentative="1">
      <w:start w:val="1"/>
      <w:numFmt w:val="lowerLetter"/>
      <w:lvlText w:val="%8."/>
      <w:lvlJc w:val="left"/>
      <w:pPr>
        <w:ind w:left="6195" w:hanging="360"/>
      </w:pPr>
    </w:lvl>
    <w:lvl w:ilvl="8" w:tplc="F632A480" w:tentative="1">
      <w:start w:val="1"/>
      <w:numFmt w:val="lowerRoman"/>
      <w:lvlText w:val="%9."/>
      <w:lvlJc w:val="right"/>
      <w:pPr>
        <w:ind w:left="6915" w:hanging="180"/>
      </w:pPr>
    </w:lvl>
  </w:abstractNum>
  <w:abstractNum w:abstractNumId="26" w15:restartNumberingAfterBreak="0">
    <w:nsid w:val="7875035C"/>
    <w:multiLevelType w:val="multilevel"/>
    <w:tmpl w:val="2A602BA4"/>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9"/>
  </w:num>
  <w:num w:numId="13">
    <w:abstractNumId w:val="14"/>
  </w:num>
  <w:num w:numId="14">
    <w:abstractNumId w:val="23"/>
  </w:num>
  <w:num w:numId="15">
    <w:abstractNumId w:val="26"/>
  </w:num>
  <w:num w:numId="16">
    <w:abstractNumId w:val="10"/>
  </w:num>
  <w:num w:numId="17">
    <w:abstractNumId w:val="25"/>
  </w:num>
  <w:num w:numId="18">
    <w:abstractNumId w:val="17"/>
  </w:num>
  <w:num w:numId="19">
    <w:abstractNumId w:val="13"/>
  </w:num>
  <w:num w:numId="20">
    <w:abstractNumId w:val="22"/>
  </w:num>
  <w:num w:numId="21">
    <w:abstractNumId w:val="12"/>
  </w:num>
  <w:num w:numId="22">
    <w:abstractNumId w:val="21"/>
  </w:num>
  <w:num w:numId="23">
    <w:abstractNumId w:val="15"/>
  </w:num>
  <w:num w:numId="24">
    <w:abstractNumId w:val="20"/>
  </w:num>
  <w:num w:numId="25">
    <w:abstractNumId w:val="16"/>
  </w:num>
  <w:num w:numId="26">
    <w:abstractNumId w:val="24"/>
  </w:num>
  <w:num w:numId="27">
    <w:abstractNumId w:val="18"/>
  </w:num>
  <w:num w:numId="28">
    <w:abstractNumId w:val="1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014F0"/>
    <w:rsid w:val="00016EF1"/>
    <w:rsid w:val="00032036"/>
    <w:rsid w:val="00036227"/>
    <w:rsid w:val="00044953"/>
    <w:rsid w:val="00045B4D"/>
    <w:rsid w:val="000725F5"/>
    <w:rsid w:val="00072AD2"/>
    <w:rsid w:val="000B1478"/>
    <w:rsid w:val="000C4160"/>
    <w:rsid w:val="000C4690"/>
    <w:rsid w:val="000D25C4"/>
    <w:rsid w:val="00121327"/>
    <w:rsid w:val="00134A67"/>
    <w:rsid w:val="00142653"/>
    <w:rsid w:val="001429CE"/>
    <w:rsid w:val="001A0164"/>
    <w:rsid w:val="00200D6B"/>
    <w:rsid w:val="00265F6E"/>
    <w:rsid w:val="002876BF"/>
    <w:rsid w:val="002A4A7A"/>
    <w:rsid w:val="002A4BF3"/>
    <w:rsid w:val="002F7BB6"/>
    <w:rsid w:val="00342DDD"/>
    <w:rsid w:val="003448B2"/>
    <w:rsid w:val="003465F1"/>
    <w:rsid w:val="00361DB2"/>
    <w:rsid w:val="00374BCF"/>
    <w:rsid w:val="0037622E"/>
    <w:rsid w:val="00377102"/>
    <w:rsid w:val="0039709B"/>
    <w:rsid w:val="003D72DA"/>
    <w:rsid w:val="003F1F97"/>
    <w:rsid w:val="0041048F"/>
    <w:rsid w:val="00437D59"/>
    <w:rsid w:val="004610A4"/>
    <w:rsid w:val="0049039C"/>
    <w:rsid w:val="00493D1F"/>
    <w:rsid w:val="004B2179"/>
    <w:rsid w:val="004B29FF"/>
    <w:rsid w:val="004B4200"/>
    <w:rsid w:val="004B51B6"/>
    <w:rsid w:val="004C7868"/>
    <w:rsid w:val="004D0BB5"/>
    <w:rsid w:val="004E0922"/>
    <w:rsid w:val="00503A3E"/>
    <w:rsid w:val="00527F02"/>
    <w:rsid w:val="00563218"/>
    <w:rsid w:val="005803E2"/>
    <w:rsid w:val="0058440A"/>
    <w:rsid w:val="00591983"/>
    <w:rsid w:val="005E61F9"/>
    <w:rsid w:val="005F62FF"/>
    <w:rsid w:val="00624A42"/>
    <w:rsid w:val="0065522F"/>
    <w:rsid w:val="0068352D"/>
    <w:rsid w:val="006A30F7"/>
    <w:rsid w:val="006C42AD"/>
    <w:rsid w:val="00725345"/>
    <w:rsid w:val="00733BD3"/>
    <w:rsid w:val="00741CC0"/>
    <w:rsid w:val="0076128E"/>
    <w:rsid w:val="007B512F"/>
    <w:rsid w:val="007F7512"/>
    <w:rsid w:val="00810894"/>
    <w:rsid w:val="008143AB"/>
    <w:rsid w:val="0083345F"/>
    <w:rsid w:val="00836667"/>
    <w:rsid w:val="00866D0F"/>
    <w:rsid w:val="008A374F"/>
    <w:rsid w:val="008B3136"/>
    <w:rsid w:val="008C2F11"/>
    <w:rsid w:val="008D6D79"/>
    <w:rsid w:val="008D78B9"/>
    <w:rsid w:val="008E3F85"/>
    <w:rsid w:val="009051E8"/>
    <w:rsid w:val="00911E61"/>
    <w:rsid w:val="00914156"/>
    <w:rsid w:val="00914A20"/>
    <w:rsid w:val="00916FF8"/>
    <w:rsid w:val="00922093"/>
    <w:rsid w:val="00930C85"/>
    <w:rsid w:val="00981881"/>
    <w:rsid w:val="009B38DA"/>
    <w:rsid w:val="009F2F53"/>
    <w:rsid w:val="009F4187"/>
    <w:rsid w:val="00A12E0F"/>
    <w:rsid w:val="00A51FAE"/>
    <w:rsid w:val="00A80845"/>
    <w:rsid w:val="00AA3853"/>
    <w:rsid w:val="00AB69F7"/>
    <w:rsid w:val="00AD097B"/>
    <w:rsid w:val="00AD64B9"/>
    <w:rsid w:val="00AE022B"/>
    <w:rsid w:val="00B009CC"/>
    <w:rsid w:val="00B0782A"/>
    <w:rsid w:val="00B347E6"/>
    <w:rsid w:val="00B54651"/>
    <w:rsid w:val="00B62B8C"/>
    <w:rsid w:val="00B63343"/>
    <w:rsid w:val="00B87FF7"/>
    <w:rsid w:val="00BA0B08"/>
    <w:rsid w:val="00BC0E82"/>
    <w:rsid w:val="00BD40F9"/>
    <w:rsid w:val="00C2644B"/>
    <w:rsid w:val="00C31354"/>
    <w:rsid w:val="00C41C86"/>
    <w:rsid w:val="00C63A6C"/>
    <w:rsid w:val="00CA13AF"/>
    <w:rsid w:val="00CA1444"/>
    <w:rsid w:val="00CA45D8"/>
    <w:rsid w:val="00CB1590"/>
    <w:rsid w:val="00CB7600"/>
    <w:rsid w:val="00CC0E9D"/>
    <w:rsid w:val="00CC3639"/>
    <w:rsid w:val="00CD0DD7"/>
    <w:rsid w:val="00D00B1D"/>
    <w:rsid w:val="00D00CB7"/>
    <w:rsid w:val="00D25F16"/>
    <w:rsid w:val="00DE70CB"/>
    <w:rsid w:val="00E21CA9"/>
    <w:rsid w:val="00E31063"/>
    <w:rsid w:val="00E36FE9"/>
    <w:rsid w:val="00E73E98"/>
    <w:rsid w:val="00E75223"/>
    <w:rsid w:val="00E90D72"/>
    <w:rsid w:val="00EA0BE1"/>
    <w:rsid w:val="00EC23AC"/>
    <w:rsid w:val="00EC2992"/>
    <w:rsid w:val="00ED46A4"/>
    <w:rsid w:val="00ED6FD9"/>
    <w:rsid w:val="00EE3810"/>
    <w:rsid w:val="00F52A45"/>
    <w:rsid w:val="00F63C3B"/>
    <w:rsid w:val="00F959DB"/>
    <w:rsid w:val="00FC0252"/>
    <w:rsid w:val="00FD7407"/>
    <w:rsid w:val="00FF52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F3A87D-D033-4A5F-89E2-0A255476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paragraph" w:styleId="5">
    <w:name w:val="heading 5"/>
    <w:basedOn w:val="a"/>
    <w:link w:val="50"/>
    <w:uiPriority w:val="9"/>
    <w:qFormat/>
    <w:rsid w:val="00B347E6"/>
    <w:pPr>
      <w:overflowPunct/>
      <w:autoSpaceDE/>
      <w:autoSpaceDN/>
      <w:bidi w:val="0"/>
      <w:adjustRightInd/>
      <w:spacing w:before="100" w:beforeAutospacing="1" w:after="100" w:afterAutospacing="1"/>
      <w:textAlignment w:val="auto"/>
      <w:outlineLvl w:val="4"/>
    </w:pPr>
    <w:rPr>
      <w:rFonts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link w:val="a4"/>
    <w:pPr>
      <w:tabs>
        <w:tab w:val="center" w:pos="4153"/>
        <w:tab w:val="right" w:pos="8306"/>
      </w:tabs>
    </w:pPr>
  </w:style>
  <w:style w:type="character" w:styleId="a5">
    <w:name w:val="page number"/>
    <w:basedOn w:val="a0"/>
  </w:style>
  <w:style w:type="paragraph" w:styleId="a6">
    <w:name w:val="header"/>
    <w:basedOn w:val="a"/>
    <w:link w:val="a7"/>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8">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9">
    <w:name w:val="annotation reference"/>
    <w:basedOn w:val="a0"/>
    <w:rsid w:val="00D00B1D"/>
    <w:rPr>
      <w:sz w:val="16"/>
      <w:szCs w:val="16"/>
    </w:rPr>
  </w:style>
  <w:style w:type="paragraph" w:styleId="aa">
    <w:name w:val="annotation text"/>
    <w:basedOn w:val="a"/>
    <w:link w:val="ab"/>
    <w:rsid w:val="00D00B1D"/>
    <w:rPr>
      <w:szCs w:val="20"/>
    </w:rPr>
  </w:style>
  <w:style w:type="character" w:customStyle="1" w:styleId="ab">
    <w:name w:val="טקסט הערה תו"/>
    <w:basedOn w:val="a0"/>
    <w:link w:val="aa"/>
    <w:rsid w:val="00D00B1D"/>
    <w:rPr>
      <w:rFonts w:cs="David"/>
    </w:rPr>
  </w:style>
  <w:style w:type="paragraph" w:styleId="ac">
    <w:name w:val="annotation subject"/>
    <w:basedOn w:val="aa"/>
    <w:next w:val="aa"/>
    <w:link w:val="ad"/>
    <w:rsid w:val="00D00B1D"/>
    <w:rPr>
      <w:b/>
      <w:bCs/>
    </w:rPr>
  </w:style>
  <w:style w:type="character" w:customStyle="1" w:styleId="ad">
    <w:name w:val="נושא הערה תו"/>
    <w:basedOn w:val="ab"/>
    <w:link w:val="ac"/>
    <w:rsid w:val="00D00B1D"/>
    <w:rPr>
      <w:rFonts w:cs="David"/>
      <w:b/>
      <w:bCs/>
    </w:rPr>
  </w:style>
  <w:style w:type="paragraph" w:styleId="ae">
    <w:name w:val="Balloon Text"/>
    <w:basedOn w:val="a"/>
    <w:link w:val="af"/>
    <w:rsid w:val="00D00B1D"/>
    <w:rPr>
      <w:rFonts w:ascii="Tahoma" w:hAnsi="Tahoma" w:cs="Tahoma"/>
      <w:sz w:val="18"/>
      <w:szCs w:val="18"/>
    </w:rPr>
  </w:style>
  <w:style w:type="character" w:customStyle="1" w:styleId="af">
    <w:name w:val="טקסט בלונים תו"/>
    <w:basedOn w:val="a0"/>
    <w:link w:val="ae"/>
    <w:rsid w:val="00D00B1D"/>
    <w:rPr>
      <w:rFonts w:ascii="Tahoma" w:hAnsi="Tahoma" w:cs="Tahoma"/>
      <w:sz w:val="18"/>
      <w:szCs w:val="18"/>
    </w:rPr>
  </w:style>
  <w:style w:type="character" w:customStyle="1" w:styleId="50">
    <w:name w:val="כותרת 5 תו"/>
    <w:basedOn w:val="a0"/>
    <w:link w:val="5"/>
    <w:uiPriority w:val="9"/>
    <w:rsid w:val="00B347E6"/>
    <w:rPr>
      <w:b/>
      <w:bCs/>
    </w:rPr>
  </w:style>
  <w:style w:type="paragraph" w:customStyle="1" w:styleId="Ruller4">
    <w:name w:val="Ruller 4 ממוספר"/>
    <w:basedOn w:val="Ruller41"/>
    <w:next w:val="Ruller41"/>
    <w:rsid w:val="00B347E6"/>
    <w:pPr>
      <w:numPr>
        <w:numId w:val="11"/>
      </w:numPr>
    </w:pPr>
    <w:rPr>
      <w:rFonts w:ascii="Garamond" w:hAnsi="Garamond"/>
      <w:sz w:val="24"/>
    </w:rPr>
  </w:style>
  <w:style w:type="paragraph" w:customStyle="1" w:styleId="Ruller40">
    <w:name w:val="Ruller4 אלפביתי"/>
    <w:basedOn w:val="Ruller41"/>
    <w:next w:val="Ruller41"/>
    <w:rsid w:val="00B347E6"/>
    <w:pPr>
      <w:numPr>
        <w:numId w:val="12"/>
      </w:numPr>
    </w:pPr>
  </w:style>
  <w:style w:type="paragraph" w:customStyle="1" w:styleId="ruller43">
    <w:name w:val="ruller4"/>
    <w:basedOn w:val="a"/>
    <w:rsid w:val="00B347E6"/>
    <w:pPr>
      <w:overflowPunct/>
      <w:autoSpaceDE/>
      <w:autoSpaceDN/>
      <w:bidi w:val="0"/>
      <w:adjustRightInd/>
      <w:spacing w:before="100" w:beforeAutospacing="1" w:after="100" w:afterAutospacing="1"/>
      <w:textAlignment w:val="auto"/>
    </w:pPr>
    <w:rPr>
      <w:rFonts w:cs="Times New Roman"/>
      <w:sz w:val="24"/>
    </w:rPr>
  </w:style>
  <w:style w:type="paragraph" w:customStyle="1" w:styleId="ruller50">
    <w:name w:val="ruller5"/>
    <w:basedOn w:val="a"/>
    <w:rsid w:val="00B347E6"/>
    <w:pPr>
      <w:overflowPunct/>
      <w:autoSpaceDE/>
      <w:autoSpaceDN/>
      <w:bidi w:val="0"/>
      <w:adjustRightInd/>
      <w:spacing w:before="100" w:beforeAutospacing="1" w:after="100" w:afterAutospacing="1"/>
      <w:textAlignment w:val="auto"/>
    </w:pPr>
    <w:rPr>
      <w:rFonts w:cs="Times New Roman"/>
      <w:sz w:val="24"/>
    </w:rPr>
  </w:style>
  <w:style w:type="paragraph" w:customStyle="1" w:styleId="filenumber00">
    <w:name w:val="filenumber0"/>
    <w:basedOn w:val="a"/>
    <w:rsid w:val="00B347E6"/>
    <w:pPr>
      <w:overflowPunct/>
      <w:autoSpaceDE/>
      <w:autoSpaceDN/>
      <w:bidi w:val="0"/>
      <w:adjustRightInd/>
      <w:spacing w:before="100" w:beforeAutospacing="1" w:after="100" w:afterAutospacing="1"/>
      <w:textAlignment w:val="auto"/>
    </w:pPr>
    <w:rPr>
      <w:rFonts w:cs="Times New Roman"/>
      <w:sz w:val="24"/>
    </w:rPr>
  </w:style>
  <w:style w:type="paragraph" w:customStyle="1" w:styleId="a90">
    <w:name w:val="a9"/>
    <w:basedOn w:val="a"/>
    <w:rsid w:val="00B347E6"/>
    <w:pPr>
      <w:overflowPunct/>
      <w:autoSpaceDE/>
      <w:autoSpaceDN/>
      <w:bidi w:val="0"/>
      <w:adjustRightInd/>
      <w:spacing w:before="100" w:beforeAutospacing="1" w:after="100" w:afterAutospacing="1"/>
      <w:textAlignment w:val="auto"/>
    </w:pPr>
    <w:rPr>
      <w:rFonts w:cs="Times New Roman"/>
      <w:sz w:val="24"/>
    </w:rPr>
  </w:style>
  <w:style w:type="paragraph" w:styleId="NormalWeb">
    <w:name w:val="Normal (Web)"/>
    <w:basedOn w:val="a"/>
    <w:uiPriority w:val="99"/>
    <w:unhideWhenUsed/>
    <w:rsid w:val="00B347E6"/>
    <w:pPr>
      <w:overflowPunct/>
      <w:autoSpaceDE/>
      <w:autoSpaceDN/>
      <w:bidi w:val="0"/>
      <w:adjustRightInd/>
      <w:spacing w:before="100" w:beforeAutospacing="1" w:after="100" w:afterAutospacing="1"/>
      <w:textAlignment w:val="auto"/>
    </w:pPr>
    <w:rPr>
      <w:rFonts w:cs="Times New Roman"/>
      <w:sz w:val="24"/>
    </w:rPr>
  </w:style>
  <w:style w:type="paragraph" w:customStyle="1" w:styleId="1">
    <w:name w:val="פיסקת רשימה1"/>
    <w:basedOn w:val="a"/>
    <w:qFormat/>
    <w:rsid w:val="00B347E6"/>
    <w:pPr>
      <w:overflowPunct/>
      <w:autoSpaceDE/>
      <w:autoSpaceDN/>
      <w:adjustRightInd/>
      <w:ind w:left="720"/>
      <w:contextualSpacing/>
      <w:textAlignment w:val="auto"/>
    </w:pPr>
    <w:rPr>
      <w:noProof/>
      <w:sz w:val="24"/>
    </w:rPr>
  </w:style>
  <w:style w:type="paragraph" w:customStyle="1" w:styleId="ruller400">
    <w:name w:val="ruller40"/>
    <w:basedOn w:val="a"/>
    <w:rsid w:val="00B347E6"/>
    <w:pPr>
      <w:overflowPunct/>
      <w:autoSpaceDE/>
      <w:autoSpaceDN/>
      <w:bidi w:val="0"/>
      <w:adjustRightInd/>
      <w:spacing w:before="100" w:beforeAutospacing="1" w:after="100" w:afterAutospacing="1"/>
      <w:textAlignment w:val="auto"/>
    </w:pPr>
    <w:rPr>
      <w:rFonts w:cs="Times New Roman"/>
      <w:sz w:val="24"/>
    </w:rPr>
  </w:style>
  <w:style w:type="paragraph" w:customStyle="1" w:styleId="20">
    <w:name w:val="פיסקת רשימה2"/>
    <w:basedOn w:val="a"/>
    <w:qFormat/>
    <w:rsid w:val="00B347E6"/>
    <w:pPr>
      <w:overflowPunct/>
      <w:autoSpaceDE/>
      <w:autoSpaceDN/>
      <w:adjustRightInd/>
      <w:ind w:left="720"/>
      <w:contextualSpacing/>
      <w:textAlignment w:val="auto"/>
    </w:pPr>
    <w:rPr>
      <w:noProof/>
      <w:sz w:val="24"/>
    </w:rPr>
  </w:style>
  <w:style w:type="character" w:customStyle="1" w:styleId="Ruller42">
    <w:name w:val="Ruller4 תו"/>
    <w:basedOn w:val="a0"/>
    <w:link w:val="Ruller41"/>
    <w:locked/>
    <w:rsid w:val="00B347E6"/>
    <w:rPr>
      <w:rFonts w:ascii="Arial TUR" w:hAnsi="Arial TUR" w:cs="FrankRuehl"/>
      <w:spacing w:val="10"/>
      <w:sz w:val="22"/>
      <w:szCs w:val="28"/>
    </w:rPr>
  </w:style>
  <w:style w:type="paragraph" w:customStyle="1" w:styleId="3">
    <w:name w:val="פיסקת רשימה3"/>
    <w:basedOn w:val="a"/>
    <w:qFormat/>
    <w:rsid w:val="00B347E6"/>
    <w:pPr>
      <w:overflowPunct/>
      <w:autoSpaceDE/>
      <w:autoSpaceDN/>
      <w:adjustRightInd/>
      <w:ind w:left="720"/>
      <w:contextualSpacing/>
      <w:textAlignment w:val="auto"/>
    </w:pPr>
    <w:rPr>
      <w:noProof/>
      <w:sz w:val="24"/>
    </w:rPr>
  </w:style>
  <w:style w:type="character" w:customStyle="1" w:styleId="a7">
    <w:name w:val="כותרת עליונה תו"/>
    <w:link w:val="a6"/>
    <w:rsid w:val="00B347E6"/>
    <w:rPr>
      <w:rFonts w:cs="David"/>
      <w:szCs w:val="24"/>
    </w:rPr>
  </w:style>
  <w:style w:type="paragraph" w:customStyle="1" w:styleId="4">
    <w:name w:val="פיסקת רשימה4"/>
    <w:basedOn w:val="a"/>
    <w:qFormat/>
    <w:rsid w:val="00B347E6"/>
    <w:pPr>
      <w:overflowPunct/>
      <w:autoSpaceDE/>
      <w:autoSpaceDN/>
      <w:adjustRightInd/>
      <w:ind w:left="720"/>
      <w:contextualSpacing/>
      <w:textAlignment w:val="auto"/>
    </w:pPr>
    <w:rPr>
      <w:noProof/>
      <w:sz w:val="24"/>
    </w:rPr>
  </w:style>
  <w:style w:type="paragraph" w:customStyle="1" w:styleId="ruller500">
    <w:name w:val="ruller50"/>
    <w:basedOn w:val="a"/>
    <w:rsid w:val="00B347E6"/>
    <w:pPr>
      <w:overflowPunct/>
      <w:autoSpaceDE/>
      <w:autoSpaceDN/>
      <w:bidi w:val="0"/>
      <w:adjustRightInd/>
      <w:spacing w:before="100" w:beforeAutospacing="1" w:after="100" w:afterAutospacing="1"/>
      <w:textAlignment w:val="auto"/>
    </w:pPr>
    <w:rPr>
      <w:rFonts w:cs="Times New Roman"/>
      <w:sz w:val="24"/>
    </w:rPr>
  </w:style>
  <w:style w:type="character" w:customStyle="1" w:styleId="ruller410">
    <w:name w:val="ruller41"/>
    <w:basedOn w:val="a0"/>
    <w:rsid w:val="00B347E6"/>
  </w:style>
  <w:style w:type="paragraph" w:customStyle="1" w:styleId="a80">
    <w:name w:val="a8"/>
    <w:basedOn w:val="a"/>
    <w:rsid w:val="00B347E6"/>
    <w:pPr>
      <w:overflowPunct/>
      <w:autoSpaceDE/>
      <w:autoSpaceDN/>
      <w:bidi w:val="0"/>
      <w:adjustRightInd/>
      <w:spacing w:before="100" w:beforeAutospacing="1" w:after="100" w:afterAutospacing="1"/>
      <w:textAlignment w:val="auto"/>
    </w:pPr>
    <w:rPr>
      <w:rFonts w:cs="Times New Roman"/>
      <w:sz w:val="24"/>
    </w:rPr>
  </w:style>
  <w:style w:type="character" w:styleId="af0">
    <w:name w:val="Emphasis"/>
    <w:basedOn w:val="a0"/>
    <w:qFormat/>
    <w:rsid w:val="00B347E6"/>
    <w:rPr>
      <w:i/>
      <w:iCs/>
    </w:rPr>
  </w:style>
  <w:style w:type="character" w:customStyle="1" w:styleId="default">
    <w:name w:val="default"/>
    <w:basedOn w:val="a0"/>
    <w:rsid w:val="005E61F9"/>
    <w:rPr>
      <w:rFonts w:ascii="Times New Roman" w:hAnsi="Times New Roman" w:cs="Times New Roman"/>
      <w:sz w:val="20"/>
      <w:szCs w:val="26"/>
    </w:rPr>
  </w:style>
  <w:style w:type="paragraph" w:styleId="af1">
    <w:name w:val="endnote text"/>
    <w:basedOn w:val="a"/>
    <w:link w:val="af2"/>
    <w:unhideWhenUsed/>
    <w:rsid w:val="008B3136"/>
    <w:rPr>
      <w:rFonts w:ascii="Century" w:hAnsi="Century" w:cs="FrankRuehl"/>
      <w:spacing w:val="10"/>
      <w:szCs w:val="20"/>
    </w:rPr>
  </w:style>
  <w:style w:type="character" w:customStyle="1" w:styleId="af2">
    <w:name w:val="טקסט הערת סיום תו"/>
    <w:basedOn w:val="a0"/>
    <w:link w:val="af1"/>
    <w:rsid w:val="008B3136"/>
    <w:rPr>
      <w:rFonts w:ascii="Century" w:hAnsi="Century" w:cs="FrankRuehl"/>
      <w:spacing w:val="10"/>
    </w:rPr>
  </w:style>
  <w:style w:type="character" w:styleId="af3">
    <w:name w:val="endnote reference"/>
    <w:basedOn w:val="a0"/>
    <w:unhideWhenUsed/>
    <w:rsid w:val="008B3136"/>
    <w:rPr>
      <w:vertAlign w:val="superscript"/>
    </w:rPr>
  </w:style>
  <w:style w:type="paragraph" w:styleId="af4">
    <w:name w:val="Revision"/>
    <w:hidden/>
    <w:uiPriority w:val="99"/>
    <w:semiHidden/>
    <w:rsid w:val="008B3136"/>
    <w:rPr>
      <w:rFonts w:ascii="Century" w:hAnsi="Century" w:cs="FrankRuehl"/>
      <w:spacing w:val="10"/>
      <w:szCs w:val="28"/>
    </w:rPr>
  </w:style>
  <w:style w:type="character" w:customStyle="1" w:styleId="a4">
    <w:name w:val="כותרת תחתונה תו"/>
    <w:basedOn w:val="a0"/>
    <w:link w:val="a3"/>
    <w:rsid w:val="008B3136"/>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upreme.court.g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156</Pages>
  <Words>37126</Words>
  <Characters>173719</Characters>
  <Application>Microsoft Office Word</Application>
  <DocSecurity>4</DocSecurity>
  <Lines>1447</Lines>
  <Paragraphs>420</Paragraphs>
  <ScaleCrop>false</ScaleCrop>
  <HeadingPairs>
    <vt:vector size="2" baseType="variant">
      <vt:variant>
        <vt:lpstr>שם</vt:lpstr>
      </vt:variant>
      <vt:variant>
        <vt:i4>1</vt:i4>
      </vt:variant>
    </vt:vector>
  </HeadingPairs>
  <TitlesOfParts>
    <vt:vector size="1" baseType="lpstr">
      <vt:lpstr>פסק-דין בתיק ע"א  1726/21</vt:lpstr>
    </vt:vector>
  </TitlesOfParts>
  <Company>supreme court of israel</Company>
  <LinksUpToDate>false</LinksUpToDate>
  <CharactersWithSpaces>210425</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ע"א  1726/21</dc:title>
  <dc:subject/>
  <dc:creator>Administrator</dc:creator>
  <cp:keywords/>
  <dc:description/>
  <cp:lastModifiedBy>הדס לרנר</cp:lastModifiedBy>
  <cp:revision>2</cp:revision>
  <cp:lastPrinted>2022-11-23T10:17:00Z</cp:lastPrinted>
  <dcterms:created xsi:type="dcterms:W3CDTF">2022-11-23T13:35:00Z</dcterms:created>
  <dcterms:modified xsi:type="dcterms:W3CDTF">2022-11-23T13:35:00Z</dcterms:modified>
</cp:coreProperties>
</file>