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6EC87" w14:textId="77777777" w:rsidR="00916FF8" w:rsidRDefault="00916FF8" w:rsidP="00C634DC">
      <w:pPr>
        <w:jc w:val="right"/>
        <w:rPr>
          <w:rFonts w:cs="Miriam"/>
          <w:b/>
          <w:bCs/>
          <w:u w:val="single"/>
          <w:rtl/>
        </w:rPr>
      </w:pPr>
    </w:p>
    <w:p w14:paraId="653CBC33" w14:textId="77777777" w:rsidR="00636252" w:rsidRDefault="00636252" w:rsidP="00C634DC">
      <w:pPr>
        <w:jc w:val="right"/>
        <w:rPr>
          <w:rFonts w:cs="Miriam"/>
          <w:b/>
          <w:bCs/>
          <w:u w:val="single"/>
          <w:rtl/>
        </w:rPr>
      </w:pPr>
    </w:p>
    <w:p w14:paraId="660CE377" w14:textId="77777777" w:rsidR="001C14E0" w:rsidRPr="00122B89" w:rsidRDefault="001C14E0" w:rsidP="00C634DC">
      <w:pPr>
        <w:jc w:val="right"/>
        <w:rPr>
          <w:rFonts w:cs="Miriam"/>
          <w:b/>
          <w:bCs/>
          <w:sz w:val="28"/>
          <w:szCs w:val="28"/>
          <w:u w:val="single"/>
        </w:rPr>
      </w:pPr>
    </w:p>
    <w:p w14:paraId="177F3E80" w14:textId="77777777" w:rsidR="001C14E0" w:rsidRPr="00377102" w:rsidRDefault="001C14E0" w:rsidP="00C634DC">
      <w:pPr>
        <w:jc w:val="right"/>
        <w:rPr>
          <w:rFonts w:cs="Miriam"/>
          <w:b/>
          <w:bCs/>
          <w:sz w:val="16"/>
          <w:szCs w:val="16"/>
          <w:u w:val="single"/>
        </w:rPr>
      </w:pPr>
    </w:p>
    <w:tbl>
      <w:tblPr>
        <w:bidiVisual/>
        <w:tblW w:w="8363" w:type="dxa"/>
        <w:tblInd w:w="9" w:type="dxa"/>
        <w:tblLook w:val="0000" w:firstRow="0" w:lastRow="0" w:firstColumn="0" w:lastColumn="0" w:noHBand="0" w:noVBand="0"/>
      </w:tblPr>
      <w:tblGrid>
        <w:gridCol w:w="8363"/>
      </w:tblGrid>
      <w:tr w:rsidR="001C14E0" w14:paraId="56DD935D" w14:textId="77777777" w:rsidTr="00571018">
        <w:tc>
          <w:tcPr>
            <w:tcW w:w="7848" w:type="dxa"/>
          </w:tcPr>
          <w:p w14:paraId="078D680E" w14:textId="77777777" w:rsidR="001C14E0" w:rsidRPr="00624A42" w:rsidRDefault="001C14E0" w:rsidP="00C634DC">
            <w:pPr>
              <w:pStyle w:val="FileNumber0"/>
              <w:rPr>
                <w:sz w:val="28"/>
                <w:u w:val="single"/>
                <w:rtl/>
              </w:rPr>
            </w:pPr>
            <w:r>
              <w:rPr>
                <w:u w:val="single"/>
                <w:rtl/>
              </w:rPr>
              <w:t>בבית המשפט העליון בשבתו כבית משפט גבוה לצדק</w:t>
            </w:r>
          </w:p>
        </w:tc>
      </w:tr>
    </w:tbl>
    <w:p w14:paraId="0D6B2C0F" w14:textId="77777777" w:rsidR="001C14E0" w:rsidRPr="001C14E0" w:rsidRDefault="001C14E0" w:rsidP="00C634DC">
      <w:pPr>
        <w:jc w:val="right"/>
        <w:rPr>
          <w:rFonts w:cs="Miriam"/>
          <w:b/>
          <w:bCs/>
          <w:u w:val="single"/>
        </w:rPr>
      </w:pPr>
    </w:p>
    <w:tbl>
      <w:tblPr>
        <w:bidiVisual/>
        <w:tblW w:w="8363" w:type="dxa"/>
        <w:tblLook w:val="0000" w:firstRow="0" w:lastRow="0" w:firstColumn="0" w:lastColumn="0" w:noHBand="0" w:noVBand="0"/>
      </w:tblPr>
      <w:tblGrid>
        <w:gridCol w:w="8363"/>
      </w:tblGrid>
      <w:tr w:rsidR="00036227" w14:paraId="227C9F2C" w14:textId="77777777" w:rsidTr="0039709B">
        <w:trPr>
          <w:trHeight w:val="342"/>
        </w:trPr>
        <w:tc>
          <w:tcPr>
            <w:tcW w:w="9828" w:type="dxa"/>
          </w:tcPr>
          <w:p w14:paraId="6385E3AF" w14:textId="77777777" w:rsidR="00916FF8" w:rsidRPr="00810894" w:rsidRDefault="001C14E0" w:rsidP="00C634DC">
            <w:pPr>
              <w:pStyle w:val="FileNumber"/>
              <w:rPr>
                <w:sz w:val="28"/>
                <w:szCs w:val="28"/>
              </w:rPr>
            </w:pPr>
            <w:bookmarkStart w:id="0" w:name="casename_body"/>
            <w:r>
              <w:rPr>
                <w:sz w:val="28"/>
                <w:szCs w:val="28"/>
                <w:rtl/>
              </w:rPr>
              <w:t>בג"ץ  8948/22</w:t>
            </w:r>
          </w:p>
        </w:tc>
      </w:tr>
      <w:tr w:rsidR="001C14E0" w14:paraId="05140FD1" w14:textId="77777777" w:rsidTr="0039709B">
        <w:trPr>
          <w:trHeight w:val="342"/>
        </w:trPr>
        <w:tc>
          <w:tcPr>
            <w:tcW w:w="9828" w:type="dxa"/>
          </w:tcPr>
          <w:p w14:paraId="21F3125C" w14:textId="77777777" w:rsidR="001C14E0" w:rsidRPr="00810894" w:rsidRDefault="001C14E0" w:rsidP="00C634DC">
            <w:pPr>
              <w:pStyle w:val="FileNumber"/>
              <w:rPr>
                <w:sz w:val="28"/>
                <w:szCs w:val="28"/>
              </w:rPr>
            </w:pPr>
            <w:r>
              <w:rPr>
                <w:sz w:val="28"/>
                <w:szCs w:val="28"/>
                <w:rtl/>
              </w:rPr>
              <w:t>בג"ץ  8949/22</w:t>
            </w:r>
          </w:p>
        </w:tc>
      </w:tr>
      <w:tr w:rsidR="001C14E0" w14:paraId="01FAFE74" w14:textId="77777777" w:rsidTr="0039709B">
        <w:trPr>
          <w:trHeight w:val="342"/>
        </w:trPr>
        <w:tc>
          <w:tcPr>
            <w:tcW w:w="9828" w:type="dxa"/>
          </w:tcPr>
          <w:p w14:paraId="6DAF87D6" w14:textId="77777777" w:rsidR="001C14E0" w:rsidRDefault="001C14E0" w:rsidP="00C634DC">
            <w:pPr>
              <w:pStyle w:val="FileNumber"/>
              <w:rPr>
                <w:sz w:val="28"/>
                <w:szCs w:val="28"/>
                <w:rtl/>
              </w:rPr>
            </w:pPr>
            <w:r>
              <w:rPr>
                <w:sz w:val="28"/>
                <w:szCs w:val="28"/>
                <w:rtl/>
              </w:rPr>
              <w:t>בג"ץ  8982/22</w:t>
            </w:r>
          </w:p>
        </w:tc>
      </w:tr>
      <w:bookmarkEnd w:id="0"/>
    </w:tbl>
    <w:p w14:paraId="15005639" w14:textId="77777777" w:rsidR="00916FF8" w:rsidRDefault="00916FF8" w:rsidP="00C634DC">
      <w:pPr>
        <w:jc w:val="right"/>
        <w:rPr>
          <w:rFonts w:cs="Miriam"/>
          <w:b/>
          <w:bCs/>
          <w:u w:val="single"/>
        </w:rPr>
      </w:pPr>
    </w:p>
    <w:tbl>
      <w:tblPr>
        <w:bidiVisual/>
        <w:tblW w:w="8364" w:type="dxa"/>
        <w:tblLayout w:type="fixed"/>
        <w:tblLook w:val="0000" w:firstRow="0" w:lastRow="0" w:firstColumn="0" w:lastColumn="0" w:noHBand="0" w:noVBand="0"/>
      </w:tblPr>
      <w:tblGrid>
        <w:gridCol w:w="3210"/>
        <w:gridCol w:w="5154"/>
      </w:tblGrid>
      <w:tr w:rsidR="00B60A0E" w14:paraId="3D75DE4C" w14:textId="77777777" w:rsidTr="00571018">
        <w:trPr>
          <w:trHeight w:val="287"/>
        </w:trPr>
        <w:tc>
          <w:tcPr>
            <w:tcW w:w="3261" w:type="dxa"/>
          </w:tcPr>
          <w:p w14:paraId="48F89762" w14:textId="77777777" w:rsidR="00B60A0E" w:rsidRDefault="00B60A0E" w:rsidP="00C634DC">
            <w:pPr>
              <w:pStyle w:val="BodyRuller"/>
              <w:rPr>
                <w:rFonts w:cs="Miriam"/>
                <w:b/>
                <w:bCs/>
                <w:u w:val="single"/>
              </w:rPr>
            </w:pPr>
            <w:r>
              <w:rPr>
                <w:rFonts w:hint="cs"/>
                <w:rtl/>
              </w:rPr>
              <w:t>ל</w:t>
            </w:r>
            <w:r>
              <w:rPr>
                <w:rtl/>
              </w:rPr>
              <w:t>פני:</w:t>
            </w:r>
            <w:r>
              <w:rPr>
                <w:rtl/>
              </w:rPr>
              <w:tab/>
            </w:r>
          </w:p>
        </w:tc>
        <w:tc>
          <w:tcPr>
            <w:tcW w:w="5239" w:type="dxa"/>
          </w:tcPr>
          <w:p w14:paraId="03D470CF" w14:textId="77777777" w:rsidR="00B60A0E" w:rsidRDefault="00B60A0E" w:rsidP="00C634DC">
            <w:pPr>
              <w:pStyle w:val="BodyRuller"/>
              <w:rPr>
                <w:rtl/>
              </w:rPr>
            </w:pPr>
            <w:r>
              <w:rPr>
                <w:rtl/>
              </w:rPr>
              <w:t>כבוד הנשיאה א' חיות</w:t>
            </w:r>
          </w:p>
          <w:p w14:paraId="07F85F63" w14:textId="77777777" w:rsidR="00B60A0E" w:rsidRDefault="00B60A0E" w:rsidP="00C634DC">
            <w:pPr>
              <w:pStyle w:val="BodyRuller"/>
              <w:rPr>
                <w:rtl/>
              </w:rPr>
            </w:pPr>
            <w:r>
              <w:rPr>
                <w:rFonts w:hint="cs"/>
                <w:rtl/>
              </w:rPr>
              <w:t>כבוד המשנה לנשיאה ע' פוגלמן</w:t>
            </w:r>
          </w:p>
          <w:p w14:paraId="5E70168E" w14:textId="77777777" w:rsidR="00B60A0E" w:rsidRDefault="00B60A0E" w:rsidP="00C634DC">
            <w:pPr>
              <w:pStyle w:val="BodyRuller"/>
              <w:rPr>
                <w:rtl/>
              </w:rPr>
            </w:pPr>
            <w:r>
              <w:rPr>
                <w:rFonts w:hint="cs"/>
                <w:rtl/>
              </w:rPr>
              <w:t>כבוד השופט י' עמית</w:t>
            </w:r>
          </w:p>
          <w:p w14:paraId="0D1E2B44" w14:textId="77777777" w:rsidR="00B60A0E" w:rsidRDefault="00B60A0E" w:rsidP="00C634DC">
            <w:pPr>
              <w:pStyle w:val="BodyRuller"/>
              <w:rPr>
                <w:rtl/>
              </w:rPr>
            </w:pPr>
            <w:r>
              <w:rPr>
                <w:rFonts w:hint="cs"/>
                <w:rtl/>
              </w:rPr>
              <w:t>כבוד השופטת ד' ברק-ארז</w:t>
            </w:r>
          </w:p>
          <w:p w14:paraId="596E95D6" w14:textId="77777777" w:rsidR="00B60A0E" w:rsidRDefault="00B60A0E" w:rsidP="00C634DC">
            <w:pPr>
              <w:pStyle w:val="BodyRuller"/>
              <w:rPr>
                <w:rtl/>
              </w:rPr>
            </w:pPr>
            <w:r>
              <w:rPr>
                <w:rFonts w:hint="cs"/>
                <w:rtl/>
              </w:rPr>
              <w:t>כבוד השופטת ע' ברון</w:t>
            </w:r>
          </w:p>
          <w:p w14:paraId="02770D2F" w14:textId="77777777" w:rsidR="00B60A0E" w:rsidRDefault="00B60A0E" w:rsidP="00C634DC">
            <w:pPr>
              <w:pStyle w:val="BodyRuller"/>
              <w:rPr>
                <w:rtl/>
              </w:rPr>
            </w:pPr>
            <w:r>
              <w:rPr>
                <w:rFonts w:hint="cs"/>
                <w:rtl/>
              </w:rPr>
              <w:t>כבוד השופט ד' מינץ</w:t>
            </w:r>
          </w:p>
          <w:p w14:paraId="2C4180C5" w14:textId="77777777" w:rsidR="00B60A0E" w:rsidRDefault="00B60A0E" w:rsidP="00C634DC">
            <w:pPr>
              <w:pStyle w:val="BodyRuller"/>
              <w:rPr>
                <w:rtl/>
              </w:rPr>
            </w:pPr>
            <w:r>
              <w:rPr>
                <w:rFonts w:hint="cs"/>
                <w:rtl/>
              </w:rPr>
              <w:t>כבוד השופט י' אלרון</w:t>
            </w:r>
          </w:p>
          <w:p w14:paraId="67F5BDFD" w14:textId="77777777" w:rsidR="00B60A0E" w:rsidRDefault="00B60A0E" w:rsidP="00C634DC">
            <w:pPr>
              <w:pStyle w:val="BodyRuller"/>
              <w:rPr>
                <w:rtl/>
              </w:rPr>
            </w:pPr>
            <w:r>
              <w:rPr>
                <w:rFonts w:hint="cs"/>
                <w:rtl/>
              </w:rPr>
              <w:t>כבוד השופטת י' וילנר</w:t>
            </w:r>
          </w:p>
          <w:p w14:paraId="59867B22" w14:textId="77777777" w:rsidR="00B60A0E" w:rsidRDefault="00B60A0E" w:rsidP="00C634DC">
            <w:pPr>
              <w:pStyle w:val="BodyRuller"/>
              <w:rPr>
                <w:rtl/>
              </w:rPr>
            </w:pPr>
            <w:r>
              <w:rPr>
                <w:rFonts w:hint="cs"/>
                <w:rtl/>
              </w:rPr>
              <w:t>כבוד השופט ע' גרוסקופף</w:t>
            </w:r>
          </w:p>
          <w:p w14:paraId="172EBA98" w14:textId="77777777" w:rsidR="00B60A0E" w:rsidRDefault="00B60A0E" w:rsidP="00C634DC">
            <w:pPr>
              <w:pStyle w:val="BodyRuller"/>
              <w:rPr>
                <w:rtl/>
              </w:rPr>
            </w:pPr>
            <w:r>
              <w:rPr>
                <w:rFonts w:hint="cs"/>
                <w:rtl/>
              </w:rPr>
              <w:t>כבוד השופט א' שטיין</w:t>
            </w:r>
          </w:p>
          <w:p w14:paraId="76B91AA1" w14:textId="77777777" w:rsidR="00B60A0E" w:rsidRDefault="00B60A0E" w:rsidP="00C634DC">
            <w:pPr>
              <w:pStyle w:val="BodyRuller"/>
              <w:rPr>
                <w:rtl/>
              </w:rPr>
            </w:pPr>
            <w:r>
              <w:rPr>
                <w:rFonts w:hint="cs"/>
                <w:rtl/>
              </w:rPr>
              <w:t xml:space="preserve">כבוד השופט ח' כבוב </w:t>
            </w:r>
          </w:p>
          <w:p w14:paraId="363F8248" w14:textId="77777777" w:rsidR="00B60A0E" w:rsidRDefault="00B60A0E" w:rsidP="00C634DC">
            <w:pPr>
              <w:pStyle w:val="BodyRuller"/>
            </w:pPr>
          </w:p>
        </w:tc>
      </w:tr>
    </w:tbl>
    <w:p w14:paraId="6DDDD0CA" w14:textId="77777777" w:rsidR="00B60A0E" w:rsidRDefault="00B60A0E" w:rsidP="00C634DC">
      <w:pPr>
        <w:pStyle w:val="Ruller3"/>
        <w:rPr>
          <w:rFonts w:cs="Miriam"/>
          <w:b/>
          <w:bCs/>
          <w:u w:val="single"/>
          <w:rtl/>
        </w:rPr>
      </w:pPr>
    </w:p>
    <w:tbl>
      <w:tblPr>
        <w:bidiVisual/>
        <w:tblW w:w="8364" w:type="dxa"/>
        <w:tblLayout w:type="fixed"/>
        <w:tblLook w:val="0000" w:firstRow="0" w:lastRow="0" w:firstColumn="0" w:lastColumn="0" w:noHBand="0" w:noVBand="0"/>
      </w:tblPr>
      <w:tblGrid>
        <w:gridCol w:w="3210"/>
        <w:gridCol w:w="5154"/>
      </w:tblGrid>
      <w:tr w:rsidR="00B60A0E" w14:paraId="7BC6624D" w14:textId="77777777" w:rsidTr="00571018">
        <w:trPr>
          <w:trHeight w:val="287"/>
        </w:trPr>
        <w:tc>
          <w:tcPr>
            <w:tcW w:w="3261" w:type="dxa"/>
          </w:tcPr>
          <w:p w14:paraId="719FC4A6" w14:textId="77777777" w:rsidR="00B60A0E" w:rsidRPr="00E75223" w:rsidRDefault="00B60A0E" w:rsidP="00C634DC">
            <w:pPr>
              <w:pStyle w:val="BodyRuller"/>
              <w:rPr>
                <w:rFonts w:ascii="David" w:hAnsi="David"/>
              </w:rPr>
            </w:pPr>
            <w:r>
              <w:rPr>
                <w:rFonts w:ascii="David" w:hAnsi="David"/>
                <w:rtl/>
              </w:rPr>
              <w:t>העותרים</w:t>
            </w:r>
            <w:r>
              <w:rPr>
                <w:rFonts w:ascii="David" w:hAnsi="David" w:hint="cs"/>
                <w:rtl/>
              </w:rPr>
              <w:t xml:space="preserve"> בבג"ץ 8948/22</w:t>
            </w:r>
            <w:r>
              <w:rPr>
                <w:rFonts w:ascii="David" w:hAnsi="David"/>
                <w:rtl/>
              </w:rPr>
              <w:t>:</w:t>
            </w:r>
          </w:p>
        </w:tc>
        <w:tc>
          <w:tcPr>
            <w:tcW w:w="5239" w:type="dxa"/>
          </w:tcPr>
          <w:p w14:paraId="19480A78" w14:textId="77777777" w:rsidR="00B60A0E" w:rsidRDefault="00B60A0E" w:rsidP="00C634DC">
            <w:pPr>
              <w:pStyle w:val="BodyRuller"/>
            </w:pPr>
            <w:r>
              <w:rPr>
                <w:rtl/>
              </w:rPr>
              <w:t>1. אילן שיינפלד</w:t>
            </w:r>
          </w:p>
        </w:tc>
      </w:tr>
      <w:tr w:rsidR="00B60A0E" w14:paraId="50C8EF96" w14:textId="77777777" w:rsidTr="00571018">
        <w:trPr>
          <w:trHeight w:val="287"/>
        </w:trPr>
        <w:tc>
          <w:tcPr>
            <w:tcW w:w="3261" w:type="dxa"/>
          </w:tcPr>
          <w:p w14:paraId="04B61378" w14:textId="77777777" w:rsidR="00B60A0E" w:rsidRDefault="00B60A0E" w:rsidP="00C634DC">
            <w:pPr>
              <w:pStyle w:val="BodyRuller"/>
              <w:rPr>
                <w:rFonts w:ascii="David" w:hAnsi="David"/>
                <w:rtl/>
              </w:rPr>
            </w:pPr>
          </w:p>
        </w:tc>
        <w:tc>
          <w:tcPr>
            <w:tcW w:w="5239" w:type="dxa"/>
          </w:tcPr>
          <w:p w14:paraId="5815A0DC" w14:textId="77777777" w:rsidR="00B60A0E" w:rsidRDefault="00B60A0E" w:rsidP="00C634DC">
            <w:pPr>
              <w:pStyle w:val="BodyRuller"/>
              <w:rPr>
                <w:rtl/>
              </w:rPr>
            </w:pPr>
            <w:r>
              <w:rPr>
                <w:rtl/>
              </w:rPr>
              <w:t>2. רבקה כרמי</w:t>
            </w:r>
          </w:p>
        </w:tc>
      </w:tr>
      <w:tr w:rsidR="00B60A0E" w14:paraId="6F0E3687" w14:textId="77777777" w:rsidTr="00571018">
        <w:trPr>
          <w:trHeight w:val="287"/>
        </w:trPr>
        <w:tc>
          <w:tcPr>
            <w:tcW w:w="3261" w:type="dxa"/>
          </w:tcPr>
          <w:p w14:paraId="479C3B43" w14:textId="77777777" w:rsidR="00B60A0E" w:rsidRDefault="00B60A0E" w:rsidP="00C634DC">
            <w:pPr>
              <w:pStyle w:val="BodyRuller"/>
              <w:rPr>
                <w:rFonts w:ascii="David" w:hAnsi="David"/>
                <w:rtl/>
              </w:rPr>
            </w:pPr>
          </w:p>
        </w:tc>
        <w:tc>
          <w:tcPr>
            <w:tcW w:w="5239" w:type="dxa"/>
          </w:tcPr>
          <w:p w14:paraId="4F9A5726" w14:textId="77777777" w:rsidR="00B60A0E" w:rsidRDefault="00B60A0E" w:rsidP="00C634DC">
            <w:pPr>
              <w:pStyle w:val="BodyRuller"/>
              <w:rPr>
                <w:rtl/>
              </w:rPr>
            </w:pPr>
            <w:r>
              <w:rPr>
                <w:rtl/>
              </w:rPr>
              <w:t>3. דניאל כרמון</w:t>
            </w:r>
          </w:p>
        </w:tc>
      </w:tr>
      <w:tr w:rsidR="00B60A0E" w14:paraId="60DC0F8D" w14:textId="77777777" w:rsidTr="00571018">
        <w:trPr>
          <w:trHeight w:val="287"/>
        </w:trPr>
        <w:tc>
          <w:tcPr>
            <w:tcW w:w="3261" w:type="dxa"/>
          </w:tcPr>
          <w:p w14:paraId="0F4EBE33" w14:textId="77777777" w:rsidR="00B60A0E" w:rsidRDefault="00B60A0E" w:rsidP="00C634DC">
            <w:pPr>
              <w:pStyle w:val="BodyRuller"/>
              <w:rPr>
                <w:rFonts w:ascii="David" w:hAnsi="David"/>
                <w:rtl/>
              </w:rPr>
            </w:pPr>
          </w:p>
        </w:tc>
        <w:tc>
          <w:tcPr>
            <w:tcW w:w="5239" w:type="dxa"/>
          </w:tcPr>
          <w:p w14:paraId="5AE36665" w14:textId="77777777" w:rsidR="00B60A0E" w:rsidRDefault="00B60A0E" w:rsidP="00C634DC">
            <w:pPr>
              <w:pStyle w:val="BodyRuller"/>
              <w:rPr>
                <w:rtl/>
              </w:rPr>
            </w:pPr>
            <w:r>
              <w:rPr>
                <w:rtl/>
              </w:rPr>
              <w:t xml:space="preserve">4. יהודה </w:t>
            </w:r>
            <w:proofErr w:type="spellStart"/>
            <w:r>
              <w:rPr>
                <w:rtl/>
              </w:rPr>
              <w:t>אפק</w:t>
            </w:r>
            <w:proofErr w:type="spellEnd"/>
          </w:p>
        </w:tc>
      </w:tr>
      <w:tr w:rsidR="00B60A0E" w14:paraId="0DC4ADD8" w14:textId="77777777" w:rsidTr="00571018">
        <w:trPr>
          <w:trHeight w:val="287"/>
        </w:trPr>
        <w:tc>
          <w:tcPr>
            <w:tcW w:w="3261" w:type="dxa"/>
          </w:tcPr>
          <w:p w14:paraId="754D6C69" w14:textId="77777777" w:rsidR="00B60A0E" w:rsidRDefault="00B60A0E" w:rsidP="00C634DC">
            <w:pPr>
              <w:pStyle w:val="BodyRuller"/>
              <w:rPr>
                <w:rFonts w:ascii="David" w:hAnsi="David"/>
                <w:rtl/>
              </w:rPr>
            </w:pPr>
          </w:p>
        </w:tc>
        <w:tc>
          <w:tcPr>
            <w:tcW w:w="5239" w:type="dxa"/>
          </w:tcPr>
          <w:p w14:paraId="3644F055" w14:textId="77777777" w:rsidR="00B60A0E" w:rsidRDefault="00B60A0E" w:rsidP="00C634DC">
            <w:pPr>
              <w:pStyle w:val="BodyRuller"/>
              <w:rPr>
                <w:rtl/>
              </w:rPr>
            </w:pPr>
            <w:r>
              <w:rPr>
                <w:rtl/>
              </w:rPr>
              <w:t>5. ברוך בינה</w:t>
            </w:r>
          </w:p>
        </w:tc>
      </w:tr>
      <w:tr w:rsidR="00B60A0E" w14:paraId="78F4D9DF" w14:textId="77777777" w:rsidTr="00571018">
        <w:trPr>
          <w:trHeight w:val="287"/>
        </w:trPr>
        <w:tc>
          <w:tcPr>
            <w:tcW w:w="3261" w:type="dxa"/>
          </w:tcPr>
          <w:p w14:paraId="4D4DFD74" w14:textId="77777777" w:rsidR="00B60A0E" w:rsidRDefault="00B60A0E" w:rsidP="00C634DC">
            <w:pPr>
              <w:pStyle w:val="BodyRuller"/>
              <w:rPr>
                <w:rFonts w:ascii="David" w:hAnsi="David"/>
                <w:rtl/>
              </w:rPr>
            </w:pPr>
          </w:p>
        </w:tc>
        <w:tc>
          <w:tcPr>
            <w:tcW w:w="5239" w:type="dxa"/>
          </w:tcPr>
          <w:p w14:paraId="440117A4" w14:textId="77777777" w:rsidR="00B60A0E" w:rsidRDefault="00B60A0E" w:rsidP="00C634DC">
            <w:pPr>
              <w:pStyle w:val="BodyRuller"/>
              <w:rPr>
                <w:rtl/>
              </w:rPr>
            </w:pPr>
            <w:r>
              <w:rPr>
                <w:rtl/>
              </w:rPr>
              <w:t xml:space="preserve">6. שמעון </w:t>
            </w:r>
            <w:proofErr w:type="spellStart"/>
            <w:r>
              <w:rPr>
                <w:rtl/>
              </w:rPr>
              <w:t>ינקלביץ</w:t>
            </w:r>
            <w:proofErr w:type="spellEnd"/>
          </w:p>
        </w:tc>
      </w:tr>
      <w:tr w:rsidR="00B60A0E" w14:paraId="24319CCF" w14:textId="77777777" w:rsidTr="00571018">
        <w:trPr>
          <w:trHeight w:val="287"/>
        </w:trPr>
        <w:tc>
          <w:tcPr>
            <w:tcW w:w="3261" w:type="dxa"/>
          </w:tcPr>
          <w:p w14:paraId="64574468" w14:textId="77777777" w:rsidR="00B60A0E" w:rsidRDefault="00B60A0E" w:rsidP="00C634DC">
            <w:pPr>
              <w:pStyle w:val="BodyRuller"/>
              <w:rPr>
                <w:rFonts w:ascii="David" w:hAnsi="David"/>
                <w:rtl/>
              </w:rPr>
            </w:pPr>
          </w:p>
        </w:tc>
        <w:tc>
          <w:tcPr>
            <w:tcW w:w="5239" w:type="dxa"/>
          </w:tcPr>
          <w:p w14:paraId="02E8487D" w14:textId="77777777" w:rsidR="00B60A0E" w:rsidRDefault="00B60A0E" w:rsidP="00C634DC">
            <w:pPr>
              <w:pStyle w:val="BodyRuller"/>
              <w:rPr>
                <w:rtl/>
              </w:rPr>
            </w:pPr>
            <w:r>
              <w:rPr>
                <w:rtl/>
              </w:rPr>
              <w:t>7. יוסף שילה</w:t>
            </w:r>
          </w:p>
        </w:tc>
      </w:tr>
      <w:tr w:rsidR="00B60A0E" w14:paraId="521EBE59" w14:textId="77777777" w:rsidTr="00571018">
        <w:trPr>
          <w:trHeight w:val="287"/>
        </w:trPr>
        <w:tc>
          <w:tcPr>
            <w:tcW w:w="3261" w:type="dxa"/>
          </w:tcPr>
          <w:p w14:paraId="1E5969ED" w14:textId="77777777" w:rsidR="00B60A0E" w:rsidRDefault="00B60A0E" w:rsidP="00C634DC">
            <w:pPr>
              <w:pStyle w:val="BodyRuller"/>
              <w:rPr>
                <w:rFonts w:ascii="David" w:hAnsi="David"/>
                <w:rtl/>
              </w:rPr>
            </w:pPr>
          </w:p>
        </w:tc>
        <w:tc>
          <w:tcPr>
            <w:tcW w:w="5239" w:type="dxa"/>
          </w:tcPr>
          <w:p w14:paraId="67416078" w14:textId="77777777" w:rsidR="00B60A0E" w:rsidRDefault="00B60A0E" w:rsidP="00C634DC">
            <w:pPr>
              <w:pStyle w:val="BodyRuller"/>
              <w:rPr>
                <w:rtl/>
              </w:rPr>
            </w:pPr>
            <w:r>
              <w:rPr>
                <w:rtl/>
              </w:rPr>
              <w:t>8. חגית מסר ירון</w:t>
            </w:r>
          </w:p>
        </w:tc>
      </w:tr>
      <w:tr w:rsidR="00B60A0E" w14:paraId="357BC6E6" w14:textId="77777777" w:rsidTr="00571018">
        <w:trPr>
          <w:trHeight w:val="287"/>
        </w:trPr>
        <w:tc>
          <w:tcPr>
            <w:tcW w:w="3261" w:type="dxa"/>
          </w:tcPr>
          <w:p w14:paraId="0079459C" w14:textId="77777777" w:rsidR="00B60A0E" w:rsidRDefault="00B60A0E" w:rsidP="00C634DC">
            <w:pPr>
              <w:pStyle w:val="BodyRuller"/>
              <w:rPr>
                <w:rFonts w:ascii="David" w:hAnsi="David"/>
                <w:rtl/>
              </w:rPr>
            </w:pPr>
          </w:p>
        </w:tc>
        <w:tc>
          <w:tcPr>
            <w:tcW w:w="5239" w:type="dxa"/>
          </w:tcPr>
          <w:p w14:paraId="47702D04" w14:textId="77777777" w:rsidR="00B60A0E" w:rsidRDefault="00B60A0E" w:rsidP="00C634DC">
            <w:pPr>
              <w:pStyle w:val="BodyRuller"/>
              <w:rPr>
                <w:rtl/>
              </w:rPr>
            </w:pPr>
            <w:r>
              <w:rPr>
                <w:rtl/>
              </w:rPr>
              <w:t>9. אביתר מנור</w:t>
            </w:r>
          </w:p>
        </w:tc>
      </w:tr>
      <w:tr w:rsidR="00B60A0E" w14:paraId="79A28BBC" w14:textId="77777777" w:rsidTr="00571018">
        <w:trPr>
          <w:trHeight w:val="287"/>
        </w:trPr>
        <w:tc>
          <w:tcPr>
            <w:tcW w:w="3261" w:type="dxa"/>
          </w:tcPr>
          <w:p w14:paraId="688A3FB1" w14:textId="77777777" w:rsidR="00B60A0E" w:rsidRDefault="00B60A0E" w:rsidP="00C634DC">
            <w:pPr>
              <w:pStyle w:val="BodyRuller"/>
              <w:rPr>
                <w:rFonts w:ascii="David" w:hAnsi="David"/>
                <w:rtl/>
              </w:rPr>
            </w:pPr>
          </w:p>
        </w:tc>
        <w:tc>
          <w:tcPr>
            <w:tcW w:w="5239" w:type="dxa"/>
          </w:tcPr>
          <w:p w14:paraId="1ABA56D9" w14:textId="77777777" w:rsidR="00B60A0E" w:rsidRDefault="00B60A0E" w:rsidP="00C634DC">
            <w:pPr>
              <w:pStyle w:val="BodyRuller"/>
              <w:rPr>
                <w:rtl/>
              </w:rPr>
            </w:pPr>
            <w:r>
              <w:rPr>
                <w:rtl/>
              </w:rPr>
              <w:t xml:space="preserve">10. מקס </w:t>
            </w:r>
            <w:proofErr w:type="spellStart"/>
            <w:r>
              <w:rPr>
                <w:rtl/>
              </w:rPr>
              <w:t>הרצברג</w:t>
            </w:r>
            <w:proofErr w:type="spellEnd"/>
          </w:p>
        </w:tc>
      </w:tr>
      <w:tr w:rsidR="00B60A0E" w14:paraId="0925DD37" w14:textId="77777777" w:rsidTr="00571018">
        <w:trPr>
          <w:trHeight w:val="287"/>
        </w:trPr>
        <w:tc>
          <w:tcPr>
            <w:tcW w:w="3261" w:type="dxa"/>
          </w:tcPr>
          <w:p w14:paraId="6BD7A162" w14:textId="77777777" w:rsidR="00B60A0E" w:rsidRDefault="00B60A0E" w:rsidP="00C634DC">
            <w:pPr>
              <w:pStyle w:val="BodyRuller"/>
              <w:rPr>
                <w:rFonts w:ascii="David" w:hAnsi="David"/>
                <w:rtl/>
              </w:rPr>
            </w:pPr>
          </w:p>
        </w:tc>
        <w:tc>
          <w:tcPr>
            <w:tcW w:w="5239" w:type="dxa"/>
          </w:tcPr>
          <w:p w14:paraId="4A5710A1" w14:textId="77777777" w:rsidR="00B60A0E" w:rsidRDefault="00B60A0E" w:rsidP="00C634DC">
            <w:pPr>
              <w:pStyle w:val="BodyRuller"/>
              <w:rPr>
                <w:rtl/>
              </w:rPr>
            </w:pPr>
            <w:r>
              <w:rPr>
                <w:rtl/>
              </w:rPr>
              <w:t>11. רות אלון</w:t>
            </w:r>
          </w:p>
        </w:tc>
      </w:tr>
      <w:tr w:rsidR="00B60A0E" w14:paraId="7C56C256" w14:textId="77777777" w:rsidTr="00571018">
        <w:trPr>
          <w:trHeight w:val="287"/>
        </w:trPr>
        <w:tc>
          <w:tcPr>
            <w:tcW w:w="3261" w:type="dxa"/>
          </w:tcPr>
          <w:p w14:paraId="0CA4299A" w14:textId="77777777" w:rsidR="00B60A0E" w:rsidRDefault="00B60A0E" w:rsidP="00C634DC">
            <w:pPr>
              <w:pStyle w:val="BodyRuller"/>
              <w:rPr>
                <w:rFonts w:ascii="David" w:hAnsi="David"/>
                <w:rtl/>
              </w:rPr>
            </w:pPr>
          </w:p>
        </w:tc>
        <w:tc>
          <w:tcPr>
            <w:tcW w:w="5239" w:type="dxa"/>
          </w:tcPr>
          <w:p w14:paraId="10DCA947" w14:textId="77777777" w:rsidR="00B60A0E" w:rsidRDefault="00B60A0E" w:rsidP="00C634DC">
            <w:pPr>
              <w:pStyle w:val="BodyRuller"/>
              <w:rPr>
                <w:rtl/>
              </w:rPr>
            </w:pPr>
            <w:r>
              <w:rPr>
                <w:rtl/>
              </w:rPr>
              <w:t>12. רון כתרי</w:t>
            </w:r>
          </w:p>
        </w:tc>
      </w:tr>
      <w:tr w:rsidR="00B60A0E" w14:paraId="7AFC113D" w14:textId="77777777" w:rsidTr="00571018">
        <w:trPr>
          <w:trHeight w:val="287"/>
        </w:trPr>
        <w:tc>
          <w:tcPr>
            <w:tcW w:w="3261" w:type="dxa"/>
          </w:tcPr>
          <w:p w14:paraId="276A4A44" w14:textId="77777777" w:rsidR="00B60A0E" w:rsidRDefault="00B60A0E" w:rsidP="00C634DC">
            <w:pPr>
              <w:pStyle w:val="BodyRuller"/>
              <w:rPr>
                <w:rFonts w:ascii="David" w:hAnsi="David"/>
                <w:rtl/>
              </w:rPr>
            </w:pPr>
          </w:p>
        </w:tc>
        <w:tc>
          <w:tcPr>
            <w:tcW w:w="5239" w:type="dxa"/>
          </w:tcPr>
          <w:p w14:paraId="33AFD145" w14:textId="77777777" w:rsidR="00B60A0E" w:rsidRDefault="00B60A0E" w:rsidP="00C634DC">
            <w:pPr>
              <w:pStyle w:val="BodyRuller"/>
              <w:rPr>
                <w:rtl/>
              </w:rPr>
            </w:pPr>
            <w:r>
              <w:rPr>
                <w:rtl/>
              </w:rPr>
              <w:t>13. יעל אלעד</w:t>
            </w:r>
          </w:p>
        </w:tc>
      </w:tr>
      <w:tr w:rsidR="00B60A0E" w14:paraId="0D50FEBD" w14:textId="77777777" w:rsidTr="00571018">
        <w:trPr>
          <w:trHeight w:val="287"/>
        </w:trPr>
        <w:tc>
          <w:tcPr>
            <w:tcW w:w="3261" w:type="dxa"/>
          </w:tcPr>
          <w:p w14:paraId="332E54CF" w14:textId="77777777" w:rsidR="00B60A0E" w:rsidRDefault="00B60A0E" w:rsidP="00C634DC">
            <w:pPr>
              <w:pStyle w:val="BodyRuller"/>
              <w:rPr>
                <w:rFonts w:ascii="David" w:hAnsi="David"/>
                <w:rtl/>
              </w:rPr>
            </w:pPr>
          </w:p>
        </w:tc>
        <w:tc>
          <w:tcPr>
            <w:tcW w:w="5239" w:type="dxa"/>
          </w:tcPr>
          <w:p w14:paraId="13786896" w14:textId="77777777" w:rsidR="00B60A0E" w:rsidRDefault="00B60A0E" w:rsidP="00C634DC">
            <w:pPr>
              <w:pStyle w:val="BodyRuller"/>
              <w:rPr>
                <w:rtl/>
              </w:rPr>
            </w:pPr>
            <w:r>
              <w:rPr>
                <w:rtl/>
              </w:rPr>
              <w:t>14. רון גורה</w:t>
            </w:r>
          </w:p>
        </w:tc>
      </w:tr>
      <w:tr w:rsidR="00B60A0E" w14:paraId="36347151" w14:textId="77777777" w:rsidTr="00571018">
        <w:trPr>
          <w:trHeight w:val="287"/>
        </w:trPr>
        <w:tc>
          <w:tcPr>
            <w:tcW w:w="3261" w:type="dxa"/>
          </w:tcPr>
          <w:p w14:paraId="77494DA2" w14:textId="77777777" w:rsidR="00B60A0E" w:rsidRDefault="00B60A0E" w:rsidP="00C634DC">
            <w:pPr>
              <w:pStyle w:val="BodyRuller"/>
              <w:rPr>
                <w:rFonts w:ascii="David" w:hAnsi="David"/>
                <w:rtl/>
              </w:rPr>
            </w:pPr>
          </w:p>
        </w:tc>
        <w:tc>
          <w:tcPr>
            <w:tcW w:w="5239" w:type="dxa"/>
          </w:tcPr>
          <w:p w14:paraId="523429CD" w14:textId="77777777" w:rsidR="00B60A0E" w:rsidRDefault="00B60A0E" w:rsidP="00C634DC">
            <w:pPr>
              <w:pStyle w:val="BodyRuller"/>
              <w:rPr>
                <w:rtl/>
              </w:rPr>
            </w:pPr>
            <w:r>
              <w:rPr>
                <w:rtl/>
              </w:rPr>
              <w:t>15. ניב אחיטוב</w:t>
            </w:r>
          </w:p>
        </w:tc>
      </w:tr>
      <w:tr w:rsidR="00B60A0E" w14:paraId="7180FFF0" w14:textId="77777777" w:rsidTr="00571018">
        <w:trPr>
          <w:trHeight w:val="287"/>
        </w:trPr>
        <w:tc>
          <w:tcPr>
            <w:tcW w:w="3261" w:type="dxa"/>
          </w:tcPr>
          <w:p w14:paraId="14EC1415" w14:textId="77777777" w:rsidR="00B60A0E" w:rsidRDefault="00B60A0E" w:rsidP="00C634DC">
            <w:pPr>
              <w:pStyle w:val="BodyRuller"/>
              <w:rPr>
                <w:rFonts w:ascii="David" w:hAnsi="David"/>
                <w:rtl/>
              </w:rPr>
            </w:pPr>
          </w:p>
        </w:tc>
        <w:tc>
          <w:tcPr>
            <w:tcW w:w="5239" w:type="dxa"/>
          </w:tcPr>
          <w:p w14:paraId="3FCB336F" w14:textId="77777777" w:rsidR="00B60A0E" w:rsidRDefault="00B60A0E" w:rsidP="00C634DC">
            <w:pPr>
              <w:pStyle w:val="BodyRuller"/>
              <w:rPr>
                <w:rtl/>
              </w:rPr>
            </w:pPr>
            <w:r>
              <w:rPr>
                <w:rtl/>
              </w:rPr>
              <w:t>16. אורה דר</w:t>
            </w:r>
          </w:p>
        </w:tc>
      </w:tr>
      <w:tr w:rsidR="00B60A0E" w14:paraId="5DFA82A5" w14:textId="77777777" w:rsidTr="00571018">
        <w:trPr>
          <w:trHeight w:val="287"/>
        </w:trPr>
        <w:tc>
          <w:tcPr>
            <w:tcW w:w="3261" w:type="dxa"/>
          </w:tcPr>
          <w:p w14:paraId="7CE7997D" w14:textId="77777777" w:rsidR="00B60A0E" w:rsidRDefault="00B60A0E" w:rsidP="00C634DC">
            <w:pPr>
              <w:pStyle w:val="BodyRuller"/>
              <w:rPr>
                <w:rFonts w:ascii="David" w:hAnsi="David"/>
                <w:rtl/>
              </w:rPr>
            </w:pPr>
          </w:p>
        </w:tc>
        <w:tc>
          <w:tcPr>
            <w:tcW w:w="5239" w:type="dxa"/>
          </w:tcPr>
          <w:p w14:paraId="5BF841A0" w14:textId="77777777" w:rsidR="00B60A0E" w:rsidRDefault="00B60A0E" w:rsidP="00C634DC">
            <w:pPr>
              <w:pStyle w:val="BodyRuller"/>
              <w:rPr>
                <w:rtl/>
              </w:rPr>
            </w:pPr>
            <w:r>
              <w:rPr>
                <w:rtl/>
              </w:rPr>
              <w:t>17. תמר פלש</w:t>
            </w:r>
          </w:p>
        </w:tc>
      </w:tr>
    </w:tbl>
    <w:p w14:paraId="6E72E6E1" w14:textId="77777777" w:rsidR="00B60A0E" w:rsidRDefault="00B60A0E" w:rsidP="00C634DC">
      <w:pPr>
        <w:pStyle w:val="Ruller3"/>
        <w:rPr>
          <w:rtl/>
        </w:rPr>
      </w:pPr>
    </w:p>
    <w:tbl>
      <w:tblPr>
        <w:bidiVisual/>
        <w:tblW w:w="8364" w:type="dxa"/>
        <w:tblLayout w:type="fixed"/>
        <w:tblLook w:val="0000" w:firstRow="0" w:lastRow="0" w:firstColumn="0" w:lastColumn="0" w:noHBand="0" w:noVBand="0"/>
      </w:tblPr>
      <w:tblGrid>
        <w:gridCol w:w="3210"/>
        <w:gridCol w:w="5154"/>
      </w:tblGrid>
      <w:tr w:rsidR="00B60A0E" w14:paraId="7BE7544D" w14:textId="77777777" w:rsidTr="00571018">
        <w:trPr>
          <w:trHeight w:val="287"/>
        </w:trPr>
        <w:tc>
          <w:tcPr>
            <w:tcW w:w="3261" w:type="dxa"/>
          </w:tcPr>
          <w:p w14:paraId="49103801" w14:textId="77777777" w:rsidR="00B60A0E" w:rsidRPr="00E75223" w:rsidRDefault="00B60A0E" w:rsidP="00C634DC">
            <w:pPr>
              <w:pStyle w:val="BodyRuller"/>
              <w:rPr>
                <w:rFonts w:ascii="David" w:hAnsi="David"/>
              </w:rPr>
            </w:pPr>
            <w:r>
              <w:rPr>
                <w:rFonts w:ascii="David" w:hAnsi="David"/>
                <w:rtl/>
              </w:rPr>
              <w:t>העותר</w:t>
            </w:r>
            <w:r>
              <w:rPr>
                <w:rFonts w:ascii="David" w:hAnsi="David" w:hint="cs"/>
                <w:rtl/>
              </w:rPr>
              <w:t>ת בבג"ץ 8949/22</w:t>
            </w:r>
            <w:r>
              <w:rPr>
                <w:rFonts w:ascii="David" w:hAnsi="David"/>
                <w:rtl/>
              </w:rPr>
              <w:t>:</w:t>
            </w:r>
          </w:p>
        </w:tc>
        <w:tc>
          <w:tcPr>
            <w:tcW w:w="5239" w:type="dxa"/>
          </w:tcPr>
          <w:p w14:paraId="0E41585B" w14:textId="77777777" w:rsidR="00B60A0E" w:rsidRDefault="00B60A0E" w:rsidP="00C634DC">
            <w:pPr>
              <w:pStyle w:val="BodyRuller"/>
            </w:pPr>
            <w:r>
              <w:rPr>
                <w:rtl/>
              </w:rPr>
              <w:t>התנועה למען איכות השלטון בישראל</w:t>
            </w:r>
          </w:p>
        </w:tc>
      </w:tr>
    </w:tbl>
    <w:p w14:paraId="749A057B" w14:textId="77777777" w:rsidR="00B60A0E" w:rsidRPr="00CD2379" w:rsidRDefault="00B60A0E" w:rsidP="00C634DC">
      <w:pPr>
        <w:pStyle w:val="Ruller3"/>
        <w:rPr>
          <w:rtl/>
        </w:rPr>
      </w:pPr>
    </w:p>
    <w:tbl>
      <w:tblPr>
        <w:bidiVisual/>
        <w:tblW w:w="8364" w:type="dxa"/>
        <w:tblLayout w:type="fixed"/>
        <w:tblLook w:val="0000" w:firstRow="0" w:lastRow="0" w:firstColumn="0" w:lastColumn="0" w:noHBand="0" w:noVBand="0"/>
      </w:tblPr>
      <w:tblGrid>
        <w:gridCol w:w="3210"/>
        <w:gridCol w:w="5154"/>
      </w:tblGrid>
      <w:tr w:rsidR="00B60A0E" w14:paraId="330E9CB8" w14:textId="77777777" w:rsidTr="00571018">
        <w:trPr>
          <w:trHeight w:val="287"/>
        </w:trPr>
        <w:tc>
          <w:tcPr>
            <w:tcW w:w="3261" w:type="dxa"/>
          </w:tcPr>
          <w:p w14:paraId="53D13518" w14:textId="77777777" w:rsidR="00B60A0E" w:rsidRPr="00E75223" w:rsidRDefault="00B60A0E" w:rsidP="00C634DC">
            <w:pPr>
              <w:pStyle w:val="BodyRuller"/>
              <w:rPr>
                <w:rFonts w:ascii="David" w:hAnsi="David"/>
              </w:rPr>
            </w:pPr>
            <w:r>
              <w:rPr>
                <w:rFonts w:ascii="David" w:hAnsi="David"/>
                <w:rtl/>
              </w:rPr>
              <w:t>העותר</w:t>
            </w:r>
            <w:r>
              <w:rPr>
                <w:rFonts w:ascii="David" w:hAnsi="David" w:hint="cs"/>
                <w:rtl/>
              </w:rPr>
              <w:t>ת בבג"ץ 8982/22</w:t>
            </w:r>
            <w:r>
              <w:rPr>
                <w:rFonts w:ascii="David" w:hAnsi="David"/>
                <w:rtl/>
              </w:rPr>
              <w:t>:</w:t>
            </w:r>
          </w:p>
        </w:tc>
        <w:tc>
          <w:tcPr>
            <w:tcW w:w="5239" w:type="dxa"/>
          </w:tcPr>
          <w:p w14:paraId="1BEECBD6" w14:textId="77777777" w:rsidR="00B60A0E" w:rsidRDefault="00B60A0E" w:rsidP="00C634DC">
            <w:pPr>
              <w:pStyle w:val="BodyRuller"/>
            </w:pPr>
            <w:r>
              <w:rPr>
                <w:rtl/>
              </w:rPr>
              <w:t>התנועה לטוהר המידות</w:t>
            </w:r>
          </w:p>
        </w:tc>
      </w:tr>
    </w:tbl>
    <w:p w14:paraId="529F1FBA" w14:textId="77777777" w:rsidR="00B60A0E" w:rsidRDefault="00B60A0E" w:rsidP="00C634DC">
      <w:pPr>
        <w:pStyle w:val="Ruller3"/>
        <w:rPr>
          <w:rtl/>
        </w:rPr>
      </w:pPr>
    </w:p>
    <w:p w14:paraId="3D90F717" w14:textId="77777777" w:rsidR="00B60A0E" w:rsidRPr="003D46EA" w:rsidRDefault="00B60A0E" w:rsidP="00C634DC">
      <w:pPr>
        <w:pStyle w:val="Ruller3"/>
        <w:rPr>
          <w:sz w:val="4"/>
          <w:szCs w:val="10"/>
        </w:rPr>
      </w:pPr>
    </w:p>
    <w:tbl>
      <w:tblPr>
        <w:bidiVisual/>
        <w:tblW w:w="8363" w:type="dxa"/>
        <w:tblLook w:val="0000" w:firstRow="0" w:lastRow="0" w:firstColumn="0" w:lastColumn="0" w:noHBand="0" w:noVBand="0"/>
      </w:tblPr>
      <w:tblGrid>
        <w:gridCol w:w="3222"/>
        <w:gridCol w:w="5141"/>
      </w:tblGrid>
      <w:tr w:rsidR="00B60A0E" w14:paraId="5B94F367" w14:textId="77777777" w:rsidTr="00571018">
        <w:tc>
          <w:tcPr>
            <w:tcW w:w="3284" w:type="dxa"/>
          </w:tcPr>
          <w:p w14:paraId="7D6402FF" w14:textId="77777777" w:rsidR="00B60A0E" w:rsidRDefault="00B60A0E" w:rsidP="00C634DC">
            <w:pPr>
              <w:pStyle w:val="BodyRuller"/>
            </w:pPr>
          </w:p>
        </w:tc>
        <w:tc>
          <w:tcPr>
            <w:tcW w:w="5238" w:type="dxa"/>
          </w:tcPr>
          <w:p w14:paraId="00D3E215" w14:textId="77777777" w:rsidR="00B60A0E" w:rsidRDefault="00B60A0E" w:rsidP="00C634DC">
            <w:pPr>
              <w:pStyle w:val="BodyRuller"/>
            </w:pPr>
            <w:r>
              <w:rPr>
                <w:rFonts w:hint="cs"/>
                <w:rtl/>
              </w:rPr>
              <w:t>נ</w:t>
            </w:r>
            <w:r>
              <w:t xml:space="preserve">  </w:t>
            </w:r>
            <w:r>
              <w:rPr>
                <w:rFonts w:hint="cs"/>
                <w:rtl/>
              </w:rPr>
              <w:t>ג</w:t>
            </w:r>
            <w:r>
              <w:t xml:space="preserve">  </w:t>
            </w:r>
            <w:r>
              <w:rPr>
                <w:rFonts w:hint="cs"/>
                <w:rtl/>
              </w:rPr>
              <w:t>ד</w:t>
            </w:r>
          </w:p>
        </w:tc>
      </w:tr>
    </w:tbl>
    <w:p w14:paraId="7C4AA3F6" w14:textId="77777777" w:rsidR="00B60A0E" w:rsidRDefault="00B60A0E" w:rsidP="00C634DC">
      <w:pPr>
        <w:pStyle w:val="Ruller3"/>
        <w:rPr>
          <w:rtl/>
        </w:rPr>
      </w:pPr>
    </w:p>
    <w:tbl>
      <w:tblPr>
        <w:bidiVisual/>
        <w:tblW w:w="8364" w:type="dxa"/>
        <w:tblLayout w:type="fixed"/>
        <w:tblLook w:val="0000" w:firstRow="0" w:lastRow="0" w:firstColumn="0" w:lastColumn="0" w:noHBand="0" w:noVBand="0"/>
      </w:tblPr>
      <w:tblGrid>
        <w:gridCol w:w="3210"/>
        <w:gridCol w:w="5154"/>
      </w:tblGrid>
      <w:tr w:rsidR="00B60A0E" w14:paraId="4E3D0B3B" w14:textId="77777777" w:rsidTr="00571018">
        <w:trPr>
          <w:trHeight w:val="287"/>
        </w:trPr>
        <w:tc>
          <w:tcPr>
            <w:tcW w:w="3261" w:type="dxa"/>
          </w:tcPr>
          <w:p w14:paraId="56810F19" w14:textId="77777777" w:rsidR="00B60A0E" w:rsidRPr="00E75223" w:rsidRDefault="00B60A0E" w:rsidP="00C634DC">
            <w:pPr>
              <w:pStyle w:val="BodyRuller"/>
              <w:rPr>
                <w:rFonts w:ascii="David" w:hAnsi="David"/>
              </w:rPr>
            </w:pPr>
            <w:r>
              <w:rPr>
                <w:rFonts w:ascii="David" w:hAnsi="David"/>
                <w:rtl/>
              </w:rPr>
              <w:t>המשיבים</w:t>
            </w:r>
            <w:r>
              <w:rPr>
                <w:rFonts w:ascii="David" w:hAnsi="David" w:hint="cs"/>
                <w:rtl/>
              </w:rPr>
              <w:t xml:space="preserve"> בבג"ץ 8948/22</w:t>
            </w:r>
            <w:r>
              <w:rPr>
                <w:rFonts w:ascii="David" w:hAnsi="David"/>
                <w:rtl/>
              </w:rPr>
              <w:t>:</w:t>
            </w:r>
          </w:p>
        </w:tc>
        <w:tc>
          <w:tcPr>
            <w:tcW w:w="5239" w:type="dxa"/>
          </w:tcPr>
          <w:p w14:paraId="302D204E" w14:textId="77777777" w:rsidR="00B60A0E" w:rsidRDefault="00B60A0E" w:rsidP="00C634DC">
            <w:pPr>
              <w:pStyle w:val="BodyRuller"/>
            </w:pPr>
            <w:r>
              <w:rPr>
                <w:rtl/>
              </w:rPr>
              <w:t>1. הכנסת</w:t>
            </w:r>
          </w:p>
        </w:tc>
      </w:tr>
      <w:tr w:rsidR="00B60A0E" w14:paraId="334BD2BD" w14:textId="77777777" w:rsidTr="00571018">
        <w:trPr>
          <w:trHeight w:val="287"/>
        </w:trPr>
        <w:tc>
          <w:tcPr>
            <w:tcW w:w="3261" w:type="dxa"/>
          </w:tcPr>
          <w:p w14:paraId="16E4A76F" w14:textId="77777777" w:rsidR="00B60A0E" w:rsidRDefault="00B60A0E" w:rsidP="00C634DC">
            <w:pPr>
              <w:pStyle w:val="BodyRuller"/>
              <w:rPr>
                <w:rFonts w:ascii="David" w:hAnsi="David"/>
                <w:rtl/>
              </w:rPr>
            </w:pPr>
          </w:p>
        </w:tc>
        <w:tc>
          <w:tcPr>
            <w:tcW w:w="5239" w:type="dxa"/>
          </w:tcPr>
          <w:p w14:paraId="5CF80E5C" w14:textId="77777777" w:rsidR="00B60A0E" w:rsidRDefault="00B60A0E" w:rsidP="00C634DC">
            <w:pPr>
              <w:pStyle w:val="BodyRuller"/>
              <w:rPr>
                <w:rtl/>
              </w:rPr>
            </w:pPr>
            <w:r>
              <w:rPr>
                <w:rtl/>
              </w:rPr>
              <w:t>2. היועצת המשפטית לכנסת</w:t>
            </w:r>
          </w:p>
        </w:tc>
      </w:tr>
      <w:tr w:rsidR="00B60A0E" w14:paraId="36F7B6ED" w14:textId="77777777" w:rsidTr="00571018">
        <w:trPr>
          <w:trHeight w:val="287"/>
        </w:trPr>
        <w:tc>
          <w:tcPr>
            <w:tcW w:w="3261" w:type="dxa"/>
          </w:tcPr>
          <w:p w14:paraId="7EE0650A" w14:textId="77777777" w:rsidR="00B60A0E" w:rsidRDefault="00B60A0E" w:rsidP="00C634DC">
            <w:pPr>
              <w:pStyle w:val="BodyRuller"/>
              <w:rPr>
                <w:rFonts w:ascii="David" w:hAnsi="David"/>
                <w:rtl/>
              </w:rPr>
            </w:pPr>
          </w:p>
        </w:tc>
        <w:tc>
          <w:tcPr>
            <w:tcW w:w="5239" w:type="dxa"/>
          </w:tcPr>
          <w:p w14:paraId="01911C4F" w14:textId="77777777" w:rsidR="00B60A0E" w:rsidRDefault="00B60A0E" w:rsidP="00C634DC">
            <w:pPr>
              <w:pStyle w:val="BodyRuller"/>
              <w:rPr>
                <w:rtl/>
              </w:rPr>
            </w:pPr>
            <w:r>
              <w:rPr>
                <w:rtl/>
              </w:rPr>
              <w:t>3. היועצת המשפטית לממשלה</w:t>
            </w:r>
          </w:p>
        </w:tc>
      </w:tr>
      <w:tr w:rsidR="00B60A0E" w14:paraId="5520E0B8" w14:textId="77777777" w:rsidTr="00571018">
        <w:trPr>
          <w:trHeight w:val="287"/>
        </w:trPr>
        <w:tc>
          <w:tcPr>
            <w:tcW w:w="3261" w:type="dxa"/>
          </w:tcPr>
          <w:p w14:paraId="58316CBA" w14:textId="77777777" w:rsidR="00B60A0E" w:rsidRDefault="00B60A0E" w:rsidP="00C634DC">
            <w:pPr>
              <w:pStyle w:val="BodyRuller"/>
              <w:rPr>
                <w:rFonts w:ascii="David" w:hAnsi="David"/>
                <w:rtl/>
              </w:rPr>
            </w:pPr>
          </w:p>
        </w:tc>
        <w:tc>
          <w:tcPr>
            <w:tcW w:w="5239" w:type="dxa"/>
          </w:tcPr>
          <w:p w14:paraId="7B24FD93" w14:textId="77777777" w:rsidR="00B60A0E" w:rsidRDefault="00B60A0E" w:rsidP="00C634DC">
            <w:pPr>
              <w:pStyle w:val="BodyRuller"/>
              <w:rPr>
                <w:rtl/>
              </w:rPr>
            </w:pPr>
            <w:r>
              <w:rPr>
                <w:rtl/>
              </w:rPr>
              <w:t>4. סיעת ש"ס</w:t>
            </w:r>
          </w:p>
        </w:tc>
      </w:tr>
      <w:tr w:rsidR="00B60A0E" w14:paraId="02A00589" w14:textId="77777777" w:rsidTr="00571018">
        <w:trPr>
          <w:trHeight w:val="287"/>
        </w:trPr>
        <w:tc>
          <w:tcPr>
            <w:tcW w:w="3261" w:type="dxa"/>
          </w:tcPr>
          <w:p w14:paraId="6959D778" w14:textId="77777777" w:rsidR="00B60A0E" w:rsidRDefault="00B60A0E" w:rsidP="00C634DC">
            <w:pPr>
              <w:pStyle w:val="BodyRuller"/>
              <w:rPr>
                <w:rFonts w:ascii="David" w:hAnsi="David"/>
                <w:rtl/>
              </w:rPr>
            </w:pPr>
          </w:p>
        </w:tc>
        <w:tc>
          <w:tcPr>
            <w:tcW w:w="5239" w:type="dxa"/>
          </w:tcPr>
          <w:p w14:paraId="36AC14A0" w14:textId="77777777" w:rsidR="00B60A0E" w:rsidRDefault="00B60A0E" w:rsidP="00C634DC">
            <w:pPr>
              <w:pStyle w:val="BodyRuller"/>
              <w:rPr>
                <w:rtl/>
              </w:rPr>
            </w:pPr>
            <w:r>
              <w:rPr>
                <w:rtl/>
              </w:rPr>
              <w:t>5. סיעת הליכוד</w:t>
            </w:r>
          </w:p>
        </w:tc>
      </w:tr>
      <w:tr w:rsidR="00B60A0E" w14:paraId="1F46B08D" w14:textId="77777777" w:rsidTr="00571018">
        <w:trPr>
          <w:trHeight w:val="287"/>
        </w:trPr>
        <w:tc>
          <w:tcPr>
            <w:tcW w:w="3261" w:type="dxa"/>
          </w:tcPr>
          <w:p w14:paraId="50011037" w14:textId="77777777" w:rsidR="00B60A0E" w:rsidRDefault="00B60A0E" w:rsidP="00C634DC">
            <w:pPr>
              <w:pStyle w:val="BodyRuller"/>
              <w:rPr>
                <w:rFonts w:ascii="David" w:hAnsi="David"/>
                <w:rtl/>
              </w:rPr>
            </w:pPr>
          </w:p>
        </w:tc>
        <w:tc>
          <w:tcPr>
            <w:tcW w:w="5239" w:type="dxa"/>
          </w:tcPr>
          <w:p w14:paraId="53D7F7B5" w14:textId="77777777" w:rsidR="00B60A0E" w:rsidRDefault="00B60A0E" w:rsidP="00C634DC">
            <w:pPr>
              <w:pStyle w:val="BodyRuller"/>
              <w:rPr>
                <w:rtl/>
              </w:rPr>
            </w:pPr>
            <w:r>
              <w:rPr>
                <w:rtl/>
              </w:rPr>
              <w:t>6. ח"כ בנימין נתניהו</w:t>
            </w:r>
            <w:r>
              <w:rPr>
                <w:rFonts w:hint="cs"/>
                <w:rtl/>
              </w:rPr>
              <w:t xml:space="preserve">, </w:t>
            </w:r>
            <w:r>
              <w:rPr>
                <w:rtl/>
              </w:rPr>
              <w:t xml:space="preserve">יו"ר </w:t>
            </w:r>
            <w:r>
              <w:rPr>
                <w:rFonts w:hint="cs"/>
                <w:rtl/>
              </w:rPr>
              <w:t>מפלגת הליכוד</w:t>
            </w:r>
          </w:p>
        </w:tc>
      </w:tr>
      <w:tr w:rsidR="00B60A0E" w14:paraId="76D497B1" w14:textId="77777777" w:rsidTr="00571018">
        <w:trPr>
          <w:trHeight w:val="287"/>
        </w:trPr>
        <w:tc>
          <w:tcPr>
            <w:tcW w:w="3261" w:type="dxa"/>
          </w:tcPr>
          <w:p w14:paraId="75EFC3DF" w14:textId="77777777" w:rsidR="00B60A0E" w:rsidRDefault="00B60A0E" w:rsidP="00C634DC">
            <w:pPr>
              <w:pStyle w:val="BodyRuller"/>
              <w:rPr>
                <w:rFonts w:ascii="David" w:hAnsi="David"/>
                <w:rtl/>
              </w:rPr>
            </w:pPr>
          </w:p>
        </w:tc>
        <w:tc>
          <w:tcPr>
            <w:tcW w:w="5239" w:type="dxa"/>
          </w:tcPr>
          <w:p w14:paraId="0A3A3A20" w14:textId="77777777" w:rsidR="00B60A0E" w:rsidRDefault="00B60A0E" w:rsidP="00C634DC">
            <w:pPr>
              <w:pStyle w:val="BodyRuller"/>
              <w:rPr>
                <w:rtl/>
              </w:rPr>
            </w:pPr>
            <w:r>
              <w:rPr>
                <w:rtl/>
              </w:rPr>
              <w:t>7. ח"כ אריה דרעי</w:t>
            </w:r>
            <w:r>
              <w:rPr>
                <w:rFonts w:hint="cs"/>
                <w:rtl/>
              </w:rPr>
              <w:t>,</w:t>
            </w:r>
            <w:r>
              <w:rPr>
                <w:rtl/>
              </w:rPr>
              <w:t xml:space="preserve"> יו"ר מפלגת ש"ס</w:t>
            </w:r>
          </w:p>
        </w:tc>
      </w:tr>
      <w:tr w:rsidR="00B60A0E" w14:paraId="2C5FB2B2" w14:textId="77777777" w:rsidTr="00571018">
        <w:trPr>
          <w:trHeight w:val="287"/>
        </w:trPr>
        <w:tc>
          <w:tcPr>
            <w:tcW w:w="3261" w:type="dxa"/>
          </w:tcPr>
          <w:p w14:paraId="54CC58BC" w14:textId="77777777" w:rsidR="00B60A0E" w:rsidRDefault="00B60A0E" w:rsidP="00C634DC">
            <w:pPr>
              <w:pStyle w:val="BodyRuller"/>
              <w:rPr>
                <w:rFonts w:ascii="David" w:hAnsi="David"/>
                <w:rtl/>
              </w:rPr>
            </w:pPr>
          </w:p>
        </w:tc>
        <w:tc>
          <w:tcPr>
            <w:tcW w:w="5239" w:type="dxa"/>
          </w:tcPr>
          <w:p w14:paraId="3E7512D1" w14:textId="77777777" w:rsidR="00B60A0E" w:rsidRDefault="00B60A0E" w:rsidP="00C634DC">
            <w:pPr>
              <w:pStyle w:val="BodyRuller"/>
              <w:rPr>
                <w:rtl/>
              </w:rPr>
            </w:pPr>
            <w:r>
              <w:rPr>
                <w:rtl/>
              </w:rPr>
              <w:t>8. סיעת הציונות הדתית</w:t>
            </w:r>
          </w:p>
        </w:tc>
      </w:tr>
      <w:tr w:rsidR="00B60A0E" w14:paraId="7360101D" w14:textId="77777777" w:rsidTr="00571018">
        <w:trPr>
          <w:trHeight w:val="287"/>
        </w:trPr>
        <w:tc>
          <w:tcPr>
            <w:tcW w:w="3261" w:type="dxa"/>
          </w:tcPr>
          <w:p w14:paraId="6E57172D" w14:textId="77777777" w:rsidR="00B60A0E" w:rsidRDefault="00B60A0E" w:rsidP="00C634DC">
            <w:pPr>
              <w:pStyle w:val="BodyRuller"/>
              <w:rPr>
                <w:rFonts w:ascii="David" w:hAnsi="David"/>
                <w:rtl/>
              </w:rPr>
            </w:pPr>
          </w:p>
        </w:tc>
        <w:tc>
          <w:tcPr>
            <w:tcW w:w="5239" w:type="dxa"/>
          </w:tcPr>
          <w:p w14:paraId="1E210240" w14:textId="77777777" w:rsidR="00B60A0E" w:rsidRDefault="00B60A0E" w:rsidP="00C634DC">
            <w:pPr>
              <w:pStyle w:val="BodyRuller"/>
              <w:rPr>
                <w:rtl/>
              </w:rPr>
            </w:pPr>
            <w:r>
              <w:rPr>
                <w:rtl/>
              </w:rPr>
              <w:t>9. סיעת עוצמה יהודית</w:t>
            </w:r>
          </w:p>
        </w:tc>
      </w:tr>
      <w:tr w:rsidR="00B60A0E" w14:paraId="2D6201CC" w14:textId="77777777" w:rsidTr="00571018">
        <w:trPr>
          <w:trHeight w:val="287"/>
        </w:trPr>
        <w:tc>
          <w:tcPr>
            <w:tcW w:w="3261" w:type="dxa"/>
          </w:tcPr>
          <w:p w14:paraId="47571196" w14:textId="77777777" w:rsidR="00B60A0E" w:rsidRDefault="00B60A0E" w:rsidP="00C634DC">
            <w:pPr>
              <w:pStyle w:val="BodyRuller"/>
              <w:rPr>
                <w:rFonts w:ascii="David" w:hAnsi="David"/>
                <w:rtl/>
              </w:rPr>
            </w:pPr>
          </w:p>
        </w:tc>
        <w:tc>
          <w:tcPr>
            <w:tcW w:w="5239" w:type="dxa"/>
          </w:tcPr>
          <w:p w14:paraId="724A7471" w14:textId="77777777" w:rsidR="00B60A0E" w:rsidRDefault="00B60A0E" w:rsidP="00C634DC">
            <w:pPr>
              <w:pStyle w:val="BodyRuller"/>
              <w:rPr>
                <w:rtl/>
              </w:rPr>
            </w:pPr>
            <w:r>
              <w:rPr>
                <w:rtl/>
              </w:rPr>
              <w:t>10. סיעת יהדות התורה</w:t>
            </w:r>
          </w:p>
        </w:tc>
      </w:tr>
    </w:tbl>
    <w:p w14:paraId="23EBB492" w14:textId="77777777" w:rsidR="00B60A0E" w:rsidRDefault="00B60A0E" w:rsidP="00C634DC">
      <w:pPr>
        <w:pStyle w:val="Ruller3"/>
      </w:pPr>
    </w:p>
    <w:tbl>
      <w:tblPr>
        <w:bidiVisual/>
        <w:tblW w:w="8364" w:type="dxa"/>
        <w:tblLayout w:type="fixed"/>
        <w:tblLook w:val="0000" w:firstRow="0" w:lastRow="0" w:firstColumn="0" w:lastColumn="0" w:noHBand="0" w:noVBand="0"/>
      </w:tblPr>
      <w:tblGrid>
        <w:gridCol w:w="3210"/>
        <w:gridCol w:w="5154"/>
      </w:tblGrid>
      <w:tr w:rsidR="00B60A0E" w14:paraId="41F9C932" w14:textId="77777777" w:rsidTr="00571018">
        <w:trPr>
          <w:trHeight w:val="287"/>
        </w:trPr>
        <w:tc>
          <w:tcPr>
            <w:tcW w:w="3261" w:type="dxa"/>
          </w:tcPr>
          <w:p w14:paraId="247B0721" w14:textId="77777777" w:rsidR="00B60A0E" w:rsidRPr="00E75223" w:rsidRDefault="00B60A0E" w:rsidP="00C634DC">
            <w:pPr>
              <w:pStyle w:val="BodyRuller"/>
              <w:rPr>
                <w:rFonts w:ascii="David" w:hAnsi="David"/>
              </w:rPr>
            </w:pPr>
            <w:r>
              <w:rPr>
                <w:rFonts w:ascii="David" w:hAnsi="David"/>
                <w:rtl/>
              </w:rPr>
              <w:t>המשיבים</w:t>
            </w:r>
            <w:r>
              <w:rPr>
                <w:rFonts w:ascii="David" w:hAnsi="David"/>
              </w:rPr>
              <w:t xml:space="preserve"> </w:t>
            </w:r>
            <w:r>
              <w:rPr>
                <w:rFonts w:ascii="David" w:hAnsi="David" w:hint="cs"/>
                <w:rtl/>
              </w:rPr>
              <w:t>בבג"ץ 8949/22</w:t>
            </w:r>
            <w:r>
              <w:rPr>
                <w:rFonts w:ascii="David" w:hAnsi="David"/>
                <w:rtl/>
              </w:rPr>
              <w:t>:</w:t>
            </w:r>
          </w:p>
        </w:tc>
        <w:tc>
          <w:tcPr>
            <w:tcW w:w="5239" w:type="dxa"/>
          </w:tcPr>
          <w:p w14:paraId="1ECD3869" w14:textId="77777777" w:rsidR="00B60A0E" w:rsidRDefault="00B60A0E" w:rsidP="00C634DC">
            <w:pPr>
              <w:pStyle w:val="BodyRuller"/>
            </w:pPr>
            <w:r>
              <w:rPr>
                <w:rtl/>
              </w:rPr>
              <w:t>1. הכנסת</w:t>
            </w:r>
          </w:p>
        </w:tc>
      </w:tr>
      <w:tr w:rsidR="00B60A0E" w14:paraId="0551EDF8" w14:textId="77777777" w:rsidTr="00571018">
        <w:trPr>
          <w:trHeight w:val="287"/>
        </w:trPr>
        <w:tc>
          <w:tcPr>
            <w:tcW w:w="3261" w:type="dxa"/>
          </w:tcPr>
          <w:p w14:paraId="26A84DB8" w14:textId="77777777" w:rsidR="00B60A0E" w:rsidRDefault="00B60A0E" w:rsidP="00C634DC">
            <w:pPr>
              <w:pStyle w:val="BodyRuller"/>
              <w:rPr>
                <w:rFonts w:ascii="David" w:hAnsi="David"/>
                <w:rtl/>
              </w:rPr>
            </w:pPr>
          </w:p>
        </w:tc>
        <w:tc>
          <w:tcPr>
            <w:tcW w:w="5239" w:type="dxa"/>
          </w:tcPr>
          <w:p w14:paraId="21BA5B6B" w14:textId="77777777" w:rsidR="00B60A0E" w:rsidRDefault="00B60A0E" w:rsidP="00C634DC">
            <w:pPr>
              <w:pStyle w:val="BodyRuller"/>
              <w:rPr>
                <w:rtl/>
              </w:rPr>
            </w:pPr>
            <w:r>
              <w:rPr>
                <w:rtl/>
              </w:rPr>
              <w:t>2. ח"כ אריה מכלוף דרעי</w:t>
            </w:r>
          </w:p>
        </w:tc>
      </w:tr>
      <w:tr w:rsidR="00B60A0E" w14:paraId="11B77A05" w14:textId="77777777" w:rsidTr="00571018">
        <w:trPr>
          <w:trHeight w:val="287"/>
        </w:trPr>
        <w:tc>
          <w:tcPr>
            <w:tcW w:w="3261" w:type="dxa"/>
          </w:tcPr>
          <w:p w14:paraId="3322EB42" w14:textId="77777777" w:rsidR="00B60A0E" w:rsidRDefault="00B60A0E" w:rsidP="00C634DC">
            <w:pPr>
              <w:pStyle w:val="BodyRuller"/>
              <w:rPr>
                <w:rFonts w:ascii="David" w:hAnsi="David"/>
                <w:rtl/>
              </w:rPr>
            </w:pPr>
          </w:p>
        </w:tc>
        <w:tc>
          <w:tcPr>
            <w:tcW w:w="5239" w:type="dxa"/>
          </w:tcPr>
          <w:p w14:paraId="5DA8043D" w14:textId="77777777" w:rsidR="00B60A0E" w:rsidRDefault="00B60A0E" w:rsidP="00C634DC">
            <w:pPr>
              <w:pStyle w:val="BodyRuller"/>
              <w:rPr>
                <w:rtl/>
              </w:rPr>
            </w:pPr>
            <w:r>
              <w:rPr>
                <w:rtl/>
              </w:rPr>
              <w:t>3. היועצת המשפטית לממשלה</w:t>
            </w:r>
          </w:p>
        </w:tc>
      </w:tr>
      <w:tr w:rsidR="00B60A0E" w14:paraId="56B7FB4C" w14:textId="77777777" w:rsidTr="00571018">
        <w:trPr>
          <w:trHeight w:val="287"/>
        </w:trPr>
        <w:tc>
          <w:tcPr>
            <w:tcW w:w="3261" w:type="dxa"/>
          </w:tcPr>
          <w:p w14:paraId="46D0CDD5" w14:textId="77777777" w:rsidR="00B60A0E" w:rsidRDefault="00B60A0E" w:rsidP="00C634DC">
            <w:pPr>
              <w:pStyle w:val="BodyRuller"/>
              <w:rPr>
                <w:rFonts w:ascii="David" w:hAnsi="David"/>
                <w:rtl/>
              </w:rPr>
            </w:pPr>
          </w:p>
        </w:tc>
        <w:tc>
          <w:tcPr>
            <w:tcW w:w="5239" w:type="dxa"/>
          </w:tcPr>
          <w:p w14:paraId="5375512D" w14:textId="77777777" w:rsidR="00B60A0E" w:rsidRDefault="00B60A0E" w:rsidP="00C634DC">
            <w:pPr>
              <w:pStyle w:val="BodyRuller"/>
              <w:rPr>
                <w:rtl/>
              </w:rPr>
            </w:pPr>
            <w:r>
              <w:rPr>
                <w:rtl/>
              </w:rPr>
              <w:t>4. ח"כ בנימין נתניהו</w:t>
            </w:r>
          </w:p>
        </w:tc>
      </w:tr>
    </w:tbl>
    <w:p w14:paraId="6B30652E" w14:textId="77777777" w:rsidR="00B60A0E" w:rsidRDefault="00B60A0E" w:rsidP="00C634DC">
      <w:pPr>
        <w:pStyle w:val="Ruller3"/>
        <w:rPr>
          <w:rtl/>
        </w:rPr>
      </w:pPr>
    </w:p>
    <w:tbl>
      <w:tblPr>
        <w:bidiVisual/>
        <w:tblW w:w="8364" w:type="dxa"/>
        <w:tblLayout w:type="fixed"/>
        <w:tblLook w:val="0000" w:firstRow="0" w:lastRow="0" w:firstColumn="0" w:lastColumn="0" w:noHBand="0" w:noVBand="0"/>
      </w:tblPr>
      <w:tblGrid>
        <w:gridCol w:w="3210"/>
        <w:gridCol w:w="5154"/>
      </w:tblGrid>
      <w:tr w:rsidR="00B60A0E" w14:paraId="49BAAE0C" w14:textId="77777777" w:rsidTr="00571018">
        <w:trPr>
          <w:trHeight w:val="287"/>
        </w:trPr>
        <w:tc>
          <w:tcPr>
            <w:tcW w:w="3210" w:type="dxa"/>
          </w:tcPr>
          <w:p w14:paraId="3AA675FF" w14:textId="77777777" w:rsidR="00B60A0E" w:rsidRPr="00E75223" w:rsidRDefault="00B60A0E" w:rsidP="00C634DC">
            <w:pPr>
              <w:pStyle w:val="BodyRuller"/>
              <w:rPr>
                <w:rFonts w:ascii="David" w:hAnsi="David"/>
              </w:rPr>
            </w:pPr>
            <w:r>
              <w:rPr>
                <w:rFonts w:ascii="David" w:hAnsi="David"/>
                <w:rtl/>
              </w:rPr>
              <w:t>המשיבים</w:t>
            </w:r>
            <w:r>
              <w:rPr>
                <w:rFonts w:ascii="David" w:hAnsi="David" w:hint="cs"/>
                <w:rtl/>
              </w:rPr>
              <w:t xml:space="preserve"> בבג"ץ 8982/22</w:t>
            </w:r>
            <w:r>
              <w:rPr>
                <w:rFonts w:ascii="David" w:hAnsi="David"/>
                <w:rtl/>
              </w:rPr>
              <w:t>:</w:t>
            </w:r>
          </w:p>
        </w:tc>
        <w:tc>
          <w:tcPr>
            <w:tcW w:w="5154" w:type="dxa"/>
          </w:tcPr>
          <w:p w14:paraId="1F097ADA" w14:textId="77777777" w:rsidR="00B60A0E" w:rsidRDefault="00B60A0E" w:rsidP="00C634DC">
            <w:pPr>
              <w:pStyle w:val="BodyRuller"/>
            </w:pPr>
            <w:r>
              <w:rPr>
                <w:rtl/>
              </w:rPr>
              <w:t xml:space="preserve">1. </w:t>
            </w:r>
            <w:r>
              <w:rPr>
                <w:rFonts w:hint="cs"/>
                <w:rtl/>
              </w:rPr>
              <w:t>ח"כ</w:t>
            </w:r>
            <w:r>
              <w:rPr>
                <w:rtl/>
              </w:rPr>
              <w:t xml:space="preserve"> בנימין נתניהו</w:t>
            </w:r>
          </w:p>
        </w:tc>
      </w:tr>
      <w:tr w:rsidR="00B60A0E" w14:paraId="13DCAE84" w14:textId="77777777" w:rsidTr="00571018">
        <w:trPr>
          <w:trHeight w:val="287"/>
        </w:trPr>
        <w:tc>
          <w:tcPr>
            <w:tcW w:w="3210" w:type="dxa"/>
          </w:tcPr>
          <w:p w14:paraId="19B3ECAF" w14:textId="77777777" w:rsidR="00B60A0E" w:rsidRDefault="00B60A0E" w:rsidP="00C634DC">
            <w:pPr>
              <w:pStyle w:val="BodyRuller"/>
              <w:rPr>
                <w:rFonts w:ascii="David" w:hAnsi="David"/>
                <w:rtl/>
              </w:rPr>
            </w:pPr>
          </w:p>
        </w:tc>
        <w:tc>
          <w:tcPr>
            <w:tcW w:w="5154" w:type="dxa"/>
          </w:tcPr>
          <w:p w14:paraId="268BC5C0" w14:textId="77777777" w:rsidR="00B60A0E" w:rsidRDefault="00B60A0E" w:rsidP="00C634DC">
            <w:pPr>
              <w:pStyle w:val="BodyRuller"/>
              <w:rPr>
                <w:rtl/>
              </w:rPr>
            </w:pPr>
            <w:r>
              <w:rPr>
                <w:rtl/>
              </w:rPr>
              <w:t>2. היועצת המשפטית לממשלה</w:t>
            </w:r>
          </w:p>
          <w:p w14:paraId="5B2E17DD" w14:textId="77777777" w:rsidR="00B60A0E" w:rsidRDefault="00B60A0E" w:rsidP="00C634DC">
            <w:pPr>
              <w:pStyle w:val="BodyRuller"/>
              <w:rPr>
                <w:rtl/>
              </w:rPr>
            </w:pPr>
            <w:r>
              <w:rPr>
                <w:rFonts w:hint="cs"/>
                <w:rtl/>
              </w:rPr>
              <w:t xml:space="preserve">3. ח"כ אריה דרעי </w:t>
            </w:r>
          </w:p>
          <w:p w14:paraId="12564D35" w14:textId="77777777" w:rsidR="00B60A0E" w:rsidRDefault="00B60A0E" w:rsidP="00C634DC">
            <w:pPr>
              <w:pStyle w:val="BodyRuller"/>
              <w:rPr>
                <w:rtl/>
              </w:rPr>
            </w:pPr>
            <w:r>
              <w:rPr>
                <w:rFonts w:hint="cs"/>
                <w:rtl/>
              </w:rPr>
              <w:t xml:space="preserve">4. מפלגת ש"ס </w:t>
            </w:r>
            <w:r>
              <w:rPr>
                <w:rtl/>
              </w:rPr>
              <w:t>–</w:t>
            </w:r>
            <w:r>
              <w:rPr>
                <w:rFonts w:hint="cs"/>
                <w:rtl/>
              </w:rPr>
              <w:t xml:space="preserve"> התאחדות ספרדים העולמית שומרי תורה</w:t>
            </w:r>
          </w:p>
        </w:tc>
      </w:tr>
    </w:tbl>
    <w:p w14:paraId="141FC3A4" w14:textId="77777777" w:rsidR="00B60A0E" w:rsidRDefault="00B60A0E" w:rsidP="00C634DC">
      <w:pPr>
        <w:tabs>
          <w:tab w:val="left" w:pos="2552"/>
        </w:tabs>
        <w:rPr>
          <w:rtl/>
        </w:rPr>
      </w:pPr>
    </w:p>
    <w:p w14:paraId="21A11B35" w14:textId="77777777" w:rsidR="00B60A0E" w:rsidRPr="00554AA1" w:rsidRDefault="00B60A0E" w:rsidP="00C634DC">
      <w:pPr>
        <w:tabs>
          <w:tab w:val="left" w:pos="2552"/>
        </w:tabs>
        <w:rPr>
          <w:rtl/>
        </w:rPr>
      </w:pPr>
    </w:p>
    <w:tbl>
      <w:tblPr>
        <w:bidiVisual/>
        <w:tblW w:w="8364" w:type="dxa"/>
        <w:tblLayout w:type="fixed"/>
        <w:tblLook w:val="0000" w:firstRow="0" w:lastRow="0" w:firstColumn="0" w:lastColumn="0" w:noHBand="0" w:noVBand="0"/>
      </w:tblPr>
      <w:tblGrid>
        <w:gridCol w:w="3210"/>
        <w:gridCol w:w="5154"/>
      </w:tblGrid>
      <w:tr w:rsidR="00B60A0E" w14:paraId="04D5821C" w14:textId="77777777" w:rsidTr="00571018">
        <w:trPr>
          <w:trHeight w:val="287"/>
        </w:trPr>
        <w:tc>
          <w:tcPr>
            <w:tcW w:w="3210" w:type="dxa"/>
          </w:tcPr>
          <w:p w14:paraId="3C9D95AC" w14:textId="77777777" w:rsidR="00B60A0E" w:rsidRPr="00E75223" w:rsidRDefault="00B60A0E" w:rsidP="00C634DC">
            <w:pPr>
              <w:pStyle w:val="BodyRuller"/>
              <w:jc w:val="both"/>
              <w:rPr>
                <w:rFonts w:ascii="David" w:hAnsi="David"/>
              </w:rPr>
            </w:pPr>
            <w:r>
              <w:rPr>
                <w:rFonts w:ascii="David" w:hAnsi="David" w:hint="cs"/>
                <w:rtl/>
              </w:rPr>
              <w:t xml:space="preserve">המבקשים להצטרף כידידי בית </w:t>
            </w:r>
            <w:r w:rsidR="006C2534">
              <w:rPr>
                <w:rFonts w:ascii="David" w:hAnsi="David" w:hint="cs"/>
                <w:rtl/>
              </w:rPr>
              <w:t>ה</w:t>
            </w:r>
            <w:r>
              <w:rPr>
                <w:rFonts w:ascii="David" w:hAnsi="David" w:hint="cs"/>
                <w:rtl/>
              </w:rPr>
              <w:t>משפט:</w:t>
            </w:r>
          </w:p>
        </w:tc>
        <w:tc>
          <w:tcPr>
            <w:tcW w:w="5154" w:type="dxa"/>
          </w:tcPr>
          <w:p w14:paraId="0483C406" w14:textId="77777777" w:rsidR="00B60A0E" w:rsidRDefault="00B60A0E" w:rsidP="00C634DC">
            <w:pPr>
              <w:pStyle w:val="BodyRuller"/>
              <w:rPr>
                <w:rtl/>
              </w:rPr>
            </w:pPr>
          </w:p>
          <w:p w14:paraId="4E03DA2B" w14:textId="77777777" w:rsidR="00B60A0E" w:rsidRDefault="00B60A0E" w:rsidP="00C634DC">
            <w:pPr>
              <w:pStyle w:val="BodyRuller"/>
            </w:pPr>
            <w:r>
              <w:rPr>
                <w:rtl/>
              </w:rPr>
              <w:t xml:space="preserve">1. </w:t>
            </w:r>
            <w:r>
              <w:rPr>
                <w:rFonts w:hint="cs"/>
                <w:rtl/>
              </w:rPr>
              <w:t>פרופ' איל בנבנישתי</w:t>
            </w:r>
          </w:p>
        </w:tc>
      </w:tr>
      <w:tr w:rsidR="00B60A0E" w14:paraId="751A4B79" w14:textId="77777777" w:rsidTr="00571018">
        <w:trPr>
          <w:trHeight w:val="287"/>
        </w:trPr>
        <w:tc>
          <w:tcPr>
            <w:tcW w:w="3210" w:type="dxa"/>
          </w:tcPr>
          <w:p w14:paraId="0DED2186" w14:textId="77777777" w:rsidR="00B60A0E" w:rsidRDefault="00B60A0E" w:rsidP="00C634DC">
            <w:pPr>
              <w:pStyle w:val="BodyRuller"/>
              <w:rPr>
                <w:rFonts w:ascii="David" w:hAnsi="David"/>
                <w:rtl/>
              </w:rPr>
            </w:pPr>
          </w:p>
        </w:tc>
        <w:tc>
          <w:tcPr>
            <w:tcW w:w="5154" w:type="dxa"/>
          </w:tcPr>
          <w:p w14:paraId="5D2BD1BE" w14:textId="77777777" w:rsidR="00B60A0E" w:rsidRDefault="00B60A0E" w:rsidP="00C634DC">
            <w:pPr>
              <w:pStyle w:val="BodyRuller"/>
              <w:rPr>
                <w:rtl/>
              </w:rPr>
            </w:pPr>
            <w:r>
              <w:rPr>
                <w:rtl/>
              </w:rPr>
              <w:t xml:space="preserve">2. </w:t>
            </w:r>
            <w:r>
              <w:rPr>
                <w:rFonts w:hint="cs"/>
                <w:rtl/>
              </w:rPr>
              <w:t xml:space="preserve">פרופ' גילה </w:t>
            </w:r>
            <w:proofErr w:type="spellStart"/>
            <w:r>
              <w:rPr>
                <w:rFonts w:hint="cs"/>
                <w:rtl/>
              </w:rPr>
              <w:t>שטופלר</w:t>
            </w:r>
            <w:proofErr w:type="spellEnd"/>
          </w:p>
        </w:tc>
      </w:tr>
      <w:tr w:rsidR="00B60A0E" w14:paraId="1FF39238" w14:textId="77777777" w:rsidTr="00571018">
        <w:trPr>
          <w:trHeight w:val="287"/>
        </w:trPr>
        <w:tc>
          <w:tcPr>
            <w:tcW w:w="3210" w:type="dxa"/>
          </w:tcPr>
          <w:p w14:paraId="0CCE5EEA" w14:textId="77777777" w:rsidR="00B60A0E" w:rsidRDefault="00B60A0E" w:rsidP="00C634DC">
            <w:pPr>
              <w:pStyle w:val="BodyRuller"/>
              <w:rPr>
                <w:rFonts w:ascii="David" w:hAnsi="David"/>
                <w:rtl/>
              </w:rPr>
            </w:pPr>
          </w:p>
        </w:tc>
        <w:tc>
          <w:tcPr>
            <w:tcW w:w="5154" w:type="dxa"/>
          </w:tcPr>
          <w:p w14:paraId="641BF785" w14:textId="77777777" w:rsidR="00B60A0E" w:rsidRDefault="00B60A0E" w:rsidP="00C634DC">
            <w:pPr>
              <w:pStyle w:val="BodyRuller"/>
              <w:rPr>
                <w:rtl/>
              </w:rPr>
            </w:pPr>
            <w:r>
              <w:rPr>
                <w:rtl/>
              </w:rPr>
              <w:t xml:space="preserve">3. </w:t>
            </w:r>
            <w:r>
              <w:rPr>
                <w:rFonts w:hint="cs"/>
                <w:rtl/>
              </w:rPr>
              <w:t xml:space="preserve">פרופ' פרנסס </w:t>
            </w:r>
            <w:proofErr w:type="spellStart"/>
            <w:r>
              <w:rPr>
                <w:rFonts w:hint="cs"/>
                <w:rtl/>
              </w:rPr>
              <w:t>רדאי</w:t>
            </w:r>
            <w:proofErr w:type="spellEnd"/>
          </w:p>
        </w:tc>
      </w:tr>
      <w:tr w:rsidR="00B60A0E" w14:paraId="45490423" w14:textId="77777777" w:rsidTr="00571018">
        <w:trPr>
          <w:trHeight w:val="287"/>
        </w:trPr>
        <w:tc>
          <w:tcPr>
            <w:tcW w:w="3210" w:type="dxa"/>
          </w:tcPr>
          <w:p w14:paraId="5E3D2D35" w14:textId="77777777" w:rsidR="00B60A0E" w:rsidRDefault="00B60A0E" w:rsidP="00C634DC">
            <w:pPr>
              <w:pStyle w:val="BodyRuller"/>
              <w:rPr>
                <w:rFonts w:ascii="David" w:hAnsi="David"/>
                <w:rtl/>
              </w:rPr>
            </w:pPr>
          </w:p>
        </w:tc>
        <w:tc>
          <w:tcPr>
            <w:tcW w:w="5154" w:type="dxa"/>
          </w:tcPr>
          <w:p w14:paraId="6BFC334D" w14:textId="77777777" w:rsidR="00B60A0E" w:rsidRDefault="00B60A0E" w:rsidP="00C634DC">
            <w:pPr>
              <w:pStyle w:val="BodyRuller"/>
              <w:rPr>
                <w:rtl/>
              </w:rPr>
            </w:pPr>
            <w:r>
              <w:rPr>
                <w:rtl/>
              </w:rPr>
              <w:t xml:space="preserve">4. </w:t>
            </w:r>
            <w:r>
              <w:rPr>
                <w:rFonts w:hint="cs"/>
                <w:rtl/>
              </w:rPr>
              <w:t xml:space="preserve">פרופ' דוד </w:t>
            </w:r>
            <w:proofErr w:type="spellStart"/>
            <w:r>
              <w:rPr>
                <w:rFonts w:hint="cs"/>
                <w:rtl/>
              </w:rPr>
              <w:t>קרצמר</w:t>
            </w:r>
            <w:proofErr w:type="spellEnd"/>
          </w:p>
        </w:tc>
      </w:tr>
    </w:tbl>
    <w:p w14:paraId="1D309399" w14:textId="77777777" w:rsidR="00916FF8" w:rsidRDefault="00916FF8" w:rsidP="00C634DC">
      <w:pPr>
        <w:tabs>
          <w:tab w:val="left" w:pos="2552"/>
        </w:tabs>
        <w:rPr>
          <w:rtl/>
        </w:rPr>
      </w:pPr>
    </w:p>
    <w:p w14:paraId="6B9B2919" w14:textId="77777777" w:rsidR="00B60A0E" w:rsidRDefault="00B60A0E" w:rsidP="00C634DC">
      <w:pPr>
        <w:tabs>
          <w:tab w:val="left" w:pos="2552"/>
        </w:tabs>
        <w:rPr>
          <w:rtl/>
        </w:rPr>
      </w:pPr>
    </w:p>
    <w:p w14:paraId="3A84A017" w14:textId="77777777" w:rsidR="00B60A0E" w:rsidRDefault="00B60A0E" w:rsidP="00C634DC">
      <w:pPr>
        <w:tabs>
          <w:tab w:val="left" w:pos="2552"/>
        </w:tabs>
        <w:rPr>
          <w:rtl/>
        </w:rPr>
      </w:pPr>
    </w:p>
    <w:tbl>
      <w:tblPr>
        <w:bidiVisual/>
        <w:tblW w:w="0" w:type="auto"/>
        <w:tblInd w:w="3209" w:type="dxa"/>
        <w:tblLook w:val="0000" w:firstRow="0" w:lastRow="0" w:firstColumn="0" w:lastColumn="0" w:noHBand="0" w:noVBand="0"/>
      </w:tblPr>
      <w:tblGrid>
        <w:gridCol w:w="5103"/>
      </w:tblGrid>
      <w:tr w:rsidR="00B60A0E" w14:paraId="15562530" w14:textId="77777777" w:rsidTr="00571018">
        <w:tc>
          <w:tcPr>
            <w:tcW w:w="5103" w:type="dxa"/>
          </w:tcPr>
          <w:p w14:paraId="0CFE5D83" w14:textId="77777777" w:rsidR="00B60A0E" w:rsidRPr="00122B89" w:rsidRDefault="00B60A0E" w:rsidP="00C634DC">
            <w:pPr>
              <w:pStyle w:val="BodyRuller"/>
              <w:rPr>
                <w:rFonts w:ascii="Century" w:hAnsi="Century" w:cs="Miriam"/>
                <w:b/>
                <w:szCs w:val="24"/>
              </w:rPr>
            </w:pPr>
            <w:r>
              <w:rPr>
                <w:rFonts w:ascii="Century" w:hAnsi="Century" w:cs="Miriam" w:hint="cs"/>
                <w:b/>
                <w:szCs w:val="24"/>
                <w:rtl/>
              </w:rPr>
              <w:t xml:space="preserve">התנגדות </w:t>
            </w:r>
            <w:r w:rsidR="0054324E">
              <w:rPr>
                <w:rFonts w:ascii="Century" w:hAnsi="Century" w:cs="Miriam" w:hint="cs"/>
                <w:b/>
                <w:szCs w:val="24"/>
                <w:rtl/>
              </w:rPr>
              <w:t>לעשיית הצו על תנאי לצו מוחלט</w:t>
            </w:r>
          </w:p>
        </w:tc>
      </w:tr>
    </w:tbl>
    <w:p w14:paraId="24DD5790" w14:textId="77777777" w:rsidR="00B60A0E" w:rsidRDefault="00B60A0E" w:rsidP="00C634DC">
      <w:pPr>
        <w:pStyle w:val="Ruller3"/>
        <w:rPr>
          <w:rtl/>
        </w:rPr>
      </w:pPr>
    </w:p>
    <w:tbl>
      <w:tblPr>
        <w:bidiVisual/>
        <w:tblW w:w="853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7"/>
        <w:gridCol w:w="2301"/>
        <w:gridCol w:w="2977"/>
      </w:tblGrid>
      <w:tr w:rsidR="000C5958" w:rsidRPr="00C65BE5" w14:paraId="11321695" w14:textId="77777777" w:rsidTr="00571018">
        <w:tc>
          <w:tcPr>
            <w:tcW w:w="3257" w:type="dxa"/>
            <w:tcBorders>
              <w:top w:val="nil"/>
              <w:left w:val="nil"/>
              <w:bottom w:val="nil"/>
              <w:right w:val="nil"/>
            </w:tcBorders>
          </w:tcPr>
          <w:p w14:paraId="5A7500D5" w14:textId="77777777" w:rsidR="000C5958" w:rsidRPr="000F5672" w:rsidRDefault="000C5958" w:rsidP="00C634DC">
            <w:pPr>
              <w:pStyle w:val="BodyRuller"/>
              <w:rPr>
                <w:sz w:val="28"/>
              </w:rPr>
            </w:pPr>
            <w:r w:rsidRPr="000F5672">
              <w:rPr>
                <w:rFonts w:hint="cs"/>
                <w:sz w:val="28"/>
                <w:rtl/>
              </w:rPr>
              <w:t>תאריך הישיבה:</w:t>
            </w:r>
          </w:p>
        </w:tc>
        <w:tc>
          <w:tcPr>
            <w:tcW w:w="2301" w:type="dxa"/>
            <w:tcBorders>
              <w:top w:val="nil"/>
              <w:left w:val="nil"/>
              <w:bottom w:val="nil"/>
              <w:right w:val="nil"/>
            </w:tcBorders>
          </w:tcPr>
          <w:p w14:paraId="55ADDD32" w14:textId="77777777" w:rsidR="000C5958" w:rsidRPr="0042650B" w:rsidRDefault="000C5958" w:rsidP="00C634DC">
            <w:pPr>
              <w:pStyle w:val="BodyRuller"/>
              <w:rPr>
                <w:rtl/>
              </w:rPr>
            </w:pPr>
            <w:r>
              <w:rPr>
                <w:rFonts w:hint="cs"/>
                <w:rtl/>
              </w:rPr>
              <w:t>י"ב בטבת התשפ"ג</w:t>
            </w:r>
          </w:p>
        </w:tc>
        <w:tc>
          <w:tcPr>
            <w:tcW w:w="2977" w:type="dxa"/>
            <w:tcBorders>
              <w:top w:val="nil"/>
              <w:left w:val="nil"/>
              <w:bottom w:val="nil"/>
              <w:right w:val="nil"/>
            </w:tcBorders>
          </w:tcPr>
          <w:p w14:paraId="0A0B9DA3" w14:textId="77777777" w:rsidR="000C5958" w:rsidRPr="00C65BE5" w:rsidRDefault="000C5958" w:rsidP="00C634DC">
            <w:pPr>
              <w:pStyle w:val="BodyRuller"/>
              <w:rPr>
                <w:sz w:val="24"/>
                <w:szCs w:val="24"/>
                <w:rtl/>
              </w:rPr>
            </w:pPr>
            <w:r w:rsidRPr="0042650B">
              <w:t>(</w:t>
            </w:r>
            <w:r>
              <w:t>5</w:t>
            </w:r>
            <w:r w:rsidRPr="00C65BE5">
              <w:rPr>
                <w:sz w:val="24"/>
                <w:szCs w:val="24"/>
              </w:rPr>
              <w:t>.</w:t>
            </w:r>
            <w:r>
              <w:rPr>
                <w:sz w:val="24"/>
                <w:szCs w:val="24"/>
              </w:rPr>
              <w:t>1</w:t>
            </w:r>
            <w:r w:rsidRPr="00C65BE5">
              <w:rPr>
                <w:sz w:val="24"/>
                <w:szCs w:val="24"/>
              </w:rPr>
              <w:t>.</w:t>
            </w:r>
            <w:r>
              <w:rPr>
                <w:sz w:val="24"/>
                <w:szCs w:val="24"/>
              </w:rPr>
              <w:t>2023</w:t>
            </w:r>
            <w:r w:rsidRPr="00C65BE5">
              <w:rPr>
                <w:sz w:val="24"/>
                <w:szCs w:val="24"/>
              </w:rPr>
              <w:t>)</w:t>
            </w:r>
          </w:p>
          <w:p w14:paraId="7AAB1ADA" w14:textId="77777777" w:rsidR="000C5958" w:rsidRPr="00C65BE5" w:rsidRDefault="000C5958" w:rsidP="00C634DC">
            <w:pPr>
              <w:pStyle w:val="BodyRuller"/>
              <w:rPr>
                <w:sz w:val="24"/>
                <w:szCs w:val="24"/>
              </w:rPr>
            </w:pPr>
          </w:p>
        </w:tc>
      </w:tr>
    </w:tbl>
    <w:p w14:paraId="49990F7F" w14:textId="77777777" w:rsidR="00B60A0E" w:rsidRDefault="00B60A0E" w:rsidP="00C634DC">
      <w:pPr>
        <w:tabs>
          <w:tab w:val="left" w:pos="2552"/>
        </w:tabs>
        <w:rPr>
          <w:rtl/>
        </w:rPr>
      </w:pPr>
    </w:p>
    <w:tbl>
      <w:tblPr>
        <w:bidiVisual/>
        <w:tblW w:w="8364" w:type="dxa"/>
        <w:tblLayout w:type="fixed"/>
        <w:tblLook w:val="0000" w:firstRow="0" w:lastRow="0" w:firstColumn="0" w:lastColumn="0" w:noHBand="0" w:noVBand="0"/>
      </w:tblPr>
      <w:tblGrid>
        <w:gridCol w:w="3210"/>
        <w:gridCol w:w="5154"/>
      </w:tblGrid>
      <w:tr w:rsidR="00864FBD" w14:paraId="5F387926" w14:textId="77777777" w:rsidTr="00571018">
        <w:trPr>
          <w:trHeight w:val="287"/>
        </w:trPr>
        <w:tc>
          <w:tcPr>
            <w:tcW w:w="3210" w:type="dxa"/>
          </w:tcPr>
          <w:p w14:paraId="0FF44BEA" w14:textId="77777777" w:rsidR="00864FBD" w:rsidRPr="004E5FF8" w:rsidRDefault="00864FBD" w:rsidP="00571018">
            <w:pPr>
              <w:tabs>
                <w:tab w:val="left" w:pos="2552"/>
              </w:tabs>
              <w:rPr>
                <w:sz w:val="28"/>
                <w:szCs w:val="28"/>
              </w:rPr>
            </w:pPr>
            <w:r w:rsidRPr="004E5FF8">
              <w:rPr>
                <w:rFonts w:hint="cs"/>
                <w:sz w:val="28"/>
                <w:szCs w:val="28"/>
                <w:rtl/>
              </w:rPr>
              <w:t xml:space="preserve">בשם </w:t>
            </w:r>
            <w:r w:rsidRPr="004E5FF8">
              <w:rPr>
                <w:sz w:val="28"/>
                <w:szCs w:val="28"/>
                <w:rtl/>
              </w:rPr>
              <w:t>העותרים</w:t>
            </w:r>
            <w:r w:rsidRPr="004E5FF8">
              <w:rPr>
                <w:rFonts w:hint="cs"/>
                <w:sz w:val="28"/>
                <w:szCs w:val="28"/>
                <w:rtl/>
              </w:rPr>
              <w:t xml:space="preserve"> בבג"ץ </w:t>
            </w:r>
            <w:r>
              <w:rPr>
                <w:rFonts w:hint="cs"/>
                <w:sz w:val="28"/>
                <w:szCs w:val="28"/>
                <w:rtl/>
              </w:rPr>
              <w:t>8948</w:t>
            </w:r>
            <w:r w:rsidRPr="004E5FF8">
              <w:rPr>
                <w:rFonts w:hint="cs"/>
                <w:sz w:val="28"/>
                <w:szCs w:val="28"/>
                <w:rtl/>
              </w:rPr>
              <w:t>/</w:t>
            </w:r>
            <w:r>
              <w:rPr>
                <w:rFonts w:hint="cs"/>
                <w:sz w:val="28"/>
                <w:szCs w:val="28"/>
                <w:rtl/>
              </w:rPr>
              <w:t>22</w:t>
            </w:r>
            <w:r w:rsidRPr="004E5FF8">
              <w:rPr>
                <w:sz w:val="28"/>
                <w:szCs w:val="28"/>
                <w:rtl/>
              </w:rPr>
              <w:t>:</w:t>
            </w:r>
          </w:p>
        </w:tc>
        <w:tc>
          <w:tcPr>
            <w:tcW w:w="5154" w:type="dxa"/>
          </w:tcPr>
          <w:p w14:paraId="2A10FC24" w14:textId="77777777" w:rsidR="00864FBD" w:rsidRDefault="00864FBD" w:rsidP="00571018">
            <w:pPr>
              <w:pStyle w:val="precasestyle"/>
              <w:ind w:right="0"/>
              <w:rPr>
                <w:rFonts w:cs="David"/>
                <w:sz w:val="28"/>
                <w:szCs w:val="28"/>
                <w:rtl/>
              </w:rPr>
            </w:pPr>
          </w:p>
          <w:p w14:paraId="68A5CA64" w14:textId="77777777" w:rsidR="00864FBD" w:rsidRDefault="00864FBD" w:rsidP="00571018">
            <w:pPr>
              <w:pStyle w:val="precasestyle"/>
              <w:ind w:right="0"/>
              <w:rPr>
                <w:rFonts w:cs="David"/>
                <w:sz w:val="28"/>
                <w:szCs w:val="28"/>
                <w:rtl/>
              </w:rPr>
            </w:pPr>
            <w:r>
              <w:rPr>
                <w:rFonts w:cs="David" w:hint="cs"/>
                <w:sz w:val="28"/>
                <w:szCs w:val="28"/>
                <w:rtl/>
              </w:rPr>
              <w:t>עו"ד דפנה הולץ-לכנר</w:t>
            </w:r>
          </w:p>
          <w:p w14:paraId="3B524BF3" w14:textId="77777777" w:rsidR="00864FBD" w:rsidRPr="004E5FF8" w:rsidRDefault="00864FBD" w:rsidP="00571018">
            <w:pPr>
              <w:pStyle w:val="precasestyle"/>
              <w:ind w:right="0"/>
              <w:rPr>
                <w:rFonts w:cs="David"/>
                <w:sz w:val="28"/>
                <w:szCs w:val="28"/>
              </w:rPr>
            </w:pPr>
            <w:r w:rsidRPr="004E5FF8">
              <w:rPr>
                <w:rFonts w:cs="David"/>
                <w:sz w:val="28"/>
                <w:szCs w:val="28"/>
                <w:rtl/>
              </w:rPr>
              <w:tab/>
            </w:r>
          </w:p>
        </w:tc>
      </w:tr>
      <w:tr w:rsidR="00864FBD" w14:paraId="7B366A09" w14:textId="77777777" w:rsidTr="00571018">
        <w:trPr>
          <w:trHeight w:val="287"/>
        </w:trPr>
        <w:tc>
          <w:tcPr>
            <w:tcW w:w="3210" w:type="dxa"/>
          </w:tcPr>
          <w:p w14:paraId="148C98C6" w14:textId="77777777" w:rsidR="00864FBD" w:rsidRDefault="00864FBD" w:rsidP="00571018">
            <w:pPr>
              <w:tabs>
                <w:tab w:val="left" w:pos="2552"/>
              </w:tabs>
              <w:rPr>
                <w:sz w:val="28"/>
                <w:szCs w:val="28"/>
                <w:rtl/>
              </w:rPr>
            </w:pPr>
            <w:r w:rsidRPr="004E5FF8">
              <w:rPr>
                <w:rFonts w:hint="cs"/>
                <w:sz w:val="28"/>
                <w:szCs w:val="28"/>
                <w:rtl/>
              </w:rPr>
              <w:t xml:space="preserve">בשם </w:t>
            </w:r>
            <w:r>
              <w:rPr>
                <w:rFonts w:hint="cs"/>
                <w:sz w:val="28"/>
                <w:szCs w:val="28"/>
                <w:rtl/>
              </w:rPr>
              <w:t>העותרת בבג"ץ</w:t>
            </w:r>
          </w:p>
          <w:p w14:paraId="70CDA1F8" w14:textId="77777777" w:rsidR="00864FBD" w:rsidRPr="004E5FF8" w:rsidRDefault="00864FBD" w:rsidP="00571018">
            <w:pPr>
              <w:tabs>
                <w:tab w:val="left" w:pos="2552"/>
              </w:tabs>
              <w:rPr>
                <w:sz w:val="28"/>
                <w:szCs w:val="28"/>
                <w:rtl/>
              </w:rPr>
            </w:pPr>
            <w:r>
              <w:rPr>
                <w:rFonts w:hint="cs"/>
                <w:sz w:val="28"/>
                <w:szCs w:val="28"/>
                <w:rtl/>
              </w:rPr>
              <w:t>8949/22</w:t>
            </w:r>
            <w:r w:rsidRPr="004E5FF8">
              <w:rPr>
                <w:rFonts w:hint="cs"/>
                <w:sz w:val="28"/>
                <w:szCs w:val="28"/>
                <w:rtl/>
              </w:rPr>
              <w:t>:</w:t>
            </w:r>
          </w:p>
        </w:tc>
        <w:tc>
          <w:tcPr>
            <w:tcW w:w="5154" w:type="dxa"/>
          </w:tcPr>
          <w:p w14:paraId="1BCB9038" w14:textId="77777777" w:rsidR="00864FBD" w:rsidRPr="004E5FF8" w:rsidRDefault="00864FBD" w:rsidP="00571018">
            <w:pPr>
              <w:pStyle w:val="precasestyle"/>
              <w:ind w:right="0"/>
              <w:rPr>
                <w:rFonts w:cs="David"/>
                <w:sz w:val="28"/>
                <w:szCs w:val="28"/>
                <w:rtl/>
              </w:rPr>
            </w:pPr>
          </w:p>
          <w:p w14:paraId="6B688830" w14:textId="77777777" w:rsidR="00B65D90" w:rsidRDefault="00864FBD" w:rsidP="00571018">
            <w:pPr>
              <w:pStyle w:val="precasestyle"/>
              <w:ind w:right="0"/>
              <w:rPr>
                <w:rFonts w:cs="David"/>
                <w:sz w:val="28"/>
                <w:szCs w:val="28"/>
                <w:rtl/>
              </w:rPr>
            </w:pPr>
            <w:r w:rsidRPr="004E5FF8">
              <w:rPr>
                <w:rFonts w:cs="David" w:hint="cs"/>
                <w:sz w:val="28"/>
                <w:szCs w:val="28"/>
                <w:rtl/>
              </w:rPr>
              <w:t xml:space="preserve">עו"ד </w:t>
            </w:r>
            <w:r>
              <w:rPr>
                <w:rFonts w:cs="David" w:hint="cs"/>
                <w:sz w:val="28"/>
                <w:szCs w:val="28"/>
                <w:rtl/>
              </w:rPr>
              <w:t xml:space="preserve">אליעד שרגא; עו"ד תומר נאור; </w:t>
            </w:r>
          </w:p>
          <w:p w14:paraId="243D7D18" w14:textId="77777777" w:rsidR="00864FBD" w:rsidRDefault="00864FBD" w:rsidP="00571018">
            <w:pPr>
              <w:pStyle w:val="precasestyle"/>
              <w:ind w:right="0"/>
              <w:rPr>
                <w:rFonts w:cs="David"/>
                <w:sz w:val="28"/>
                <w:szCs w:val="28"/>
                <w:rtl/>
              </w:rPr>
            </w:pPr>
            <w:r>
              <w:rPr>
                <w:rFonts w:cs="David" w:hint="cs"/>
                <w:sz w:val="28"/>
                <w:szCs w:val="28"/>
                <w:rtl/>
              </w:rPr>
              <w:t>עו"ד הידי נגב</w:t>
            </w:r>
          </w:p>
          <w:p w14:paraId="65F4CBAC" w14:textId="77777777" w:rsidR="00864FBD" w:rsidRPr="004E5FF8" w:rsidRDefault="00864FBD" w:rsidP="00571018">
            <w:pPr>
              <w:pStyle w:val="precasestyle"/>
              <w:ind w:right="0"/>
              <w:rPr>
                <w:rFonts w:cs="David"/>
                <w:sz w:val="28"/>
                <w:szCs w:val="28"/>
                <w:rtl/>
              </w:rPr>
            </w:pPr>
          </w:p>
        </w:tc>
      </w:tr>
      <w:tr w:rsidR="00864FBD" w14:paraId="16141DFD" w14:textId="77777777" w:rsidTr="00571018">
        <w:trPr>
          <w:trHeight w:val="287"/>
        </w:trPr>
        <w:tc>
          <w:tcPr>
            <w:tcW w:w="3210" w:type="dxa"/>
          </w:tcPr>
          <w:p w14:paraId="718ED254" w14:textId="77777777" w:rsidR="00864FBD" w:rsidRPr="004E5FF8" w:rsidRDefault="00864FBD" w:rsidP="00571018">
            <w:pPr>
              <w:rPr>
                <w:sz w:val="28"/>
                <w:szCs w:val="28"/>
                <w:rtl/>
              </w:rPr>
            </w:pPr>
            <w:r w:rsidRPr="004E5FF8">
              <w:rPr>
                <w:rFonts w:hint="cs"/>
                <w:sz w:val="28"/>
                <w:szCs w:val="28"/>
                <w:rtl/>
              </w:rPr>
              <w:t xml:space="preserve">בשם </w:t>
            </w:r>
            <w:r>
              <w:rPr>
                <w:rFonts w:hint="cs"/>
                <w:sz w:val="28"/>
                <w:szCs w:val="28"/>
                <w:rtl/>
              </w:rPr>
              <w:t>העותרת</w:t>
            </w:r>
            <w:r w:rsidRPr="004E5FF8">
              <w:rPr>
                <w:rFonts w:hint="cs"/>
                <w:sz w:val="28"/>
                <w:szCs w:val="28"/>
                <w:rtl/>
              </w:rPr>
              <w:t xml:space="preserve"> בבג"ץ </w:t>
            </w:r>
            <w:r>
              <w:rPr>
                <w:rFonts w:hint="cs"/>
                <w:sz w:val="28"/>
                <w:szCs w:val="28"/>
                <w:rtl/>
              </w:rPr>
              <w:t>8982</w:t>
            </w:r>
            <w:r w:rsidRPr="004E5FF8">
              <w:rPr>
                <w:rFonts w:hint="cs"/>
                <w:sz w:val="28"/>
                <w:szCs w:val="28"/>
                <w:rtl/>
              </w:rPr>
              <w:t>/</w:t>
            </w:r>
            <w:r>
              <w:rPr>
                <w:rFonts w:hint="cs"/>
                <w:sz w:val="28"/>
                <w:szCs w:val="28"/>
                <w:rtl/>
              </w:rPr>
              <w:t>22</w:t>
            </w:r>
            <w:r w:rsidRPr="004E5FF8">
              <w:rPr>
                <w:rFonts w:hint="cs"/>
                <w:sz w:val="28"/>
                <w:szCs w:val="28"/>
                <w:rtl/>
              </w:rPr>
              <w:t>:</w:t>
            </w:r>
          </w:p>
        </w:tc>
        <w:tc>
          <w:tcPr>
            <w:tcW w:w="5154" w:type="dxa"/>
          </w:tcPr>
          <w:p w14:paraId="0F27D27C" w14:textId="77777777" w:rsidR="00B65D90" w:rsidRDefault="00864FBD" w:rsidP="00571018">
            <w:pPr>
              <w:pStyle w:val="precasestyle"/>
              <w:ind w:right="0"/>
              <w:rPr>
                <w:rFonts w:cs="David"/>
                <w:sz w:val="28"/>
                <w:szCs w:val="28"/>
                <w:rtl/>
              </w:rPr>
            </w:pPr>
            <w:r>
              <w:rPr>
                <w:rFonts w:cs="David" w:hint="cs"/>
                <w:sz w:val="28"/>
                <w:szCs w:val="28"/>
                <w:rtl/>
              </w:rPr>
              <w:t xml:space="preserve">עו"ד אביה אלף; עו"ד בעז ארד; </w:t>
            </w:r>
          </w:p>
          <w:p w14:paraId="05C29D2B" w14:textId="77777777" w:rsidR="00864FBD" w:rsidRPr="004E5FF8" w:rsidRDefault="00864FBD" w:rsidP="00571018">
            <w:pPr>
              <w:pStyle w:val="precasestyle"/>
              <w:ind w:right="0"/>
              <w:rPr>
                <w:rFonts w:cs="David"/>
                <w:sz w:val="28"/>
                <w:szCs w:val="28"/>
                <w:rtl/>
              </w:rPr>
            </w:pPr>
            <w:r>
              <w:rPr>
                <w:rFonts w:cs="David" w:hint="cs"/>
                <w:sz w:val="28"/>
                <w:szCs w:val="28"/>
                <w:rtl/>
              </w:rPr>
              <w:t>עו"ד עומר מקייס</w:t>
            </w:r>
          </w:p>
        </w:tc>
      </w:tr>
    </w:tbl>
    <w:p w14:paraId="1CCF4290" w14:textId="77777777" w:rsidR="00864FBD" w:rsidRDefault="00864FBD" w:rsidP="00864FBD">
      <w:pPr>
        <w:tabs>
          <w:tab w:val="left" w:pos="2552"/>
        </w:tabs>
        <w:jc w:val="both"/>
        <w:rPr>
          <w:rtl/>
        </w:rPr>
      </w:pPr>
    </w:p>
    <w:tbl>
      <w:tblPr>
        <w:bidiVisual/>
        <w:tblW w:w="8364" w:type="dxa"/>
        <w:tblLayout w:type="fixed"/>
        <w:tblLook w:val="0000" w:firstRow="0" w:lastRow="0" w:firstColumn="0" w:lastColumn="0" w:noHBand="0" w:noVBand="0"/>
      </w:tblPr>
      <w:tblGrid>
        <w:gridCol w:w="3210"/>
        <w:gridCol w:w="5154"/>
      </w:tblGrid>
      <w:tr w:rsidR="00864FBD" w14:paraId="0000CD45" w14:textId="77777777" w:rsidTr="00571018">
        <w:trPr>
          <w:trHeight w:val="287"/>
        </w:trPr>
        <w:tc>
          <w:tcPr>
            <w:tcW w:w="3210" w:type="dxa"/>
          </w:tcPr>
          <w:p w14:paraId="56394502" w14:textId="77777777" w:rsidR="00864FBD" w:rsidRPr="004E5FF8" w:rsidRDefault="00864FBD" w:rsidP="00571018">
            <w:pPr>
              <w:rPr>
                <w:sz w:val="28"/>
                <w:szCs w:val="28"/>
              </w:rPr>
            </w:pPr>
            <w:r>
              <w:rPr>
                <w:sz w:val="28"/>
                <w:szCs w:val="28"/>
                <w:rtl/>
              </w:rPr>
              <w:t>בשם ה</w:t>
            </w:r>
            <w:r>
              <w:rPr>
                <w:rFonts w:hint="cs"/>
                <w:sz w:val="28"/>
                <w:szCs w:val="28"/>
                <w:rtl/>
              </w:rPr>
              <w:t>כנסת</w:t>
            </w:r>
            <w:r w:rsidRPr="004E5FF8">
              <w:rPr>
                <w:sz w:val="28"/>
                <w:szCs w:val="28"/>
                <w:rtl/>
              </w:rPr>
              <w:t>:</w:t>
            </w:r>
          </w:p>
        </w:tc>
        <w:tc>
          <w:tcPr>
            <w:tcW w:w="5154" w:type="dxa"/>
          </w:tcPr>
          <w:p w14:paraId="6E194E7E" w14:textId="77777777" w:rsidR="00864FBD" w:rsidRDefault="00864FBD" w:rsidP="00571018">
            <w:pPr>
              <w:rPr>
                <w:sz w:val="28"/>
                <w:szCs w:val="28"/>
                <w:rtl/>
              </w:rPr>
            </w:pPr>
            <w:r w:rsidRPr="004E5FF8">
              <w:rPr>
                <w:sz w:val="28"/>
                <w:szCs w:val="28"/>
                <w:rtl/>
              </w:rPr>
              <w:t xml:space="preserve">עו"ד </w:t>
            </w:r>
            <w:r>
              <w:rPr>
                <w:rFonts w:hint="cs"/>
                <w:sz w:val="28"/>
                <w:szCs w:val="28"/>
                <w:rtl/>
              </w:rPr>
              <w:t>ענת גולדשטיין; עו"ד שירה גרטנברג</w:t>
            </w:r>
          </w:p>
          <w:p w14:paraId="5BE51FC6" w14:textId="77777777" w:rsidR="00864FBD" w:rsidRPr="004E5FF8" w:rsidRDefault="00864FBD" w:rsidP="00571018">
            <w:pPr>
              <w:rPr>
                <w:sz w:val="28"/>
                <w:szCs w:val="28"/>
              </w:rPr>
            </w:pPr>
          </w:p>
        </w:tc>
      </w:tr>
      <w:tr w:rsidR="00864FBD" w14:paraId="270049BB" w14:textId="77777777" w:rsidTr="00571018">
        <w:trPr>
          <w:trHeight w:val="287"/>
        </w:trPr>
        <w:tc>
          <w:tcPr>
            <w:tcW w:w="3210" w:type="dxa"/>
          </w:tcPr>
          <w:p w14:paraId="39CF777B" w14:textId="77777777" w:rsidR="00864FBD" w:rsidRPr="004E5FF8" w:rsidRDefault="00864FBD" w:rsidP="00571018">
            <w:pPr>
              <w:rPr>
                <w:sz w:val="28"/>
                <w:szCs w:val="28"/>
              </w:rPr>
            </w:pPr>
            <w:r w:rsidRPr="004E5FF8">
              <w:rPr>
                <w:sz w:val="28"/>
                <w:szCs w:val="28"/>
                <w:rtl/>
              </w:rPr>
              <w:lastRenderedPageBreak/>
              <w:t xml:space="preserve">בשם </w:t>
            </w:r>
            <w:r>
              <w:rPr>
                <w:rFonts w:hint="cs"/>
                <w:sz w:val="28"/>
                <w:szCs w:val="28"/>
                <w:rtl/>
              </w:rPr>
              <w:t>היועצת המשפטית לממשלה</w:t>
            </w:r>
            <w:r w:rsidRPr="004E5FF8">
              <w:rPr>
                <w:sz w:val="28"/>
                <w:szCs w:val="28"/>
                <w:rtl/>
              </w:rPr>
              <w:t>:</w:t>
            </w:r>
          </w:p>
        </w:tc>
        <w:tc>
          <w:tcPr>
            <w:tcW w:w="5154" w:type="dxa"/>
          </w:tcPr>
          <w:p w14:paraId="672771FD" w14:textId="77777777" w:rsidR="00B65D90" w:rsidRDefault="00864FBD" w:rsidP="00571018">
            <w:pPr>
              <w:rPr>
                <w:sz w:val="28"/>
                <w:szCs w:val="28"/>
                <w:rtl/>
              </w:rPr>
            </w:pPr>
            <w:r w:rsidRPr="004E5FF8">
              <w:rPr>
                <w:sz w:val="28"/>
                <w:szCs w:val="28"/>
                <w:rtl/>
              </w:rPr>
              <w:t>עו"ד ענר הלמן</w:t>
            </w:r>
            <w:r>
              <w:rPr>
                <w:rFonts w:hint="cs"/>
                <w:sz w:val="28"/>
                <w:szCs w:val="28"/>
                <w:rtl/>
              </w:rPr>
              <w:t xml:space="preserve">; עו"ד נטע אורן; </w:t>
            </w:r>
          </w:p>
          <w:p w14:paraId="6F4CE966" w14:textId="77777777" w:rsidR="00864FBD" w:rsidRDefault="00864FBD" w:rsidP="00571018">
            <w:pPr>
              <w:rPr>
                <w:sz w:val="28"/>
                <w:szCs w:val="28"/>
                <w:rtl/>
              </w:rPr>
            </w:pPr>
            <w:r>
              <w:rPr>
                <w:rFonts w:hint="cs"/>
                <w:sz w:val="28"/>
                <w:szCs w:val="28"/>
                <w:rtl/>
              </w:rPr>
              <w:t xml:space="preserve">עו"ד מוריה פרימן; עו"ד מתן </w:t>
            </w:r>
            <w:proofErr w:type="spellStart"/>
            <w:r>
              <w:rPr>
                <w:rFonts w:hint="cs"/>
                <w:sz w:val="28"/>
                <w:szCs w:val="28"/>
                <w:rtl/>
              </w:rPr>
              <w:t>שטיינבוך</w:t>
            </w:r>
            <w:proofErr w:type="spellEnd"/>
          </w:p>
          <w:p w14:paraId="74A2DCDF" w14:textId="77777777" w:rsidR="00864FBD" w:rsidRPr="004E5FF8" w:rsidRDefault="00864FBD" w:rsidP="00571018">
            <w:pPr>
              <w:rPr>
                <w:sz w:val="28"/>
                <w:szCs w:val="28"/>
                <w:rtl/>
              </w:rPr>
            </w:pPr>
          </w:p>
        </w:tc>
      </w:tr>
      <w:tr w:rsidR="00864FBD" w14:paraId="15D4E323" w14:textId="77777777" w:rsidTr="00571018">
        <w:trPr>
          <w:trHeight w:val="287"/>
        </w:trPr>
        <w:tc>
          <w:tcPr>
            <w:tcW w:w="3210" w:type="dxa"/>
          </w:tcPr>
          <w:p w14:paraId="51194201" w14:textId="77777777" w:rsidR="00864FBD" w:rsidRPr="004E5FF8" w:rsidRDefault="00864FBD" w:rsidP="00571018">
            <w:pPr>
              <w:rPr>
                <w:sz w:val="28"/>
                <w:szCs w:val="28"/>
                <w:rtl/>
              </w:rPr>
            </w:pPr>
            <w:r>
              <w:rPr>
                <w:rFonts w:hint="cs"/>
                <w:sz w:val="28"/>
                <w:szCs w:val="28"/>
                <w:rtl/>
              </w:rPr>
              <w:t>בשם המשיבה 4 בבג"ץ 8948/22:</w:t>
            </w:r>
          </w:p>
        </w:tc>
        <w:tc>
          <w:tcPr>
            <w:tcW w:w="5154" w:type="dxa"/>
          </w:tcPr>
          <w:p w14:paraId="51060D9C" w14:textId="77777777" w:rsidR="00864FBD" w:rsidRDefault="00864FBD" w:rsidP="00571018">
            <w:pPr>
              <w:rPr>
                <w:sz w:val="28"/>
                <w:szCs w:val="28"/>
                <w:rtl/>
              </w:rPr>
            </w:pPr>
          </w:p>
          <w:p w14:paraId="7044ED10" w14:textId="77777777" w:rsidR="00864FBD" w:rsidRDefault="00864FBD" w:rsidP="00571018">
            <w:pPr>
              <w:rPr>
                <w:sz w:val="28"/>
                <w:szCs w:val="28"/>
                <w:rtl/>
              </w:rPr>
            </w:pPr>
            <w:r>
              <w:rPr>
                <w:rFonts w:hint="cs"/>
                <w:sz w:val="28"/>
                <w:szCs w:val="28"/>
                <w:rtl/>
              </w:rPr>
              <w:t>עו"ד נתי שמחוני; עו"ד אסף קליין</w:t>
            </w:r>
          </w:p>
          <w:p w14:paraId="1F478563" w14:textId="77777777" w:rsidR="00864FBD" w:rsidRDefault="00864FBD" w:rsidP="00571018">
            <w:pPr>
              <w:rPr>
                <w:sz w:val="28"/>
                <w:szCs w:val="28"/>
                <w:rtl/>
              </w:rPr>
            </w:pPr>
          </w:p>
        </w:tc>
      </w:tr>
      <w:tr w:rsidR="00864FBD" w14:paraId="5BF97CC3" w14:textId="77777777" w:rsidTr="00571018">
        <w:trPr>
          <w:trHeight w:val="287"/>
        </w:trPr>
        <w:tc>
          <w:tcPr>
            <w:tcW w:w="3210" w:type="dxa"/>
          </w:tcPr>
          <w:p w14:paraId="231A63B9" w14:textId="77777777" w:rsidR="00864FBD" w:rsidRPr="004E5FF8" w:rsidRDefault="00864FBD" w:rsidP="00571018">
            <w:pPr>
              <w:rPr>
                <w:sz w:val="28"/>
                <w:szCs w:val="28"/>
                <w:rtl/>
              </w:rPr>
            </w:pPr>
            <w:r>
              <w:rPr>
                <w:rFonts w:hint="cs"/>
                <w:sz w:val="28"/>
                <w:szCs w:val="28"/>
                <w:rtl/>
              </w:rPr>
              <w:t>בשם המשיב 6 בבג"ץ 8948/22:</w:t>
            </w:r>
          </w:p>
        </w:tc>
        <w:tc>
          <w:tcPr>
            <w:tcW w:w="5154" w:type="dxa"/>
          </w:tcPr>
          <w:p w14:paraId="467077EA" w14:textId="77777777" w:rsidR="00B65D90" w:rsidRDefault="00864FBD" w:rsidP="00571018">
            <w:pPr>
              <w:rPr>
                <w:sz w:val="28"/>
                <w:szCs w:val="28"/>
                <w:rtl/>
              </w:rPr>
            </w:pPr>
            <w:r w:rsidRPr="00CE262B">
              <w:rPr>
                <w:sz w:val="28"/>
                <w:szCs w:val="28"/>
                <w:rtl/>
              </w:rPr>
              <w:t xml:space="preserve">עו"ד מיכאל ראבילו; עו"ד רועי שכטר; </w:t>
            </w:r>
          </w:p>
          <w:p w14:paraId="63B51F54" w14:textId="77777777" w:rsidR="00864FBD" w:rsidRDefault="00864FBD" w:rsidP="00571018">
            <w:pPr>
              <w:rPr>
                <w:sz w:val="28"/>
                <w:szCs w:val="28"/>
                <w:rtl/>
              </w:rPr>
            </w:pPr>
            <w:r w:rsidRPr="00CE262B">
              <w:rPr>
                <w:sz w:val="28"/>
                <w:szCs w:val="28"/>
                <w:rtl/>
              </w:rPr>
              <w:t>עו"ד אופק ברוק</w:t>
            </w:r>
          </w:p>
          <w:p w14:paraId="367FB2C2" w14:textId="77777777" w:rsidR="00864FBD" w:rsidRDefault="00864FBD" w:rsidP="00571018">
            <w:pPr>
              <w:rPr>
                <w:sz w:val="28"/>
                <w:szCs w:val="28"/>
                <w:rtl/>
              </w:rPr>
            </w:pPr>
          </w:p>
        </w:tc>
      </w:tr>
      <w:tr w:rsidR="00864FBD" w14:paraId="19A67B0D" w14:textId="77777777" w:rsidTr="00571018">
        <w:trPr>
          <w:trHeight w:val="287"/>
        </w:trPr>
        <w:tc>
          <w:tcPr>
            <w:tcW w:w="3210" w:type="dxa"/>
          </w:tcPr>
          <w:p w14:paraId="0D343F33" w14:textId="77777777" w:rsidR="00864FBD" w:rsidRPr="004E5FF8" w:rsidRDefault="00864FBD" w:rsidP="00571018">
            <w:pPr>
              <w:rPr>
                <w:sz w:val="28"/>
                <w:szCs w:val="28"/>
                <w:rtl/>
              </w:rPr>
            </w:pPr>
            <w:r>
              <w:rPr>
                <w:rFonts w:hint="cs"/>
                <w:sz w:val="28"/>
                <w:szCs w:val="28"/>
                <w:rtl/>
              </w:rPr>
              <w:t>בשם המשיב 7 בבג"ץ 8948/22:</w:t>
            </w:r>
          </w:p>
        </w:tc>
        <w:tc>
          <w:tcPr>
            <w:tcW w:w="5154" w:type="dxa"/>
          </w:tcPr>
          <w:p w14:paraId="286952C2" w14:textId="77777777" w:rsidR="00864FBD" w:rsidRDefault="00864FBD" w:rsidP="00571018">
            <w:pPr>
              <w:rPr>
                <w:sz w:val="28"/>
                <w:szCs w:val="28"/>
                <w:rtl/>
              </w:rPr>
            </w:pPr>
          </w:p>
          <w:p w14:paraId="6B989E09" w14:textId="77777777" w:rsidR="00864FBD" w:rsidRDefault="00864FBD" w:rsidP="00571018">
            <w:pPr>
              <w:rPr>
                <w:sz w:val="28"/>
                <w:szCs w:val="28"/>
                <w:rtl/>
              </w:rPr>
            </w:pPr>
            <w:r w:rsidRPr="00CE262B">
              <w:rPr>
                <w:sz w:val="28"/>
                <w:szCs w:val="28"/>
                <w:rtl/>
              </w:rPr>
              <w:t>עו"ד נבות תל-צור; עו"ד אלרן דולב</w:t>
            </w:r>
          </w:p>
          <w:p w14:paraId="58F3BCFF" w14:textId="77777777" w:rsidR="00864FBD" w:rsidRDefault="00864FBD" w:rsidP="00571018">
            <w:pPr>
              <w:rPr>
                <w:sz w:val="28"/>
                <w:szCs w:val="28"/>
                <w:rtl/>
              </w:rPr>
            </w:pPr>
          </w:p>
        </w:tc>
      </w:tr>
      <w:tr w:rsidR="00864FBD" w14:paraId="002FCBC8" w14:textId="77777777" w:rsidTr="00571018">
        <w:trPr>
          <w:trHeight w:val="287"/>
        </w:trPr>
        <w:tc>
          <w:tcPr>
            <w:tcW w:w="3210" w:type="dxa"/>
          </w:tcPr>
          <w:p w14:paraId="22CB513B" w14:textId="77777777" w:rsidR="00864FBD" w:rsidRPr="004E5FF8" w:rsidRDefault="00864FBD" w:rsidP="00571018">
            <w:pPr>
              <w:rPr>
                <w:sz w:val="28"/>
                <w:szCs w:val="28"/>
                <w:rtl/>
              </w:rPr>
            </w:pPr>
            <w:r>
              <w:rPr>
                <w:rFonts w:hint="cs"/>
                <w:sz w:val="28"/>
                <w:szCs w:val="28"/>
                <w:rtl/>
              </w:rPr>
              <w:t>בשם המשיבה 8 בבג"ץ 8948/22:</w:t>
            </w:r>
          </w:p>
        </w:tc>
        <w:tc>
          <w:tcPr>
            <w:tcW w:w="5154" w:type="dxa"/>
          </w:tcPr>
          <w:p w14:paraId="6CF7FE0D" w14:textId="77777777" w:rsidR="00864FBD" w:rsidRDefault="00864FBD" w:rsidP="00571018">
            <w:pPr>
              <w:rPr>
                <w:sz w:val="28"/>
                <w:szCs w:val="28"/>
                <w:rtl/>
              </w:rPr>
            </w:pPr>
          </w:p>
          <w:p w14:paraId="00DA2CB7" w14:textId="77777777" w:rsidR="00864FBD" w:rsidRDefault="00864FBD" w:rsidP="00571018">
            <w:pPr>
              <w:rPr>
                <w:sz w:val="28"/>
                <w:szCs w:val="28"/>
                <w:rtl/>
              </w:rPr>
            </w:pPr>
            <w:r>
              <w:rPr>
                <w:rFonts w:hint="cs"/>
                <w:sz w:val="28"/>
                <w:szCs w:val="28"/>
                <w:rtl/>
              </w:rPr>
              <w:t xml:space="preserve">עו"ד אלי </w:t>
            </w:r>
            <w:proofErr w:type="spellStart"/>
            <w:r>
              <w:rPr>
                <w:rFonts w:hint="cs"/>
                <w:sz w:val="28"/>
                <w:szCs w:val="28"/>
                <w:rtl/>
              </w:rPr>
              <w:t>שמואליאן</w:t>
            </w:r>
            <w:proofErr w:type="spellEnd"/>
          </w:p>
          <w:p w14:paraId="4CF222D9" w14:textId="77777777" w:rsidR="00864FBD" w:rsidRDefault="00864FBD" w:rsidP="00571018">
            <w:pPr>
              <w:rPr>
                <w:sz w:val="28"/>
                <w:szCs w:val="28"/>
                <w:rtl/>
              </w:rPr>
            </w:pPr>
          </w:p>
        </w:tc>
      </w:tr>
      <w:tr w:rsidR="00864FBD" w14:paraId="0EDD03D9" w14:textId="77777777" w:rsidTr="00571018">
        <w:trPr>
          <w:trHeight w:val="287"/>
        </w:trPr>
        <w:tc>
          <w:tcPr>
            <w:tcW w:w="3210" w:type="dxa"/>
          </w:tcPr>
          <w:p w14:paraId="44A97AA4" w14:textId="77777777" w:rsidR="00864FBD" w:rsidRPr="004E5FF8" w:rsidRDefault="00864FBD" w:rsidP="00571018">
            <w:pPr>
              <w:rPr>
                <w:sz w:val="28"/>
                <w:szCs w:val="28"/>
                <w:rtl/>
              </w:rPr>
            </w:pPr>
            <w:r>
              <w:rPr>
                <w:rFonts w:hint="cs"/>
                <w:sz w:val="28"/>
                <w:szCs w:val="28"/>
                <w:rtl/>
              </w:rPr>
              <w:t>בשם המשיבה 9 בבג"ץ 8948/22:</w:t>
            </w:r>
          </w:p>
        </w:tc>
        <w:tc>
          <w:tcPr>
            <w:tcW w:w="5154" w:type="dxa"/>
          </w:tcPr>
          <w:p w14:paraId="34D2CE41" w14:textId="77777777" w:rsidR="00864FBD" w:rsidRDefault="00864FBD" w:rsidP="00571018">
            <w:pPr>
              <w:rPr>
                <w:sz w:val="28"/>
                <w:szCs w:val="28"/>
                <w:rtl/>
              </w:rPr>
            </w:pPr>
          </w:p>
          <w:p w14:paraId="163F7253" w14:textId="77777777" w:rsidR="00864FBD" w:rsidRDefault="00864FBD" w:rsidP="00571018">
            <w:pPr>
              <w:rPr>
                <w:sz w:val="28"/>
                <w:szCs w:val="28"/>
                <w:rtl/>
              </w:rPr>
            </w:pPr>
            <w:r>
              <w:rPr>
                <w:rFonts w:hint="cs"/>
                <w:sz w:val="28"/>
                <w:szCs w:val="28"/>
                <w:rtl/>
              </w:rPr>
              <w:t xml:space="preserve">עו"ד </w:t>
            </w:r>
            <w:proofErr w:type="spellStart"/>
            <w:r>
              <w:rPr>
                <w:rFonts w:hint="cs"/>
                <w:sz w:val="28"/>
                <w:szCs w:val="28"/>
                <w:rtl/>
              </w:rPr>
              <w:t>חנמאל</w:t>
            </w:r>
            <w:proofErr w:type="spellEnd"/>
            <w:r>
              <w:rPr>
                <w:rFonts w:hint="cs"/>
                <w:sz w:val="28"/>
                <w:szCs w:val="28"/>
                <w:rtl/>
              </w:rPr>
              <w:t xml:space="preserve"> דורפמן</w:t>
            </w:r>
          </w:p>
          <w:p w14:paraId="1B11A469" w14:textId="77777777" w:rsidR="00864FBD" w:rsidRDefault="00864FBD" w:rsidP="00571018">
            <w:pPr>
              <w:rPr>
                <w:sz w:val="28"/>
                <w:szCs w:val="28"/>
                <w:rtl/>
              </w:rPr>
            </w:pPr>
          </w:p>
        </w:tc>
      </w:tr>
      <w:tr w:rsidR="00864FBD" w14:paraId="1CE5DBED" w14:textId="77777777" w:rsidTr="00571018">
        <w:trPr>
          <w:trHeight w:val="287"/>
        </w:trPr>
        <w:tc>
          <w:tcPr>
            <w:tcW w:w="3210" w:type="dxa"/>
          </w:tcPr>
          <w:p w14:paraId="4FE95C0C" w14:textId="77777777" w:rsidR="00864FBD" w:rsidRPr="004E5FF8" w:rsidRDefault="00864FBD" w:rsidP="00571018">
            <w:pPr>
              <w:rPr>
                <w:sz w:val="28"/>
                <w:szCs w:val="28"/>
                <w:rtl/>
              </w:rPr>
            </w:pPr>
            <w:r>
              <w:rPr>
                <w:rFonts w:hint="cs"/>
                <w:sz w:val="28"/>
                <w:szCs w:val="28"/>
                <w:rtl/>
              </w:rPr>
              <w:t>בשם המשיבה 10 בבג"ץ 8948/22:</w:t>
            </w:r>
          </w:p>
        </w:tc>
        <w:tc>
          <w:tcPr>
            <w:tcW w:w="5154" w:type="dxa"/>
          </w:tcPr>
          <w:p w14:paraId="467D0563" w14:textId="77777777" w:rsidR="00864FBD" w:rsidRDefault="00864FBD" w:rsidP="00571018">
            <w:pPr>
              <w:rPr>
                <w:sz w:val="28"/>
                <w:szCs w:val="28"/>
                <w:rtl/>
              </w:rPr>
            </w:pPr>
          </w:p>
          <w:p w14:paraId="45447650" w14:textId="77777777" w:rsidR="00864FBD" w:rsidRDefault="00864FBD" w:rsidP="00571018">
            <w:pPr>
              <w:rPr>
                <w:sz w:val="28"/>
                <w:szCs w:val="28"/>
                <w:rtl/>
              </w:rPr>
            </w:pPr>
            <w:r>
              <w:rPr>
                <w:rFonts w:hint="cs"/>
                <w:sz w:val="28"/>
                <w:szCs w:val="28"/>
                <w:rtl/>
              </w:rPr>
              <w:t xml:space="preserve">עו"ד אברהם </w:t>
            </w:r>
            <w:proofErr w:type="spellStart"/>
            <w:r>
              <w:rPr>
                <w:rFonts w:hint="cs"/>
                <w:sz w:val="28"/>
                <w:szCs w:val="28"/>
                <w:rtl/>
              </w:rPr>
              <w:t>יוסטמן</w:t>
            </w:r>
            <w:proofErr w:type="spellEnd"/>
          </w:p>
          <w:p w14:paraId="6E7BC29C" w14:textId="77777777" w:rsidR="00864FBD" w:rsidRDefault="00864FBD" w:rsidP="00571018">
            <w:pPr>
              <w:rPr>
                <w:sz w:val="28"/>
                <w:szCs w:val="28"/>
                <w:rtl/>
              </w:rPr>
            </w:pPr>
          </w:p>
        </w:tc>
      </w:tr>
      <w:tr w:rsidR="00864FBD" w14:paraId="0B5F7663" w14:textId="77777777" w:rsidTr="00571018">
        <w:trPr>
          <w:trHeight w:val="287"/>
        </w:trPr>
        <w:tc>
          <w:tcPr>
            <w:tcW w:w="3210" w:type="dxa"/>
          </w:tcPr>
          <w:p w14:paraId="3932D350" w14:textId="77777777" w:rsidR="00864FBD" w:rsidRDefault="00864FBD" w:rsidP="00571018">
            <w:pPr>
              <w:rPr>
                <w:sz w:val="28"/>
                <w:szCs w:val="28"/>
                <w:rtl/>
              </w:rPr>
            </w:pPr>
            <w:r>
              <w:rPr>
                <w:rFonts w:hint="cs"/>
                <w:sz w:val="28"/>
                <w:szCs w:val="28"/>
                <w:rtl/>
              </w:rPr>
              <w:t>בשם המבקשים להצטרף</w:t>
            </w:r>
          </w:p>
          <w:p w14:paraId="6DE17116" w14:textId="77777777" w:rsidR="00864FBD" w:rsidRDefault="00864FBD" w:rsidP="00571018">
            <w:pPr>
              <w:rPr>
                <w:sz w:val="28"/>
                <w:szCs w:val="28"/>
                <w:rtl/>
              </w:rPr>
            </w:pPr>
            <w:r>
              <w:rPr>
                <w:rFonts w:hint="cs"/>
                <w:sz w:val="28"/>
                <w:szCs w:val="28"/>
                <w:rtl/>
              </w:rPr>
              <w:t>כידידי בית המשפט:</w:t>
            </w:r>
          </w:p>
        </w:tc>
        <w:tc>
          <w:tcPr>
            <w:tcW w:w="5154" w:type="dxa"/>
          </w:tcPr>
          <w:p w14:paraId="7CBC4EB3" w14:textId="77777777" w:rsidR="00864FBD" w:rsidRDefault="00864FBD" w:rsidP="00571018">
            <w:pPr>
              <w:rPr>
                <w:sz w:val="28"/>
                <w:szCs w:val="28"/>
                <w:rtl/>
              </w:rPr>
            </w:pPr>
          </w:p>
          <w:p w14:paraId="5F243704" w14:textId="77777777" w:rsidR="00864FBD" w:rsidRDefault="00864FBD" w:rsidP="00571018">
            <w:pPr>
              <w:rPr>
                <w:sz w:val="28"/>
                <w:szCs w:val="28"/>
                <w:rtl/>
              </w:rPr>
            </w:pPr>
            <w:r>
              <w:rPr>
                <w:rFonts w:hint="cs"/>
                <w:sz w:val="28"/>
                <w:szCs w:val="28"/>
                <w:rtl/>
              </w:rPr>
              <w:t>עו"ד גלעד ברנע; עו"ד עידן סגר</w:t>
            </w:r>
          </w:p>
        </w:tc>
      </w:tr>
    </w:tbl>
    <w:p w14:paraId="684D76F3" w14:textId="77777777" w:rsidR="00CE262B" w:rsidRPr="00864FBD" w:rsidRDefault="00CE262B" w:rsidP="00C634DC">
      <w:pPr>
        <w:tabs>
          <w:tab w:val="left" w:pos="2552"/>
        </w:tabs>
        <w:rPr>
          <w:rtl/>
        </w:rPr>
      </w:pPr>
    </w:p>
    <w:p w14:paraId="7ED930F3" w14:textId="77777777" w:rsidR="000C5958" w:rsidRDefault="000C5958" w:rsidP="00C634DC">
      <w:pPr>
        <w:tabs>
          <w:tab w:val="left" w:pos="2552"/>
        </w:tabs>
      </w:pPr>
    </w:p>
    <w:tbl>
      <w:tblPr>
        <w:bidiVisual/>
        <w:tblW w:w="8363" w:type="dxa"/>
        <w:tblLook w:val="0000" w:firstRow="0" w:lastRow="0" w:firstColumn="0" w:lastColumn="0" w:noHBand="0" w:noVBand="0"/>
      </w:tblPr>
      <w:tblGrid>
        <w:gridCol w:w="8363"/>
      </w:tblGrid>
      <w:tr w:rsidR="00036227" w14:paraId="115862C8" w14:textId="77777777" w:rsidTr="00D00B1D">
        <w:tc>
          <w:tcPr>
            <w:tcW w:w="9837" w:type="dxa"/>
          </w:tcPr>
          <w:p w14:paraId="6D37D0F6" w14:textId="77777777" w:rsidR="00916FF8" w:rsidRDefault="000F7EB8" w:rsidP="00C634DC">
            <w:pPr>
              <w:pStyle w:val="DocumentHead"/>
            </w:pPr>
            <w:bookmarkStart w:id="1" w:name="secretary"/>
            <w:bookmarkStart w:id="2" w:name="BeginProtocol"/>
            <w:bookmarkEnd w:id="1"/>
            <w:bookmarkEnd w:id="2"/>
            <w:r>
              <w:rPr>
                <w:rFonts w:hint="cs"/>
                <w:rtl/>
              </w:rPr>
              <w:t>פסק-דין</w:t>
            </w:r>
          </w:p>
        </w:tc>
      </w:tr>
    </w:tbl>
    <w:p w14:paraId="06D25E6A" w14:textId="77777777" w:rsidR="0065522F" w:rsidRDefault="0065522F" w:rsidP="00C634DC">
      <w:pPr>
        <w:pStyle w:val="BODYVERDICT"/>
      </w:pPr>
    </w:p>
    <w:p w14:paraId="4F7CAE1F" w14:textId="77777777" w:rsidR="000F7EB8" w:rsidRDefault="000F7EB8" w:rsidP="00C634DC">
      <w:pPr>
        <w:pStyle w:val="BODYVERDICT"/>
        <w:rPr>
          <w:rFonts w:cs="Miriam"/>
          <w:sz w:val="24"/>
          <w:szCs w:val="24"/>
          <w:u w:val="single"/>
          <w:rtl/>
        </w:rPr>
      </w:pPr>
      <w:bookmarkStart w:id="3" w:name="Writer_Name"/>
      <w:bookmarkEnd w:id="3"/>
      <w:r w:rsidRPr="0083330E">
        <w:rPr>
          <w:rFonts w:cs="Miriam"/>
          <w:sz w:val="24"/>
          <w:szCs w:val="24"/>
          <w:u w:val="single"/>
          <w:rtl/>
        </w:rPr>
        <w:t>הנשיאה א' חיות:</w:t>
      </w:r>
    </w:p>
    <w:p w14:paraId="7D30BC24" w14:textId="77777777" w:rsidR="0040186B" w:rsidRPr="007B04E0" w:rsidRDefault="0040186B" w:rsidP="00C634DC">
      <w:pPr>
        <w:pStyle w:val="Ruller4"/>
        <w:numPr>
          <w:ilvl w:val="0"/>
          <w:numId w:val="0"/>
        </w:numPr>
        <w:rPr>
          <w:rtl/>
        </w:rPr>
      </w:pPr>
    </w:p>
    <w:p w14:paraId="51AEABF6" w14:textId="77777777" w:rsidR="0040186B" w:rsidRPr="007B04E0" w:rsidRDefault="0040186B" w:rsidP="00C634DC">
      <w:pPr>
        <w:pStyle w:val="Ruller4"/>
        <w:numPr>
          <w:ilvl w:val="0"/>
          <w:numId w:val="0"/>
        </w:numPr>
        <w:rPr>
          <w:rtl/>
        </w:rPr>
      </w:pPr>
      <w:r w:rsidRPr="007B04E0">
        <w:rPr>
          <w:rtl/>
        </w:rPr>
        <w:tab/>
      </w:r>
      <w:r w:rsidRPr="007B04E0">
        <w:rPr>
          <w:rFonts w:hint="cs"/>
          <w:rtl/>
        </w:rPr>
        <w:t xml:space="preserve">העתירות שבכותרת עניינן במינויו של חבר הכנסת הרב אריה מכלוף דרעי (להלן: </w:t>
      </w:r>
      <w:r w:rsidRPr="007B04E0">
        <w:rPr>
          <w:rFonts w:ascii="Century" w:hAnsi="Century" w:cs="Miriam" w:hint="cs"/>
          <w:b/>
          <w:spacing w:val="0"/>
          <w:sz w:val="22"/>
          <w:szCs w:val="24"/>
          <w:rtl/>
        </w:rPr>
        <w:t>דרעי</w:t>
      </w:r>
      <w:r w:rsidRPr="007B04E0">
        <w:rPr>
          <w:rFonts w:hint="cs"/>
          <w:rtl/>
        </w:rPr>
        <w:t xml:space="preserve">), יו"ר תנועת ש"ס (להלן: </w:t>
      </w:r>
      <w:r w:rsidRPr="007B04E0">
        <w:rPr>
          <w:rFonts w:ascii="Century" w:hAnsi="Century" w:cs="Miriam" w:hint="eastAsia"/>
          <w:b/>
          <w:spacing w:val="0"/>
          <w:sz w:val="22"/>
          <w:szCs w:val="24"/>
          <w:rtl/>
        </w:rPr>
        <w:t>ש</w:t>
      </w:r>
      <w:r w:rsidRPr="007B04E0">
        <w:rPr>
          <w:rFonts w:ascii="Century" w:hAnsi="Century" w:cs="Miriam"/>
          <w:b/>
          <w:spacing w:val="0"/>
          <w:sz w:val="22"/>
          <w:szCs w:val="24"/>
          <w:rtl/>
        </w:rPr>
        <w:t>"</w:t>
      </w:r>
      <w:r w:rsidRPr="007B04E0">
        <w:rPr>
          <w:rFonts w:ascii="Century" w:hAnsi="Century" w:cs="Miriam" w:hint="eastAsia"/>
          <w:b/>
          <w:spacing w:val="0"/>
          <w:sz w:val="22"/>
          <w:szCs w:val="24"/>
          <w:rtl/>
        </w:rPr>
        <w:t>ס</w:t>
      </w:r>
      <w:r w:rsidRPr="007B04E0">
        <w:rPr>
          <w:rFonts w:hint="cs"/>
          <w:rtl/>
        </w:rPr>
        <w:t xml:space="preserve">), לתפקיד שר הפנים ולתפקיד שר הבריאות. דרעי מכהן בתפקידים אלה החל מיום 29.12.2022, אז הודיעה הממשלה ה-37 על קווי היסוד שלה ועל חלוקת התפקידים בין שרי הממשלה, והכנסת הביעה בה אמון. </w:t>
      </w:r>
    </w:p>
    <w:p w14:paraId="3507D203" w14:textId="77777777" w:rsidR="0040186B" w:rsidRPr="007B04E0" w:rsidRDefault="0040186B" w:rsidP="00C634DC">
      <w:pPr>
        <w:pStyle w:val="Ruller4"/>
        <w:numPr>
          <w:ilvl w:val="0"/>
          <w:numId w:val="0"/>
        </w:numPr>
      </w:pPr>
    </w:p>
    <w:p w14:paraId="0810882C" w14:textId="77777777" w:rsidR="0040186B" w:rsidRPr="007B04E0" w:rsidRDefault="0040186B" w:rsidP="00C634DC">
      <w:pPr>
        <w:pStyle w:val="Ruller4"/>
        <w:numPr>
          <w:ilvl w:val="0"/>
          <w:numId w:val="0"/>
        </w:numPr>
        <w:rPr>
          <w:rtl/>
        </w:rPr>
      </w:pPr>
      <w:r w:rsidRPr="007B04E0">
        <w:rPr>
          <w:rtl/>
        </w:rPr>
        <w:tab/>
      </w:r>
      <w:r w:rsidRPr="007B04E0">
        <w:rPr>
          <w:rFonts w:hint="cs"/>
          <w:rtl/>
        </w:rPr>
        <w:t>על פי הנטען בעתירות, משהורשע דרעי בבית משפט השלום בירושלים ב</w:t>
      </w:r>
      <w:r w:rsidRPr="007B04E0">
        <w:rPr>
          <w:rtl/>
        </w:rPr>
        <w:t>ת"פ</w:t>
      </w:r>
      <w:r w:rsidRPr="007B04E0">
        <w:rPr>
          <w:rFonts w:hint="cs"/>
          <w:rtl/>
        </w:rPr>
        <w:t xml:space="preserve"> (שלום י-ם)</w:t>
      </w:r>
      <w:r w:rsidRPr="007B04E0">
        <w:rPr>
          <w:rtl/>
        </w:rPr>
        <w:t xml:space="preserve"> 56231-12-21</w:t>
      </w:r>
      <w:r w:rsidRPr="007B04E0">
        <w:rPr>
          <w:rFonts w:hint="cs"/>
          <w:rtl/>
        </w:rPr>
        <w:t xml:space="preserve"> ביום 25.1.2022 (להלן: </w:t>
      </w:r>
      <w:r w:rsidRPr="007B04E0">
        <w:rPr>
          <w:rFonts w:ascii="Miriam" w:hAnsi="Miriam" w:cs="Miriam" w:hint="cs"/>
          <w:szCs w:val="24"/>
          <w:rtl/>
        </w:rPr>
        <w:t>עניין</w:t>
      </w:r>
      <w:r w:rsidRPr="007B04E0">
        <w:rPr>
          <w:rFonts w:ascii="Miriam" w:hAnsi="Miriam" w:cs="Miriam"/>
          <w:szCs w:val="24"/>
          <w:rtl/>
        </w:rPr>
        <w:t xml:space="preserve"> עבירות המס</w:t>
      </w:r>
      <w:r w:rsidRPr="007B04E0">
        <w:rPr>
          <w:rFonts w:hint="cs"/>
          <w:rtl/>
        </w:rPr>
        <w:t xml:space="preserve">) ונידון למאסר על תנאי ביום 1.2.2022, </w:t>
      </w:r>
      <w:r>
        <w:rPr>
          <w:rFonts w:hint="cs"/>
          <w:rtl/>
        </w:rPr>
        <w:t xml:space="preserve">הוא לא היה כשיר להתמנות </w:t>
      </w:r>
      <w:r w:rsidR="009E31F7">
        <w:rPr>
          <w:rFonts w:hint="cs"/>
          <w:rtl/>
        </w:rPr>
        <w:t>ל</w:t>
      </w:r>
      <w:r w:rsidRPr="007B04E0">
        <w:rPr>
          <w:rFonts w:hint="cs"/>
          <w:rtl/>
        </w:rPr>
        <w:t xml:space="preserve">שר ללא קביעה של יו"ר ועדת הבחירות המרכזית לכנסת (להלן: </w:t>
      </w:r>
      <w:r w:rsidRPr="007B04E0">
        <w:rPr>
          <w:rFonts w:ascii="Century" w:hAnsi="Century" w:cs="Miriam" w:hint="cs"/>
          <w:b/>
          <w:spacing w:val="0"/>
          <w:sz w:val="22"/>
          <w:szCs w:val="24"/>
          <w:rtl/>
        </w:rPr>
        <w:t>יו"ר ועדת הבחירות</w:t>
      </w:r>
      <w:r w:rsidRPr="007B04E0">
        <w:rPr>
          <w:rFonts w:hint="cs"/>
          <w:rtl/>
        </w:rPr>
        <w:t xml:space="preserve">) כי אין בעבירות שבהן הורשע משום קלון. זאת, בהתאם לסעיף 6(ג) לחוק-יסוד: הממשלה (להלן גם: </w:t>
      </w:r>
      <w:r w:rsidRPr="007B04E0">
        <w:rPr>
          <w:rFonts w:ascii="Century" w:hAnsi="Century" w:cs="Miriam" w:hint="cs"/>
          <w:b/>
          <w:spacing w:val="0"/>
          <w:sz w:val="22"/>
          <w:szCs w:val="24"/>
          <w:rtl/>
        </w:rPr>
        <w:t>חוק היסוד</w:t>
      </w:r>
      <w:r w:rsidRPr="007B04E0">
        <w:rPr>
          <w:rFonts w:hint="cs"/>
          <w:rtl/>
        </w:rPr>
        <w:t>) שקבע עד לאחרונה כי:</w:t>
      </w:r>
    </w:p>
    <w:p w14:paraId="7D44B39B" w14:textId="77777777" w:rsidR="0040186B" w:rsidRPr="007B04E0" w:rsidRDefault="0040186B" w:rsidP="00C634DC">
      <w:pPr>
        <w:rPr>
          <w:rtl/>
        </w:rPr>
      </w:pPr>
    </w:p>
    <w:p w14:paraId="4FAB4748" w14:textId="77777777" w:rsidR="0040186B" w:rsidRPr="007B04E0" w:rsidRDefault="0040186B" w:rsidP="00C634DC">
      <w:pPr>
        <w:pStyle w:val="Ruller5"/>
        <w:rPr>
          <w:rFonts w:ascii="Century" w:hAnsi="Century"/>
          <w:rtl/>
        </w:rPr>
      </w:pPr>
      <w:r w:rsidRPr="007B04E0">
        <w:rPr>
          <w:rFonts w:ascii="Century" w:hAnsi="Century" w:hint="cs"/>
          <w:rtl/>
        </w:rPr>
        <w:t xml:space="preserve">"(1) </w:t>
      </w:r>
      <w:r w:rsidRPr="007B04E0">
        <w:rPr>
          <w:rFonts w:ascii="Century" w:hAnsi="Century"/>
          <w:rtl/>
        </w:rPr>
        <w:t xml:space="preserve">לא יתמנה לשר מי שהורשע בעבירה ונידון לעונש </w:t>
      </w:r>
      <w:r w:rsidRPr="007B04E0">
        <w:rPr>
          <w:rFonts w:ascii="Century" w:hAnsi="Century" w:cs="Miriam"/>
          <w:b/>
          <w:spacing w:val="0"/>
          <w:szCs w:val="24"/>
          <w:rtl/>
        </w:rPr>
        <w:t>מאסר</w:t>
      </w:r>
      <w:r w:rsidRPr="007B04E0">
        <w:rPr>
          <w:rFonts w:ascii="Century" w:hAnsi="Century"/>
          <w:rtl/>
        </w:rPr>
        <w:t xml:space="preserve"> וביום מינויו טרם עברו שבע שנים מהיום שגמר </w:t>
      </w:r>
      <w:r w:rsidRPr="007B04E0">
        <w:rPr>
          <w:rFonts w:ascii="Century" w:hAnsi="Century"/>
          <w:rtl/>
        </w:rPr>
        <w:lastRenderedPageBreak/>
        <w:t xml:space="preserve">לרצות את עונש </w:t>
      </w:r>
      <w:r w:rsidRPr="007B04E0">
        <w:rPr>
          <w:rFonts w:ascii="Century" w:hAnsi="Century" w:cs="Miriam"/>
          <w:b/>
          <w:spacing w:val="0"/>
          <w:szCs w:val="24"/>
          <w:rtl/>
        </w:rPr>
        <w:t>המאסר</w:t>
      </w:r>
      <w:r w:rsidRPr="007B04E0">
        <w:rPr>
          <w:rFonts w:ascii="Century" w:hAnsi="Century"/>
          <w:rtl/>
        </w:rPr>
        <w:t xml:space="preserve"> או מיום מתן פסק הדין, לפי המאוחר, אלא אם כן קבע יושב ראש ועדת הבחירות המרכזית כי אין עם העבירה שבה הורשע, בנסיבות הענין</w:t>
      </w:r>
      <w:r w:rsidRPr="007B04E0">
        <w:rPr>
          <w:rFonts w:ascii="Century" w:hAnsi="Century" w:hint="cs"/>
          <w:rtl/>
        </w:rPr>
        <w:t>,</w:t>
      </w:r>
      <w:r w:rsidRPr="007B04E0">
        <w:rPr>
          <w:rFonts w:ascii="Century" w:hAnsi="Century"/>
        </w:rPr>
        <w:t xml:space="preserve"> </w:t>
      </w:r>
      <w:r w:rsidRPr="007B04E0">
        <w:rPr>
          <w:rFonts w:ascii="Century" w:hAnsi="Century"/>
          <w:rtl/>
        </w:rPr>
        <w:t>משום קלו</w:t>
      </w:r>
      <w:r w:rsidRPr="007B04E0">
        <w:rPr>
          <w:rFonts w:ascii="Century" w:hAnsi="Century" w:hint="cs"/>
          <w:rtl/>
        </w:rPr>
        <w:t xml:space="preserve">ן. </w:t>
      </w:r>
    </w:p>
    <w:p w14:paraId="78DA664D" w14:textId="77777777" w:rsidR="0040186B" w:rsidRPr="007B04E0" w:rsidRDefault="0040186B" w:rsidP="00C634DC">
      <w:pPr>
        <w:pStyle w:val="Ruller5"/>
        <w:rPr>
          <w:rFonts w:ascii="Century" w:hAnsi="Century"/>
          <w:rtl/>
        </w:rPr>
      </w:pPr>
      <w:r w:rsidRPr="007B04E0">
        <w:rPr>
          <w:rFonts w:ascii="Century" w:hAnsi="Century" w:hint="cs"/>
          <w:rtl/>
        </w:rPr>
        <w:t xml:space="preserve">(2) </w:t>
      </w:r>
      <w:r w:rsidRPr="007B04E0">
        <w:rPr>
          <w:rFonts w:ascii="Century" w:hAnsi="Century"/>
          <w:rtl/>
        </w:rPr>
        <w:t>יושב ראש ועדת הבחירות המרכזית לא יקבע כאמור בפסקה</w:t>
      </w:r>
      <w:r w:rsidRPr="007B04E0">
        <w:rPr>
          <w:rFonts w:ascii="Century" w:hAnsi="Century" w:hint="cs"/>
          <w:rtl/>
        </w:rPr>
        <w:t xml:space="preserve"> (1)</w:t>
      </w:r>
      <w:r w:rsidRPr="007B04E0">
        <w:rPr>
          <w:rFonts w:ascii="Century" w:hAnsi="Century"/>
        </w:rPr>
        <w:t xml:space="preserve"> </w:t>
      </w:r>
      <w:r w:rsidRPr="007B04E0">
        <w:rPr>
          <w:rFonts w:ascii="Century" w:hAnsi="Century"/>
          <w:rtl/>
        </w:rPr>
        <w:t>אם קבע בית המשפט, לפי דין, כי יש עם העבירה שבה הורשע משום קלון</w:t>
      </w:r>
      <w:r w:rsidRPr="007B04E0">
        <w:rPr>
          <w:rFonts w:ascii="Century" w:hAnsi="Century"/>
        </w:rPr>
        <w:t>"</w:t>
      </w:r>
      <w:r w:rsidR="007B4F99">
        <w:rPr>
          <w:rFonts w:ascii="Century" w:hAnsi="Century" w:hint="cs"/>
          <w:rtl/>
        </w:rPr>
        <w:t>.</w:t>
      </w:r>
      <w:r w:rsidRPr="007B04E0">
        <w:rPr>
          <w:rFonts w:ascii="Century" w:hAnsi="Century" w:hint="cs"/>
          <w:rtl/>
        </w:rPr>
        <w:t xml:space="preserve"> </w:t>
      </w:r>
    </w:p>
    <w:p w14:paraId="6D938D4F" w14:textId="77777777" w:rsidR="0040186B" w:rsidRPr="007B04E0" w:rsidRDefault="0040186B" w:rsidP="00C634DC">
      <w:pPr>
        <w:rPr>
          <w:rtl/>
        </w:rPr>
      </w:pPr>
    </w:p>
    <w:p w14:paraId="50A0FAEC" w14:textId="77777777" w:rsidR="0040186B" w:rsidRDefault="0040186B" w:rsidP="00C634DC">
      <w:pPr>
        <w:spacing w:line="360" w:lineRule="auto"/>
        <w:jc w:val="both"/>
        <w:rPr>
          <w:rFonts w:ascii="Century" w:hAnsi="Century" w:cs="FrankRuehl"/>
          <w:spacing w:val="10"/>
          <w:sz w:val="22"/>
          <w:szCs w:val="28"/>
          <w:rtl/>
        </w:rPr>
      </w:pPr>
      <w:r w:rsidRPr="007B04E0">
        <w:rPr>
          <w:rFonts w:ascii="Century" w:hAnsi="Century" w:cs="FrankRuehl"/>
          <w:spacing w:val="10"/>
          <w:sz w:val="22"/>
          <w:szCs w:val="28"/>
          <w:rtl/>
        </w:rPr>
        <w:tab/>
      </w:r>
      <w:r>
        <w:rPr>
          <w:rFonts w:ascii="Century" w:hAnsi="Century" w:cs="FrankRuehl" w:hint="cs"/>
          <w:spacing w:val="10"/>
          <w:sz w:val="22"/>
          <w:szCs w:val="28"/>
          <w:rtl/>
        </w:rPr>
        <w:t>אלא שעוד טרם הקמת הממשלה</w:t>
      </w:r>
      <w:r w:rsidRPr="007B04E0">
        <w:rPr>
          <w:rFonts w:ascii="Century" w:hAnsi="Century" w:cs="FrankRuehl" w:hint="cs"/>
          <w:spacing w:val="10"/>
          <w:sz w:val="22"/>
          <w:szCs w:val="28"/>
          <w:rtl/>
        </w:rPr>
        <w:t xml:space="preserve">, נחקק חוק-יסוד: הממשלה (תיקון מס' 11), ס"ח התשפ"ג 4, אשר נכנס לתוקף ביום 27.12.2022 (להלן: </w:t>
      </w:r>
      <w:r w:rsidRPr="007B04E0">
        <w:rPr>
          <w:rFonts w:ascii="Century" w:hAnsi="Century" w:cs="Miriam"/>
          <w:b/>
          <w:sz w:val="22"/>
          <w:rtl/>
        </w:rPr>
        <w:t xml:space="preserve">תיקון </w:t>
      </w:r>
      <w:r w:rsidRPr="007B04E0">
        <w:rPr>
          <w:rFonts w:ascii="Century" w:hAnsi="Century" w:cs="Miriam" w:hint="cs"/>
          <w:b/>
          <w:sz w:val="22"/>
          <w:rtl/>
        </w:rPr>
        <w:t xml:space="preserve">מס' 11 </w:t>
      </w:r>
      <w:r w:rsidRPr="007B4F99">
        <w:rPr>
          <w:rFonts w:ascii="Century" w:hAnsi="Century" w:cs="FrankRuehl" w:hint="cs"/>
          <w:spacing w:val="10"/>
          <w:sz w:val="22"/>
          <w:szCs w:val="28"/>
          <w:rtl/>
        </w:rPr>
        <w:t>או</w:t>
      </w:r>
      <w:r w:rsidRPr="007B4F99">
        <w:rPr>
          <w:rFonts w:ascii="Century" w:hAnsi="Century" w:cs="Miriam" w:hint="cs"/>
          <w:b/>
          <w:sz w:val="22"/>
          <w:rtl/>
        </w:rPr>
        <w:t xml:space="preserve"> </w:t>
      </w:r>
      <w:r w:rsidRPr="007B04E0">
        <w:rPr>
          <w:rFonts w:ascii="Century" w:hAnsi="Century" w:cs="Miriam" w:hint="cs"/>
          <w:b/>
          <w:sz w:val="22"/>
          <w:rtl/>
        </w:rPr>
        <w:t>התיקון</w:t>
      </w:r>
      <w:r w:rsidRPr="007B04E0">
        <w:rPr>
          <w:rFonts w:ascii="Century" w:hAnsi="Century" w:cs="FrankRuehl" w:hint="cs"/>
          <w:spacing w:val="10"/>
          <w:sz w:val="22"/>
          <w:szCs w:val="28"/>
          <w:rtl/>
        </w:rPr>
        <w:t xml:space="preserve">), ובו נקבע, בין היתר, כי ההוראה שבסעיף 6(ג)(1) לחוק היסוד תחול רק על מי שנידון לעונש מאסר </w:t>
      </w:r>
      <w:r w:rsidRPr="007B04E0">
        <w:rPr>
          <w:rFonts w:ascii="Century" w:hAnsi="Century" w:cs="Miriam" w:hint="cs"/>
          <w:b/>
          <w:sz w:val="22"/>
          <w:rtl/>
        </w:rPr>
        <w:t>בפועל</w:t>
      </w:r>
      <w:r w:rsidRPr="007B04E0">
        <w:rPr>
          <w:rFonts w:ascii="Century" w:hAnsi="Century" w:cs="FrankRuehl" w:hint="cs"/>
          <w:spacing w:val="10"/>
          <w:sz w:val="22"/>
          <w:szCs w:val="28"/>
          <w:rtl/>
        </w:rPr>
        <w:t xml:space="preserve">. לטענת העותרים, שינוי זה של תנאי הכשירות נועד לאפשר את מינויו של דרעי לשר בממשלה ללא צורך בפנייה ליו"ר ועדת הבחירות כדי שיכריע בשאלה האם דבק קלון בהרשעתו. </w:t>
      </w:r>
    </w:p>
    <w:p w14:paraId="4AC706E0" w14:textId="77777777" w:rsidR="0040186B" w:rsidRDefault="0040186B" w:rsidP="00C634DC">
      <w:pPr>
        <w:spacing w:line="360" w:lineRule="auto"/>
        <w:jc w:val="both"/>
        <w:rPr>
          <w:rFonts w:ascii="Century" w:hAnsi="Century" w:cs="FrankRuehl"/>
          <w:spacing w:val="10"/>
          <w:sz w:val="22"/>
          <w:szCs w:val="28"/>
          <w:rtl/>
        </w:rPr>
      </w:pPr>
    </w:p>
    <w:p w14:paraId="505FA2BB" w14:textId="77777777" w:rsidR="0040186B" w:rsidRPr="007B04E0" w:rsidRDefault="0040186B" w:rsidP="00C634DC">
      <w:pPr>
        <w:spacing w:line="360" w:lineRule="auto"/>
        <w:ind w:firstLine="431"/>
        <w:jc w:val="both"/>
        <w:rPr>
          <w:rFonts w:ascii="Century" w:hAnsi="Century" w:cs="FrankRuehl"/>
          <w:spacing w:val="10"/>
          <w:sz w:val="22"/>
          <w:szCs w:val="28"/>
          <w:rtl/>
        </w:rPr>
      </w:pPr>
      <w:r w:rsidRPr="007B04E0">
        <w:rPr>
          <w:rFonts w:ascii="Century" w:hAnsi="Century" w:cs="FrankRuehl" w:hint="cs"/>
          <w:spacing w:val="10"/>
          <w:sz w:val="22"/>
          <w:szCs w:val="28"/>
          <w:rtl/>
        </w:rPr>
        <w:t xml:space="preserve">לאחר חקיקת התיקון הוגשו העתירות דנן, ובמרכזן ניצבות שלוש שאלות עיקריות: </w:t>
      </w:r>
    </w:p>
    <w:p w14:paraId="7FF2B439" w14:textId="77777777" w:rsidR="0040186B" w:rsidRPr="007B04E0" w:rsidRDefault="0040186B" w:rsidP="00C634DC">
      <w:pPr>
        <w:rPr>
          <w:rtl/>
        </w:rPr>
      </w:pPr>
      <w:r w:rsidRPr="007B04E0">
        <w:rPr>
          <w:rtl/>
        </w:rPr>
        <w:tab/>
      </w:r>
    </w:p>
    <w:p w14:paraId="1CF8FC2D" w14:textId="77777777" w:rsidR="0040186B" w:rsidRPr="007B04E0" w:rsidRDefault="0040186B" w:rsidP="00C634DC">
      <w:pPr>
        <w:pStyle w:val="Ruller4"/>
        <w:numPr>
          <w:ilvl w:val="0"/>
          <w:numId w:val="15"/>
        </w:numPr>
        <w:spacing w:after="120"/>
        <w:ind w:left="788" w:hanging="357"/>
      </w:pPr>
      <w:r w:rsidRPr="007B04E0">
        <w:rPr>
          <w:rFonts w:hint="cs"/>
          <w:rtl/>
        </w:rPr>
        <w:t>האם יש להורות על ביטול ההוראות</w:t>
      </w:r>
      <w:r>
        <w:rPr>
          <w:rFonts w:hint="cs"/>
          <w:rtl/>
        </w:rPr>
        <w:t xml:space="preserve"> החדשות</w:t>
      </w:r>
      <w:r w:rsidRPr="007B04E0">
        <w:rPr>
          <w:rFonts w:hint="cs"/>
          <w:rtl/>
        </w:rPr>
        <w:t xml:space="preserve"> הנוגעות לתנאי כשירותם של שרים בתיקון מס' 11 בשל שימוש לרעה של הכנסת בסמכותה המכוננת או בשל פגמים שנפלו בהליך החקיקה?</w:t>
      </w:r>
    </w:p>
    <w:p w14:paraId="16EEFB6E" w14:textId="77777777" w:rsidR="0040186B" w:rsidRPr="007B04E0" w:rsidRDefault="0040186B" w:rsidP="00C634DC">
      <w:pPr>
        <w:pStyle w:val="Ruller4"/>
        <w:numPr>
          <w:ilvl w:val="0"/>
          <w:numId w:val="15"/>
        </w:numPr>
        <w:spacing w:after="120"/>
        <w:ind w:left="788" w:hanging="357"/>
      </w:pPr>
      <w:r w:rsidRPr="007B04E0">
        <w:rPr>
          <w:rFonts w:hint="cs"/>
          <w:rtl/>
        </w:rPr>
        <w:t xml:space="preserve">האם החלטת ראש הממשלה למנות את דרעי לתפקיד שר הפנים ושר הבריאות ולא להעבירו מתפקידו נגועה בחוסר סבירות קיצוני, וזאת בין היתר בשל עברו הפלילי של דרעי? </w:t>
      </w:r>
    </w:p>
    <w:p w14:paraId="69305D76" w14:textId="77777777" w:rsidR="0040186B" w:rsidRPr="007B04E0" w:rsidRDefault="0040186B" w:rsidP="00C634DC">
      <w:pPr>
        <w:pStyle w:val="Ruller4"/>
        <w:numPr>
          <w:ilvl w:val="0"/>
          <w:numId w:val="15"/>
        </w:numPr>
        <w:spacing w:after="120"/>
        <w:ind w:left="788" w:hanging="357"/>
        <w:rPr>
          <w:rtl/>
        </w:rPr>
      </w:pPr>
      <w:r w:rsidRPr="007B04E0">
        <w:rPr>
          <w:rFonts w:hint="cs"/>
          <w:rtl/>
        </w:rPr>
        <w:t>האם דרעי מנוע מלכהן בתפקיד שר הפנים ושר הבריאות, בהינתן הצהרותיו בפני בית המשפט שהרשיעו בעבירות המס?</w:t>
      </w:r>
    </w:p>
    <w:p w14:paraId="7F7E6209" w14:textId="77777777" w:rsidR="0040186B" w:rsidRPr="007B04E0" w:rsidRDefault="0040186B" w:rsidP="00C634DC">
      <w:pPr>
        <w:rPr>
          <w:rFonts w:ascii="Century" w:hAnsi="Century" w:cs="Miriam"/>
          <w:b/>
          <w:sz w:val="22"/>
          <w:rtl/>
        </w:rPr>
      </w:pPr>
    </w:p>
    <w:p w14:paraId="2E84023C" w14:textId="77777777" w:rsidR="0040186B" w:rsidRPr="007B04E0" w:rsidRDefault="0040186B" w:rsidP="00C634DC">
      <w:pPr>
        <w:rPr>
          <w:rFonts w:ascii="Century" w:hAnsi="Century" w:cs="Miriam"/>
          <w:b/>
          <w:sz w:val="22"/>
          <w:rtl/>
        </w:rPr>
      </w:pPr>
      <w:r w:rsidRPr="007B04E0">
        <w:rPr>
          <w:rFonts w:ascii="Century" w:hAnsi="Century" w:cs="Miriam" w:hint="cs"/>
          <w:b/>
          <w:sz w:val="22"/>
          <w:rtl/>
        </w:rPr>
        <w:t>רקע הדברים</w:t>
      </w:r>
    </w:p>
    <w:p w14:paraId="19568128" w14:textId="77777777" w:rsidR="0040186B" w:rsidRPr="007B04E0" w:rsidRDefault="0040186B" w:rsidP="00C634DC">
      <w:pPr>
        <w:pStyle w:val="Ruller4"/>
        <w:numPr>
          <w:ilvl w:val="0"/>
          <w:numId w:val="0"/>
        </w:numPr>
      </w:pPr>
    </w:p>
    <w:p w14:paraId="26A58857" w14:textId="77777777" w:rsidR="0040186B" w:rsidRPr="007B04E0" w:rsidRDefault="0040186B" w:rsidP="00C634DC">
      <w:pPr>
        <w:pStyle w:val="Ruller4"/>
        <w:rPr>
          <w:rtl/>
        </w:rPr>
      </w:pPr>
      <w:r w:rsidRPr="007B04E0">
        <w:rPr>
          <w:rFonts w:hint="cs"/>
          <w:rtl/>
        </w:rPr>
        <w:t xml:space="preserve">בשים לב לכך שטענות העותרים </w:t>
      </w:r>
      <w:r>
        <w:rPr>
          <w:rFonts w:hint="cs"/>
          <w:rtl/>
        </w:rPr>
        <w:t>נסובות</w:t>
      </w:r>
      <w:r w:rsidRPr="007B04E0">
        <w:rPr>
          <w:rFonts w:hint="cs"/>
          <w:rtl/>
        </w:rPr>
        <w:t xml:space="preserve">, בין היתר, </w:t>
      </w:r>
      <w:r>
        <w:rPr>
          <w:rFonts w:hint="cs"/>
          <w:rtl/>
        </w:rPr>
        <w:t xml:space="preserve">סביב </w:t>
      </w:r>
      <w:r w:rsidRPr="007B04E0">
        <w:rPr>
          <w:rFonts w:hint="cs"/>
          <w:rtl/>
        </w:rPr>
        <w:t>עברו הפלילי של דרעי יובאו להלן</w:t>
      </w:r>
      <w:r>
        <w:rPr>
          <w:rFonts w:hint="cs"/>
          <w:rtl/>
        </w:rPr>
        <w:t>,</w:t>
      </w:r>
      <w:r w:rsidRPr="007B04E0">
        <w:rPr>
          <w:rFonts w:hint="cs"/>
          <w:rtl/>
        </w:rPr>
        <w:t xml:space="preserve"> בתמצית</w:t>
      </w:r>
      <w:r>
        <w:rPr>
          <w:rFonts w:hint="cs"/>
          <w:rtl/>
        </w:rPr>
        <w:t>,</w:t>
      </w:r>
      <w:r w:rsidRPr="007B04E0">
        <w:rPr>
          <w:rFonts w:hint="cs"/>
          <w:rtl/>
        </w:rPr>
        <w:t xml:space="preserve"> העובדות</w:t>
      </w:r>
      <w:r>
        <w:rPr>
          <w:rFonts w:hint="cs"/>
          <w:rtl/>
        </w:rPr>
        <w:t xml:space="preserve"> בהקשר זה</w:t>
      </w:r>
      <w:r w:rsidRPr="007B04E0">
        <w:rPr>
          <w:rFonts w:hint="cs"/>
          <w:rtl/>
        </w:rPr>
        <w:t xml:space="preserve"> הרלוונטיות לדיון בענייננו. </w:t>
      </w:r>
    </w:p>
    <w:p w14:paraId="376C3CE9" w14:textId="77777777" w:rsidR="0040186B" w:rsidRPr="007B04E0" w:rsidRDefault="0040186B" w:rsidP="00C634DC">
      <w:pPr>
        <w:rPr>
          <w:rFonts w:ascii="Garamond" w:hAnsi="Garamond" w:cs="FrankRuehl"/>
          <w:spacing w:val="10"/>
          <w:szCs w:val="28"/>
        </w:rPr>
      </w:pPr>
    </w:p>
    <w:p w14:paraId="4E697F2D" w14:textId="77777777" w:rsidR="0040186B" w:rsidRPr="007B04E0" w:rsidRDefault="0040186B" w:rsidP="00C634DC">
      <w:pPr>
        <w:pStyle w:val="Ruller4"/>
      </w:pPr>
      <w:r w:rsidRPr="007B04E0">
        <w:rPr>
          <w:rFonts w:hint="cs"/>
          <w:rtl/>
        </w:rPr>
        <w:t xml:space="preserve">הצדדים התייחסו בטענותיהם לשלוש פרשות מעברו של דרעי, המוכרות בציבור בכינויים "התיק האישי"; "התיק הציבורי"; ופרשת "בר-און חברון". עניינו של "התיק האישי" בעבירות שביצע דרעי בשנים 1990-1984 בעת שכיהן בתפקידים ציבוריים בכירים במשרד הפנים, </w:t>
      </w:r>
      <w:r>
        <w:rPr>
          <w:rFonts w:hint="cs"/>
          <w:rtl/>
        </w:rPr>
        <w:t xml:space="preserve">ובהם </w:t>
      </w:r>
      <w:r w:rsidRPr="007B04E0">
        <w:rPr>
          <w:rFonts w:hint="cs"/>
          <w:rtl/>
        </w:rPr>
        <w:t>תפקיד שר הפנים. בכתב האישום יוחסו לדרעי לקיחת שוחד וניצול של תפקידו על מנת</w:t>
      </w:r>
      <w:r w:rsidRPr="007B04E0">
        <w:rPr>
          <w:rFonts w:ascii="FrankRuehl" w:hAnsi="FrankRuehl"/>
          <w:color w:val="000000"/>
          <w:sz w:val="28"/>
          <w:rtl/>
        </w:rPr>
        <w:t xml:space="preserve"> לקדם את ענייניה של עמותה </w:t>
      </w:r>
      <w:r w:rsidRPr="007B04E0">
        <w:rPr>
          <w:rFonts w:ascii="FrankRuehl" w:hAnsi="FrankRuehl" w:hint="cs"/>
          <w:color w:val="000000"/>
          <w:sz w:val="28"/>
          <w:rtl/>
        </w:rPr>
        <w:t>שהוא ניהל בעברו וזאת</w:t>
      </w:r>
      <w:r w:rsidRPr="007B04E0">
        <w:rPr>
          <w:rFonts w:ascii="FrankRuehl" w:hAnsi="FrankRuehl"/>
          <w:color w:val="000000"/>
          <w:sz w:val="28"/>
          <w:rtl/>
        </w:rPr>
        <w:t>, בין היתר, בדרך של קבלת כספים במרמה מן הקופה הציבורית</w:t>
      </w:r>
      <w:r w:rsidRPr="007B04E0">
        <w:rPr>
          <w:rFonts w:ascii="FrankRuehl" w:hAnsi="FrankRuehl" w:hint="cs"/>
          <w:color w:val="000000"/>
          <w:sz w:val="28"/>
          <w:rtl/>
        </w:rPr>
        <w:t>.</w:t>
      </w:r>
      <w:r w:rsidRPr="007B04E0">
        <w:rPr>
          <w:rFonts w:hint="cs"/>
          <w:rtl/>
        </w:rPr>
        <w:t xml:space="preserve"> </w:t>
      </w:r>
    </w:p>
    <w:p w14:paraId="4040B498" w14:textId="77777777" w:rsidR="0040186B" w:rsidRPr="007B04E0" w:rsidRDefault="0040186B" w:rsidP="00C634DC">
      <w:pPr>
        <w:pStyle w:val="Ruller4"/>
        <w:numPr>
          <w:ilvl w:val="0"/>
          <w:numId w:val="0"/>
        </w:numPr>
        <w:rPr>
          <w:rtl/>
        </w:rPr>
      </w:pPr>
    </w:p>
    <w:p w14:paraId="0D5CFD7E" w14:textId="77777777" w:rsidR="0040186B" w:rsidRPr="007B04E0" w:rsidRDefault="0040186B" w:rsidP="00C634DC">
      <w:pPr>
        <w:pStyle w:val="Ruller4"/>
        <w:numPr>
          <w:ilvl w:val="0"/>
          <w:numId w:val="0"/>
        </w:numPr>
        <w:rPr>
          <w:rtl/>
        </w:rPr>
      </w:pPr>
      <w:r w:rsidRPr="007B04E0">
        <w:rPr>
          <w:rtl/>
        </w:rPr>
        <w:tab/>
      </w:r>
      <w:r w:rsidRPr="007B04E0">
        <w:rPr>
          <w:rFonts w:hint="cs"/>
          <w:rtl/>
        </w:rPr>
        <w:t xml:space="preserve">לאחר שהוחלט על הגשת כתב האישום ב"תיק האישי" ומשסירב ראש הממשלה דאז להעביר את דרעי מתפקידו כשר הפנים בהתאם לסעיף 21א לחוק-יסוד: הממשלה (כנוסחו אז), הוגשו עתירות בעניין זה לבית משפט העליון, וביום 8.9.1993 נקבע, פה אחד, שעל ראש הממשלה להורות על העברתו של דרעי מכהונתו (בג"ץ 3094/93 </w:t>
      </w:r>
      <w:r w:rsidRPr="007B04E0">
        <w:rPr>
          <w:rFonts w:ascii="Century" w:hAnsi="Century" w:cs="Miriam" w:hint="cs"/>
          <w:b/>
          <w:spacing w:val="0"/>
          <w:sz w:val="22"/>
          <w:szCs w:val="24"/>
          <w:rtl/>
        </w:rPr>
        <w:t>התנועה למען איכות השלטון נ' ממשלת ישראל</w:t>
      </w:r>
      <w:r w:rsidRPr="007B04E0">
        <w:rPr>
          <w:rFonts w:hint="cs"/>
          <w:rtl/>
        </w:rPr>
        <w:t>, פ"ד מז(5) 404 (</w:t>
      </w:r>
      <w:r w:rsidRPr="007B04E0">
        <w:rPr>
          <w:rtl/>
        </w:rPr>
        <w:t>1993) (</w:t>
      </w:r>
      <w:r w:rsidRPr="007B04E0">
        <w:rPr>
          <w:rFonts w:hint="eastAsia"/>
          <w:rtl/>
        </w:rPr>
        <w:t>להלן</w:t>
      </w:r>
      <w:r w:rsidRPr="007B04E0">
        <w:rPr>
          <w:rtl/>
        </w:rPr>
        <w:t xml:space="preserve">: </w:t>
      </w:r>
      <w:r w:rsidRPr="007B04E0">
        <w:rPr>
          <w:rFonts w:ascii="Century" w:hAnsi="Century" w:cs="Miriam" w:hint="eastAsia"/>
          <w:b/>
          <w:spacing w:val="0"/>
          <w:sz w:val="22"/>
          <w:szCs w:val="24"/>
          <w:rtl/>
        </w:rPr>
        <w:t>עניין</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דרעי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הראשון</w:t>
      </w:r>
      <w:r w:rsidRPr="007B04E0">
        <w:rPr>
          <w:rtl/>
        </w:rPr>
        <w:t>)).</w:t>
      </w:r>
      <w:r w:rsidRPr="007B04E0">
        <w:rPr>
          <w:rFonts w:hint="cs"/>
          <w:rtl/>
        </w:rPr>
        <w:t xml:space="preserve"> בהקשר זה צוין כי לנוכח חומרת העבירות המיוחסות לדרעי, אי-הפעלת סמכות ראש הממשלה להעבירו מתפקידו </w:t>
      </w:r>
      <w:r>
        <w:rPr>
          <w:rFonts w:hint="cs"/>
          <w:rtl/>
        </w:rPr>
        <w:t>נגועה</w:t>
      </w:r>
      <w:r w:rsidRPr="007B04E0">
        <w:rPr>
          <w:rFonts w:hint="cs"/>
          <w:rtl/>
        </w:rPr>
        <w:t xml:space="preserve"> </w:t>
      </w:r>
      <w:r>
        <w:rPr>
          <w:rFonts w:hint="cs"/>
          <w:rtl/>
        </w:rPr>
        <w:t>ב</w:t>
      </w:r>
      <w:r w:rsidRPr="007B04E0">
        <w:rPr>
          <w:rFonts w:hint="cs"/>
          <w:rtl/>
        </w:rPr>
        <w:t>אי-סבירות קיצוני</w:t>
      </w:r>
      <w:r>
        <w:rPr>
          <w:rFonts w:hint="cs"/>
          <w:rtl/>
        </w:rPr>
        <w:t>ת</w:t>
      </w:r>
      <w:r w:rsidRPr="007B04E0">
        <w:rPr>
          <w:rFonts w:hint="cs"/>
          <w:rtl/>
        </w:rPr>
        <w:t xml:space="preserve">. בעקבות פסק הדין, התפטר דרעי מתפקידו. </w:t>
      </w:r>
    </w:p>
    <w:p w14:paraId="43758F2F" w14:textId="77777777" w:rsidR="0040186B" w:rsidRPr="007B04E0" w:rsidRDefault="0040186B" w:rsidP="00C634DC">
      <w:pPr>
        <w:pStyle w:val="Ruller4"/>
        <w:numPr>
          <w:ilvl w:val="0"/>
          <w:numId w:val="0"/>
        </w:numPr>
        <w:rPr>
          <w:rtl/>
        </w:rPr>
      </w:pPr>
    </w:p>
    <w:p w14:paraId="1002D1B3" w14:textId="77777777" w:rsidR="0040186B" w:rsidRPr="007B04E0" w:rsidRDefault="0040186B" w:rsidP="005D07D4">
      <w:pPr>
        <w:pStyle w:val="Ruller4"/>
        <w:rPr>
          <w:rtl/>
        </w:rPr>
      </w:pPr>
      <w:r w:rsidRPr="007B04E0">
        <w:rPr>
          <w:rFonts w:hint="cs"/>
          <w:rtl/>
        </w:rPr>
        <w:t xml:space="preserve">בשנת 1999 הרשיע בית המשפט המחוזי בירושלים את דרעי בעבירה של לקיחת שוחד בסכום כולל של 155,000 דולר; בשלוש עבירות של מרמה והפרת אמונים; וכן בעבירה של קבלת דבר במרמה בנסיבות מחמירות. בגין עבירות אלה נגזרו על דרעי ארבע שנות מאסר בפועל וקנס בסך 250,000 </w:t>
      </w:r>
      <w:r w:rsidR="009E31F7">
        <w:rPr>
          <w:rFonts w:hint="cs"/>
          <w:rtl/>
        </w:rPr>
        <w:t>ש"ח</w:t>
      </w:r>
      <w:r w:rsidR="009E31F7" w:rsidRPr="007B04E0">
        <w:rPr>
          <w:rFonts w:hint="cs"/>
          <w:rtl/>
        </w:rPr>
        <w:t xml:space="preserve"> </w:t>
      </w:r>
      <w:r w:rsidRPr="007B04E0">
        <w:rPr>
          <w:rFonts w:hint="cs"/>
          <w:rtl/>
        </w:rPr>
        <w:t xml:space="preserve">או עשרה חודשי מאסר תמורתו (ת"פ (מחוזי י-ם) 305/93 </w:t>
      </w:r>
      <w:r w:rsidRPr="007B04E0">
        <w:rPr>
          <w:rFonts w:ascii="Century" w:hAnsi="Century" w:cs="Miriam" w:hint="cs"/>
          <w:b/>
          <w:spacing w:val="0"/>
          <w:sz w:val="22"/>
          <w:szCs w:val="24"/>
          <w:rtl/>
        </w:rPr>
        <w:t>מדינת ישראל נ' דרעי</w:t>
      </w:r>
      <w:r w:rsidRPr="007B04E0">
        <w:rPr>
          <w:rFonts w:hint="cs"/>
          <w:rtl/>
        </w:rPr>
        <w:t xml:space="preserve">, פסקה 18 (15.4.1999) (להלן: </w:t>
      </w:r>
      <w:r w:rsidRPr="007B04E0">
        <w:rPr>
          <w:rFonts w:ascii="Century" w:hAnsi="Century" w:cs="Miriam" w:hint="cs"/>
          <w:b/>
          <w:spacing w:val="0"/>
          <w:sz w:val="22"/>
          <w:szCs w:val="24"/>
          <w:rtl/>
        </w:rPr>
        <w:t>גזר הדין בתיק האישי</w:t>
      </w:r>
      <w:r w:rsidRPr="007B04E0">
        <w:rPr>
          <w:rFonts w:hint="cs"/>
          <w:rtl/>
        </w:rPr>
        <w:t>)). דרעי ערער על הכרעת הדין וגזר הדין לבית המשפט העליון, אשר קיבל חלקית את הערעור</w:t>
      </w:r>
      <w:r>
        <w:rPr>
          <w:rFonts w:hint="cs"/>
          <w:rtl/>
        </w:rPr>
        <w:t xml:space="preserve">, </w:t>
      </w:r>
      <w:r w:rsidRPr="007B04E0">
        <w:rPr>
          <w:rFonts w:hint="cs"/>
          <w:rtl/>
        </w:rPr>
        <w:t>זיכה</w:t>
      </w:r>
      <w:r w:rsidRPr="007B04E0">
        <w:rPr>
          <w:rFonts w:ascii="FrankRuehl" w:hAnsi="FrankRuehl"/>
          <w:color w:val="000000"/>
          <w:sz w:val="28"/>
          <w:rtl/>
        </w:rPr>
        <w:t xml:space="preserve"> </w:t>
      </w:r>
      <w:r w:rsidRPr="007B04E0">
        <w:rPr>
          <w:rFonts w:ascii="FrankRuehl" w:hAnsi="FrankRuehl" w:hint="cs"/>
          <w:color w:val="000000"/>
          <w:sz w:val="28"/>
          <w:rtl/>
        </w:rPr>
        <w:t>את דרעי</w:t>
      </w:r>
      <w:r w:rsidRPr="007B04E0">
        <w:rPr>
          <w:rFonts w:ascii="FrankRuehl" w:hAnsi="FrankRuehl"/>
          <w:color w:val="000000"/>
          <w:sz w:val="28"/>
          <w:rtl/>
        </w:rPr>
        <w:t xml:space="preserve"> באחת מעבירות המרמה והפרת האמונים </w:t>
      </w:r>
      <w:r>
        <w:rPr>
          <w:rFonts w:ascii="FrankRuehl" w:hAnsi="FrankRuehl" w:hint="cs"/>
          <w:color w:val="000000"/>
          <w:sz w:val="28"/>
          <w:rtl/>
        </w:rPr>
        <w:t>ש</w:t>
      </w:r>
      <w:r w:rsidRPr="007B04E0">
        <w:rPr>
          <w:rFonts w:ascii="FrankRuehl" w:hAnsi="FrankRuehl"/>
          <w:color w:val="000000"/>
          <w:sz w:val="28"/>
          <w:rtl/>
        </w:rPr>
        <w:t>בהן הורשע</w:t>
      </w:r>
      <w:r w:rsidRPr="007B04E0">
        <w:rPr>
          <w:rFonts w:ascii="FrankRuehl" w:hAnsi="FrankRuehl" w:hint="cs"/>
          <w:color w:val="000000"/>
          <w:sz w:val="28"/>
          <w:rtl/>
        </w:rPr>
        <w:t>, וצמצם את היקף</w:t>
      </w:r>
      <w:r w:rsidRPr="007B04E0">
        <w:rPr>
          <w:rFonts w:ascii="FrankRuehl" w:hAnsi="FrankRuehl"/>
          <w:color w:val="000000"/>
          <w:sz w:val="28"/>
          <w:rtl/>
        </w:rPr>
        <w:t xml:space="preserve"> הרשעתו בעבירת השוחד </w:t>
      </w:r>
      <w:r w:rsidRPr="007B04E0">
        <w:rPr>
          <w:rFonts w:ascii="FrankRuehl" w:hAnsi="FrankRuehl" w:hint="cs"/>
          <w:color w:val="000000"/>
          <w:sz w:val="28"/>
          <w:rtl/>
        </w:rPr>
        <w:t>ו</w:t>
      </w:r>
      <w:r w:rsidRPr="007B04E0">
        <w:rPr>
          <w:rFonts w:ascii="FrankRuehl" w:hAnsi="FrankRuehl"/>
          <w:color w:val="000000"/>
          <w:sz w:val="28"/>
          <w:rtl/>
        </w:rPr>
        <w:t xml:space="preserve">בעבירה נוספת של מרמה והפרת אמונים </w:t>
      </w:r>
      <w:r w:rsidRPr="007B04E0">
        <w:rPr>
          <w:rtl/>
        </w:rPr>
        <w:t>(</w:t>
      </w:r>
      <w:r w:rsidRPr="007B04E0">
        <w:rPr>
          <w:rFonts w:hint="eastAsia"/>
          <w:rtl/>
        </w:rPr>
        <w:t>ע</w:t>
      </w:r>
      <w:r w:rsidRPr="007B04E0">
        <w:rPr>
          <w:rtl/>
        </w:rPr>
        <w:t>"</w:t>
      </w:r>
      <w:r w:rsidRPr="007B04E0">
        <w:rPr>
          <w:rFonts w:hint="eastAsia"/>
          <w:rtl/>
        </w:rPr>
        <w:t>פ</w:t>
      </w:r>
      <w:r w:rsidRPr="007B04E0">
        <w:rPr>
          <w:rtl/>
        </w:rPr>
        <w:t xml:space="preserve"> 3575/99 </w:t>
      </w:r>
      <w:r w:rsidRPr="007B04E0">
        <w:rPr>
          <w:rFonts w:ascii="Century" w:hAnsi="Century" w:cs="Miriam" w:hint="eastAsia"/>
          <w:b/>
          <w:spacing w:val="0"/>
          <w:sz w:val="22"/>
          <w:szCs w:val="24"/>
          <w:rtl/>
        </w:rPr>
        <w:t>דרעי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נ</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מדינת</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ישראל</w:t>
      </w:r>
      <w:r w:rsidRPr="007B04E0">
        <w:rPr>
          <w:rFonts w:ascii="Century" w:hAnsi="Century"/>
          <w:sz w:val="22"/>
          <w:rtl/>
        </w:rPr>
        <w:t xml:space="preserve">, </w:t>
      </w:r>
      <w:r w:rsidRPr="007B04E0">
        <w:rPr>
          <w:rFonts w:ascii="Century" w:hAnsi="Century" w:hint="eastAsia"/>
          <w:sz w:val="22"/>
          <w:rtl/>
        </w:rPr>
        <w:t>פ</w:t>
      </w:r>
      <w:r w:rsidRPr="007B04E0">
        <w:rPr>
          <w:rFonts w:ascii="Century" w:hAnsi="Century"/>
          <w:sz w:val="22"/>
          <w:rtl/>
        </w:rPr>
        <w:t>"</w:t>
      </w:r>
      <w:r w:rsidRPr="007B04E0">
        <w:rPr>
          <w:rFonts w:ascii="Century" w:hAnsi="Century" w:hint="eastAsia"/>
          <w:sz w:val="22"/>
          <w:rtl/>
        </w:rPr>
        <w:t>ד</w:t>
      </w:r>
      <w:r w:rsidRPr="007B04E0">
        <w:rPr>
          <w:rFonts w:ascii="Century" w:hAnsi="Century"/>
          <w:sz w:val="22"/>
          <w:rtl/>
        </w:rPr>
        <w:t xml:space="preserve"> </w:t>
      </w:r>
      <w:r w:rsidRPr="007B04E0">
        <w:rPr>
          <w:rFonts w:ascii="Century" w:hAnsi="Century" w:hint="eastAsia"/>
          <w:sz w:val="22"/>
          <w:rtl/>
        </w:rPr>
        <w:t>נד</w:t>
      </w:r>
      <w:r w:rsidRPr="007B04E0">
        <w:rPr>
          <w:rFonts w:ascii="Century" w:hAnsi="Century"/>
          <w:sz w:val="22"/>
          <w:rtl/>
        </w:rPr>
        <w:t>(2) 721 (2000)</w:t>
      </w:r>
      <w:r w:rsidRPr="007B04E0">
        <w:rPr>
          <w:rtl/>
        </w:rPr>
        <w:t xml:space="preserve">). </w:t>
      </w:r>
      <w:r w:rsidRPr="007B04E0">
        <w:rPr>
          <w:rFonts w:hint="cs"/>
          <w:rtl/>
        </w:rPr>
        <w:t xml:space="preserve">בהתחשב בכך וכן בהינתן התמשכותו של ההליך הפלילי בעניינו של דרעי, הופחת עונשו של דרעי והועמד על שלוש שנות מאסר. בחודש יולי 2002 שוחרר דרעי מכלא מעשיהו, לאחר ריצוי שני-שלישים מתקופת מאסרו. </w:t>
      </w:r>
    </w:p>
    <w:p w14:paraId="5733686A" w14:textId="77777777" w:rsidR="0040186B" w:rsidRPr="007B04E0" w:rsidRDefault="0040186B" w:rsidP="00C634DC">
      <w:pPr>
        <w:pStyle w:val="Ruller4"/>
        <w:numPr>
          <w:ilvl w:val="0"/>
          <w:numId w:val="0"/>
        </w:numPr>
        <w:rPr>
          <w:rtl/>
        </w:rPr>
      </w:pPr>
    </w:p>
    <w:p w14:paraId="6A3980AC" w14:textId="77777777" w:rsidR="0040186B" w:rsidRPr="007B04E0" w:rsidRDefault="0040186B" w:rsidP="005D07D4">
      <w:pPr>
        <w:pStyle w:val="Ruller4"/>
      </w:pPr>
      <w:r w:rsidRPr="007B04E0">
        <w:rPr>
          <w:rFonts w:hint="cs"/>
          <w:rtl/>
        </w:rPr>
        <w:t>ב</w:t>
      </w:r>
      <w:r>
        <w:rPr>
          <w:rFonts w:hint="cs"/>
          <w:rtl/>
        </w:rPr>
        <w:t>"</w:t>
      </w:r>
      <w:r w:rsidRPr="007B04E0">
        <w:rPr>
          <w:rFonts w:hint="cs"/>
          <w:rtl/>
        </w:rPr>
        <w:t xml:space="preserve">תיק הציבורי" הורשע דרעי בעבירה של הפרת אמונים בשל מעשים שביצע בשנת 1989 בהיותו שר הפנים, כאשר פעל להסדרת תמיכה בסך של 400,000 </w:t>
      </w:r>
      <w:r w:rsidR="009E31F7">
        <w:rPr>
          <w:rFonts w:hint="cs"/>
          <w:rtl/>
        </w:rPr>
        <w:t>ש"ח</w:t>
      </w:r>
      <w:r w:rsidR="009E31F7" w:rsidRPr="007B04E0">
        <w:rPr>
          <w:rFonts w:hint="cs"/>
          <w:rtl/>
        </w:rPr>
        <w:t xml:space="preserve"> </w:t>
      </w:r>
      <w:r w:rsidRPr="007B04E0">
        <w:rPr>
          <w:rFonts w:hint="cs"/>
          <w:rtl/>
        </w:rPr>
        <w:t>בעמותה שנוהלה על ידי אחיו</w:t>
      </w:r>
      <w:r>
        <w:rPr>
          <w:rFonts w:hint="cs"/>
          <w:rtl/>
        </w:rPr>
        <w:t>,</w:t>
      </w:r>
      <w:r w:rsidRPr="007B04E0">
        <w:rPr>
          <w:rFonts w:hint="cs"/>
          <w:rtl/>
        </w:rPr>
        <w:t xml:space="preserve"> ו</w:t>
      </w:r>
      <w:r>
        <w:rPr>
          <w:rFonts w:hint="cs"/>
          <w:rtl/>
        </w:rPr>
        <w:t>ה</w:t>
      </w:r>
      <w:r w:rsidRPr="007B04E0">
        <w:rPr>
          <w:rFonts w:hint="cs"/>
          <w:rtl/>
        </w:rPr>
        <w:t xml:space="preserve">קרויה על שם חותנו וחותנתו ז"ל, באמצעות עיריית ירושלים. בתיק זה נגזרו על דרעי שלושה חודשי מאסר על תנאי וקנס בסך 10,000 </w:t>
      </w:r>
      <w:r w:rsidR="009E31F7">
        <w:rPr>
          <w:rFonts w:hint="cs"/>
          <w:rtl/>
        </w:rPr>
        <w:t>ש"ח</w:t>
      </w:r>
      <w:r w:rsidR="009E31F7" w:rsidRPr="007B04E0">
        <w:rPr>
          <w:rFonts w:hint="cs"/>
          <w:rtl/>
        </w:rPr>
        <w:t xml:space="preserve"> </w:t>
      </w:r>
      <w:r w:rsidRPr="007B04E0">
        <w:rPr>
          <w:rFonts w:hint="cs"/>
          <w:rtl/>
        </w:rPr>
        <w:t xml:space="preserve">או 15 ימי מאסר תמורתו (ת"פ (שלום י-ם) 1872/99 </w:t>
      </w:r>
      <w:r w:rsidRPr="007B04E0">
        <w:rPr>
          <w:rFonts w:ascii="Century" w:hAnsi="Century" w:cs="Miriam" w:hint="cs"/>
          <w:b/>
          <w:spacing w:val="0"/>
          <w:sz w:val="22"/>
          <w:szCs w:val="24"/>
          <w:rtl/>
        </w:rPr>
        <w:t>מדינת ישראל נ' דרעי</w:t>
      </w:r>
      <w:r w:rsidRPr="007B04E0">
        <w:rPr>
          <w:rFonts w:hint="cs"/>
          <w:rtl/>
        </w:rPr>
        <w:t xml:space="preserve"> (20.11.2003)). </w:t>
      </w:r>
    </w:p>
    <w:p w14:paraId="3B0A4257" w14:textId="77777777" w:rsidR="0040186B" w:rsidRPr="007B04E0" w:rsidRDefault="0040186B" w:rsidP="00C634DC">
      <w:pPr>
        <w:pStyle w:val="Ruller4"/>
        <w:numPr>
          <w:ilvl w:val="0"/>
          <w:numId w:val="0"/>
        </w:numPr>
        <w:rPr>
          <w:rtl/>
        </w:rPr>
      </w:pPr>
    </w:p>
    <w:p w14:paraId="139FE71D" w14:textId="77777777" w:rsidR="0040186B" w:rsidRPr="007B04E0" w:rsidRDefault="0040186B" w:rsidP="00C634DC">
      <w:pPr>
        <w:pStyle w:val="Ruller4"/>
        <w:rPr>
          <w:rtl/>
        </w:rPr>
      </w:pPr>
      <w:r w:rsidRPr="007B04E0">
        <w:rPr>
          <w:rFonts w:hint="cs"/>
          <w:rtl/>
        </w:rPr>
        <w:t xml:space="preserve">הפרשה השלישית </w:t>
      </w:r>
      <w:r w:rsidRPr="007B04E0">
        <w:rPr>
          <w:rtl/>
        </w:rPr>
        <w:t>–</w:t>
      </w:r>
      <w:r w:rsidRPr="007B04E0">
        <w:rPr>
          <w:rFonts w:hint="cs"/>
          <w:rtl/>
        </w:rPr>
        <w:t xml:space="preserve"> "פרשת בר-און חברון" </w:t>
      </w:r>
      <w:r w:rsidRPr="007B04E0">
        <w:rPr>
          <w:rtl/>
        </w:rPr>
        <w:t>–</w:t>
      </w:r>
      <w:r w:rsidRPr="007B04E0">
        <w:rPr>
          <w:rFonts w:hint="cs"/>
          <w:rtl/>
        </w:rPr>
        <w:t xml:space="preserve"> עניינה בחשד שדרעי עשה שימוש בכוחו הפוליטי והתנה את תמיכתה של ש"ס בהסכם מדיני הידוע בכינויו "הסכם חברון", </w:t>
      </w:r>
      <w:r>
        <w:rPr>
          <w:rFonts w:hint="cs"/>
          <w:rtl/>
        </w:rPr>
        <w:t>בכך ש</w:t>
      </w:r>
      <w:r w:rsidRPr="007B04E0">
        <w:rPr>
          <w:rFonts w:hint="cs"/>
          <w:rtl/>
        </w:rPr>
        <w:t xml:space="preserve">עו"ד רוני בר-און </w:t>
      </w:r>
      <w:r>
        <w:rPr>
          <w:rFonts w:hint="cs"/>
          <w:rtl/>
        </w:rPr>
        <w:t xml:space="preserve">ימונה </w:t>
      </w:r>
      <w:r w:rsidRPr="007B04E0">
        <w:rPr>
          <w:rFonts w:hint="cs"/>
          <w:rtl/>
        </w:rPr>
        <w:t xml:space="preserve">לתפקיד היועץ המשפטי לממשלה. זאת, על פי הנטען, </w:t>
      </w:r>
      <w:r>
        <w:rPr>
          <w:rFonts w:hint="cs"/>
          <w:rtl/>
        </w:rPr>
        <w:t>כדי</w:t>
      </w:r>
      <w:r w:rsidRPr="007B04E0">
        <w:rPr>
          <w:rFonts w:hint="cs"/>
          <w:rtl/>
        </w:rPr>
        <w:t xml:space="preserve"> שבר-און יקדם חתימה על עסקת טיעון שתיטיב עם דרעי בפרשת </w:t>
      </w:r>
      <w:r>
        <w:rPr>
          <w:rFonts w:hint="cs"/>
          <w:rtl/>
        </w:rPr>
        <w:t>"</w:t>
      </w:r>
      <w:r w:rsidRPr="007B04E0">
        <w:rPr>
          <w:rFonts w:hint="cs"/>
          <w:rtl/>
        </w:rPr>
        <w:t>התיק האישי</w:t>
      </w:r>
      <w:r>
        <w:rPr>
          <w:rFonts w:hint="cs"/>
          <w:rtl/>
        </w:rPr>
        <w:t>"</w:t>
      </w:r>
      <w:r w:rsidRPr="007B04E0">
        <w:rPr>
          <w:rFonts w:hint="cs"/>
          <w:rtl/>
        </w:rPr>
        <w:t xml:space="preserve">. </w:t>
      </w:r>
      <w:r w:rsidRPr="007B04E0">
        <w:rPr>
          <w:rFonts w:hint="cs"/>
          <w:rtl/>
        </w:rPr>
        <w:lastRenderedPageBreak/>
        <w:t>המלצת פרקליטת המדינה להעמיד את דרעי לדין בעבירות של מרמה והפרת אמונים, סחיטה באיומים ושיבוש מהלכי משפט, בכפוף לשימוע שייערך לו ולהסרת חסינותו, אומצה על ידי היועץ המשפטי לממשלה דאז בחודש אפריל 1997, ואולם בסופו של יום הורה היועץ המשפטי לממשלה על סגירת התיק</w:t>
      </w:r>
      <w:r>
        <w:rPr>
          <w:rFonts w:hint="cs"/>
          <w:rtl/>
        </w:rPr>
        <w:t>. זאת,</w:t>
      </w:r>
      <w:r w:rsidRPr="007B04E0">
        <w:rPr>
          <w:rFonts w:hint="cs"/>
          <w:rtl/>
        </w:rPr>
        <w:t xml:space="preserve"> נוכח הרשעתו של דרעי ב"תיק האישי" והתקדמות ההליכים נגדו ב</w:t>
      </w:r>
      <w:r>
        <w:rPr>
          <w:rFonts w:hint="cs"/>
          <w:rtl/>
        </w:rPr>
        <w:t>"</w:t>
      </w:r>
      <w:r w:rsidRPr="007B04E0">
        <w:rPr>
          <w:rFonts w:hint="cs"/>
          <w:rtl/>
        </w:rPr>
        <w:t>תיק הציבורי". בהודעת היועץ המשפטי לממשלה על סגירת התיק, צוין כי "היועץ המשפטי לממשלה ופרקליטת המדינה ראו בחומרה, אז כהיום, חשד לעסקה פוליטית למינוי יועץ משפטי שיהא להנחת דעתו של נאשם במשפט פלילי".</w:t>
      </w:r>
    </w:p>
    <w:p w14:paraId="7871FF66" w14:textId="77777777" w:rsidR="0040186B" w:rsidRPr="007B04E0" w:rsidRDefault="0040186B" w:rsidP="00C634DC">
      <w:pPr>
        <w:pStyle w:val="Ruller4"/>
        <w:numPr>
          <w:ilvl w:val="0"/>
          <w:numId w:val="0"/>
        </w:numPr>
        <w:rPr>
          <w:rtl/>
        </w:rPr>
      </w:pPr>
      <w:r w:rsidRPr="007B04E0">
        <w:rPr>
          <w:rFonts w:hint="cs"/>
          <w:rtl/>
        </w:rPr>
        <w:t xml:space="preserve"> </w:t>
      </w:r>
    </w:p>
    <w:p w14:paraId="485FF147" w14:textId="77777777" w:rsidR="0040186B" w:rsidRPr="007B04E0" w:rsidRDefault="0040186B" w:rsidP="00C634DC">
      <w:pPr>
        <w:pStyle w:val="Ruller4"/>
      </w:pPr>
      <w:r w:rsidRPr="007B04E0">
        <w:rPr>
          <w:rFonts w:hint="cs"/>
          <w:rtl/>
        </w:rPr>
        <w:t xml:space="preserve">בשנת 2013, כעשור לאחר שסיים לרצות את עונש המאסר בגין "התיק האישי" ושב לחיים הפוליטיים, נבחר דרעי לכהן כחבר בכנסת ה-19 מטעם ש"ס. בשנת 2015, לאחר הבחירות לכנסת ה-20, מונה דרעי לשר הכלכלה והשר </w:t>
      </w:r>
      <w:r>
        <w:rPr>
          <w:rFonts w:hint="cs"/>
          <w:rtl/>
        </w:rPr>
        <w:t>ל</w:t>
      </w:r>
      <w:r w:rsidRPr="007B04E0">
        <w:rPr>
          <w:rFonts w:hint="cs"/>
          <w:rtl/>
        </w:rPr>
        <w:t>פיתוח הנגב והגליל בממשלה ה-34. עתירה שהוגשה נגד מינויו של דרעי</w:t>
      </w:r>
      <w:r>
        <w:rPr>
          <w:rFonts w:hint="cs"/>
          <w:rtl/>
        </w:rPr>
        <w:t xml:space="preserve"> לשר</w:t>
      </w:r>
      <w:r w:rsidRPr="007B04E0">
        <w:rPr>
          <w:rFonts w:hint="cs"/>
          <w:rtl/>
        </w:rPr>
        <w:t xml:space="preserve"> נדחתה (בג"ץ 3095/15 </w:t>
      </w:r>
      <w:r w:rsidRPr="007B04E0">
        <w:rPr>
          <w:rFonts w:ascii="Century" w:hAnsi="Century" w:cs="Miriam" w:hint="cs"/>
          <w:b/>
          <w:spacing w:val="0"/>
          <w:sz w:val="22"/>
          <w:szCs w:val="24"/>
          <w:rtl/>
        </w:rPr>
        <w:t xml:space="preserve">התנועה למען איכות השלטון בישראל נ' ראש ממשלת ישראל </w:t>
      </w:r>
      <w:r w:rsidRPr="007B04E0">
        <w:rPr>
          <w:rFonts w:ascii="Century" w:hAnsi="Century" w:hint="cs"/>
          <w:sz w:val="22"/>
          <w:rtl/>
        </w:rPr>
        <w:t>(13.8.2015)</w:t>
      </w:r>
      <w:r w:rsidRPr="007B04E0">
        <w:rPr>
          <w:rFonts w:hint="cs"/>
          <w:rtl/>
        </w:rPr>
        <w:t xml:space="preserve"> (להלן: </w:t>
      </w:r>
      <w:r w:rsidRPr="007B04E0">
        <w:rPr>
          <w:rFonts w:ascii="Century" w:hAnsi="Century" w:cs="Miriam" w:hint="eastAsia"/>
          <w:b/>
          <w:spacing w:val="0"/>
          <w:sz w:val="22"/>
          <w:szCs w:val="24"/>
          <w:rtl/>
        </w:rPr>
        <w:t>עניין</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דרעי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השני</w:t>
      </w:r>
      <w:r w:rsidRPr="007B04E0">
        <w:rPr>
          <w:rFonts w:hint="cs"/>
          <w:rtl/>
        </w:rPr>
        <w:t>)). בית המשפט ציין כי דרעי עומד בהוראות סעיף 6(ג) לחוק-יסוד: הממשלה, אשר קבע "תקופת המתנה" של שבע שנים מעת סיום ריצוי עונש המאסר בטרם יוכל אדם להתמנות לשר.</w:t>
      </w:r>
      <w:r w:rsidRPr="007B04E0">
        <w:rPr>
          <w:rtl/>
        </w:rPr>
        <w:t xml:space="preserve"> </w:t>
      </w:r>
      <w:r w:rsidRPr="007B04E0">
        <w:rPr>
          <w:rFonts w:hint="eastAsia"/>
          <w:rtl/>
        </w:rPr>
        <w:t>עוד</w:t>
      </w:r>
      <w:r w:rsidRPr="007B04E0">
        <w:rPr>
          <w:rtl/>
        </w:rPr>
        <w:t xml:space="preserve"> </w:t>
      </w:r>
      <w:r w:rsidRPr="007B04E0">
        <w:rPr>
          <w:rFonts w:hint="eastAsia"/>
          <w:rtl/>
        </w:rPr>
        <w:t>נקבע</w:t>
      </w:r>
      <w:r w:rsidRPr="007B04E0">
        <w:rPr>
          <w:rtl/>
        </w:rPr>
        <w:t xml:space="preserve"> </w:t>
      </w:r>
      <w:r w:rsidRPr="007B04E0">
        <w:rPr>
          <w:rFonts w:hint="eastAsia"/>
          <w:rtl/>
        </w:rPr>
        <w:t>כי</w:t>
      </w:r>
      <w:r w:rsidRPr="007B04E0">
        <w:rPr>
          <w:rtl/>
        </w:rPr>
        <w:t xml:space="preserve"> </w:t>
      </w:r>
      <w:r w:rsidRPr="007B04E0">
        <w:rPr>
          <w:rFonts w:hint="eastAsia"/>
          <w:rtl/>
        </w:rPr>
        <w:t>אף</w:t>
      </w:r>
      <w:r w:rsidRPr="007B04E0">
        <w:rPr>
          <w:rtl/>
        </w:rPr>
        <w:t xml:space="preserve"> </w:t>
      </w:r>
      <w:r w:rsidRPr="007B04E0">
        <w:rPr>
          <w:rFonts w:hint="eastAsia"/>
          <w:rtl/>
        </w:rPr>
        <w:t>שניתן</w:t>
      </w:r>
      <w:r w:rsidRPr="007B04E0">
        <w:rPr>
          <w:rtl/>
        </w:rPr>
        <w:t xml:space="preserve"> </w:t>
      </w:r>
      <w:r w:rsidRPr="007B04E0">
        <w:rPr>
          <w:rFonts w:hint="eastAsia"/>
          <w:rtl/>
        </w:rPr>
        <w:t>לומר</w:t>
      </w:r>
      <w:r w:rsidRPr="007B04E0">
        <w:rPr>
          <w:rtl/>
        </w:rPr>
        <w:t xml:space="preserve"> </w:t>
      </w:r>
      <w:r w:rsidRPr="007B04E0">
        <w:rPr>
          <w:rFonts w:hint="eastAsia"/>
          <w:rtl/>
        </w:rPr>
        <w:t>כי</w:t>
      </w:r>
      <w:r w:rsidRPr="007B04E0">
        <w:rPr>
          <w:rtl/>
        </w:rPr>
        <w:t xml:space="preserve"> </w:t>
      </w:r>
      <w:r w:rsidRPr="007B04E0">
        <w:rPr>
          <w:rFonts w:hint="eastAsia"/>
          <w:rtl/>
        </w:rPr>
        <w:t>בשל</w:t>
      </w:r>
      <w:r w:rsidRPr="007B04E0">
        <w:rPr>
          <w:rtl/>
        </w:rPr>
        <w:t xml:space="preserve"> </w:t>
      </w:r>
      <w:r w:rsidRPr="007B04E0">
        <w:rPr>
          <w:rFonts w:hint="eastAsia"/>
          <w:rtl/>
        </w:rPr>
        <w:t>עברו</w:t>
      </w:r>
      <w:r w:rsidRPr="007B04E0">
        <w:rPr>
          <w:rtl/>
        </w:rPr>
        <w:t xml:space="preserve"> </w:t>
      </w:r>
      <w:r w:rsidRPr="007B04E0">
        <w:rPr>
          <w:rFonts w:hint="eastAsia"/>
          <w:rtl/>
        </w:rPr>
        <w:t>הפלילי</w:t>
      </w:r>
      <w:r w:rsidRPr="007B04E0">
        <w:rPr>
          <w:rtl/>
        </w:rPr>
        <w:t xml:space="preserve"> </w:t>
      </w:r>
      <w:r w:rsidRPr="007B04E0">
        <w:rPr>
          <w:rFonts w:hint="eastAsia"/>
          <w:rtl/>
        </w:rPr>
        <w:t>של</w:t>
      </w:r>
      <w:r w:rsidRPr="007B04E0">
        <w:rPr>
          <w:rtl/>
        </w:rPr>
        <w:t xml:space="preserve"> </w:t>
      </w:r>
      <w:r w:rsidRPr="007B04E0">
        <w:rPr>
          <w:rFonts w:hint="eastAsia"/>
          <w:rtl/>
        </w:rPr>
        <w:t>דרעי</w:t>
      </w:r>
      <w:r w:rsidRPr="007B04E0">
        <w:rPr>
          <w:rtl/>
        </w:rPr>
        <w:t xml:space="preserve"> </w:t>
      </w:r>
      <w:r w:rsidRPr="007B04E0">
        <w:rPr>
          <w:rFonts w:hint="eastAsia"/>
          <w:rtl/>
        </w:rPr>
        <w:t>מינויו</w:t>
      </w:r>
      <w:r w:rsidRPr="007B04E0">
        <w:rPr>
          <w:rtl/>
        </w:rPr>
        <w:t xml:space="preserve"> "</w:t>
      </w:r>
      <w:r w:rsidRPr="007B04E0">
        <w:rPr>
          <w:rFonts w:hint="eastAsia"/>
          <w:rtl/>
        </w:rPr>
        <w:t>מצוי</w:t>
      </w:r>
      <w:r w:rsidRPr="007B04E0">
        <w:rPr>
          <w:rtl/>
        </w:rPr>
        <w:t xml:space="preserve"> </w:t>
      </w:r>
      <w:r w:rsidRPr="007B04E0">
        <w:rPr>
          <w:rFonts w:hint="eastAsia"/>
          <w:rtl/>
        </w:rPr>
        <w:t>על</w:t>
      </w:r>
      <w:r w:rsidRPr="007B04E0">
        <w:rPr>
          <w:rtl/>
        </w:rPr>
        <w:t xml:space="preserve"> </w:t>
      </w:r>
      <w:r w:rsidRPr="007B04E0">
        <w:rPr>
          <w:rFonts w:hint="eastAsia"/>
          <w:rtl/>
        </w:rPr>
        <w:t>גבול</w:t>
      </w:r>
      <w:r w:rsidRPr="007B04E0">
        <w:rPr>
          <w:rtl/>
        </w:rPr>
        <w:t xml:space="preserve"> </w:t>
      </w:r>
      <w:r w:rsidRPr="007B04E0">
        <w:rPr>
          <w:rFonts w:hint="eastAsia"/>
          <w:rtl/>
        </w:rPr>
        <w:t>מתחם</w:t>
      </w:r>
      <w:r w:rsidRPr="007B04E0">
        <w:rPr>
          <w:rtl/>
        </w:rPr>
        <w:t xml:space="preserve"> </w:t>
      </w:r>
      <w:r w:rsidRPr="007B04E0">
        <w:rPr>
          <w:rFonts w:hint="eastAsia"/>
          <w:rtl/>
        </w:rPr>
        <w:t>הסבירות</w:t>
      </w:r>
      <w:r w:rsidRPr="007B04E0">
        <w:rPr>
          <w:rtl/>
        </w:rPr>
        <w:t>" (</w:t>
      </w:r>
      <w:r w:rsidRPr="007B04E0">
        <w:rPr>
          <w:rFonts w:ascii="Miriam" w:hAnsi="Miriam" w:cs="Miriam" w:hint="eastAsia"/>
          <w:sz w:val="22"/>
          <w:szCs w:val="24"/>
          <w:rtl/>
        </w:rPr>
        <w:t>שם</w:t>
      </w:r>
      <w:r w:rsidRPr="007B04E0">
        <w:rPr>
          <w:rtl/>
        </w:rPr>
        <w:t xml:space="preserve">, </w:t>
      </w:r>
      <w:r w:rsidRPr="007B04E0">
        <w:rPr>
          <w:rFonts w:hint="eastAsia"/>
          <w:rtl/>
        </w:rPr>
        <w:t>בפסקה</w:t>
      </w:r>
      <w:r w:rsidRPr="007B04E0">
        <w:rPr>
          <w:rtl/>
        </w:rPr>
        <w:t xml:space="preserve"> </w:t>
      </w:r>
      <w:r w:rsidRPr="007B04E0">
        <w:rPr>
          <w:rFonts w:hint="cs"/>
          <w:rtl/>
        </w:rPr>
        <w:t>23), אין מקום להתערב במינוי. זאת, בין היתר, בהתחשב בשיקול הדעת הרחב המסור לראש הממשלה בעניינים אלה ובפרק הזמן שחלף מביצוע העבירות ומסיום ריצוי העונש.</w:t>
      </w:r>
    </w:p>
    <w:p w14:paraId="23B80923" w14:textId="77777777" w:rsidR="0040186B" w:rsidRPr="007B04E0" w:rsidRDefault="0040186B" w:rsidP="00C634DC">
      <w:pPr>
        <w:rPr>
          <w:rtl/>
        </w:rPr>
      </w:pPr>
    </w:p>
    <w:p w14:paraId="66433D1C" w14:textId="77777777" w:rsidR="0040186B" w:rsidRPr="007B04E0" w:rsidRDefault="0040186B" w:rsidP="00C634DC">
      <w:pPr>
        <w:pStyle w:val="Ruller4"/>
        <w:numPr>
          <w:ilvl w:val="0"/>
          <w:numId w:val="0"/>
        </w:numPr>
        <w:rPr>
          <w:rFonts w:ascii="Century" w:hAnsi="Century"/>
          <w:sz w:val="22"/>
          <w:rtl/>
        </w:rPr>
      </w:pPr>
      <w:r w:rsidRPr="007B04E0">
        <w:rPr>
          <w:rtl/>
        </w:rPr>
        <w:tab/>
      </w:r>
      <w:r w:rsidRPr="007B04E0">
        <w:rPr>
          <w:rFonts w:hint="cs"/>
          <w:rtl/>
        </w:rPr>
        <w:t>ביום 1.11.2015 הודיע דרעי על התפטרותו מתפקיד שר הכלכלה, וביום 10.1.2016 התקבלה החלטת ממשלה למנותו לתפקיד שר הפנים (לצד</w:t>
      </w:r>
      <w:r>
        <w:rPr>
          <w:rFonts w:hint="cs"/>
          <w:rtl/>
        </w:rPr>
        <w:t xml:space="preserve"> תפקיד השר לפיתוח הנגב והגליל).</w:t>
      </w:r>
      <w:r w:rsidRPr="007B04E0">
        <w:rPr>
          <w:rFonts w:hint="cs"/>
          <w:rtl/>
        </w:rPr>
        <w:t xml:space="preserve"> מינוי </w:t>
      </w:r>
      <w:r>
        <w:rPr>
          <w:rFonts w:hint="cs"/>
          <w:rtl/>
        </w:rPr>
        <w:t>זה</w:t>
      </w:r>
      <w:r w:rsidRPr="007B04E0">
        <w:rPr>
          <w:rFonts w:hint="cs"/>
          <w:rtl/>
        </w:rPr>
        <w:t xml:space="preserve"> אושר בכנסת למחרת היום. עתירה שהוגשה לבית משפט זה </w:t>
      </w:r>
      <w:r>
        <w:rPr>
          <w:rFonts w:hint="cs"/>
          <w:rtl/>
        </w:rPr>
        <w:t>נגד המינוי בטענה כי טמונה חומרה מיוחדת</w:t>
      </w:r>
      <w:r w:rsidRPr="007B04E0">
        <w:rPr>
          <w:rFonts w:hint="cs"/>
          <w:rtl/>
        </w:rPr>
        <w:t xml:space="preserve"> בכך שהעבירות שבהן הורשע נעברו, בין היתר, בעת הפעלת סמכויותיו של דרעי כשר הפנים</w:t>
      </w:r>
      <w:r w:rsidRPr="007B04E0">
        <w:rPr>
          <w:rtl/>
        </w:rPr>
        <w:t xml:space="preserve"> –</w:t>
      </w:r>
      <w:r w:rsidRPr="007B04E0">
        <w:rPr>
          <w:rFonts w:hint="cs"/>
          <w:rtl/>
        </w:rPr>
        <w:t xml:space="preserve"> נדחתה אף היא, </w:t>
      </w:r>
      <w:r w:rsidRPr="007B04E0">
        <w:rPr>
          <w:rFonts w:hint="eastAsia"/>
          <w:rtl/>
        </w:rPr>
        <w:t>בדעת</w:t>
      </w:r>
      <w:r w:rsidRPr="007B04E0">
        <w:rPr>
          <w:rtl/>
        </w:rPr>
        <w:t xml:space="preserve"> </w:t>
      </w:r>
      <w:r w:rsidRPr="007B04E0">
        <w:rPr>
          <w:rFonts w:hint="eastAsia"/>
          <w:rtl/>
        </w:rPr>
        <w:t>רוב</w:t>
      </w:r>
      <w:r w:rsidRPr="007B04E0">
        <w:rPr>
          <w:rtl/>
        </w:rPr>
        <w:t xml:space="preserve"> (</w:t>
      </w:r>
      <w:r w:rsidRPr="007B04E0">
        <w:rPr>
          <w:rFonts w:hint="eastAsia"/>
          <w:rtl/>
        </w:rPr>
        <w:t>בג</w:t>
      </w:r>
      <w:r w:rsidRPr="007B04E0">
        <w:rPr>
          <w:rtl/>
        </w:rPr>
        <w:t>"</w:t>
      </w:r>
      <w:r w:rsidRPr="007B04E0">
        <w:rPr>
          <w:rFonts w:hint="eastAsia"/>
          <w:rtl/>
        </w:rPr>
        <w:t>ץ</w:t>
      </w:r>
      <w:r w:rsidRPr="007B04E0">
        <w:rPr>
          <w:rtl/>
        </w:rPr>
        <w:t xml:space="preserve"> 232/16 </w:t>
      </w:r>
      <w:r w:rsidRPr="007B04E0">
        <w:rPr>
          <w:rFonts w:ascii="Miriam" w:hAnsi="Miriam" w:cs="Miriam"/>
          <w:sz w:val="22"/>
          <w:szCs w:val="24"/>
          <w:rtl/>
        </w:rPr>
        <w:t xml:space="preserve">התנועה למען איכות השלטון בישראל נ' ראש ממשלת ישראל </w:t>
      </w:r>
      <w:r w:rsidRPr="007B04E0">
        <w:rPr>
          <w:rFonts w:ascii="Century" w:hAnsi="Century"/>
          <w:sz w:val="22"/>
          <w:rtl/>
        </w:rPr>
        <w:t>(8.5.2016)</w:t>
      </w:r>
      <w:r w:rsidRPr="007B04E0">
        <w:rPr>
          <w:rFonts w:ascii="Century" w:hAnsi="Century" w:hint="cs"/>
          <w:sz w:val="22"/>
          <w:rtl/>
        </w:rPr>
        <w:t xml:space="preserve"> </w:t>
      </w:r>
      <w:r w:rsidRPr="007B04E0">
        <w:rPr>
          <w:rFonts w:ascii="Century" w:hAnsi="Century"/>
          <w:sz w:val="22"/>
          <w:rtl/>
        </w:rPr>
        <w:t>(</w:t>
      </w:r>
      <w:r w:rsidRPr="007B04E0">
        <w:rPr>
          <w:rFonts w:ascii="Century" w:hAnsi="Century" w:hint="eastAsia"/>
          <w:sz w:val="22"/>
          <w:rtl/>
        </w:rPr>
        <w:t>להלן</w:t>
      </w:r>
      <w:r w:rsidRPr="007B04E0">
        <w:rPr>
          <w:rFonts w:ascii="Century" w:hAnsi="Century"/>
          <w:sz w:val="22"/>
          <w:rtl/>
        </w:rPr>
        <w:t xml:space="preserve">: </w:t>
      </w:r>
      <w:r w:rsidRPr="007B04E0">
        <w:rPr>
          <w:rFonts w:ascii="Century" w:hAnsi="Century" w:cs="Miriam" w:hint="eastAsia"/>
          <w:b/>
          <w:spacing w:val="0"/>
          <w:sz w:val="22"/>
          <w:szCs w:val="24"/>
          <w:rtl/>
        </w:rPr>
        <w:t>עניין</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דרעי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השלישי</w:t>
      </w:r>
      <w:r w:rsidRPr="007B04E0">
        <w:rPr>
          <w:rFonts w:ascii="Century" w:hAnsi="Century"/>
          <w:sz w:val="22"/>
          <w:rtl/>
        </w:rPr>
        <w:t xml:space="preserve">); </w:t>
      </w:r>
      <w:r w:rsidRPr="007B04E0">
        <w:rPr>
          <w:rFonts w:hint="eastAsia"/>
          <w:rtl/>
        </w:rPr>
        <w:t>השופט</w:t>
      </w:r>
      <w:r w:rsidRPr="007B04E0">
        <w:rPr>
          <w:rtl/>
        </w:rPr>
        <w:t xml:space="preserve"> </w:t>
      </w:r>
      <w:r w:rsidRPr="007B04E0">
        <w:rPr>
          <w:rFonts w:ascii="Miriam" w:hAnsi="Miriam" w:cs="Miriam"/>
          <w:sz w:val="22"/>
          <w:szCs w:val="24"/>
          <w:rtl/>
        </w:rPr>
        <w:t>ס' ג'ובראן</w:t>
      </w:r>
      <w:r w:rsidRPr="007B04E0">
        <w:rPr>
          <w:sz w:val="22"/>
          <w:szCs w:val="24"/>
          <w:rtl/>
        </w:rPr>
        <w:t xml:space="preserve"> </w:t>
      </w:r>
      <w:r w:rsidRPr="007B04E0">
        <w:rPr>
          <w:rFonts w:hint="eastAsia"/>
          <w:rtl/>
        </w:rPr>
        <w:t>בהסכמת</w:t>
      </w:r>
      <w:r w:rsidRPr="007B04E0">
        <w:rPr>
          <w:rtl/>
        </w:rPr>
        <w:t xml:space="preserve"> </w:t>
      </w:r>
      <w:r w:rsidRPr="007B04E0">
        <w:rPr>
          <w:rFonts w:hint="eastAsia"/>
          <w:rtl/>
        </w:rPr>
        <w:t>השופט</w:t>
      </w:r>
      <w:r w:rsidRPr="007B04E0">
        <w:rPr>
          <w:rtl/>
        </w:rPr>
        <w:t xml:space="preserve"> </w:t>
      </w:r>
      <w:r w:rsidRPr="007B04E0">
        <w:rPr>
          <w:rFonts w:ascii="Miriam" w:hAnsi="Miriam" w:cs="Miriam"/>
          <w:sz w:val="22"/>
          <w:szCs w:val="24"/>
          <w:rtl/>
        </w:rPr>
        <w:t>י' דנציגר</w:t>
      </w:r>
      <w:r w:rsidRPr="007B04E0">
        <w:rPr>
          <w:rtl/>
        </w:rPr>
        <w:t xml:space="preserve">, </w:t>
      </w:r>
      <w:r w:rsidRPr="007B04E0">
        <w:rPr>
          <w:rFonts w:hint="eastAsia"/>
          <w:rtl/>
        </w:rPr>
        <w:t>כנגד</w:t>
      </w:r>
      <w:r w:rsidRPr="007B04E0">
        <w:rPr>
          <w:rtl/>
        </w:rPr>
        <w:t xml:space="preserve"> </w:t>
      </w:r>
      <w:r w:rsidRPr="007B04E0">
        <w:rPr>
          <w:rFonts w:hint="eastAsia"/>
          <w:rtl/>
        </w:rPr>
        <w:t>דעתו</w:t>
      </w:r>
      <w:r w:rsidRPr="007B04E0">
        <w:rPr>
          <w:rtl/>
        </w:rPr>
        <w:t xml:space="preserve"> </w:t>
      </w:r>
      <w:r w:rsidRPr="007B04E0">
        <w:rPr>
          <w:rFonts w:hint="eastAsia"/>
          <w:rtl/>
        </w:rPr>
        <w:t>החולקת</w:t>
      </w:r>
      <w:r w:rsidRPr="007B04E0">
        <w:rPr>
          <w:rtl/>
        </w:rPr>
        <w:t xml:space="preserve"> </w:t>
      </w:r>
      <w:r w:rsidRPr="007B04E0">
        <w:rPr>
          <w:rFonts w:hint="eastAsia"/>
          <w:rtl/>
        </w:rPr>
        <w:t>של</w:t>
      </w:r>
      <w:r w:rsidRPr="007B04E0">
        <w:rPr>
          <w:rtl/>
        </w:rPr>
        <w:t xml:space="preserve"> </w:t>
      </w:r>
      <w:r w:rsidRPr="007B04E0">
        <w:rPr>
          <w:rFonts w:hint="eastAsia"/>
          <w:rtl/>
        </w:rPr>
        <w:t>השופט</w:t>
      </w:r>
      <w:r w:rsidRPr="007B04E0">
        <w:rPr>
          <w:rtl/>
        </w:rPr>
        <w:t xml:space="preserve"> </w:t>
      </w:r>
      <w:r w:rsidRPr="007B04E0">
        <w:rPr>
          <w:rFonts w:ascii="Miriam" w:hAnsi="Miriam" w:cs="Miriam"/>
          <w:sz w:val="22"/>
          <w:szCs w:val="24"/>
          <w:rtl/>
        </w:rPr>
        <w:t>נ' הנדל</w:t>
      </w:r>
      <w:r w:rsidRPr="007B04E0">
        <w:rPr>
          <w:rFonts w:ascii="Century" w:hAnsi="Century"/>
          <w:sz w:val="22"/>
          <w:rtl/>
        </w:rPr>
        <w:t>)).</w:t>
      </w:r>
      <w:r w:rsidRPr="007B04E0">
        <w:rPr>
          <w:rFonts w:ascii="Century" w:hAnsi="Century" w:hint="cs"/>
          <w:sz w:val="22"/>
          <w:rtl/>
        </w:rPr>
        <w:t xml:space="preserve"> </w:t>
      </w:r>
    </w:p>
    <w:p w14:paraId="3C8C3A42" w14:textId="77777777" w:rsidR="0040186B" w:rsidRPr="007B04E0" w:rsidRDefault="0040186B" w:rsidP="00C634DC">
      <w:pPr>
        <w:spacing w:line="360" w:lineRule="auto"/>
        <w:rPr>
          <w:rFonts w:ascii="Century" w:hAnsi="Century" w:cs="FrankRuehl"/>
          <w:spacing w:val="10"/>
          <w:sz w:val="22"/>
          <w:szCs w:val="28"/>
          <w:rtl/>
        </w:rPr>
      </w:pPr>
    </w:p>
    <w:p w14:paraId="6AA3BCB5" w14:textId="77777777" w:rsidR="0040186B" w:rsidRPr="007B04E0" w:rsidRDefault="0040186B" w:rsidP="00C634DC">
      <w:pPr>
        <w:spacing w:line="360" w:lineRule="auto"/>
        <w:rPr>
          <w:rFonts w:ascii="Miriam" w:hAnsi="Miriam" w:cs="Miriam"/>
          <w:spacing w:val="10"/>
          <w:rtl/>
        </w:rPr>
      </w:pPr>
      <w:r w:rsidRPr="007B04E0">
        <w:rPr>
          <w:rFonts w:ascii="Miriam" w:hAnsi="Miriam" w:cs="Miriam"/>
          <w:spacing w:val="10"/>
          <w:rtl/>
        </w:rPr>
        <w:t xml:space="preserve">עניין עבירות המס </w:t>
      </w:r>
    </w:p>
    <w:p w14:paraId="268B5794" w14:textId="77777777" w:rsidR="0040186B" w:rsidRPr="007B04E0" w:rsidRDefault="0040186B" w:rsidP="00C634DC">
      <w:pPr>
        <w:spacing w:line="360" w:lineRule="auto"/>
        <w:rPr>
          <w:rFonts w:ascii="Century" w:hAnsi="Century" w:cs="FrankRuehl"/>
          <w:spacing w:val="10"/>
          <w:sz w:val="22"/>
          <w:szCs w:val="28"/>
          <w:rtl/>
        </w:rPr>
      </w:pPr>
    </w:p>
    <w:p w14:paraId="4AAB8ADA" w14:textId="77777777" w:rsidR="0040186B" w:rsidRPr="007B04E0" w:rsidRDefault="0040186B" w:rsidP="00C634DC">
      <w:pPr>
        <w:pStyle w:val="Ruller4"/>
      </w:pPr>
      <w:r w:rsidRPr="007B04E0">
        <w:rPr>
          <w:rFonts w:hint="cs"/>
          <w:rtl/>
        </w:rPr>
        <w:t xml:space="preserve">בחודש מרץ 2016 הורה היועץ המשפטי לממשלה דאז, אביחי </w:t>
      </w:r>
      <w:proofErr w:type="spellStart"/>
      <w:r w:rsidRPr="007B04E0">
        <w:rPr>
          <w:rFonts w:hint="cs"/>
          <w:rtl/>
        </w:rPr>
        <w:t>מנדלבליט</w:t>
      </w:r>
      <w:proofErr w:type="spellEnd"/>
      <w:r w:rsidRPr="007B04E0">
        <w:rPr>
          <w:rFonts w:hint="cs"/>
          <w:rtl/>
        </w:rPr>
        <w:t xml:space="preserve">, על פתיחה בחקירה פלילית נגד דרעי בחשדות חמורים הנוגעים, בין היתר, לעבירות שוחד, </w:t>
      </w:r>
      <w:r w:rsidRPr="007B04E0">
        <w:rPr>
          <w:rFonts w:hint="cs"/>
          <w:rtl/>
        </w:rPr>
        <w:lastRenderedPageBreak/>
        <w:t xml:space="preserve">מרמה והפרת אמונים והלבנת הון </w:t>
      </w:r>
      <w:r>
        <w:rPr>
          <w:rFonts w:hint="cs"/>
          <w:rtl/>
        </w:rPr>
        <w:t>ב</w:t>
      </w:r>
      <w:r w:rsidRPr="007B04E0">
        <w:rPr>
          <w:rFonts w:hint="cs"/>
          <w:rtl/>
        </w:rPr>
        <w:t>פרשות</w:t>
      </w:r>
      <w:r>
        <w:rPr>
          <w:rFonts w:hint="cs"/>
          <w:rtl/>
        </w:rPr>
        <w:t xml:space="preserve"> שונות</w:t>
      </w:r>
      <w:r w:rsidRPr="007B04E0">
        <w:rPr>
          <w:rFonts w:hint="cs"/>
          <w:rtl/>
        </w:rPr>
        <w:t xml:space="preserve">. בסופו של דבר, בחלוף מספר שנים, הודיע היועץ המשפטי לממשלה ביום 8.1.2021 כי נמצאה תשתית ראייתית מספקת לשקול את </w:t>
      </w:r>
      <w:r>
        <w:rPr>
          <w:rFonts w:hint="cs"/>
          <w:rtl/>
        </w:rPr>
        <w:t xml:space="preserve">העמדת </w:t>
      </w:r>
      <w:r w:rsidRPr="007B04E0">
        <w:rPr>
          <w:rFonts w:hint="cs"/>
          <w:rtl/>
        </w:rPr>
        <w:t>דרעי לדין, בכפוף לשימוע</w:t>
      </w:r>
      <w:r>
        <w:rPr>
          <w:rFonts w:hint="cs"/>
          <w:rtl/>
        </w:rPr>
        <w:t>,</w:t>
      </w:r>
      <w:r w:rsidRPr="007B04E0">
        <w:rPr>
          <w:rFonts w:hint="cs"/>
          <w:rtl/>
        </w:rPr>
        <w:t xml:space="preserve"> בגין חלק מהאירועים שעניינם עבירות מס. ביחס ליתר העבירות, כך נקבע, לא נמצא בסיס ראייתי מספיק לצורך העמדתו לדין. </w:t>
      </w:r>
    </w:p>
    <w:p w14:paraId="31FAAEFA" w14:textId="77777777" w:rsidR="0040186B" w:rsidRPr="007B04E0" w:rsidRDefault="0040186B" w:rsidP="00C634DC">
      <w:pPr>
        <w:pStyle w:val="Ruller4"/>
        <w:numPr>
          <w:ilvl w:val="0"/>
          <w:numId w:val="0"/>
        </w:numPr>
        <w:rPr>
          <w:rtl/>
        </w:rPr>
      </w:pPr>
    </w:p>
    <w:p w14:paraId="7917883B" w14:textId="77777777" w:rsidR="0040186B" w:rsidRPr="007B04E0" w:rsidRDefault="0040186B" w:rsidP="0002087E">
      <w:pPr>
        <w:pStyle w:val="Ruller4"/>
        <w:rPr>
          <w:rtl/>
        </w:rPr>
      </w:pPr>
      <w:r w:rsidRPr="007B04E0">
        <w:rPr>
          <w:rFonts w:hint="cs"/>
          <w:rtl/>
        </w:rPr>
        <w:t>ביום 23.12.</w:t>
      </w:r>
      <w:r w:rsidR="0002087E">
        <w:rPr>
          <w:rFonts w:hint="cs"/>
          <w:rtl/>
        </w:rPr>
        <w:t>2021</w:t>
      </w:r>
      <w:r w:rsidR="0002087E" w:rsidRPr="007B04E0">
        <w:rPr>
          <w:rFonts w:hint="cs"/>
          <w:rtl/>
        </w:rPr>
        <w:t xml:space="preserve"> </w:t>
      </w:r>
      <w:r w:rsidRPr="007B04E0">
        <w:rPr>
          <w:rFonts w:hint="cs"/>
          <w:rtl/>
        </w:rPr>
        <w:t xml:space="preserve">חתם דרעי על הסדר טיעון, במסגרתו הוסכם כי דרעי יודה בעבירות מס שביצע בשני אירועים שונים. האישום הראשון בכתב האישום עניינו בנכס מקרקעין בגבעת שאול, שאותו מכר דרעי לאחיו תמורת 1.6 מיליון דולר, שהיו שווים באותה העת כ-5.78 מיליון ש"ח, </w:t>
      </w:r>
      <w:r>
        <w:rPr>
          <w:rFonts w:hint="cs"/>
          <w:rtl/>
        </w:rPr>
        <w:t xml:space="preserve">אך </w:t>
      </w:r>
      <w:r w:rsidRPr="007B04E0">
        <w:rPr>
          <w:rFonts w:hint="cs"/>
          <w:rtl/>
        </w:rPr>
        <w:t>מחיר העסקה שצוין בחוזה ובדיווח של אחיו לרשויות המס עמד על 4.25 מיליון ש"ח</w:t>
      </w:r>
      <w:r>
        <w:rPr>
          <w:rFonts w:hint="cs"/>
          <w:rtl/>
        </w:rPr>
        <w:t xml:space="preserve"> בלבד</w:t>
      </w:r>
      <w:r w:rsidRPr="007B04E0">
        <w:rPr>
          <w:rFonts w:hint="cs"/>
          <w:rtl/>
        </w:rPr>
        <w:t xml:space="preserve">. </w:t>
      </w:r>
      <w:r w:rsidRPr="007B04E0">
        <w:rPr>
          <w:rtl/>
        </w:rPr>
        <w:t xml:space="preserve">בגין </w:t>
      </w:r>
      <w:r w:rsidRPr="007B04E0">
        <w:rPr>
          <w:rFonts w:hint="cs"/>
          <w:rtl/>
        </w:rPr>
        <w:t>אירוע זה</w:t>
      </w:r>
      <w:r w:rsidRPr="007B04E0">
        <w:rPr>
          <w:rtl/>
        </w:rPr>
        <w:t xml:space="preserve"> יוחסה לדרעי עבירה של סיוע לעריכת הצהרה שאינה נכונה, לפי סעיף 98(ג1) לחוק מיסוי מקרקעין (שבח ורכישה), התשכ"ג-1963</w:t>
      </w:r>
      <w:r w:rsidRPr="007B04E0">
        <w:rPr>
          <w:rFonts w:hint="cs"/>
          <w:rtl/>
        </w:rPr>
        <w:t xml:space="preserve"> (להלן: </w:t>
      </w:r>
      <w:r w:rsidRPr="007B04E0">
        <w:rPr>
          <w:rFonts w:ascii="Century" w:hAnsi="Century" w:cs="Miriam" w:hint="eastAsia"/>
          <w:b/>
          <w:spacing w:val="0"/>
          <w:sz w:val="22"/>
          <w:szCs w:val="24"/>
          <w:rtl/>
        </w:rPr>
        <w:t>חוק</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מיסוי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מקרקעין</w:t>
      </w:r>
      <w:r w:rsidRPr="007B04E0">
        <w:rPr>
          <w:rFonts w:hint="cs"/>
          <w:rtl/>
        </w:rPr>
        <w:t>). האישום השני עניינו בתשלום שכר טרחה שהועבר על</w:t>
      </w:r>
      <w:r w:rsidR="009B5181">
        <w:rPr>
          <w:rFonts w:hint="cs"/>
          <w:rtl/>
        </w:rPr>
        <w:t xml:space="preserve"> </w:t>
      </w:r>
      <w:r w:rsidRPr="007B04E0">
        <w:rPr>
          <w:rFonts w:hint="cs"/>
          <w:rtl/>
        </w:rPr>
        <w:t xml:space="preserve">ידי </w:t>
      </w:r>
      <w:r w:rsidRPr="007B04E0">
        <w:rPr>
          <w:rFonts w:ascii="FrankRuehl" w:hAnsi="FrankRuehl" w:hint="cs"/>
          <w:color w:val="000000"/>
          <w:sz w:val="28"/>
          <w:rtl/>
        </w:rPr>
        <w:t>ק</w:t>
      </w:r>
      <w:r w:rsidRPr="007B04E0">
        <w:rPr>
          <w:rFonts w:ascii="FrankRuehl" w:hAnsi="FrankRuehl"/>
          <w:color w:val="000000"/>
          <w:sz w:val="28"/>
          <w:rtl/>
        </w:rPr>
        <w:t xml:space="preserve">רן פיננסית להשקעות בארצות הברית בשם "גרין </w:t>
      </w:r>
      <w:proofErr w:type="spellStart"/>
      <w:r w:rsidRPr="007B04E0">
        <w:rPr>
          <w:rFonts w:ascii="FrankRuehl" w:hAnsi="FrankRuehl"/>
          <w:color w:val="000000"/>
          <w:sz w:val="28"/>
          <w:rtl/>
        </w:rPr>
        <w:t>אושן</w:t>
      </w:r>
      <w:proofErr w:type="spellEnd"/>
      <w:r w:rsidRPr="007B04E0">
        <w:rPr>
          <w:rFonts w:ascii="FrankRuehl" w:hAnsi="FrankRuehl"/>
          <w:color w:val="000000"/>
          <w:sz w:val="28"/>
        </w:rPr>
        <w:t>"</w:t>
      </w:r>
      <w:r w:rsidRPr="007B04E0">
        <w:rPr>
          <w:rFonts w:hint="cs"/>
          <w:rtl/>
        </w:rPr>
        <w:t xml:space="preserve"> לחברה בבעלותו של דרעי (</w:t>
      </w:r>
      <w:proofErr w:type="spellStart"/>
      <w:r w:rsidRPr="007B04E0">
        <w:rPr>
          <w:rFonts w:ascii="FrankRuehl" w:hAnsi="FrankRuehl"/>
          <w:color w:val="000000"/>
          <w:sz w:val="28"/>
          <w:rtl/>
        </w:rPr>
        <w:t>ד.ר.א.ר</w:t>
      </w:r>
      <w:proofErr w:type="spellEnd"/>
      <w:r w:rsidRPr="007B04E0">
        <w:rPr>
          <w:rFonts w:ascii="FrankRuehl" w:hAnsi="FrankRuehl"/>
          <w:color w:val="000000"/>
          <w:sz w:val="28"/>
          <w:rtl/>
        </w:rPr>
        <w:t xml:space="preserve"> שרותי ייעוץ בע"מ</w:t>
      </w:r>
      <w:r w:rsidRPr="007B04E0">
        <w:rPr>
          <w:rFonts w:hint="cs"/>
          <w:rtl/>
        </w:rPr>
        <w:t xml:space="preserve">), בתמורה לסיוע </w:t>
      </w:r>
      <w:r>
        <w:rPr>
          <w:rFonts w:hint="cs"/>
          <w:rtl/>
        </w:rPr>
        <w:t xml:space="preserve">מצד </w:t>
      </w:r>
      <w:r w:rsidRPr="007B04E0">
        <w:rPr>
          <w:rFonts w:hint="cs"/>
          <w:rtl/>
        </w:rPr>
        <w:t xml:space="preserve">דרעי בגיוס משקיעים. לאחר שהחל לכהן כחבר כנסת בשנת 2013, סיכם דרעי עם "גרין </w:t>
      </w:r>
      <w:proofErr w:type="spellStart"/>
      <w:r w:rsidRPr="007B04E0">
        <w:rPr>
          <w:rFonts w:hint="cs"/>
          <w:rtl/>
        </w:rPr>
        <w:t>אושן</w:t>
      </w:r>
      <w:proofErr w:type="spellEnd"/>
      <w:r w:rsidRPr="007B04E0">
        <w:rPr>
          <w:rFonts w:hint="cs"/>
          <w:rtl/>
        </w:rPr>
        <w:t>" שתגמוליו העתידיים יועברו לחברה בבעלות אחיו, ובין השנים 2015-2013</w:t>
      </w:r>
      <w:r w:rsidRPr="007B04E0">
        <w:rPr>
          <w:rFonts w:ascii="FrankRuehl" w:hAnsi="FrankRuehl"/>
          <w:color w:val="000000"/>
          <w:sz w:val="28"/>
          <w:rtl/>
        </w:rPr>
        <w:t xml:space="preserve"> הועברו מחברת </w:t>
      </w:r>
      <w:r w:rsidRPr="007B04E0">
        <w:rPr>
          <w:rFonts w:ascii="FrankRuehl" w:hAnsi="FrankRuehl" w:hint="cs"/>
          <w:color w:val="000000"/>
          <w:sz w:val="28"/>
          <w:rtl/>
        </w:rPr>
        <w:t>"</w:t>
      </w:r>
      <w:r w:rsidRPr="007B04E0">
        <w:rPr>
          <w:rFonts w:ascii="FrankRuehl" w:hAnsi="FrankRuehl"/>
          <w:color w:val="000000"/>
          <w:sz w:val="28"/>
          <w:rtl/>
        </w:rPr>
        <w:t xml:space="preserve">גרין </w:t>
      </w:r>
      <w:proofErr w:type="spellStart"/>
      <w:r w:rsidRPr="007B04E0">
        <w:rPr>
          <w:rFonts w:ascii="FrankRuehl" w:hAnsi="FrankRuehl"/>
          <w:color w:val="000000"/>
          <w:sz w:val="28"/>
          <w:rtl/>
        </w:rPr>
        <w:t>אושן</w:t>
      </w:r>
      <w:proofErr w:type="spellEnd"/>
      <w:r w:rsidRPr="007B04E0">
        <w:rPr>
          <w:rFonts w:ascii="FrankRuehl" w:hAnsi="FrankRuehl" w:hint="cs"/>
          <w:color w:val="000000"/>
          <w:sz w:val="28"/>
          <w:rtl/>
        </w:rPr>
        <w:t>"</w:t>
      </w:r>
      <w:r w:rsidRPr="007B04E0">
        <w:rPr>
          <w:rFonts w:ascii="FrankRuehl" w:hAnsi="FrankRuehl"/>
          <w:color w:val="000000"/>
          <w:sz w:val="28"/>
          <w:rtl/>
        </w:rPr>
        <w:t xml:space="preserve"> </w:t>
      </w:r>
      <w:r w:rsidRPr="007B04E0">
        <w:rPr>
          <w:rFonts w:ascii="FrankRuehl" w:hAnsi="FrankRuehl" w:hint="cs"/>
          <w:color w:val="000000"/>
          <w:sz w:val="28"/>
          <w:rtl/>
        </w:rPr>
        <w:t>באופן זה כספים ב</w:t>
      </w:r>
      <w:r w:rsidRPr="007B04E0">
        <w:rPr>
          <w:rFonts w:ascii="FrankRuehl" w:hAnsi="FrankRuehl"/>
          <w:color w:val="000000"/>
          <w:sz w:val="28"/>
          <w:rtl/>
        </w:rPr>
        <w:t xml:space="preserve">סכום של 634,942 </w:t>
      </w:r>
      <w:r w:rsidRPr="007B04E0">
        <w:rPr>
          <w:rFonts w:ascii="FrankRuehl" w:hAnsi="FrankRuehl" w:hint="cs"/>
          <w:color w:val="000000"/>
          <w:sz w:val="28"/>
          <w:rtl/>
        </w:rPr>
        <w:t>ש"ח</w:t>
      </w:r>
      <w:r>
        <w:rPr>
          <w:rFonts w:ascii="FrankRuehl" w:hAnsi="FrankRuehl" w:hint="cs"/>
          <w:color w:val="000000"/>
          <w:sz w:val="28"/>
          <w:rtl/>
        </w:rPr>
        <w:t>,</w:t>
      </w:r>
      <w:r w:rsidRPr="007B04E0">
        <w:rPr>
          <w:rFonts w:ascii="FrankRuehl" w:hAnsi="FrankRuehl"/>
          <w:color w:val="000000"/>
          <w:sz w:val="28"/>
          <w:rtl/>
        </w:rPr>
        <w:t xml:space="preserve"> כולל מע"מ</w:t>
      </w:r>
      <w:r w:rsidRPr="007B04E0">
        <w:rPr>
          <w:rFonts w:ascii="FrankRuehl" w:hAnsi="FrankRuehl" w:hint="cs"/>
          <w:color w:val="000000"/>
          <w:sz w:val="28"/>
          <w:rtl/>
        </w:rPr>
        <w:t>.</w:t>
      </w:r>
      <w:r w:rsidRPr="007B04E0">
        <w:rPr>
          <w:rFonts w:ascii="FrankRuehl" w:hAnsi="FrankRuehl"/>
          <w:color w:val="000000"/>
          <w:sz w:val="28"/>
          <w:rtl/>
        </w:rPr>
        <w:t> </w:t>
      </w:r>
      <w:r w:rsidRPr="007B04E0">
        <w:rPr>
          <w:rFonts w:hint="cs"/>
          <w:rtl/>
        </w:rPr>
        <w:t xml:space="preserve">בהקשר זה צוין בכתב האישום כי </w:t>
      </w:r>
      <w:r w:rsidRPr="007B04E0">
        <w:rPr>
          <w:rtl/>
        </w:rPr>
        <w:t>דרעי לא כלל הכנסה</w:t>
      </w:r>
      <w:r w:rsidRPr="007B04E0">
        <w:rPr>
          <w:rFonts w:hint="cs"/>
          <w:rtl/>
        </w:rPr>
        <w:t xml:space="preserve"> בגובה 101,074 ש"ח</w:t>
      </w:r>
      <w:r w:rsidRPr="007B04E0">
        <w:rPr>
          <w:rtl/>
        </w:rPr>
        <w:t xml:space="preserve"> עבור שנת 2013 בדו"ח השנתי של החברה שבבעלותו</w:t>
      </w:r>
      <w:r w:rsidRPr="007B04E0">
        <w:rPr>
          <w:rFonts w:hint="cs"/>
          <w:rtl/>
        </w:rPr>
        <w:t>;</w:t>
      </w:r>
      <w:r w:rsidRPr="007B04E0">
        <w:rPr>
          <w:rtl/>
        </w:rPr>
        <w:t xml:space="preserve"> </w:t>
      </w:r>
      <w:r w:rsidRPr="007B04E0">
        <w:rPr>
          <w:rFonts w:hint="cs"/>
          <w:rtl/>
        </w:rPr>
        <w:t>וכן לא ניהל פנקסי חשבונות ו</w:t>
      </w:r>
      <w:r w:rsidRPr="007B04E0">
        <w:rPr>
          <w:rtl/>
        </w:rPr>
        <w:t>לא הגיש את דו"חות החברה שבבעלותו לשנים 2015-2014</w:t>
      </w:r>
      <w:r w:rsidRPr="007B04E0">
        <w:rPr>
          <w:rFonts w:hint="cs"/>
          <w:rtl/>
        </w:rPr>
        <w:t>, ובכך נמנע מלדווח על הכנסה בגובה 533,868 ש"ח</w:t>
      </w:r>
      <w:r w:rsidRPr="007B04E0">
        <w:rPr>
          <w:rtl/>
        </w:rPr>
        <w:t xml:space="preserve">. </w:t>
      </w:r>
      <w:r>
        <w:rPr>
          <w:rFonts w:hint="cs"/>
          <w:rtl/>
        </w:rPr>
        <w:t>בגין מעשיו אלה,</w:t>
      </w:r>
      <w:r w:rsidRPr="007B04E0">
        <w:rPr>
          <w:rtl/>
        </w:rPr>
        <w:t xml:space="preserve"> יוחסו לדרעי </w:t>
      </w:r>
      <w:r w:rsidRPr="007B04E0">
        <w:rPr>
          <w:rFonts w:hint="cs"/>
          <w:rtl/>
        </w:rPr>
        <w:t xml:space="preserve">עבירות של </w:t>
      </w:r>
      <w:r w:rsidRPr="007B04E0">
        <w:rPr>
          <w:rtl/>
        </w:rPr>
        <w:t xml:space="preserve">דו"ח וידיעות לא נכונים ללא הצדק סביר לפי סעיף 217 לפקודת מס הכנסה [נוסח חדש] (להלן: </w:t>
      </w:r>
      <w:r w:rsidRPr="007B04E0">
        <w:rPr>
          <w:rFonts w:ascii="Century" w:hAnsi="Century" w:cs="Miriam" w:hint="eastAsia"/>
          <w:b/>
          <w:spacing w:val="0"/>
          <w:sz w:val="22"/>
          <w:szCs w:val="24"/>
          <w:rtl/>
        </w:rPr>
        <w:t>פקודת</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מס</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הכנסה</w:t>
      </w:r>
      <w:r w:rsidRPr="007B04E0">
        <w:rPr>
          <w:rtl/>
        </w:rPr>
        <w:t xml:space="preserve">); אי הגשת דו"ח במועדו (שתי עבירות) לפי סעיף 216(4) לפקודת מס הכנסה; </w:t>
      </w:r>
      <w:r w:rsidRPr="007B04E0">
        <w:rPr>
          <w:rFonts w:hint="cs"/>
          <w:rtl/>
        </w:rPr>
        <w:t>ו</w:t>
      </w:r>
      <w:r w:rsidRPr="007B04E0">
        <w:rPr>
          <w:rtl/>
        </w:rPr>
        <w:t>אי ניהול פנקסי חשבונות (שתי עבירות) לפי סעיף 216(5) לפקודת מס הכנסה.</w:t>
      </w:r>
      <w:r w:rsidRPr="007B04E0">
        <w:rPr>
          <w:rFonts w:hint="cs"/>
          <w:rtl/>
        </w:rPr>
        <w:t xml:space="preserve"> </w:t>
      </w:r>
    </w:p>
    <w:p w14:paraId="16D2305A" w14:textId="77777777" w:rsidR="0040186B" w:rsidRPr="007B04E0" w:rsidRDefault="0040186B" w:rsidP="00C634DC">
      <w:pPr>
        <w:pStyle w:val="Ruller4"/>
        <w:numPr>
          <w:ilvl w:val="0"/>
          <w:numId w:val="0"/>
        </w:numPr>
        <w:rPr>
          <w:rtl/>
        </w:rPr>
      </w:pPr>
    </w:p>
    <w:p w14:paraId="1895BC59" w14:textId="77777777" w:rsidR="0040186B" w:rsidRPr="007B04E0" w:rsidRDefault="0040186B" w:rsidP="00C634DC">
      <w:pPr>
        <w:pStyle w:val="Ruller4"/>
        <w:numPr>
          <w:ilvl w:val="0"/>
          <w:numId w:val="0"/>
        </w:numPr>
        <w:rPr>
          <w:rtl/>
        </w:rPr>
      </w:pPr>
      <w:r w:rsidRPr="007B04E0">
        <w:rPr>
          <w:rtl/>
        </w:rPr>
        <w:tab/>
      </w:r>
      <w:r>
        <w:rPr>
          <w:rFonts w:hint="cs"/>
          <w:rtl/>
        </w:rPr>
        <w:t xml:space="preserve">במסגרת הסדר הטיעון, </w:t>
      </w:r>
      <w:r w:rsidRPr="007B04E0">
        <w:rPr>
          <w:rFonts w:hint="cs"/>
          <w:rtl/>
        </w:rPr>
        <w:t xml:space="preserve">הצדדים הסכימו כי יעתרו במשותף לעונש של 12 חודשי מאסר על תנאי לתקופה של שלוש שנים, וקנס בסך 180,000 ש"ח או שנת מאסר בפועל תמורתו (סעיף 2 להסדר הטיעון). </w:t>
      </w:r>
      <w:r>
        <w:rPr>
          <w:rFonts w:hint="cs"/>
          <w:rtl/>
        </w:rPr>
        <w:t>ב</w:t>
      </w:r>
      <w:r w:rsidRPr="007B04E0">
        <w:rPr>
          <w:rFonts w:hint="cs"/>
          <w:rtl/>
        </w:rPr>
        <w:t xml:space="preserve">סעיף 4 להסדר הטיעון </w:t>
      </w:r>
      <w:r>
        <w:rPr>
          <w:rFonts w:hint="cs"/>
          <w:rtl/>
        </w:rPr>
        <w:t>צוין</w:t>
      </w:r>
      <w:r w:rsidRPr="007B04E0">
        <w:rPr>
          <w:rFonts w:hint="cs"/>
          <w:rtl/>
        </w:rPr>
        <w:t xml:space="preserve">: "רשמנו בפנינו את הודעת [דרעי] בדבר החלטתו להתפטר מהכנסת ועל כן היועץ המשפטי לממשלה לא טוען בעניין הקלון בפני הערכאה הדיונית". </w:t>
      </w:r>
    </w:p>
    <w:p w14:paraId="43675908" w14:textId="77777777" w:rsidR="0040186B" w:rsidRPr="007B04E0" w:rsidRDefault="0040186B" w:rsidP="00C634DC">
      <w:pPr>
        <w:pStyle w:val="Ruller4"/>
        <w:numPr>
          <w:ilvl w:val="0"/>
          <w:numId w:val="0"/>
        </w:numPr>
        <w:rPr>
          <w:rtl/>
        </w:rPr>
      </w:pPr>
    </w:p>
    <w:p w14:paraId="6ECF524F" w14:textId="77777777" w:rsidR="0040186B" w:rsidRPr="007B04E0" w:rsidRDefault="0040186B" w:rsidP="00C634DC">
      <w:pPr>
        <w:pStyle w:val="Ruller4"/>
        <w:numPr>
          <w:ilvl w:val="0"/>
          <w:numId w:val="0"/>
        </w:numPr>
      </w:pPr>
      <w:r w:rsidRPr="007B04E0">
        <w:rPr>
          <w:rtl/>
        </w:rPr>
        <w:tab/>
      </w:r>
      <w:r w:rsidRPr="007B04E0">
        <w:rPr>
          <w:rFonts w:hint="cs"/>
          <w:rtl/>
        </w:rPr>
        <w:t>ביום 26.12.2021 הוגש הסדר הטיעון לאישורו של בית משפט השלום בירושלים (ת"פ (שלום י-ם) 56231-12-21)).</w:t>
      </w:r>
    </w:p>
    <w:p w14:paraId="229588B4" w14:textId="77777777" w:rsidR="0040186B" w:rsidRPr="007B04E0" w:rsidRDefault="0040186B" w:rsidP="00C634DC">
      <w:pPr>
        <w:pStyle w:val="Ruller4"/>
        <w:numPr>
          <w:ilvl w:val="0"/>
          <w:numId w:val="0"/>
        </w:numPr>
        <w:rPr>
          <w:rtl/>
        </w:rPr>
      </w:pPr>
    </w:p>
    <w:p w14:paraId="5DAA195C" w14:textId="77777777" w:rsidR="0040186B" w:rsidRPr="007B04E0" w:rsidRDefault="0040186B" w:rsidP="005D07D4">
      <w:pPr>
        <w:pStyle w:val="Ruller4"/>
        <w:rPr>
          <w:rtl/>
        </w:rPr>
      </w:pPr>
      <w:r w:rsidRPr="007B04E0">
        <w:rPr>
          <w:rFonts w:hint="cs"/>
          <w:rtl/>
        </w:rPr>
        <w:lastRenderedPageBreak/>
        <w:t xml:space="preserve">עתירה </w:t>
      </w:r>
      <w:r>
        <w:rPr>
          <w:rFonts w:hint="cs"/>
          <w:rtl/>
        </w:rPr>
        <w:t>שהוגשה</w:t>
      </w:r>
      <w:r w:rsidRPr="007B04E0">
        <w:rPr>
          <w:rFonts w:hint="cs"/>
          <w:rtl/>
        </w:rPr>
        <w:t xml:space="preserve"> נגד הסדר הטיעון, בטענה כי היה על היועץ המשפטי לממשלה להודיע שבדעתו לבקש מבית משפט השלום בירושלים </w:t>
      </w:r>
      <w:r>
        <w:rPr>
          <w:rFonts w:hint="cs"/>
          <w:rtl/>
        </w:rPr>
        <w:t>לקבוע שיש בעבירות שביצע דרעי משום קלון</w:t>
      </w:r>
      <w:r w:rsidRPr="007B04E0">
        <w:rPr>
          <w:rFonts w:hint="cs"/>
          <w:rtl/>
        </w:rPr>
        <w:t>, נדחתה (</w:t>
      </w:r>
      <w:r w:rsidRPr="007B04E0">
        <w:rPr>
          <w:rFonts w:hint="eastAsia"/>
          <w:rtl/>
        </w:rPr>
        <w:t>בג</w:t>
      </w:r>
      <w:r w:rsidRPr="007B04E0">
        <w:rPr>
          <w:rtl/>
        </w:rPr>
        <w:t>"</w:t>
      </w:r>
      <w:r w:rsidRPr="007B04E0">
        <w:rPr>
          <w:rFonts w:hint="eastAsia"/>
          <w:rtl/>
        </w:rPr>
        <w:t>ץ</w:t>
      </w:r>
      <w:r w:rsidRPr="007B04E0">
        <w:rPr>
          <w:rtl/>
        </w:rPr>
        <w:t xml:space="preserve"> 8954/21 </w:t>
      </w:r>
      <w:r w:rsidRPr="007B04E0">
        <w:rPr>
          <w:rFonts w:ascii="Century" w:hAnsi="Century" w:cs="Miriam" w:hint="eastAsia"/>
          <w:b/>
          <w:spacing w:val="0"/>
          <w:sz w:val="22"/>
          <w:szCs w:val="24"/>
          <w:rtl/>
        </w:rPr>
        <w:t>התנועה</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למען</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איכות</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השלטון</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בישראל</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נ</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היועץ</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המשפטי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לממשלה</w:t>
      </w:r>
      <w:r w:rsidRPr="007B04E0">
        <w:rPr>
          <w:rFonts w:ascii="Century" w:hAnsi="Century"/>
          <w:sz w:val="22"/>
          <w:rtl/>
        </w:rPr>
        <w:t xml:space="preserve"> (17.1.2022)</w:t>
      </w:r>
      <w:r w:rsidRPr="007B04E0">
        <w:rPr>
          <w:rFonts w:ascii="Century" w:hAnsi="Century" w:hint="cs"/>
          <w:sz w:val="22"/>
          <w:rtl/>
        </w:rPr>
        <w:t xml:space="preserve"> (להלן: </w:t>
      </w:r>
      <w:r w:rsidRPr="007B04E0">
        <w:rPr>
          <w:rFonts w:ascii="Century" w:hAnsi="Century" w:cs="Miriam" w:hint="cs"/>
          <w:b/>
          <w:spacing w:val="0"/>
          <w:sz w:val="22"/>
          <w:szCs w:val="24"/>
          <w:rtl/>
        </w:rPr>
        <w:t>בג"ץ 8954/21</w:t>
      </w:r>
      <w:r w:rsidRPr="007B04E0">
        <w:rPr>
          <w:rFonts w:ascii="Century" w:hAnsi="Century" w:hint="cs"/>
          <w:sz w:val="22"/>
          <w:rtl/>
        </w:rPr>
        <w:t>)</w:t>
      </w:r>
      <w:r w:rsidRPr="007B04E0">
        <w:rPr>
          <w:rFonts w:hint="cs"/>
          <w:rtl/>
        </w:rPr>
        <w:t xml:space="preserve">). בית המשפט ציין כי ככל שדרעי </w:t>
      </w:r>
      <w:r>
        <w:rPr>
          <w:rFonts w:hint="cs"/>
          <w:rtl/>
        </w:rPr>
        <w:t>יתפטר מהכנסת</w:t>
      </w:r>
      <w:r w:rsidRPr="007B04E0">
        <w:rPr>
          <w:rFonts w:hint="cs"/>
          <w:rtl/>
        </w:rPr>
        <w:t xml:space="preserve"> </w:t>
      </w:r>
      <w:r>
        <w:rPr>
          <w:rFonts w:hint="cs"/>
          <w:rtl/>
        </w:rPr>
        <w:t>לפני</w:t>
      </w:r>
      <w:r w:rsidRPr="007B04E0">
        <w:rPr>
          <w:rFonts w:hint="cs"/>
          <w:rtl/>
        </w:rPr>
        <w:t xml:space="preserve"> הדיון בהליך הפלילי, לא תהיה תחולה לסעיף 42א(א) לחוק-יסוד: הכנסת </w:t>
      </w:r>
      <w:r w:rsidRPr="007B04E0">
        <w:rPr>
          <w:rtl/>
        </w:rPr>
        <w:t>–</w:t>
      </w:r>
      <w:r w:rsidRPr="007B04E0">
        <w:rPr>
          <w:rFonts w:hint="cs"/>
          <w:rtl/>
        </w:rPr>
        <w:t xml:space="preserve"> לפיו "</w:t>
      </w:r>
      <w:r w:rsidRPr="007B04E0">
        <w:rPr>
          <w:rtl/>
        </w:rPr>
        <w:t>חבר הכנסת שהורשע בפסק דין סופי בעבירה פלילית, וקבע בית המשפט, ביוזמתו או לבקשת היועץ המשפטי לממשלה, שיש עם העבירה קלון, תיפסק חברותו בכנסת ביום שפסק הדין נעשה סופי</w:t>
      </w:r>
      <w:r w:rsidRPr="007B04E0">
        <w:rPr>
          <w:rFonts w:hint="cs"/>
          <w:rtl/>
        </w:rPr>
        <w:t>"</w:t>
      </w:r>
      <w:r>
        <w:rPr>
          <w:rFonts w:hint="cs"/>
          <w:rtl/>
        </w:rPr>
        <w:t xml:space="preserve">, </w:t>
      </w:r>
      <w:r w:rsidRPr="007B04E0">
        <w:rPr>
          <w:rFonts w:hint="cs"/>
          <w:rtl/>
        </w:rPr>
        <w:t>ובמקרה כזה</w:t>
      </w:r>
      <w:r>
        <w:rPr>
          <w:rFonts w:hint="cs"/>
          <w:rtl/>
        </w:rPr>
        <w:t xml:space="preserve"> </w:t>
      </w:r>
      <w:r>
        <w:rPr>
          <w:rtl/>
        </w:rPr>
        <w:t>–</w:t>
      </w:r>
      <w:r>
        <w:rPr>
          <w:rFonts w:hint="cs"/>
          <w:rtl/>
        </w:rPr>
        <w:t xml:space="preserve"> כך הוסיף בית המשפט וקבע שם </w:t>
      </w:r>
      <w:r>
        <w:rPr>
          <w:rtl/>
        </w:rPr>
        <w:t>–</w:t>
      </w:r>
      <w:r w:rsidRPr="007B04E0">
        <w:rPr>
          <w:rFonts w:hint="cs"/>
          <w:rtl/>
        </w:rPr>
        <w:t xml:space="preserve"> לא </w:t>
      </w:r>
      <w:r>
        <w:rPr>
          <w:rFonts w:hint="cs"/>
          <w:rtl/>
        </w:rPr>
        <w:t>ת</w:t>
      </w:r>
      <w:r w:rsidRPr="007B04E0">
        <w:rPr>
          <w:rFonts w:hint="cs"/>
          <w:rtl/>
        </w:rPr>
        <w:t xml:space="preserve">היה </w:t>
      </w:r>
      <w:r>
        <w:rPr>
          <w:rFonts w:hint="cs"/>
          <w:rtl/>
        </w:rPr>
        <w:t>ל</w:t>
      </w:r>
      <w:r w:rsidRPr="007B04E0">
        <w:rPr>
          <w:rFonts w:hint="cs"/>
          <w:rtl/>
        </w:rPr>
        <w:t>בית המשפט</w:t>
      </w:r>
      <w:r>
        <w:rPr>
          <w:rFonts w:hint="cs"/>
          <w:rtl/>
        </w:rPr>
        <w:t xml:space="preserve"> הדן בהליך הפלילי הסמכות</w:t>
      </w:r>
      <w:r w:rsidRPr="007B04E0">
        <w:rPr>
          <w:rFonts w:hint="cs"/>
          <w:rtl/>
        </w:rPr>
        <w:t xml:space="preserve"> לקבוע אם יש בעביר</w:t>
      </w:r>
      <w:r>
        <w:rPr>
          <w:rFonts w:hint="cs"/>
          <w:rtl/>
        </w:rPr>
        <w:t>ות</w:t>
      </w:r>
      <w:r w:rsidRPr="007B04E0">
        <w:rPr>
          <w:rFonts w:hint="cs"/>
          <w:rtl/>
        </w:rPr>
        <w:t xml:space="preserve"> משום קלון. בית המשפט </w:t>
      </w:r>
      <w:r w:rsidR="003779FF">
        <w:rPr>
          <w:rFonts w:hint="cs"/>
          <w:rtl/>
        </w:rPr>
        <w:t>ציין</w:t>
      </w:r>
      <w:r>
        <w:rPr>
          <w:rFonts w:hint="cs"/>
          <w:rtl/>
        </w:rPr>
        <w:t xml:space="preserve"> בפסק הדין שניתן בעתירה </w:t>
      </w:r>
      <w:r w:rsidRPr="007B04E0">
        <w:rPr>
          <w:rFonts w:hint="cs"/>
          <w:rtl/>
        </w:rPr>
        <w:t>כי הוא רשם</w:t>
      </w:r>
      <w:r>
        <w:rPr>
          <w:rFonts w:hint="cs"/>
          <w:rtl/>
        </w:rPr>
        <w:t xml:space="preserve"> לפניו</w:t>
      </w:r>
      <w:r w:rsidRPr="007B04E0">
        <w:rPr>
          <w:rFonts w:hint="cs"/>
          <w:rtl/>
        </w:rPr>
        <w:t xml:space="preserve"> את התחייבות היועץ המשפטי לממשלה</w:t>
      </w:r>
      <w:r>
        <w:rPr>
          <w:rFonts w:hint="cs"/>
          <w:rtl/>
        </w:rPr>
        <w:t xml:space="preserve"> ולפיה</w:t>
      </w:r>
      <w:r w:rsidRPr="007B04E0">
        <w:rPr>
          <w:rFonts w:hint="cs"/>
          <w:rtl/>
        </w:rPr>
        <w:t xml:space="preserve"> ככל שדרעי לא יתפטר מהכנסת, הוא יביע את עמדתו בעניין הקלון. </w:t>
      </w:r>
    </w:p>
    <w:p w14:paraId="619BD28F" w14:textId="77777777" w:rsidR="0040186B" w:rsidRPr="007B04E0" w:rsidRDefault="0040186B" w:rsidP="00C634DC">
      <w:pPr>
        <w:pStyle w:val="Ruller4"/>
        <w:numPr>
          <w:ilvl w:val="0"/>
          <w:numId w:val="0"/>
        </w:numPr>
        <w:rPr>
          <w:rtl/>
        </w:rPr>
      </w:pPr>
    </w:p>
    <w:p w14:paraId="31E9A69F" w14:textId="77777777" w:rsidR="0040186B" w:rsidRPr="007B04E0" w:rsidRDefault="0040186B" w:rsidP="00C634DC">
      <w:pPr>
        <w:pStyle w:val="Ruller4"/>
        <w:rPr>
          <w:rtl/>
        </w:rPr>
      </w:pPr>
      <w:r w:rsidRPr="007B04E0">
        <w:rPr>
          <w:rFonts w:hint="cs"/>
          <w:rtl/>
        </w:rPr>
        <w:t>ביום 23.1.2022</w:t>
      </w:r>
      <w:r>
        <w:rPr>
          <w:rFonts w:hint="cs"/>
          <w:rtl/>
        </w:rPr>
        <w:t xml:space="preserve"> </w:t>
      </w:r>
      <w:r w:rsidRPr="007B04E0">
        <w:rPr>
          <w:rFonts w:hint="cs"/>
          <w:rtl/>
        </w:rPr>
        <w:t>התפטר דרעי מהכנסת</w:t>
      </w:r>
      <w:r>
        <w:rPr>
          <w:rFonts w:hint="cs"/>
          <w:rtl/>
        </w:rPr>
        <w:t xml:space="preserve"> ו</w:t>
      </w:r>
      <w:r w:rsidRPr="007B04E0">
        <w:rPr>
          <w:rFonts w:hint="cs"/>
          <w:rtl/>
        </w:rPr>
        <w:t xml:space="preserve">בדיון שהתקיים </w:t>
      </w:r>
      <w:r>
        <w:rPr>
          <w:rFonts w:hint="cs"/>
          <w:rtl/>
        </w:rPr>
        <w:t xml:space="preserve">יומיים לאחר מכן בבית משפט השלום בעניין עבירות המס, </w:t>
      </w:r>
      <w:r w:rsidRPr="007B04E0">
        <w:rPr>
          <w:rFonts w:hint="cs"/>
          <w:rtl/>
        </w:rPr>
        <w:t>הורשע דרעי על פי הודאתו</w:t>
      </w:r>
      <w:r>
        <w:rPr>
          <w:rFonts w:hint="cs"/>
          <w:rtl/>
        </w:rPr>
        <w:t xml:space="preserve"> ובהתאם להסדר הטיעון, בעבירות שיוחסו לו בכתב האישום</w:t>
      </w:r>
      <w:r w:rsidRPr="007B04E0">
        <w:rPr>
          <w:rFonts w:hint="cs"/>
          <w:rtl/>
        </w:rPr>
        <w:t xml:space="preserve">. לאחר מכן, ועוד באותו היום, </w:t>
      </w:r>
      <w:r>
        <w:rPr>
          <w:rFonts w:hint="cs"/>
          <w:rtl/>
        </w:rPr>
        <w:t>השמיעו</w:t>
      </w:r>
      <w:r w:rsidRPr="007B04E0">
        <w:rPr>
          <w:rFonts w:hint="cs"/>
          <w:rtl/>
        </w:rPr>
        <w:t xml:space="preserve"> הצדדים טיעונים לעניין העונש. במסגרת זו עמד בא כוחו של דרעי על כך שדרעי לקח אחריות על מעשיו והתפטר מהכנסת, אף ש"</w:t>
      </w:r>
      <w:r w:rsidRPr="007B04E0">
        <w:rPr>
          <w:rtl/>
        </w:rPr>
        <w:t>זה מטה לחמו לאחר 9 שנים כח"כ וכשר, הוויתור שלו יכול להיות במיליוני שקלים צריך לחפש מאיפה להביא פרנסה עכשיו</w:t>
      </w:r>
      <w:r w:rsidRPr="007B04E0">
        <w:rPr>
          <w:rFonts w:hint="cs"/>
          <w:rtl/>
        </w:rPr>
        <w:t>" (עמ' 11 לפרוטוקול הדיון מיום 25.1.2022). בהמשך הוסיף דרעי עצמו</w:t>
      </w:r>
      <w:r>
        <w:rPr>
          <w:rFonts w:hint="cs"/>
          <w:rtl/>
        </w:rPr>
        <w:t xml:space="preserve"> ואמר בפני בית המשפט</w:t>
      </w:r>
      <w:r w:rsidRPr="007B04E0">
        <w:rPr>
          <w:rFonts w:hint="cs"/>
          <w:rtl/>
        </w:rPr>
        <w:t xml:space="preserve"> "</w:t>
      </w:r>
      <w:r w:rsidRPr="007B04E0">
        <w:rPr>
          <w:rFonts w:ascii="Century" w:hAnsi="Century" w:hint="eastAsia"/>
          <w:rtl/>
        </w:rPr>
        <w:t>החלטתי</w:t>
      </w:r>
      <w:r w:rsidRPr="007B04E0">
        <w:rPr>
          <w:rFonts w:ascii="Century" w:hAnsi="Century"/>
          <w:rtl/>
        </w:rPr>
        <w:t xml:space="preserve"> </w:t>
      </w:r>
      <w:r w:rsidRPr="007B04E0">
        <w:rPr>
          <w:rFonts w:ascii="Century" w:hAnsi="Century" w:hint="eastAsia"/>
          <w:rtl/>
        </w:rPr>
        <w:t>שאני</w:t>
      </w:r>
      <w:r w:rsidRPr="007B04E0">
        <w:rPr>
          <w:rFonts w:ascii="Century" w:hAnsi="Century"/>
          <w:rtl/>
        </w:rPr>
        <w:t xml:space="preserve"> </w:t>
      </w:r>
      <w:r w:rsidRPr="007B04E0">
        <w:rPr>
          <w:rFonts w:ascii="Century" w:hAnsi="Century" w:hint="eastAsia"/>
          <w:rtl/>
        </w:rPr>
        <w:t>לא</w:t>
      </w:r>
      <w:r w:rsidRPr="007B04E0">
        <w:rPr>
          <w:rFonts w:ascii="Century" w:hAnsi="Century"/>
          <w:rtl/>
        </w:rPr>
        <w:t xml:space="preserve"> </w:t>
      </w:r>
      <w:r w:rsidRPr="007B04E0">
        <w:rPr>
          <w:rFonts w:ascii="Century" w:hAnsi="Century" w:hint="eastAsia"/>
          <w:rtl/>
        </w:rPr>
        <w:t>רוצה</w:t>
      </w:r>
      <w:r w:rsidRPr="007B04E0">
        <w:rPr>
          <w:rFonts w:ascii="Century" w:hAnsi="Century"/>
          <w:rtl/>
        </w:rPr>
        <w:t xml:space="preserve"> </w:t>
      </w:r>
      <w:r w:rsidRPr="007B04E0">
        <w:rPr>
          <w:rFonts w:ascii="Century" w:hAnsi="Century" w:hint="eastAsia"/>
          <w:rtl/>
        </w:rPr>
        <w:t>לחזור</w:t>
      </w:r>
      <w:r w:rsidRPr="007B04E0">
        <w:rPr>
          <w:rFonts w:ascii="Century" w:hAnsi="Century"/>
          <w:rtl/>
        </w:rPr>
        <w:t xml:space="preserve"> </w:t>
      </w:r>
      <w:r w:rsidRPr="007B04E0">
        <w:rPr>
          <w:rFonts w:ascii="Century" w:hAnsi="Century" w:hint="eastAsia"/>
          <w:rtl/>
        </w:rPr>
        <w:t>למה</w:t>
      </w:r>
      <w:r w:rsidRPr="007B04E0">
        <w:rPr>
          <w:rFonts w:ascii="Century" w:hAnsi="Century"/>
          <w:rtl/>
        </w:rPr>
        <w:t xml:space="preserve"> </w:t>
      </w:r>
      <w:r w:rsidRPr="007B04E0">
        <w:rPr>
          <w:rFonts w:ascii="Century" w:hAnsi="Century" w:hint="eastAsia"/>
          <w:rtl/>
        </w:rPr>
        <w:t>שהיה</w:t>
      </w:r>
      <w:r w:rsidRPr="007B04E0">
        <w:rPr>
          <w:rFonts w:ascii="Century" w:hAnsi="Century"/>
          <w:rtl/>
        </w:rPr>
        <w:t xml:space="preserve"> </w:t>
      </w:r>
      <w:r w:rsidRPr="007B04E0">
        <w:rPr>
          <w:rFonts w:ascii="Century" w:hAnsi="Century" w:hint="eastAsia"/>
          <w:rtl/>
        </w:rPr>
        <w:t>לפני</w:t>
      </w:r>
      <w:r w:rsidRPr="007B04E0">
        <w:rPr>
          <w:rFonts w:ascii="Century" w:hAnsi="Century"/>
          <w:rtl/>
        </w:rPr>
        <w:t xml:space="preserve"> 20 </w:t>
      </w:r>
      <w:r w:rsidRPr="007B04E0">
        <w:rPr>
          <w:rFonts w:ascii="Century" w:hAnsi="Century" w:hint="eastAsia"/>
          <w:rtl/>
        </w:rPr>
        <w:t>ו</w:t>
      </w:r>
      <w:r w:rsidRPr="007B04E0">
        <w:rPr>
          <w:rFonts w:ascii="Century" w:hAnsi="Century"/>
          <w:rtl/>
        </w:rPr>
        <w:t xml:space="preserve">-30 </w:t>
      </w:r>
      <w:r w:rsidRPr="007B04E0">
        <w:rPr>
          <w:rFonts w:ascii="Century" w:hAnsi="Century" w:hint="eastAsia"/>
          <w:rtl/>
        </w:rPr>
        <w:t>שנה</w:t>
      </w:r>
      <w:r w:rsidRPr="007B04E0">
        <w:rPr>
          <w:rFonts w:ascii="Century" w:hAnsi="Century"/>
          <w:rtl/>
        </w:rPr>
        <w:t xml:space="preserve"> </w:t>
      </w:r>
      <w:r w:rsidRPr="007B04E0">
        <w:rPr>
          <w:rFonts w:ascii="Century" w:hAnsi="Century" w:hint="eastAsia"/>
          <w:rtl/>
        </w:rPr>
        <w:t>ורוצה</w:t>
      </w:r>
      <w:r w:rsidRPr="007B04E0">
        <w:rPr>
          <w:rFonts w:ascii="Century" w:hAnsi="Century"/>
          <w:rtl/>
        </w:rPr>
        <w:t xml:space="preserve"> </w:t>
      </w:r>
      <w:r w:rsidRPr="007B04E0">
        <w:rPr>
          <w:rFonts w:ascii="Century" w:hAnsi="Century" w:hint="eastAsia"/>
          <w:rtl/>
        </w:rPr>
        <w:t>להמשיך</w:t>
      </w:r>
      <w:r w:rsidRPr="007B04E0">
        <w:rPr>
          <w:rFonts w:ascii="Century" w:hAnsi="Century"/>
          <w:rtl/>
        </w:rPr>
        <w:t xml:space="preserve"> </w:t>
      </w:r>
      <w:r w:rsidRPr="007B04E0">
        <w:rPr>
          <w:rFonts w:ascii="Century" w:hAnsi="Century" w:hint="eastAsia"/>
          <w:rtl/>
        </w:rPr>
        <w:t>עם</w:t>
      </w:r>
      <w:r w:rsidRPr="007B04E0">
        <w:rPr>
          <w:rFonts w:ascii="Century" w:hAnsi="Century"/>
          <w:rtl/>
        </w:rPr>
        <w:t xml:space="preserve"> </w:t>
      </w:r>
      <w:r w:rsidRPr="007B04E0">
        <w:rPr>
          <w:rFonts w:ascii="Century" w:hAnsi="Century" w:hint="eastAsia"/>
          <w:rtl/>
        </w:rPr>
        <w:t>הזמן</w:t>
      </w:r>
      <w:r w:rsidRPr="007B04E0">
        <w:rPr>
          <w:rFonts w:ascii="Century" w:hAnsi="Century"/>
          <w:rtl/>
        </w:rPr>
        <w:t xml:space="preserve"> </w:t>
      </w:r>
      <w:r w:rsidRPr="007B04E0">
        <w:rPr>
          <w:rFonts w:ascii="Century" w:hAnsi="Century" w:hint="eastAsia"/>
          <w:rtl/>
        </w:rPr>
        <w:t>שנשאר</w:t>
      </w:r>
      <w:r w:rsidRPr="007B04E0">
        <w:rPr>
          <w:rFonts w:ascii="Century" w:hAnsi="Century"/>
          <w:rtl/>
        </w:rPr>
        <w:t xml:space="preserve"> </w:t>
      </w:r>
      <w:r w:rsidRPr="007B04E0">
        <w:rPr>
          <w:rFonts w:ascii="Century" w:hAnsi="Century" w:hint="eastAsia"/>
          <w:rtl/>
        </w:rPr>
        <w:t>לי</w:t>
      </w:r>
      <w:r w:rsidRPr="007B04E0">
        <w:rPr>
          <w:rFonts w:ascii="Century" w:hAnsi="Century"/>
          <w:rtl/>
        </w:rPr>
        <w:t xml:space="preserve"> </w:t>
      </w:r>
      <w:r w:rsidRPr="007B04E0">
        <w:rPr>
          <w:rFonts w:ascii="Century" w:hAnsi="Century" w:hint="eastAsia"/>
          <w:rtl/>
        </w:rPr>
        <w:t>להשקיע</w:t>
      </w:r>
      <w:r w:rsidRPr="007B04E0">
        <w:rPr>
          <w:rFonts w:ascii="Century" w:hAnsi="Century"/>
          <w:rtl/>
        </w:rPr>
        <w:t xml:space="preserve"> </w:t>
      </w:r>
      <w:r w:rsidRPr="007B04E0">
        <w:rPr>
          <w:rFonts w:ascii="Century" w:hAnsi="Century" w:hint="eastAsia"/>
          <w:rtl/>
        </w:rPr>
        <w:t>בצרכי</w:t>
      </w:r>
      <w:r w:rsidRPr="007B04E0">
        <w:rPr>
          <w:rFonts w:ascii="Century" w:hAnsi="Century"/>
          <w:rtl/>
        </w:rPr>
        <w:t xml:space="preserve"> </w:t>
      </w:r>
      <w:r w:rsidRPr="007B04E0">
        <w:rPr>
          <w:rFonts w:ascii="Century" w:hAnsi="Century" w:hint="eastAsia"/>
          <w:rtl/>
        </w:rPr>
        <w:t>ציבור</w:t>
      </w:r>
      <w:r w:rsidRPr="007B04E0">
        <w:rPr>
          <w:rFonts w:ascii="Century" w:hAnsi="Century"/>
          <w:rtl/>
        </w:rPr>
        <w:t xml:space="preserve"> </w:t>
      </w:r>
      <w:r w:rsidRPr="007B04E0">
        <w:rPr>
          <w:rFonts w:ascii="Century" w:hAnsi="Century" w:hint="eastAsia"/>
          <w:rtl/>
        </w:rPr>
        <w:t>בלי</w:t>
      </w:r>
      <w:r w:rsidRPr="007B04E0">
        <w:rPr>
          <w:rFonts w:ascii="Century" w:hAnsi="Century"/>
          <w:rtl/>
        </w:rPr>
        <w:t xml:space="preserve"> </w:t>
      </w:r>
      <w:r w:rsidRPr="007B04E0">
        <w:rPr>
          <w:rFonts w:ascii="Century" w:hAnsi="Century" w:hint="eastAsia"/>
          <w:rtl/>
        </w:rPr>
        <w:t>לערב</w:t>
      </w:r>
      <w:r w:rsidRPr="007B04E0">
        <w:rPr>
          <w:rFonts w:ascii="Century" w:hAnsi="Century"/>
          <w:rtl/>
        </w:rPr>
        <w:t xml:space="preserve"> </w:t>
      </w:r>
      <w:r w:rsidRPr="007B04E0">
        <w:rPr>
          <w:rFonts w:ascii="Century" w:hAnsi="Century" w:hint="eastAsia"/>
          <w:rtl/>
        </w:rPr>
        <w:t>את</w:t>
      </w:r>
      <w:r w:rsidRPr="007B04E0">
        <w:rPr>
          <w:rFonts w:ascii="Century" w:hAnsi="Century"/>
          <w:rtl/>
        </w:rPr>
        <w:t xml:space="preserve"> </w:t>
      </w:r>
      <w:r w:rsidRPr="007B04E0">
        <w:rPr>
          <w:rFonts w:ascii="Century" w:hAnsi="Century" w:hint="eastAsia"/>
          <w:rtl/>
        </w:rPr>
        <w:t>המלחמות</w:t>
      </w:r>
      <w:r w:rsidRPr="007B04E0">
        <w:rPr>
          <w:rFonts w:ascii="Century" w:hAnsi="Century"/>
          <w:rtl/>
        </w:rPr>
        <w:t xml:space="preserve"> </w:t>
      </w:r>
      <w:r w:rsidRPr="007B04E0">
        <w:rPr>
          <w:rFonts w:ascii="Century" w:hAnsi="Century" w:hint="eastAsia"/>
          <w:rtl/>
        </w:rPr>
        <w:t>הללו</w:t>
      </w:r>
      <w:r w:rsidRPr="007B04E0">
        <w:rPr>
          <w:rFonts w:ascii="Century" w:hAnsi="Century"/>
          <w:rtl/>
        </w:rPr>
        <w:t xml:space="preserve"> </w:t>
      </w:r>
      <w:r w:rsidRPr="007B04E0">
        <w:rPr>
          <w:rFonts w:ascii="Century" w:hAnsi="Century" w:hint="eastAsia"/>
          <w:rtl/>
        </w:rPr>
        <w:t>ולהמשיך</w:t>
      </w:r>
      <w:r w:rsidRPr="007B04E0">
        <w:rPr>
          <w:rFonts w:ascii="Century" w:hAnsi="Century"/>
          <w:rtl/>
        </w:rPr>
        <w:t xml:space="preserve"> </w:t>
      </w:r>
      <w:r w:rsidRPr="007B04E0">
        <w:rPr>
          <w:rFonts w:ascii="Century" w:hAnsi="Century" w:hint="eastAsia"/>
          <w:rtl/>
        </w:rPr>
        <w:t>לייצג</w:t>
      </w:r>
      <w:r w:rsidRPr="007B04E0">
        <w:rPr>
          <w:rFonts w:ascii="Century" w:hAnsi="Century"/>
          <w:rtl/>
        </w:rPr>
        <w:t xml:space="preserve"> </w:t>
      </w:r>
      <w:r w:rsidRPr="007B04E0">
        <w:rPr>
          <w:rFonts w:ascii="Century" w:hAnsi="Century" w:hint="eastAsia"/>
          <w:rtl/>
        </w:rPr>
        <w:t>את</w:t>
      </w:r>
      <w:r w:rsidRPr="007B04E0">
        <w:rPr>
          <w:rFonts w:ascii="Century" w:hAnsi="Century"/>
          <w:rtl/>
        </w:rPr>
        <w:t xml:space="preserve"> </w:t>
      </w:r>
      <w:r w:rsidRPr="007B04E0">
        <w:rPr>
          <w:rFonts w:ascii="Century" w:hAnsi="Century" w:hint="eastAsia"/>
          <w:rtl/>
        </w:rPr>
        <w:t>השכבות</w:t>
      </w:r>
      <w:r w:rsidRPr="007B04E0">
        <w:rPr>
          <w:rFonts w:ascii="Century" w:hAnsi="Century"/>
          <w:rtl/>
        </w:rPr>
        <w:t xml:space="preserve"> </w:t>
      </w:r>
      <w:r w:rsidRPr="007B04E0">
        <w:rPr>
          <w:rFonts w:ascii="Century" w:hAnsi="Century" w:hint="eastAsia"/>
          <w:rtl/>
        </w:rPr>
        <w:t>והציבור</w:t>
      </w:r>
      <w:r w:rsidRPr="007B04E0">
        <w:rPr>
          <w:rFonts w:ascii="Century" w:hAnsi="Century"/>
          <w:rtl/>
        </w:rPr>
        <w:t xml:space="preserve"> </w:t>
      </w:r>
      <w:r w:rsidRPr="007B04E0">
        <w:rPr>
          <w:rFonts w:ascii="Century" w:hAnsi="Century" w:hint="eastAsia"/>
          <w:rtl/>
        </w:rPr>
        <w:t>שאני</w:t>
      </w:r>
      <w:r w:rsidRPr="007B04E0">
        <w:rPr>
          <w:rFonts w:ascii="Century" w:hAnsi="Century"/>
          <w:rtl/>
        </w:rPr>
        <w:t xml:space="preserve"> </w:t>
      </w:r>
      <w:r w:rsidRPr="007B04E0">
        <w:rPr>
          <w:rFonts w:ascii="Century" w:hAnsi="Century" w:hint="eastAsia"/>
          <w:rtl/>
        </w:rPr>
        <w:t>מייצג</w:t>
      </w:r>
      <w:r w:rsidRPr="007B04E0">
        <w:rPr>
          <w:rFonts w:ascii="Century" w:hAnsi="Century"/>
          <w:rtl/>
        </w:rPr>
        <w:t xml:space="preserve"> </w:t>
      </w:r>
      <w:r w:rsidRPr="007B04E0">
        <w:rPr>
          <w:rFonts w:ascii="Century" w:hAnsi="Century" w:hint="eastAsia"/>
          <w:rtl/>
        </w:rPr>
        <w:t>בצורה</w:t>
      </w:r>
      <w:r w:rsidRPr="007B04E0">
        <w:rPr>
          <w:rFonts w:ascii="Century" w:hAnsi="Century"/>
          <w:rtl/>
        </w:rPr>
        <w:t xml:space="preserve"> </w:t>
      </w:r>
      <w:r w:rsidRPr="007B04E0">
        <w:rPr>
          <w:rFonts w:ascii="Century" w:hAnsi="Century" w:hint="eastAsia"/>
          <w:rtl/>
        </w:rPr>
        <w:t>אחרת</w:t>
      </w:r>
      <w:r w:rsidRPr="007B04E0">
        <w:rPr>
          <w:rFonts w:ascii="Century" w:hAnsi="Century"/>
          <w:rtl/>
        </w:rPr>
        <w:t xml:space="preserve"> </w:t>
      </w:r>
      <w:r w:rsidRPr="007B04E0">
        <w:rPr>
          <w:rFonts w:ascii="Century" w:hAnsi="Century" w:hint="eastAsia"/>
          <w:rtl/>
        </w:rPr>
        <w:t>גם</w:t>
      </w:r>
      <w:r w:rsidRPr="007B04E0">
        <w:rPr>
          <w:rFonts w:ascii="Century" w:hAnsi="Century"/>
          <w:rtl/>
        </w:rPr>
        <w:t xml:space="preserve"> </w:t>
      </w:r>
      <w:r w:rsidRPr="007B04E0">
        <w:rPr>
          <w:rFonts w:ascii="Century" w:hAnsi="Century" w:hint="eastAsia"/>
          <w:rtl/>
        </w:rPr>
        <w:t>אם</w:t>
      </w:r>
      <w:r w:rsidRPr="007B04E0">
        <w:rPr>
          <w:rFonts w:ascii="Century" w:hAnsi="Century"/>
          <w:rtl/>
        </w:rPr>
        <w:t xml:space="preserve"> </w:t>
      </w:r>
      <w:r w:rsidRPr="007B04E0">
        <w:rPr>
          <w:rFonts w:ascii="Century" w:hAnsi="Century" w:hint="eastAsia"/>
          <w:rtl/>
        </w:rPr>
        <w:t>לא</w:t>
      </w:r>
      <w:r w:rsidRPr="007B04E0">
        <w:rPr>
          <w:rFonts w:ascii="Century" w:hAnsi="Century"/>
          <w:rtl/>
        </w:rPr>
        <w:t xml:space="preserve"> </w:t>
      </w:r>
      <w:r w:rsidRPr="007B04E0">
        <w:rPr>
          <w:rFonts w:ascii="Century" w:hAnsi="Century" w:hint="eastAsia"/>
          <w:rtl/>
        </w:rPr>
        <w:t>מהכנסת</w:t>
      </w:r>
      <w:r w:rsidRPr="007B04E0">
        <w:rPr>
          <w:rFonts w:ascii="Century" w:hAnsi="Century" w:hint="cs"/>
          <w:rtl/>
        </w:rPr>
        <w:t xml:space="preserve">" </w:t>
      </w:r>
      <w:r w:rsidRPr="007B04E0">
        <w:rPr>
          <w:rFonts w:ascii="Century" w:hAnsi="Century"/>
          <w:rtl/>
        </w:rPr>
        <w:t>(</w:t>
      </w:r>
      <w:r w:rsidRPr="007B04E0">
        <w:rPr>
          <w:rFonts w:ascii="Miriam" w:hAnsi="Miriam" w:cs="Miriam" w:hint="eastAsia"/>
          <w:sz w:val="22"/>
          <w:szCs w:val="24"/>
          <w:rtl/>
        </w:rPr>
        <w:t>שם</w:t>
      </w:r>
      <w:r w:rsidRPr="007B04E0">
        <w:rPr>
          <w:rFonts w:ascii="Century" w:hAnsi="Century"/>
          <w:rtl/>
        </w:rPr>
        <w:t xml:space="preserve">, </w:t>
      </w:r>
      <w:r w:rsidRPr="007B04E0">
        <w:rPr>
          <w:rFonts w:ascii="Century" w:hAnsi="Century" w:hint="eastAsia"/>
          <w:rtl/>
        </w:rPr>
        <w:t>בעמ</w:t>
      </w:r>
      <w:r w:rsidRPr="007B04E0">
        <w:rPr>
          <w:rFonts w:ascii="Century" w:hAnsi="Century"/>
          <w:rtl/>
        </w:rPr>
        <w:t>' 13).</w:t>
      </w:r>
      <w:r w:rsidRPr="007B04E0">
        <w:rPr>
          <w:rFonts w:ascii="Century" w:hAnsi="Century" w:hint="cs"/>
          <w:rtl/>
        </w:rPr>
        <w:t xml:space="preserve"> </w:t>
      </w:r>
    </w:p>
    <w:p w14:paraId="6BA9E01A" w14:textId="77777777" w:rsidR="0040186B" w:rsidRPr="007B04E0" w:rsidRDefault="0040186B" w:rsidP="00C634DC">
      <w:pPr>
        <w:pStyle w:val="Ruller4"/>
        <w:numPr>
          <w:ilvl w:val="0"/>
          <w:numId w:val="0"/>
        </w:numPr>
        <w:rPr>
          <w:rtl/>
        </w:rPr>
      </w:pPr>
    </w:p>
    <w:p w14:paraId="6F072414" w14:textId="77777777" w:rsidR="0040186B" w:rsidRPr="00D169D1" w:rsidRDefault="0040186B" w:rsidP="00C634DC">
      <w:pPr>
        <w:pStyle w:val="Ruller4"/>
        <w:rPr>
          <w:shd w:val="clear" w:color="auto" w:fill="FFFFFF"/>
          <w:rtl/>
        </w:rPr>
      </w:pPr>
      <w:r w:rsidRPr="007B04E0">
        <w:rPr>
          <w:rFonts w:hint="cs"/>
          <w:rtl/>
        </w:rPr>
        <w:t xml:space="preserve">ביום 1.2.2022 אישר בית משפט השלום בירושלים את הסדר הטיעון עם דרעי (הנשיא </w:t>
      </w:r>
      <w:r w:rsidRPr="007B04E0">
        <w:rPr>
          <w:rFonts w:ascii="Miriam" w:hAnsi="Miriam" w:cs="Miriam"/>
          <w:sz w:val="22"/>
          <w:szCs w:val="24"/>
          <w:rtl/>
        </w:rPr>
        <w:t>ש' הרבסט</w:t>
      </w:r>
      <w:r w:rsidRPr="007B04E0">
        <w:rPr>
          <w:rFonts w:hint="cs"/>
          <w:rtl/>
        </w:rPr>
        <w:t xml:space="preserve">). </w:t>
      </w:r>
      <w:r>
        <w:rPr>
          <w:rFonts w:hint="cs"/>
          <w:rtl/>
        </w:rPr>
        <w:t>בית המשפט</w:t>
      </w:r>
      <w:r w:rsidRPr="007B04E0">
        <w:rPr>
          <w:rFonts w:hint="cs"/>
          <w:rtl/>
        </w:rPr>
        <w:t xml:space="preserve"> עמד על ההלכות הנוגעות לאישור הסדרי טיעון על ידי בתי המשפט, </w:t>
      </w:r>
      <w:r>
        <w:rPr>
          <w:rFonts w:hint="cs"/>
          <w:rtl/>
        </w:rPr>
        <w:t>ו</w:t>
      </w:r>
      <w:r w:rsidRPr="007B04E0">
        <w:rPr>
          <w:rFonts w:hint="cs"/>
          <w:rtl/>
        </w:rPr>
        <w:t xml:space="preserve">קבע כי אין מקום להתערב בהסדר הטיעון שהוגש לאישורו. בית המשפט הוסיף </w:t>
      </w:r>
      <w:r>
        <w:rPr>
          <w:rFonts w:hint="cs"/>
          <w:rtl/>
        </w:rPr>
        <w:t xml:space="preserve">וקבע </w:t>
      </w:r>
      <w:r w:rsidRPr="007B04E0">
        <w:rPr>
          <w:rFonts w:hint="cs"/>
          <w:rtl/>
        </w:rPr>
        <w:t xml:space="preserve">כי מעשיו של דרעי מנעו משלטונות המס לשום באופן נכון את המס, אך הדגיש כי חלקו בביצוע העבירות היה פאסיבי וכי יש לזקוף לזכותו, בין היתר, את העובדה שהחקירה </w:t>
      </w:r>
      <w:r>
        <w:rPr>
          <w:rFonts w:hint="cs"/>
          <w:rtl/>
        </w:rPr>
        <w:t>בעניינו</w:t>
      </w:r>
      <w:r w:rsidRPr="007B04E0">
        <w:rPr>
          <w:rFonts w:hint="cs"/>
          <w:rtl/>
        </w:rPr>
        <w:t xml:space="preserve"> נמשכה כשבע שנים ואת העובדה שהתיק נפתח עם חשד לעבירות שחיתות שלטונית, אך הסתיים ב</w:t>
      </w:r>
      <w:r>
        <w:rPr>
          <w:rFonts w:hint="cs"/>
          <w:rtl/>
        </w:rPr>
        <w:t>אישום ב</w:t>
      </w:r>
      <w:r w:rsidRPr="007B04E0">
        <w:rPr>
          <w:rFonts w:hint="cs"/>
          <w:rtl/>
        </w:rPr>
        <w:t xml:space="preserve">עבירות מס "המצויות </w:t>
      </w:r>
      <w:r w:rsidRPr="007B04E0">
        <w:rPr>
          <w:rFonts w:ascii="Miriam" w:hAnsi="Miriam" w:cs="Miriam" w:hint="eastAsia"/>
          <w:sz w:val="22"/>
          <w:szCs w:val="24"/>
          <w:rtl/>
        </w:rPr>
        <w:t>ברף</w:t>
      </w:r>
      <w:r w:rsidRPr="007B04E0">
        <w:rPr>
          <w:rFonts w:ascii="Miriam" w:hAnsi="Miriam" w:cs="Miriam"/>
          <w:sz w:val="22"/>
          <w:szCs w:val="24"/>
          <w:rtl/>
        </w:rPr>
        <w:t xml:space="preserve"> </w:t>
      </w:r>
      <w:r w:rsidRPr="007B04E0">
        <w:rPr>
          <w:rFonts w:ascii="Miriam" w:hAnsi="Miriam" w:cs="Miriam" w:hint="eastAsia"/>
          <w:sz w:val="22"/>
          <w:szCs w:val="24"/>
          <w:rtl/>
        </w:rPr>
        <w:t>התחתון</w:t>
      </w:r>
      <w:r w:rsidRPr="007B04E0">
        <w:rPr>
          <w:sz w:val="22"/>
          <w:szCs w:val="24"/>
          <w:rtl/>
        </w:rPr>
        <w:t xml:space="preserve"> </w:t>
      </w:r>
      <w:r w:rsidRPr="007B04E0">
        <w:rPr>
          <w:rFonts w:hint="cs"/>
          <w:rtl/>
        </w:rPr>
        <w:t xml:space="preserve">של משפחת עבירות זו" (ההדגשה במקור). </w:t>
      </w:r>
      <w:r>
        <w:rPr>
          <w:rFonts w:hint="cs"/>
          <w:rtl/>
        </w:rPr>
        <w:t>עוד ציין בית המשפט כי</w:t>
      </w:r>
      <w:r w:rsidRPr="007B04E0">
        <w:rPr>
          <w:rFonts w:hint="cs"/>
          <w:rtl/>
        </w:rPr>
        <w:t xml:space="preserve"> התפטרותו של דרעי, אף שעל פני הדברים אינה קשורה באופן ישיר להליך הפלילי, היא נסיבה חשובה</w:t>
      </w:r>
      <w:r>
        <w:rPr>
          <w:rFonts w:hint="cs"/>
          <w:rtl/>
        </w:rPr>
        <w:t xml:space="preserve"> שיש להביא בחשבון. בית המשפט הדגיש בהקשר זה שני טעמים: האחד </w:t>
      </w:r>
      <w:r>
        <w:rPr>
          <w:rtl/>
        </w:rPr>
        <w:t>–</w:t>
      </w:r>
      <w:r>
        <w:rPr>
          <w:rFonts w:hint="cs"/>
          <w:rtl/>
        </w:rPr>
        <w:t xml:space="preserve"> כי דרעי בהיותו </w:t>
      </w:r>
      <w:r>
        <w:rPr>
          <w:rFonts w:hint="cs"/>
          <w:rtl/>
        </w:rPr>
        <w:lastRenderedPageBreak/>
        <w:t>"</w:t>
      </w:r>
      <w:r w:rsidRPr="007B04E0">
        <w:rPr>
          <w:rFonts w:hint="cs"/>
          <w:shd w:val="clear" w:color="auto" w:fill="FFFFFF"/>
          <w:rtl/>
        </w:rPr>
        <w:t>איש ציבור מזה כשנים רבות, מדיר עצמו מעתה מרצון מעיסוק בצרכי ציבור</w:t>
      </w:r>
      <w:r>
        <w:rPr>
          <w:rFonts w:hint="cs"/>
          <w:rtl/>
        </w:rPr>
        <w:t>", וכי נדמה "</w:t>
      </w:r>
      <w:r>
        <w:rPr>
          <w:rFonts w:hint="cs"/>
          <w:shd w:val="clear" w:color="auto" w:fill="FFFFFF"/>
          <w:rtl/>
        </w:rPr>
        <w:t>ש</w:t>
      </w:r>
      <w:r w:rsidRPr="007B04E0">
        <w:rPr>
          <w:rFonts w:hint="cs"/>
          <w:shd w:val="clear" w:color="auto" w:fill="FFFFFF"/>
          <w:rtl/>
        </w:rPr>
        <w:t>המאשימה עצמה רומזת [...] כי היא רואה בכך חלק מן העונש אשר אותו הטיל הנאשם על עצמו</w:t>
      </w:r>
      <w:r>
        <w:rPr>
          <w:rFonts w:hint="cs"/>
          <w:rtl/>
        </w:rPr>
        <w:t xml:space="preserve">". והשני </w:t>
      </w:r>
      <w:r>
        <w:rPr>
          <w:rtl/>
        </w:rPr>
        <w:t>–</w:t>
      </w:r>
      <w:r>
        <w:rPr>
          <w:rFonts w:hint="cs"/>
          <w:rtl/>
        </w:rPr>
        <w:t xml:space="preserve"> נוגע למישור המניעתי ולפיו "</w:t>
      </w:r>
      <w:r w:rsidRPr="007B04E0">
        <w:rPr>
          <w:rFonts w:hint="cs"/>
          <w:shd w:val="clear" w:color="auto" w:fill="FFFFFF"/>
          <w:rtl/>
        </w:rPr>
        <w:t>כל החושש מן הנאשם ומפגיעתו בקופה הציבורית ויטען כי קיימת בו מסוכנות בכל הכרוך במשאו ובמתנו בענייני ממון הרבים או היחיד – יוכל למצוא מנוח לחשש זה ולומר בוודאות כי הנאשם לא ייגע עוד בצרכי ציבור הכורכים בתוכם עיסוק כלכלי, וזאת בשל התרחקותו מהזירה הציבורית</w:t>
      </w:r>
      <w:r>
        <w:rPr>
          <w:rFonts w:hint="cs"/>
          <w:shd w:val="clear" w:color="auto" w:fill="FFFFFF"/>
          <w:rtl/>
        </w:rPr>
        <w:t xml:space="preserve">". </w:t>
      </w:r>
    </w:p>
    <w:p w14:paraId="7FFFFCFC" w14:textId="77777777" w:rsidR="0040186B" w:rsidRPr="007B04E0" w:rsidRDefault="0040186B" w:rsidP="00C634DC">
      <w:pPr>
        <w:rPr>
          <w:rtl/>
        </w:rPr>
      </w:pPr>
    </w:p>
    <w:p w14:paraId="1A995B24" w14:textId="77777777" w:rsidR="0040186B" w:rsidRPr="007B04E0" w:rsidRDefault="0040186B" w:rsidP="00C634DC">
      <w:pPr>
        <w:pStyle w:val="Ruller4"/>
        <w:numPr>
          <w:ilvl w:val="0"/>
          <w:numId w:val="0"/>
        </w:numPr>
        <w:rPr>
          <w:rtl/>
        </w:rPr>
      </w:pPr>
      <w:r>
        <w:rPr>
          <w:rFonts w:ascii="Century" w:hAnsi="Century"/>
          <w:shd w:val="clear" w:color="auto" w:fill="FFFFFF"/>
          <w:rtl/>
        </w:rPr>
        <w:tab/>
      </w:r>
      <w:r>
        <w:rPr>
          <w:rFonts w:hint="cs"/>
          <w:rtl/>
        </w:rPr>
        <w:t>מן הטעמים שפירט</w:t>
      </w:r>
      <w:r w:rsidRPr="007B04E0">
        <w:rPr>
          <w:rFonts w:hint="cs"/>
          <w:rtl/>
        </w:rPr>
        <w:t xml:space="preserve"> אישר בית המשפט את </w:t>
      </w:r>
      <w:r>
        <w:rPr>
          <w:rFonts w:hint="cs"/>
          <w:rtl/>
        </w:rPr>
        <w:t>הסדר הטיעון גם בכל הנוגע לעונש שעליו הוסכם</w:t>
      </w:r>
      <w:r w:rsidRPr="007B04E0">
        <w:rPr>
          <w:rFonts w:hint="cs"/>
          <w:rtl/>
        </w:rPr>
        <w:t xml:space="preserve">, </w:t>
      </w:r>
      <w:r>
        <w:rPr>
          <w:rFonts w:hint="cs"/>
          <w:rtl/>
        </w:rPr>
        <w:t>וגזר על דרעי</w:t>
      </w:r>
      <w:r w:rsidRPr="007B04E0">
        <w:rPr>
          <w:rFonts w:hint="cs"/>
          <w:rtl/>
        </w:rPr>
        <w:t xml:space="preserve"> "12 חודשי מאסר בפועל אשר לא ירוצו אלא אם יעבור [...] על אחת מן העבירות בהן הורשע, וזאת תוך שלוש שנים מהיום"; וכן קנס בסך 180,000 ש"ח או שנת מאסר תמורתו.</w:t>
      </w:r>
    </w:p>
    <w:p w14:paraId="084A36D8" w14:textId="77777777" w:rsidR="0040186B" w:rsidRPr="007B04E0" w:rsidRDefault="0040186B" w:rsidP="00C634DC">
      <w:pPr>
        <w:rPr>
          <w:rtl/>
        </w:rPr>
      </w:pPr>
    </w:p>
    <w:p w14:paraId="2226A9E1" w14:textId="77777777" w:rsidR="0040186B" w:rsidRPr="007B04E0" w:rsidRDefault="0040186B" w:rsidP="00C634DC">
      <w:pPr>
        <w:rPr>
          <w:rFonts w:ascii="Century" w:hAnsi="Century" w:cs="Miriam"/>
          <w:b/>
          <w:sz w:val="22"/>
          <w:rtl/>
        </w:rPr>
      </w:pPr>
      <w:r w:rsidRPr="007B04E0">
        <w:rPr>
          <w:rFonts w:ascii="Century" w:hAnsi="Century" w:cs="Miriam" w:hint="cs"/>
          <w:b/>
          <w:sz w:val="22"/>
          <w:rtl/>
        </w:rPr>
        <w:t>ההתפתחויות לאחר אישור הסדר הטיעון</w:t>
      </w:r>
    </w:p>
    <w:p w14:paraId="404FD310" w14:textId="77777777" w:rsidR="0040186B" w:rsidRPr="007B04E0" w:rsidRDefault="0040186B" w:rsidP="00C634DC">
      <w:pPr>
        <w:rPr>
          <w:rtl/>
        </w:rPr>
      </w:pPr>
    </w:p>
    <w:p w14:paraId="5160DABD" w14:textId="77777777" w:rsidR="0040186B" w:rsidRDefault="0040186B" w:rsidP="005D07D4">
      <w:pPr>
        <w:pStyle w:val="Ruller4"/>
        <w:rPr>
          <w:rtl/>
        </w:rPr>
      </w:pPr>
      <w:r>
        <w:rPr>
          <w:rFonts w:hint="cs"/>
          <w:rtl/>
        </w:rPr>
        <w:t>יממה אחת בלבד לאחר</w:t>
      </w:r>
      <w:r w:rsidRPr="007B04E0">
        <w:rPr>
          <w:rFonts w:hint="cs"/>
          <w:rtl/>
        </w:rPr>
        <w:t xml:space="preserve"> </w:t>
      </w:r>
      <w:r>
        <w:rPr>
          <w:rFonts w:hint="cs"/>
          <w:rtl/>
        </w:rPr>
        <w:t>שניתן</w:t>
      </w:r>
      <w:r w:rsidRPr="007B04E0">
        <w:rPr>
          <w:rFonts w:hint="cs"/>
          <w:rtl/>
        </w:rPr>
        <w:t xml:space="preserve"> </w:t>
      </w:r>
      <w:r>
        <w:rPr>
          <w:rFonts w:hint="cs"/>
          <w:rtl/>
        </w:rPr>
        <w:t>גזר</w:t>
      </w:r>
      <w:r w:rsidRPr="007B04E0">
        <w:rPr>
          <w:rFonts w:hint="cs"/>
          <w:rtl/>
        </w:rPr>
        <w:t xml:space="preserve"> הדין, כינס דרעי מסיבת עיתונאים ובה השמיע טענות שונות </w:t>
      </w:r>
      <w:r>
        <w:rPr>
          <w:rFonts w:hint="cs"/>
          <w:rtl/>
        </w:rPr>
        <w:t>באשר ל</w:t>
      </w:r>
      <w:r w:rsidR="001C483A">
        <w:rPr>
          <w:rFonts w:hint="cs"/>
          <w:rtl/>
        </w:rPr>
        <w:t>הליך הפלילי שהתנהל בעניינ</w:t>
      </w:r>
      <w:r w:rsidRPr="007B04E0">
        <w:rPr>
          <w:rFonts w:hint="cs"/>
          <w:rtl/>
        </w:rPr>
        <w:t xml:space="preserve">ו. בין היתר טען דרעי כי החשדות </w:t>
      </w:r>
      <w:r w:rsidR="003779FF">
        <w:rPr>
          <w:rFonts w:hint="cs"/>
          <w:rtl/>
        </w:rPr>
        <w:t>החמורים</w:t>
      </w:r>
      <w:r w:rsidR="003779FF" w:rsidRPr="007B04E0">
        <w:rPr>
          <w:rFonts w:hint="cs"/>
          <w:rtl/>
        </w:rPr>
        <w:t xml:space="preserve"> </w:t>
      </w:r>
      <w:r w:rsidRPr="007B04E0">
        <w:rPr>
          <w:rFonts w:hint="cs"/>
          <w:rtl/>
        </w:rPr>
        <w:t xml:space="preserve">שייחסו לו התגלו לבסוף </w:t>
      </w:r>
      <w:r w:rsidR="003779FF">
        <w:rPr>
          <w:rFonts w:hint="cs"/>
          <w:rtl/>
        </w:rPr>
        <w:t>כ</w:t>
      </w:r>
      <w:r w:rsidR="003779FF" w:rsidRPr="007B04E0">
        <w:rPr>
          <w:rFonts w:hint="cs"/>
          <w:rtl/>
        </w:rPr>
        <w:t xml:space="preserve">עבירות </w:t>
      </w:r>
      <w:r w:rsidRPr="007B04E0">
        <w:rPr>
          <w:rFonts w:hint="cs"/>
          <w:rtl/>
        </w:rPr>
        <w:t>מס מינוריות, והוסיף כי "כולם יודעים שאם לא היו קוראים לי אריה מכלוף דרעי הנושא היה נפתר מול פקיד השומה כפי שמתרחש בתיקים אחרים". בהמשך, ציין דרעי כי</w:t>
      </w:r>
      <w:r>
        <w:rPr>
          <w:rFonts w:hint="cs"/>
          <w:rtl/>
        </w:rPr>
        <w:t>:</w:t>
      </w:r>
      <w:r w:rsidRPr="007B04E0">
        <w:rPr>
          <w:rFonts w:hint="cs"/>
          <w:rtl/>
        </w:rPr>
        <w:t xml:space="preserve"> </w:t>
      </w:r>
    </w:p>
    <w:p w14:paraId="0BB45AE8" w14:textId="77777777" w:rsidR="0040186B" w:rsidRPr="008862D6" w:rsidRDefault="0040186B" w:rsidP="00C634DC"/>
    <w:p w14:paraId="21102C62" w14:textId="77777777" w:rsidR="0040186B" w:rsidRDefault="0040186B" w:rsidP="00C634DC">
      <w:pPr>
        <w:pStyle w:val="Ruller5"/>
        <w:rPr>
          <w:rtl/>
        </w:rPr>
      </w:pPr>
      <w:r w:rsidRPr="007B04E0">
        <w:rPr>
          <w:rFonts w:hint="cs"/>
          <w:rtl/>
        </w:rPr>
        <w:t xml:space="preserve">"מבלי לגרוע בחשיבות שאני מייחס להסדר הטיעון שלקחתי עליו אחריות, </w:t>
      </w:r>
      <w:r w:rsidRPr="007B04E0">
        <w:rPr>
          <w:rtl/>
        </w:rPr>
        <w:t>אני לא הולך לשום מקום</w:t>
      </w:r>
      <w:r w:rsidRPr="007B04E0">
        <w:rPr>
          <w:rFonts w:hint="cs"/>
          <w:rtl/>
        </w:rPr>
        <w:t>. אני</w:t>
      </w:r>
      <w:r w:rsidRPr="007B04E0">
        <w:rPr>
          <w:rtl/>
        </w:rPr>
        <w:t xml:space="preserve"> ניצב על משמרתי כיו"ר תנועת ש"ס וממשיך לנהל את ענייני הציבור מכל מקום </w:t>
      </w:r>
      <w:r w:rsidRPr="007B04E0">
        <w:rPr>
          <w:rFonts w:hint="cs"/>
          <w:rtl/>
        </w:rPr>
        <w:t>–</w:t>
      </w:r>
      <w:r w:rsidRPr="007B04E0">
        <w:rPr>
          <w:rtl/>
        </w:rPr>
        <w:t xml:space="preserve"> מהכנסת, ממשרדי התנועה, </w:t>
      </w:r>
      <w:r w:rsidRPr="007B04E0">
        <w:rPr>
          <w:rFonts w:hint="cs"/>
          <w:rtl/>
        </w:rPr>
        <w:t xml:space="preserve">מסיורים </w:t>
      </w:r>
      <w:r w:rsidRPr="007B04E0">
        <w:rPr>
          <w:rtl/>
        </w:rPr>
        <w:t>בשטח ו</w:t>
      </w:r>
      <w:r w:rsidRPr="007B04E0">
        <w:rPr>
          <w:rFonts w:hint="cs"/>
          <w:rtl/>
        </w:rPr>
        <w:t>מ</w:t>
      </w:r>
      <w:r w:rsidRPr="007B04E0">
        <w:rPr>
          <w:rtl/>
        </w:rPr>
        <w:t>כל מקום</w:t>
      </w:r>
      <w:r w:rsidRPr="007B04E0">
        <w:rPr>
          <w:rFonts w:hint="cs"/>
          <w:rtl/>
        </w:rPr>
        <w:t xml:space="preserve"> שארגיש צורך להיות בו</w:t>
      </w:r>
      <w:r w:rsidRPr="007B04E0">
        <w:rPr>
          <w:rtl/>
        </w:rPr>
        <w:t>. אמשיך להשתתף בישיבות ראשי מפלגות האופוזיציה</w:t>
      </w:r>
      <w:r w:rsidRPr="007B04E0">
        <w:rPr>
          <w:rFonts w:hint="cs"/>
          <w:rtl/>
        </w:rPr>
        <w:t>,</w:t>
      </w:r>
      <w:r w:rsidRPr="007B04E0">
        <w:rPr>
          <w:rtl/>
        </w:rPr>
        <w:t xml:space="preserve"> לנהל את ישיבות </w:t>
      </w:r>
      <w:r w:rsidRPr="007B04E0">
        <w:rPr>
          <w:rFonts w:hint="cs"/>
          <w:rtl/>
        </w:rPr>
        <w:t xml:space="preserve">סיעת ש"ס [...]" </w:t>
      </w:r>
    </w:p>
    <w:p w14:paraId="048364A0" w14:textId="77777777" w:rsidR="0040186B" w:rsidRDefault="0040186B" w:rsidP="00C634DC">
      <w:pPr>
        <w:pStyle w:val="Ruller4"/>
        <w:numPr>
          <w:ilvl w:val="0"/>
          <w:numId w:val="0"/>
        </w:numPr>
        <w:rPr>
          <w:rtl/>
        </w:rPr>
      </w:pPr>
    </w:p>
    <w:p w14:paraId="3FB80A5E" w14:textId="77777777" w:rsidR="0040186B" w:rsidRPr="007B04E0" w:rsidRDefault="0040186B" w:rsidP="00C634DC">
      <w:pPr>
        <w:pStyle w:val="Ruller4"/>
        <w:numPr>
          <w:ilvl w:val="0"/>
          <w:numId w:val="0"/>
        </w:numPr>
        <w:rPr>
          <w:rtl/>
        </w:rPr>
      </w:pPr>
      <w:r>
        <w:rPr>
          <w:rtl/>
        </w:rPr>
        <w:tab/>
      </w:r>
      <w:r w:rsidRPr="007B04E0">
        <w:rPr>
          <w:rFonts w:hint="cs"/>
          <w:rtl/>
        </w:rPr>
        <w:t xml:space="preserve">עוד הוסיף דרעי: "אני משוכנע שההסדר שהגענו אליו אין בו קלון. אני </w:t>
      </w:r>
      <w:r w:rsidRPr="007B04E0">
        <w:rPr>
          <w:rtl/>
        </w:rPr>
        <w:t>מודיע כבר מעכשיו</w:t>
      </w:r>
      <w:r w:rsidRPr="007B04E0">
        <w:rPr>
          <w:rFonts w:hint="cs"/>
          <w:rtl/>
        </w:rPr>
        <w:t xml:space="preserve">, שאני בעזרת השם, </w:t>
      </w:r>
      <w:r w:rsidRPr="007B04E0">
        <w:rPr>
          <w:rtl/>
        </w:rPr>
        <w:t xml:space="preserve">בבחירות </w:t>
      </w:r>
      <w:r w:rsidRPr="007B04E0">
        <w:rPr>
          <w:rFonts w:hint="cs"/>
          <w:rtl/>
        </w:rPr>
        <w:t>הקרובות ואני מקווה שהן יהיו מ</w:t>
      </w:r>
      <w:r w:rsidRPr="007B04E0">
        <w:rPr>
          <w:rtl/>
        </w:rPr>
        <w:t>הר מאוד, אעמוד בראש תנועת ש"ס ו</w:t>
      </w:r>
      <w:r w:rsidRPr="007B04E0">
        <w:rPr>
          <w:rFonts w:hint="cs"/>
          <w:rtl/>
        </w:rPr>
        <w:t>ארוץ לכנסת ו</w:t>
      </w:r>
      <w:r w:rsidRPr="007B04E0">
        <w:rPr>
          <w:rtl/>
        </w:rPr>
        <w:t>אשרת ב</w:t>
      </w:r>
      <w:r w:rsidRPr="007B04E0">
        <w:rPr>
          <w:rFonts w:hint="cs"/>
          <w:rtl/>
        </w:rPr>
        <w:t>עזרת השם ב</w:t>
      </w:r>
      <w:r w:rsidRPr="007B04E0">
        <w:rPr>
          <w:rtl/>
        </w:rPr>
        <w:t>תפקיד של שר. אני לא רואה שום מניעה לזה</w:t>
      </w:r>
      <w:r w:rsidRPr="007B04E0">
        <w:rPr>
          <w:rFonts w:hint="cs"/>
          <w:rtl/>
        </w:rPr>
        <w:t>".</w:t>
      </w:r>
    </w:p>
    <w:p w14:paraId="1272937D" w14:textId="77777777" w:rsidR="0040186B" w:rsidRPr="007B04E0" w:rsidRDefault="0040186B" w:rsidP="00C634DC">
      <w:pPr>
        <w:rPr>
          <w:rtl/>
        </w:rPr>
      </w:pPr>
    </w:p>
    <w:p w14:paraId="5090E5FF" w14:textId="77777777" w:rsidR="0040186B" w:rsidRPr="007B04E0" w:rsidRDefault="0040186B" w:rsidP="00C634DC">
      <w:pPr>
        <w:pStyle w:val="Ruller4"/>
        <w:rPr>
          <w:rtl/>
        </w:rPr>
      </w:pPr>
      <w:r w:rsidRPr="007B04E0">
        <w:rPr>
          <w:rFonts w:hint="cs"/>
          <w:rtl/>
        </w:rPr>
        <w:t>בהמשך להתבטאויות</w:t>
      </w:r>
      <w:r>
        <w:rPr>
          <w:rFonts w:hint="cs"/>
          <w:rtl/>
        </w:rPr>
        <w:t>יו</w:t>
      </w:r>
      <w:r w:rsidRPr="007B04E0">
        <w:rPr>
          <w:rFonts w:hint="cs"/>
          <w:rtl/>
        </w:rPr>
        <w:t xml:space="preserve"> </w:t>
      </w:r>
      <w:r>
        <w:rPr>
          <w:rFonts w:hint="cs"/>
          <w:rtl/>
        </w:rPr>
        <w:t>אלו של דרעי</w:t>
      </w:r>
      <w:r w:rsidRPr="007B04E0">
        <w:rPr>
          <w:rFonts w:hint="cs"/>
          <w:rtl/>
        </w:rPr>
        <w:t>, פנתה התנועה למען איכות השלטון</w:t>
      </w:r>
      <w:r>
        <w:rPr>
          <w:rFonts w:hint="cs"/>
          <w:rtl/>
        </w:rPr>
        <w:t xml:space="preserve"> בישראל (להלן: </w:t>
      </w:r>
      <w:r w:rsidRPr="00AD0215">
        <w:rPr>
          <w:rFonts w:ascii="Century" w:eastAsiaTheme="minorHAnsi" w:hAnsi="Century" w:cs="Miriam" w:hint="cs"/>
          <w:b/>
          <w:spacing w:val="0"/>
          <w:sz w:val="22"/>
          <w:szCs w:val="24"/>
          <w:rtl/>
        </w:rPr>
        <w:t>התנועה למען איכות השלטון</w:t>
      </w:r>
      <w:r>
        <w:rPr>
          <w:rFonts w:hint="cs"/>
          <w:rtl/>
        </w:rPr>
        <w:t>)</w:t>
      </w:r>
      <w:r w:rsidRPr="007B04E0">
        <w:rPr>
          <w:rFonts w:hint="cs"/>
          <w:rtl/>
        </w:rPr>
        <w:t xml:space="preserve"> לפרקליט המדינה </w:t>
      </w:r>
      <w:r>
        <w:rPr>
          <w:rFonts w:hint="cs"/>
          <w:rtl/>
        </w:rPr>
        <w:t xml:space="preserve">וכן </w:t>
      </w:r>
      <w:r w:rsidRPr="007B04E0">
        <w:rPr>
          <w:rFonts w:hint="cs"/>
          <w:rtl/>
        </w:rPr>
        <w:t>אל היועצת המשפטית לממשלה</w:t>
      </w:r>
      <w:r>
        <w:rPr>
          <w:rFonts w:hint="cs"/>
          <w:rtl/>
        </w:rPr>
        <w:t xml:space="preserve"> (להלן גם: </w:t>
      </w:r>
      <w:r w:rsidRPr="00AC1A44">
        <w:rPr>
          <w:rFonts w:ascii="Century" w:eastAsiaTheme="minorHAnsi" w:hAnsi="Century" w:cs="Miriam" w:hint="cs"/>
          <w:b/>
          <w:spacing w:val="0"/>
          <w:sz w:val="22"/>
          <w:szCs w:val="24"/>
          <w:rtl/>
        </w:rPr>
        <w:t>היועצת</w:t>
      </w:r>
      <w:r>
        <w:rPr>
          <w:rFonts w:hint="cs"/>
          <w:rtl/>
        </w:rPr>
        <w:t>)</w:t>
      </w:r>
      <w:r w:rsidRPr="007B04E0">
        <w:rPr>
          <w:rFonts w:hint="cs"/>
          <w:rtl/>
        </w:rPr>
        <w:t>, בבקשה שישקלו לערער על פסק הדין שאישר את הסדר הטיעון. זאת, בין היתר בשל הטענה כי בבואו לאשר את הסדר הטיעון הסתמך בית משפט השלום בירושלים על פרישתו של דרעי מהזירה הציבורית. פרקליטו</w:t>
      </w:r>
      <w:r>
        <w:rPr>
          <w:rFonts w:hint="cs"/>
          <w:rtl/>
        </w:rPr>
        <w:t xml:space="preserve">ת מחוז תל אביב (מיסוי וכלכלה) השיבה </w:t>
      </w:r>
      <w:r w:rsidRPr="007B04E0">
        <w:rPr>
          <w:rFonts w:hint="cs"/>
          <w:rtl/>
        </w:rPr>
        <w:t>ביום 23.3.2022</w:t>
      </w:r>
      <w:r>
        <w:rPr>
          <w:rFonts w:hint="cs"/>
          <w:rtl/>
        </w:rPr>
        <w:t xml:space="preserve">, במענה לפניות אלה, </w:t>
      </w:r>
      <w:r w:rsidRPr="007B04E0">
        <w:rPr>
          <w:rFonts w:hint="cs"/>
          <w:rtl/>
        </w:rPr>
        <w:t xml:space="preserve">כי הודעתו של </w:t>
      </w:r>
      <w:r w:rsidRPr="007B04E0">
        <w:rPr>
          <w:rFonts w:hint="cs"/>
          <w:rtl/>
        </w:rPr>
        <w:lastRenderedPageBreak/>
        <w:t>דרעי על כוונתו לפרוש מהכנסת לא הייתה חלק מהסדר הט</w:t>
      </w:r>
      <w:r>
        <w:rPr>
          <w:rFonts w:hint="cs"/>
          <w:rtl/>
        </w:rPr>
        <w:t xml:space="preserve">יעון; </w:t>
      </w:r>
      <w:r w:rsidRPr="007B04E0">
        <w:rPr>
          <w:rFonts w:hint="cs"/>
          <w:rtl/>
        </w:rPr>
        <w:t>כי נכון לאותה העת דרעי לא הו</w:t>
      </w:r>
      <w:r>
        <w:rPr>
          <w:rFonts w:hint="cs"/>
          <w:rtl/>
        </w:rPr>
        <w:t>דיע על התמודדות לתפקיד חבר כנסת;</w:t>
      </w:r>
      <w:r w:rsidRPr="007B04E0">
        <w:rPr>
          <w:rFonts w:hint="cs"/>
          <w:rtl/>
        </w:rPr>
        <w:t xml:space="preserve"> ו</w:t>
      </w:r>
      <w:r>
        <w:rPr>
          <w:rFonts w:hint="cs"/>
          <w:rtl/>
        </w:rPr>
        <w:t xml:space="preserve">כי </w:t>
      </w:r>
      <w:r w:rsidRPr="007B04E0">
        <w:rPr>
          <w:rFonts w:hint="cs"/>
          <w:rtl/>
        </w:rPr>
        <w:t>בנסיבות אלו טרם נולדה עילה לשקול את סוגיית הקלון בעניינו.</w:t>
      </w:r>
    </w:p>
    <w:p w14:paraId="61D43B54" w14:textId="77777777" w:rsidR="0040186B" w:rsidRPr="007B04E0" w:rsidRDefault="0040186B" w:rsidP="00C634DC">
      <w:pPr>
        <w:rPr>
          <w:rFonts w:ascii="Garamond" w:hAnsi="Garamond" w:cs="FrankRuehl"/>
          <w:spacing w:val="10"/>
          <w:szCs w:val="28"/>
          <w:rtl/>
        </w:rPr>
      </w:pPr>
    </w:p>
    <w:p w14:paraId="25F50199" w14:textId="77777777" w:rsidR="0040186B" w:rsidRPr="007B04E0" w:rsidRDefault="0040186B" w:rsidP="00C634DC">
      <w:pPr>
        <w:pStyle w:val="Ruller4"/>
        <w:rPr>
          <w:rtl/>
        </w:rPr>
      </w:pPr>
      <w:r w:rsidRPr="007B04E0">
        <w:rPr>
          <w:rFonts w:hint="cs"/>
          <w:rtl/>
        </w:rPr>
        <w:t xml:space="preserve">ביום </w:t>
      </w:r>
      <w:r w:rsidRPr="007B04E0">
        <w:rPr>
          <w:rtl/>
        </w:rPr>
        <w:t>30.6.2022 התקבל חוק התפזרות הכנסת העשרים וארבע ומימון מפלגות, התשפ"ב-2022, ומועד הבחירות לכנסת</w:t>
      </w:r>
      <w:r w:rsidRPr="007B04E0">
        <w:rPr>
          <w:rFonts w:hint="cs"/>
          <w:rtl/>
        </w:rPr>
        <w:t xml:space="preserve"> ה-25</w:t>
      </w:r>
      <w:r w:rsidRPr="007B04E0">
        <w:rPr>
          <w:rtl/>
        </w:rPr>
        <w:t xml:space="preserve"> נקבע ליום 1.11.2022</w:t>
      </w:r>
      <w:r w:rsidRPr="00785EE2">
        <w:rPr>
          <w:rFonts w:ascii="FrankRuehl" w:hAnsi="FrankRuehl"/>
          <w:sz w:val="28"/>
          <w:szCs w:val="36"/>
        </w:rPr>
        <w:t>.</w:t>
      </w:r>
      <w:r w:rsidRPr="007B04E0">
        <w:rPr>
          <w:rFonts w:hint="cs"/>
          <w:rtl/>
        </w:rPr>
        <w:t xml:space="preserve"> ביום 15.9.2022 הוגשה רשימת ש"ס לבחירות לכנסת, </w:t>
      </w:r>
      <w:r>
        <w:rPr>
          <w:rFonts w:hint="cs"/>
          <w:rtl/>
        </w:rPr>
        <w:t>ודרעי הוצב בראש הרשימה</w:t>
      </w:r>
      <w:r w:rsidRPr="007B04E0">
        <w:rPr>
          <w:rFonts w:hint="cs"/>
          <w:rtl/>
        </w:rPr>
        <w:t xml:space="preserve">. חמישה ימים לאחר מכן, ביום 20.9.2022, הגישה התנועה למען איכות השלטון בקשה ליו"ר ועדת הבחירות, השופט </w:t>
      </w:r>
      <w:r w:rsidRPr="007B04E0">
        <w:rPr>
          <w:rFonts w:ascii="Century" w:hAnsi="Century" w:cs="Miriam" w:hint="cs"/>
          <w:b/>
          <w:spacing w:val="0"/>
          <w:sz w:val="22"/>
          <w:szCs w:val="24"/>
          <w:rtl/>
        </w:rPr>
        <w:t>י' עמית</w:t>
      </w:r>
      <w:r w:rsidRPr="007B04E0">
        <w:rPr>
          <w:rFonts w:hint="cs"/>
          <w:rtl/>
        </w:rPr>
        <w:t xml:space="preserve">, שיקבע כי על דרעי חל קלון ומשכך הוא אינו כשיר לכהן כשר (פ"מ 3/25 </w:t>
      </w:r>
      <w:r w:rsidRPr="007B04E0">
        <w:rPr>
          <w:rFonts w:ascii="Century" w:hAnsi="Century" w:cs="Miriam" w:hint="cs"/>
          <w:b/>
          <w:spacing w:val="0"/>
          <w:sz w:val="22"/>
          <w:szCs w:val="24"/>
          <w:rtl/>
        </w:rPr>
        <w:t>התנועה לאיכות השלטון נ' דרעי</w:t>
      </w:r>
      <w:r w:rsidRPr="007B04E0">
        <w:rPr>
          <w:rFonts w:hint="cs"/>
          <w:rtl/>
        </w:rPr>
        <w:t xml:space="preserve">). באותו היום דחה השופט </w:t>
      </w:r>
      <w:r w:rsidRPr="007B04E0">
        <w:rPr>
          <w:rFonts w:ascii="Century" w:hAnsi="Century" w:cs="Miriam" w:hint="cs"/>
          <w:b/>
          <w:spacing w:val="0"/>
          <w:sz w:val="22"/>
          <w:szCs w:val="24"/>
          <w:rtl/>
        </w:rPr>
        <w:t>עמית</w:t>
      </w:r>
      <w:r w:rsidRPr="007B04E0">
        <w:rPr>
          <w:rFonts w:hint="cs"/>
          <w:rtl/>
        </w:rPr>
        <w:t xml:space="preserve"> את בקשת העותרת בציינו כי בהתאם להוראת סעיף 6(ג) לחוק-יסוד: הממשלה, יו"ר ועדת הבחירות אינו מוסמך לדון בבקשות לקביעת </w:t>
      </w:r>
      <w:r w:rsidRPr="007B04E0">
        <w:rPr>
          <w:rFonts w:ascii="Century" w:hAnsi="Century" w:cs="Miriam" w:hint="cs"/>
          <w:b/>
          <w:spacing w:val="0"/>
          <w:sz w:val="22"/>
          <w:szCs w:val="24"/>
          <w:rtl/>
        </w:rPr>
        <w:t>קיומו</w:t>
      </w:r>
      <w:r w:rsidRPr="007B04E0">
        <w:rPr>
          <w:rFonts w:hint="cs"/>
          <w:rtl/>
        </w:rPr>
        <w:t xml:space="preserve"> של קלון (להבדיל </w:t>
      </w:r>
      <w:r>
        <w:rPr>
          <w:rFonts w:hint="cs"/>
          <w:rtl/>
        </w:rPr>
        <w:t xml:space="preserve">מסמכותו לקבוע כי </w:t>
      </w:r>
      <w:r w:rsidRPr="007B04E0">
        <w:rPr>
          <w:rFonts w:hint="cs"/>
          <w:rtl/>
        </w:rPr>
        <w:t>"חזקת הקלון" אינה חלה)</w:t>
      </w:r>
      <w:r>
        <w:rPr>
          <w:rFonts w:hint="cs"/>
          <w:rtl/>
        </w:rPr>
        <w:t>,</w:t>
      </w:r>
      <w:r w:rsidRPr="007B04E0">
        <w:rPr>
          <w:rFonts w:hint="cs"/>
          <w:rtl/>
        </w:rPr>
        <w:t xml:space="preserve"> וכי ממילא העותרת אינה רשאית להגיש בקשה בעניין בחינתו של קלון ליו"ר ועדת הבחירות. זאת, נוכח הוראת סעיף 3 לחוק הממשלה, התשס"א-2001, הקובעת כי בקשה לפי סעיף 6(ג) לחוק-יסוד: הממשלה תוגש בידי ראש הממשלה או חבר הכנסת שהוטל עליו התפקיד להרכיב ממשלה. עוד צוין כי מדובר בבקשה מוקדמת, שכן הבחירות טרם התקיימו ומשכך חלוקת תפקידי השרים טרם החלה. </w:t>
      </w:r>
    </w:p>
    <w:p w14:paraId="434B1CA1" w14:textId="77777777" w:rsidR="0040186B" w:rsidRPr="007B04E0" w:rsidRDefault="0040186B" w:rsidP="00C634DC">
      <w:pPr>
        <w:rPr>
          <w:rtl/>
        </w:rPr>
      </w:pPr>
    </w:p>
    <w:p w14:paraId="3396225B" w14:textId="77777777" w:rsidR="0040186B" w:rsidRPr="007B04E0" w:rsidRDefault="0040186B" w:rsidP="00C634DC">
      <w:pPr>
        <w:rPr>
          <w:rFonts w:ascii="Century" w:hAnsi="Century" w:cs="Miriam"/>
          <w:b/>
          <w:sz w:val="22"/>
          <w:rtl/>
        </w:rPr>
      </w:pPr>
      <w:r w:rsidRPr="007B04E0">
        <w:rPr>
          <w:rFonts w:ascii="Century" w:hAnsi="Century" w:cs="Miriam" w:hint="cs"/>
          <w:b/>
          <w:sz w:val="22"/>
          <w:rtl/>
        </w:rPr>
        <w:t>הליכי הרכבת הממשלה ה-37</w:t>
      </w:r>
    </w:p>
    <w:p w14:paraId="21B0DD0B" w14:textId="77777777" w:rsidR="0040186B" w:rsidRPr="007B04E0" w:rsidRDefault="0040186B" w:rsidP="00C634DC">
      <w:pPr>
        <w:rPr>
          <w:rFonts w:ascii="Century" w:hAnsi="Century" w:cs="Miriam"/>
          <w:b/>
          <w:sz w:val="22"/>
          <w:rtl/>
        </w:rPr>
      </w:pPr>
    </w:p>
    <w:p w14:paraId="191CBCA0" w14:textId="77777777" w:rsidR="0040186B" w:rsidRPr="007B04E0" w:rsidRDefault="0040186B" w:rsidP="00C634DC">
      <w:pPr>
        <w:rPr>
          <w:rFonts w:ascii="Century" w:hAnsi="Century" w:cs="Miriam"/>
          <w:b/>
          <w:sz w:val="22"/>
          <w:rtl/>
        </w:rPr>
      </w:pPr>
    </w:p>
    <w:p w14:paraId="7E7D007E" w14:textId="77777777" w:rsidR="0040186B" w:rsidRPr="007B04E0" w:rsidRDefault="0040186B" w:rsidP="00C634DC">
      <w:pPr>
        <w:pStyle w:val="Ruller4"/>
        <w:rPr>
          <w:rtl/>
        </w:rPr>
      </w:pPr>
      <w:r w:rsidRPr="007B04E0">
        <w:rPr>
          <w:rFonts w:hint="cs"/>
          <w:rtl/>
        </w:rPr>
        <w:t>ביום 1.11.2022 התקיימו הבחירות לכנסת, וש"ס זכתה בהן ב-11 מנדטים. ביום 13.11.2022 הטיל נשיא המדינה את תפקיד הרכבת הממשלה על ח"כ בנימין נתניהו</w:t>
      </w:r>
      <w:r>
        <w:rPr>
          <w:rFonts w:hint="cs"/>
          <w:rtl/>
        </w:rPr>
        <w:t>,</w:t>
      </w:r>
      <w:r w:rsidRPr="007B04E0">
        <w:rPr>
          <w:rFonts w:hint="cs"/>
          <w:rtl/>
        </w:rPr>
        <w:t xml:space="preserve"> </w:t>
      </w:r>
      <w:r>
        <w:rPr>
          <w:rFonts w:hint="cs"/>
          <w:rtl/>
        </w:rPr>
        <w:t xml:space="preserve">ובאותו היום, </w:t>
      </w:r>
      <w:r w:rsidRPr="007B04E0">
        <w:rPr>
          <w:rFonts w:hint="cs"/>
          <w:rtl/>
        </w:rPr>
        <w:t xml:space="preserve">העביר מר צחי ברוורמן אל היועצת המשפטית לממשלה מכתב מטעם בא כוחו של דרעי, עו"ד נבות תל-צור, הממוען לח"כ נתניהו, בו צוין כי לשיטתו של עו"ד תל-צור לא קיימת מניעה משפטית </w:t>
      </w:r>
      <w:r>
        <w:rPr>
          <w:rFonts w:hint="cs"/>
          <w:rtl/>
        </w:rPr>
        <w:t xml:space="preserve">למנות את דרעי </w:t>
      </w:r>
      <w:r w:rsidR="00D8714C">
        <w:rPr>
          <w:rFonts w:hint="cs"/>
          <w:rtl/>
        </w:rPr>
        <w:t>ל</w:t>
      </w:r>
      <w:r>
        <w:rPr>
          <w:rFonts w:hint="cs"/>
          <w:rtl/>
        </w:rPr>
        <w:t>שר. זאת, לגישתו, משום ש</w:t>
      </w:r>
      <w:r w:rsidRPr="007B04E0">
        <w:rPr>
          <w:rFonts w:hint="cs"/>
          <w:rtl/>
        </w:rPr>
        <w:t xml:space="preserve">לפי הוראת סעיף 6(ג) לחוק-יסוד: הממשלה </w:t>
      </w:r>
      <w:r>
        <w:rPr>
          <w:rFonts w:hint="cs"/>
          <w:rtl/>
        </w:rPr>
        <w:t>אין צורך לפנות</w:t>
      </w:r>
      <w:r w:rsidRPr="007B04E0">
        <w:rPr>
          <w:rFonts w:hint="cs"/>
          <w:rtl/>
        </w:rPr>
        <w:t xml:space="preserve"> ליו"ר ועדת הבחירות כדי שיבחן אם יש קלון בעבירות המס; ומשום שמינויו של דרעי לשר עומד במבחן הסבירות. ביום 17.11.2022 שלחה היועצת המשפטית לממשלה מכתב לח"כ נתניהו, ובו ציינה כי עמדתה היא שהוראות סעיף 6(ג) לחוק-יסוד: הממשלה חלות ביחס למי שהורשע ונדון לעונש מאסר, </w:t>
      </w:r>
      <w:r>
        <w:rPr>
          <w:rFonts w:hint="cs"/>
          <w:rtl/>
        </w:rPr>
        <w:t xml:space="preserve">לרבות </w:t>
      </w:r>
      <w:r w:rsidRPr="007B04E0">
        <w:rPr>
          <w:rFonts w:hint="cs"/>
          <w:rtl/>
        </w:rPr>
        <w:t>עונש מאסר על</w:t>
      </w:r>
      <w:r w:rsidR="009B5181">
        <w:rPr>
          <w:rFonts w:hint="cs"/>
          <w:rtl/>
        </w:rPr>
        <w:t xml:space="preserve"> </w:t>
      </w:r>
      <w:r w:rsidRPr="007B04E0">
        <w:rPr>
          <w:rFonts w:hint="cs"/>
          <w:rtl/>
        </w:rPr>
        <w:t>תנאי. משכך, ציינה היועצת כי על מנת למנות את דרעי לכהן כשר בממשלה</w:t>
      </w:r>
      <w:r>
        <w:rPr>
          <w:rFonts w:hint="cs"/>
          <w:rtl/>
        </w:rPr>
        <w:t>,</w:t>
      </w:r>
      <w:r w:rsidRPr="007B04E0">
        <w:rPr>
          <w:rFonts w:hint="cs"/>
          <w:rtl/>
        </w:rPr>
        <w:t xml:space="preserve"> על ראש הממשלה המיועד להגיש בקשה ליו"ר ועדת הבחירות, לצור</w:t>
      </w:r>
      <w:r>
        <w:rPr>
          <w:rFonts w:hint="cs"/>
          <w:rtl/>
        </w:rPr>
        <w:t xml:space="preserve">ך הכרעה בשאלה אם </w:t>
      </w:r>
      <w:r w:rsidRPr="007B04E0">
        <w:rPr>
          <w:rFonts w:hint="cs"/>
          <w:rtl/>
        </w:rPr>
        <w:t>הרשעתו של דרעי</w:t>
      </w:r>
      <w:r>
        <w:rPr>
          <w:rFonts w:hint="cs"/>
          <w:rtl/>
        </w:rPr>
        <w:t xml:space="preserve"> בעניין עבירות המס</w:t>
      </w:r>
      <w:r w:rsidRPr="007B04E0">
        <w:rPr>
          <w:rFonts w:hint="cs"/>
          <w:rtl/>
        </w:rPr>
        <w:t xml:space="preserve"> יש</w:t>
      </w:r>
      <w:r>
        <w:rPr>
          <w:rFonts w:hint="cs"/>
          <w:rtl/>
        </w:rPr>
        <w:t xml:space="preserve"> בה</w:t>
      </w:r>
      <w:r w:rsidRPr="007B04E0">
        <w:rPr>
          <w:rFonts w:hint="cs"/>
          <w:rtl/>
        </w:rPr>
        <w:t xml:space="preserve"> משום קלון</w:t>
      </w:r>
      <w:r>
        <w:rPr>
          <w:rFonts w:hint="cs"/>
          <w:rtl/>
        </w:rPr>
        <w:t xml:space="preserve">. היועצת לא התייחסה במכתבה </w:t>
      </w:r>
      <w:r w:rsidRPr="007B04E0">
        <w:rPr>
          <w:rFonts w:hint="cs"/>
          <w:rtl/>
        </w:rPr>
        <w:t xml:space="preserve">לשאלת סבירות מינויו של דרעי לשר. </w:t>
      </w:r>
    </w:p>
    <w:p w14:paraId="1C88CEB9" w14:textId="77777777" w:rsidR="0040186B" w:rsidRPr="007B04E0" w:rsidRDefault="0040186B" w:rsidP="00C634DC">
      <w:pPr>
        <w:rPr>
          <w:rtl/>
        </w:rPr>
      </w:pPr>
    </w:p>
    <w:p w14:paraId="476F46E1" w14:textId="77777777" w:rsidR="0040186B" w:rsidRPr="007B04E0" w:rsidRDefault="0040186B" w:rsidP="00C634DC">
      <w:pPr>
        <w:rPr>
          <w:rFonts w:ascii="Century" w:hAnsi="Century" w:cs="Miriam"/>
          <w:b/>
          <w:sz w:val="22"/>
          <w:rtl/>
        </w:rPr>
      </w:pPr>
      <w:r w:rsidRPr="007B04E0">
        <w:rPr>
          <w:rFonts w:ascii="Century" w:hAnsi="Century" w:cs="Miriam" w:hint="cs"/>
          <w:b/>
          <w:sz w:val="22"/>
          <w:rtl/>
        </w:rPr>
        <w:t>תיקון חוק-יסוד: הממשלה</w:t>
      </w:r>
    </w:p>
    <w:p w14:paraId="12FEFE02" w14:textId="77777777" w:rsidR="0040186B" w:rsidRPr="007B04E0" w:rsidRDefault="0040186B" w:rsidP="00C634DC">
      <w:pPr>
        <w:rPr>
          <w:rFonts w:ascii="Century" w:hAnsi="Century" w:cs="FrankRuehl"/>
          <w:spacing w:val="10"/>
          <w:sz w:val="22"/>
          <w:szCs w:val="28"/>
          <w:rtl/>
        </w:rPr>
      </w:pPr>
    </w:p>
    <w:p w14:paraId="5B634527" w14:textId="77777777" w:rsidR="0040186B" w:rsidRPr="007B04E0" w:rsidRDefault="0040186B" w:rsidP="00C634DC">
      <w:pPr>
        <w:pStyle w:val="Ruller4"/>
        <w:rPr>
          <w:rtl/>
        </w:rPr>
      </w:pPr>
      <w:r w:rsidRPr="007B04E0">
        <w:rPr>
          <w:rFonts w:hint="cs"/>
          <w:rtl/>
        </w:rPr>
        <w:lastRenderedPageBreak/>
        <w:t xml:space="preserve">ביום 12.12.2022 הונחה על שולחן הכנסת הצעת חוק פרטית מטעם חבר הכנסת משה ארבל מסיעת ש"ס (הצעת חוק-יסוד: הממשלה (תיקון – כשירותם של שרים), פ/91/25) שעניינה תיקון סעיף 6(ג) לחוק-יסוד: הממשלה, כך שההגבלה הקבועה בו לעניין כהונת שר תחול </w:t>
      </w:r>
      <w:r>
        <w:rPr>
          <w:rFonts w:hint="cs"/>
          <w:rtl/>
        </w:rPr>
        <w:t>רק</w:t>
      </w:r>
      <w:r w:rsidRPr="007B04E0">
        <w:rPr>
          <w:rFonts w:hint="cs"/>
          <w:rtl/>
        </w:rPr>
        <w:t xml:space="preserve"> במקרה שבו ריצה אדם עונש מאסר </w:t>
      </w:r>
      <w:r w:rsidRPr="007B04E0">
        <w:rPr>
          <w:rFonts w:ascii="Century" w:hAnsi="Century" w:cs="Miriam" w:hint="cs"/>
          <w:b/>
          <w:spacing w:val="0"/>
          <w:sz w:val="22"/>
          <w:szCs w:val="24"/>
          <w:rtl/>
        </w:rPr>
        <w:t>בפועל</w:t>
      </w:r>
      <w:r w:rsidRPr="007B04E0">
        <w:rPr>
          <w:rFonts w:hint="cs"/>
          <w:rtl/>
        </w:rPr>
        <w:t xml:space="preserve">. </w:t>
      </w:r>
      <w:r>
        <w:rPr>
          <w:rFonts w:hint="cs"/>
          <w:rtl/>
        </w:rPr>
        <w:t xml:space="preserve">כפי שצוין לעיל </w:t>
      </w:r>
      <w:r w:rsidRPr="007B04E0">
        <w:rPr>
          <w:rFonts w:hint="cs"/>
          <w:rtl/>
        </w:rPr>
        <w:t>נוסחו של סעיף 6(ג) לחוק</w:t>
      </w:r>
      <w:r>
        <w:rPr>
          <w:rFonts w:hint="cs"/>
          <w:rtl/>
        </w:rPr>
        <w:t>-</w:t>
      </w:r>
      <w:r w:rsidRPr="007B04E0">
        <w:rPr>
          <w:rFonts w:hint="cs"/>
          <w:rtl/>
        </w:rPr>
        <w:t xml:space="preserve">יסוד: הממשלה </w:t>
      </w:r>
      <w:r>
        <w:rPr>
          <w:rFonts w:hint="cs"/>
          <w:rtl/>
        </w:rPr>
        <w:t>טרם התיקון קבע כי "</w:t>
      </w:r>
      <w:r w:rsidRPr="007B04E0">
        <w:rPr>
          <w:rFonts w:ascii="Century" w:hAnsi="Century"/>
          <w:rtl/>
        </w:rPr>
        <w:t xml:space="preserve">לא יתמנה לשר מי שהורשע בעבירה ונידון לעונש </w:t>
      </w:r>
      <w:r w:rsidRPr="00791C92">
        <w:rPr>
          <w:rFonts w:ascii="Century" w:hAnsi="Century"/>
          <w:rtl/>
        </w:rPr>
        <w:t>מאסר</w:t>
      </w:r>
      <w:r w:rsidRPr="007B04E0">
        <w:rPr>
          <w:rFonts w:ascii="Century" w:hAnsi="Century"/>
          <w:rtl/>
        </w:rPr>
        <w:t xml:space="preserve"> וביום מינויו טרם עברו שבע שנים מהיום שגמר לרצות את עונש </w:t>
      </w:r>
      <w:r w:rsidRPr="00791C92">
        <w:rPr>
          <w:rFonts w:ascii="Century" w:hAnsi="Century"/>
          <w:rtl/>
        </w:rPr>
        <w:t>המאסר</w:t>
      </w:r>
      <w:r w:rsidRPr="007B04E0">
        <w:rPr>
          <w:rFonts w:ascii="Century" w:hAnsi="Century"/>
          <w:rtl/>
        </w:rPr>
        <w:t xml:space="preserve"> או מיום מתן פסק הדין, לפי המאוחר</w:t>
      </w:r>
      <w:r>
        <w:rPr>
          <w:rFonts w:ascii="Century" w:hAnsi="Century" w:hint="cs"/>
          <w:rtl/>
        </w:rPr>
        <w:t xml:space="preserve"> [...]". זאת, אלא אם קבע יו"ר ועדת הבחירות כי אין עם העבירה משום קלון.</w:t>
      </w:r>
    </w:p>
    <w:p w14:paraId="0A60CC60" w14:textId="77777777" w:rsidR="0040186B" w:rsidRPr="007B04E0" w:rsidRDefault="0040186B" w:rsidP="00C634DC">
      <w:pPr>
        <w:pStyle w:val="Ruller4"/>
        <w:numPr>
          <w:ilvl w:val="0"/>
          <w:numId w:val="0"/>
        </w:numPr>
        <w:rPr>
          <w:rtl/>
        </w:rPr>
      </w:pPr>
    </w:p>
    <w:p w14:paraId="3E8D453C" w14:textId="77777777" w:rsidR="0040186B" w:rsidRPr="007B04E0" w:rsidRDefault="0040186B" w:rsidP="00C634DC">
      <w:pPr>
        <w:pStyle w:val="Ruller4"/>
        <w:numPr>
          <w:ilvl w:val="0"/>
          <w:numId w:val="0"/>
        </w:numPr>
        <w:rPr>
          <w:rtl/>
        </w:rPr>
      </w:pPr>
      <w:r w:rsidRPr="007B04E0">
        <w:rPr>
          <w:rtl/>
        </w:rPr>
        <w:tab/>
      </w:r>
      <w:r w:rsidRPr="007B04E0">
        <w:rPr>
          <w:rFonts w:hint="cs"/>
          <w:rtl/>
        </w:rPr>
        <w:t>בדברי ההסבר להצעת החוק</w:t>
      </w:r>
      <w:r>
        <w:rPr>
          <w:rFonts w:hint="cs"/>
          <w:rtl/>
        </w:rPr>
        <w:t xml:space="preserve"> המתקן</w:t>
      </w:r>
      <w:r w:rsidRPr="007B04E0">
        <w:rPr>
          <w:rFonts w:hint="cs"/>
          <w:rtl/>
        </w:rPr>
        <w:t xml:space="preserve"> צוין כי מדובר בהצעה מבהירה, שכן גם בנוסח הקיים</w:t>
      </w:r>
      <w:r>
        <w:rPr>
          <w:rFonts w:hint="cs"/>
          <w:rtl/>
        </w:rPr>
        <w:t xml:space="preserve">, המאסר הנזכר בסעיף עניינו מאסר בפועל, ולא </w:t>
      </w:r>
      <w:r w:rsidRPr="007B04E0">
        <w:rPr>
          <w:rFonts w:hint="cs"/>
          <w:rtl/>
        </w:rPr>
        <w:t>מאסר על</w:t>
      </w:r>
      <w:r w:rsidR="009B5181">
        <w:rPr>
          <w:rFonts w:hint="cs"/>
          <w:rtl/>
        </w:rPr>
        <w:t xml:space="preserve"> </w:t>
      </w:r>
      <w:r w:rsidRPr="007B04E0">
        <w:rPr>
          <w:rFonts w:hint="cs"/>
          <w:rtl/>
        </w:rPr>
        <w:t xml:space="preserve">תנאי. עוד הוצע לקבוע כי </w:t>
      </w:r>
      <w:r>
        <w:rPr>
          <w:rFonts w:hint="cs"/>
          <w:rtl/>
        </w:rPr>
        <w:t>מניין</w:t>
      </w:r>
      <w:r w:rsidRPr="007B04E0">
        <w:rPr>
          <w:rFonts w:hint="cs"/>
          <w:rtl/>
        </w:rPr>
        <w:t xml:space="preserve"> שבע השנים </w:t>
      </w:r>
      <w:r>
        <w:rPr>
          <w:rFonts w:hint="cs"/>
          <w:rtl/>
        </w:rPr>
        <w:t>י</w:t>
      </w:r>
      <w:r w:rsidRPr="007B04E0">
        <w:rPr>
          <w:rFonts w:hint="cs"/>
          <w:rtl/>
        </w:rPr>
        <w:t>חל מיום תום ריצוי המאסר בפועל, תוך השמטת החלופה "מיום מתן פסק הדין".</w:t>
      </w:r>
    </w:p>
    <w:p w14:paraId="4CA5D7C7" w14:textId="77777777" w:rsidR="0040186B" w:rsidRPr="007B04E0" w:rsidRDefault="0040186B" w:rsidP="00C634DC">
      <w:pPr>
        <w:rPr>
          <w:rtl/>
        </w:rPr>
      </w:pPr>
    </w:p>
    <w:p w14:paraId="1153C3FD" w14:textId="77777777" w:rsidR="0040186B" w:rsidRPr="007B04E0" w:rsidRDefault="0040186B" w:rsidP="00C634DC">
      <w:pPr>
        <w:pStyle w:val="Ruller4"/>
      </w:pPr>
      <w:r w:rsidRPr="007B04E0">
        <w:rPr>
          <w:rFonts w:hint="cs"/>
          <w:rtl/>
        </w:rPr>
        <w:t xml:space="preserve">ביום 13.12.2022 החליטה הוועדה המסדרת על קיצור תקופת ההנחה של הצעת החוק </w:t>
      </w:r>
      <w:r>
        <w:rPr>
          <w:rFonts w:hint="cs"/>
          <w:rtl/>
        </w:rPr>
        <w:t>האמורה</w:t>
      </w:r>
      <w:r w:rsidRPr="007B04E0">
        <w:rPr>
          <w:rFonts w:hint="cs"/>
          <w:rtl/>
        </w:rPr>
        <w:t xml:space="preserve">. באותו יום אושרה ההצעה במליאה בקריאה טרומית ובמהלך הדיון בהצעה הבהיר יו"ר הכנסת דאז, ח"כ יריב לוין, כי "חבר הכנסת אריה מכלוף דרעי מבקש לעשות גילוי נאות שייתכן שבנסיבות מסוימות יש בהצעת החוק השפעה לגביו" (פרוטוקול ישיבה 13 של הכנסת ה-25, 46 (13.12.2022)). לאחר מכן, קבעה הוועדה המסדרת כי תוקם ועדה מיוחדת, בראשות ח"כ שלמה קרעי, שתדון בהצעת החוק של ח"כ ארבל וכן בהצעת חוק נוספת שנוגעת למינוי שר נוסף במשרד שממונה </w:t>
      </w:r>
      <w:r>
        <w:rPr>
          <w:rFonts w:hint="cs"/>
          <w:rtl/>
        </w:rPr>
        <w:t>עליו</w:t>
      </w:r>
      <w:r w:rsidRPr="007B04E0">
        <w:rPr>
          <w:rFonts w:hint="cs"/>
          <w:rtl/>
        </w:rPr>
        <w:t xml:space="preserve"> שר (להלן: </w:t>
      </w:r>
      <w:r w:rsidRPr="007B04E0">
        <w:rPr>
          <w:rFonts w:ascii="Century" w:hAnsi="Century" w:cs="Miriam" w:hint="eastAsia"/>
          <w:b/>
          <w:spacing w:val="0"/>
          <w:sz w:val="22"/>
          <w:szCs w:val="24"/>
          <w:rtl/>
        </w:rPr>
        <w:t>הוועדה</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המיוחדת</w:t>
      </w:r>
      <w:r w:rsidRPr="007B04E0">
        <w:rPr>
          <w:rFonts w:hint="cs"/>
          <w:rtl/>
        </w:rPr>
        <w:t xml:space="preserve">). </w:t>
      </w:r>
    </w:p>
    <w:p w14:paraId="55927A74" w14:textId="77777777" w:rsidR="0040186B" w:rsidRPr="007B04E0" w:rsidRDefault="0040186B" w:rsidP="00C634DC">
      <w:pPr>
        <w:pStyle w:val="Ruller4"/>
        <w:numPr>
          <w:ilvl w:val="0"/>
          <w:numId w:val="0"/>
        </w:numPr>
        <w:rPr>
          <w:rtl/>
        </w:rPr>
      </w:pPr>
    </w:p>
    <w:p w14:paraId="6F70A129" w14:textId="77777777" w:rsidR="0040186B" w:rsidRPr="007B04E0" w:rsidRDefault="0040186B" w:rsidP="00C634DC">
      <w:pPr>
        <w:pStyle w:val="Ruller4"/>
        <w:rPr>
          <w:rtl/>
        </w:rPr>
      </w:pPr>
      <w:r w:rsidRPr="007B04E0">
        <w:rPr>
          <w:rFonts w:hint="cs"/>
          <w:rtl/>
        </w:rPr>
        <w:t xml:space="preserve">הוועדה המיוחדת </w:t>
      </w:r>
      <w:r>
        <w:rPr>
          <w:rFonts w:hint="cs"/>
          <w:rtl/>
        </w:rPr>
        <w:t>קיימה</w:t>
      </w:r>
      <w:r w:rsidRPr="007B04E0">
        <w:rPr>
          <w:rFonts w:hint="cs"/>
          <w:rtl/>
        </w:rPr>
        <w:t xml:space="preserve"> שישה ימי דיונים </w:t>
      </w:r>
      <w:r>
        <w:rPr>
          <w:rFonts w:hint="cs"/>
          <w:rtl/>
        </w:rPr>
        <w:t>ב</w:t>
      </w:r>
      <w:r w:rsidRPr="007B04E0">
        <w:rPr>
          <w:rFonts w:hint="cs"/>
          <w:rtl/>
        </w:rPr>
        <w:t xml:space="preserve">הצעת החוק. בישיבתה הראשונה </w:t>
      </w:r>
      <w:r>
        <w:rPr>
          <w:rFonts w:hint="cs"/>
          <w:rtl/>
        </w:rPr>
        <w:t>ב</w:t>
      </w:r>
      <w:r w:rsidRPr="007B04E0">
        <w:rPr>
          <w:rFonts w:hint="cs"/>
          <w:rtl/>
        </w:rPr>
        <w:t xml:space="preserve">יום 14.12.2022 עמד היועץ המשפטי לוועדה, עו"ד גור בליי, על כך שלעמדת הייעוץ המשפטי לכנסת התיקון המוצע הוא תיקון מחדש, שיש בו משום שינוי של תנאי הכשירות הקבועים בסעיף 6(ג) לחוק-יסוד: הממשלה, </w:t>
      </w:r>
      <w:r>
        <w:rPr>
          <w:rFonts w:hint="cs"/>
          <w:rtl/>
        </w:rPr>
        <w:t xml:space="preserve">החלים גם מקום שבו נגזר </w:t>
      </w:r>
      <w:r w:rsidRPr="007B04E0">
        <w:rPr>
          <w:rFonts w:hint="cs"/>
          <w:rtl/>
        </w:rPr>
        <w:t>עונש מאסר על תנאי. עו"ד בליי הוסיף כי לתיקון היבט פרסונלי משמעותי, והחלתו באופן מי</w:t>
      </w:r>
      <w:r>
        <w:rPr>
          <w:rFonts w:hint="cs"/>
          <w:rtl/>
        </w:rPr>
        <w:t>י</w:t>
      </w:r>
      <w:r w:rsidRPr="007B04E0">
        <w:rPr>
          <w:rFonts w:hint="cs"/>
          <w:rtl/>
        </w:rPr>
        <w:t>די מעוררת קשיים. המשנה ליועצת המשפטית לממשלה (ציבורי-חוקתי), עו"ד אביטל סומפולינסקי, ציינה כי גם לעמדת הייעוץ המשפטי לממשלה תיקון מס' 11 הוא תיקון מחדש, וכי בעבר הכנסת מצאה לנכון להבחין בין תנאי הכשירות של שרים (שמתייחסים לעונש "מאסר") לתנאי הכשירות של חברי כנסת (שמתייחסים לעונש "מאסר בפועל", כאמור בסעיף 6 לחוק-יסוד: הכנסת)</w:t>
      </w:r>
      <w:r>
        <w:rPr>
          <w:rFonts w:hint="cs"/>
          <w:rtl/>
        </w:rPr>
        <w:t xml:space="preserve">. </w:t>
      </w:r>
      <w:r w:rsidRPr="007B04E0">
        <w:rPr>
          <w:rFonts w:hint="cs"/>
          <w:rtl/>
        </w:rPr>
        <w:t>זאת</w:t>
      </w:r>
      <w:r>
        <w:rPr>
          <w:rFonts w:hint="cs"/>
          <w:rtl/>
        </w:rPr>
        <w:t>,</w:t>
      </w:r>
      <w:r w:rsidRPr="007B04E0">
        <w:rPr>
          <w:rFonts w:hint="cs"/>
          <w:rtl/>
        </w:rPr>
        <w:t xml:space="preserve"> בשל שיקולים שנגעו לאיזונים בין עיקרון טוהר המידות ושמירה על אמון הציבור בנבחריו, ובין עיקרון הייצוגיות והזכות לבחור </w:t>
      </w:r>
      <w:r w:rsidRPr="007B04E0">
        <w:rPr>
          <w:rFonts w:hint="cs"/>
          <w:rtl/>
        </w:rPr>
        <w:lastRenderedPageBreak/>
        <w:t>ולהיבחר. עו"ד סומפולינסקי הוסיפה עוד כי עיתוי הדיון בהצעת החוק ותחולתו המ</w:t>
      </w:r>
      <w:r w:rsidR="00827B85">
        <w:rPr>
          <w:rFonts w:hint="cs"/>
          <w:rtl/>
        </w:rPr>
        <w:t>י</w:t>
      </w:r>
      <w:r w:rsidRPr="007B04E0">
        <w:rPr>
          <w:rFonts w:hint="cs"/>
          <w:rtl/>
        </w:rPr>
        <w:t xml:space="preserve">ידית מעוררים קשיים, בציינה: </w:t>
      </w:r>
    </w:p>
    <w:p w14:paraId="4EE386BF" w14:textId="77777777" w:rsidR="0040186B" w:rsidRPr="007B04E0" w:rsidRDefault="0040186B" w:rsidP="00C634DC">
      <w:pPr>
        <w:rPr>
          <w:rtl/>
        </w:rPr>
      </w:pPr>
    </w:p>
    <w:p w14:paraId="09B53A1C" w14:textId="77777777" w:rsidR="0040186B" w:rsidRPr="007B04E0" w:rsidRDefault="0040186B" w:rsidP="00C634DC">
      <w:pPr>
        <w:pStyle w:val="Ruller5"/>
        <w:rPr>
          <w:rtl/>
        </w:rPr>
      </w:pPr>
      <w:r w:rsidRPr="007B04E0">
        <w:rPr>
          <w:rFonts w:hint="cs"/>
          <w:rtl/>
        </w:rPr>
        <w:t>"</w:t>
      </w:r>
      <w:r w:rsidRPr="007B04E0">
        <w:rPr>
          <w:rtl/>
        </w:rPr>
        <w:t xml:space="preserve">פה אנו עוסקים בהצעת החוק </w:t>
      </w:r>
      <w:r w:rsidRPr="007B04E0">
        <w:rPr>
          <w:rFonts w:hint="cs"/>
          <w:rtl/>
        </w:rPr>
        <w:t xml:space="preserve">כפי </w:t>
      </w:r>
      <w:r w:rsidRPr="007B04E0">
        <w:rPr>
          <w:rtl/>
        </w:rPr>
        <w:t>שאנו יודעים, כפי שאמר חבר הכנ</w:t>
      </w:r>
      <w:r w:rsidRPr="007B04E0">
        <w:rPr>
          <w:rFonts w:hint="cs"/>
          <w:rtl/>
        </w:rPr>
        <w:t>סת</w:t>
      </w:r>
      <w:r w:rsidRPr="007B04E0">
        <w:rPr>
          <w:rtl/>
        </w:rPr>
        <w:t xml:space="preserve"> ארבל בכנות, אנו יודעים מיהו השחקן שהצעת החוק הזו </w:t>
      </w:r>
      <w:r w:rsidRPr="007B04E0">
        <w:rPr>
          <w:rFonts w:hint="cs"/>
          <w:rtl/>
        </w:rPr>
        <w:t xml:space="preserve">תשפיע עליו, </w:t>
      </w:r>
      <w:bookmarkStart w:id="4" w:name="_ETM_Q1_5317390"/>
      <w:bookmarkEnd w:id="4"/>
      <w:r w:rsidRPr="007B04E0">
        <w:rPr>
          <w:rFonts w:hint="cs"/>
          <w:rtl/>
        </w:rPr>
        <w:t xml:space="preserve">תסיר לו מגבלה </w:t>
      </w:r>
      <w:r w:rsidRPr="007B04E0">
        <w:rPr>
          <w:rtl/>
        </w:rPr>
        <w:t>שקיימת ותמנע או תי</w:t>
      </w:r>
      <w:r w:rsidRPr="007B04E0">
        <w:rPr>
          <w:rFonts w:hint="cs"/>
          <w:rtl/>
        </w:rPr>
        <w:t>י</w:t>
      </w:r>
      <w:r w:rsidRPr="007B04E0">
        <w:rPr>
          <w:rtl/>
        </w:rPr>
        <w:t xml:space="preserve">תר לו את הצורך לבחון את ההרשעה שלו אל מול יו"ר ועדת הבחירות. אלה לא נסיבות שאפשר להתעלם מהן כאשר הכנסת </w:t>
      </w:r>
      <w:r w:rsidRPr="007B04E0">
        <w:rPr>
          <w:rFonts w:hint="cs"/>
          <w:rtl/>
        </w:rPr>
        <w:t xml:space="preserve">באה להפעיל את הסמכות המכוננת שלה </w:t>
      </w:r>
      <w:bookmarkStart w:id="5" w:name="_ETM_Q1_5336379"/>
      <w:bookmarkEnd w:id="5"/>
      <w:r w:rsidRPr="007B04E0">
        <w:rPr>
          <w:rtl/>
        </w:rPr>
        <w:t>לצרכים שאנו יודעים בדיוק מי השחקן שהדבר הזה ישפיע עליו מיידית. יכול</w:t>
      </w:r>
      <w:r w:rsidRPr="007B04E0">
        <w:rPr>
          <w:rFonts w:hint="cs"/>
          <w:rtl/>
        </w:rPr>
        <w:t xml:space="preserve"> </w:t>
      </w:r>
      <w:r w:rsidRPr="007B04E0">
        <w:rPr>
          <w:rtl/>
        </w:rPr>
        <w:t>להיות שבעתיד</w:t>
      </w:r>
      <w:r w:rsidRPr="007B04E0">
        <w:rPr>
          <w:rFonts w:hint="cs"/>
          <w:rtl/>
        </w:rPr>
        <w:t xml:space="preserve"> </w:t>
      </w:r>
      <w:r w:rsidRPr="007B04E0">
        <w:rPr>
          <w:rtl/>
        </w:rPr>
        <w:t>יהיו שחקנים אחרים</w:t>
      </w:r>
      <w:r w:rsidRPr="007B04E0">
        <w:rPr>
          <w:rFonts w:hint="cs"/>
          <w:rtl/>
        </w:rPr>
        <w:t xml:space="preserve">, אבל מדובר בנסיבות שאי אפשר </w:t>
      </w:r>
      <w:r w:rsidRPr="007B04E0">
        <w:rPr>
          <w:rtl/>
        </w:rPr>
        <w:t>לא לבחון את השאלה הא</w:t>
      </w:r>
      <w:r w:rsidRPr="007B04E0">
        <w:rPr>
          <w:rFonts w:hint="cs"/>
          <w:rtl/>
        </w:rPr>
        <w:t>ם</w:t>
      </w:r>
      <w:r w:rsidRPr="007B04E0">
        <w:rPr>
          <w:rtl/>
        </w:rPr>
        <w:t xml:space="preserve"> לשם כך נועדה הסמכות המכוננת לערוך שינוי</w:t>
      </w:r>
      <w:r w:rsidRPr="007B04E0">
        <w:rPr>
          <w:rFonts w:hint="cs"/>
          <w:rtl/>
        </w:rPr>
        <w:t>י</w:t>
      </w:r>
      <w:r w:rsidRPr="007B04E0">
        <w:rPr>
          <w:rtl/>
        </w:rPr>
        <w:t xml:space="preserve">ם משטריים </w:t>
      </w:r>
      <w:r w:rsidRPr="007B04E0">
        <w:rPr>
          <w:rFonts w:hint="cs"/>
          <w:rtl/>
        </w:rPr>
        <w:t xml:space="preserve">כדי לסדר </w:t>
      </w:r>
      <w:bookmarkStart w:id="6" w:name="_ETM_Q1_5357086"/>
      <w:bookmarkEnd w:id="6"/>
      <w:r w:rsidRPr="007B04E0">
        <w:rPr>
          <w:rtl/>
        </w:rPr>
        <w:t>הרשעה זו או אחרת ומינוי זה או אחר לכהונת שר</w:t>
      </w:r>
      <w:r w:rsidRPr="007B04E0">
        <w:rPr>
          <w:rFonts w:hint="cs"/>
          <w:rtl/>
        </w:rPr>
        <w:t>" (</w:t>
      </w:r>
      <w:r w:rsidRPr="007B04E0">
        <w:rPr>
          <w:rFonts w:ascii="FrankRuehl" w:eastAsiaTheme="minorHAnsi" w:hAnsi="FrankRuehl" w:hint="cs"/>
          <w:color w:val="000000"/>
          <w:sz w:val="28"/>
          <w:rtl/>
        </w:rPr>
        <w:t xml:space="preserve">פרוטוקול ישיבה </w:t>
      </w:r>
      <w:r w:rsidRPr="007B04E0">
        <w:rPr>
          <w:rFonts w:ascii="FrankRuehl" w:eastAsiaTheme="minorHAnsi" w:hAnsi="FrankRuehl"/>
          <w:color w:val="000000"/>
          <w:sz w:val="28"/>
          <w:rtl/>
        </w:rPr>
        <w:t xml:space="preserve">1 של </w:t>
      </w:r>
      <w:r w:rsidRPr="007B04E0">
        <w:rPr>
          <w:rFonts w:ascii="FrankRuehl" w:eastAsiaTheme="minorHAnsi" w:hAnsi="FrankRuehl" w:hint="eastAsia"/>
          <w:color w:val="000000"/>
          <w:sz w:val="28"/>
          <w:rtl/>
        </w:rPr>
        <w:t>הוועדה</w:t>
      </w:r>
      <w:r w:rsidRPr="007B04E0">
        <w:rPr>
          <w:rFonts w:ascii="FrankRuehl" w:eastAsiaTheme="minorHAnsi" w:hAnsi="FrankRuehl"/>
          <w:color w:val="000000"/>
          <w:sz w:val="28"/>
          <w:rtl/>
        </w:rPr>
        <w:t xml:space="preserve"> המיוחדת לדיון בהצעת חוק-יסוד: הממשלה (תיקון – שר נוסף במשרד) (פ/81/25) ובהצעת חוק-יסוד: הממשלה (תיקון – כשירותם של שרים) (פ/91/25), </w:t>
      </w:r>
      <w:r w:rsidRPr="007B04E0">
        <w:rPr>
          <w:rFonts w:ascii="FrankRuehl" w:eastAsiaTheme="minorHAnsi" w:hAnsi="FrankRuehl" w:hint="eastAsia"/>
          <w:color w:val="000000"/>
          <w:sz w:val="28"/>
          <w:rtl/>
        </w:rPr>
        <w:t>הכנסת</w:t>
      </w:r>
      <w:r w:rsidRPr="007B04E0">
        <w:rPr>
          <w:rFonts w:ascii="FrankRuehl" w:eastAsiaTheme="minorHAnsi" w:hAnsi="FrankRuehl"/>
          <w:color w:val="000000"/>
          <w:sz w:val="28"/>
          <w:rtl/>
        </w:rPr>
        <w:t xml:space="preserve"> </w:t>
      </w:r>
      <w:r w:rsidRPr="007B04E0">
        <w:rPr>
          <w:rFonts w:ascii="FrankRuehl" w:eastAsiaTheme="minorHAnsi" w:hAnsi="FrankRuehl" w:hint="cs"/>
          <w:color w:val="000000"/>
          <w:sz w:val="28"/>
          <w:rtl/>
        </w:rPr>
        <w:t>ה-</w:t>
      </w:r>
      <w:r w:rsidRPr="007B04E0">
        <w:rPr>
          <w:rFonts w:ascii="FrankRuehl" w:eastAsiaTheme="minorHAnsi" w:hAnsi="FrankRuehl"/>
          <w:color w:val="000000"/>
          <w:sz w:val="28"/>
          <w:rtl/>
        </w:rPr>
        <w:t xml:space="preserve">25, </w:t>
      </w:r>
      <w:r w:rsidRPr="007B04E0">
        <w:rPr>
          <w:rFonts w:ascii="FrankRuehl" w:eastAsiaTheme="minorHAnsi" w:hAnsi="FrankRuehl" w:hint="cs"/>
          <w:color w:val="000000"/>
          <w:sz w:val="28"/>
          <w:rtl/>
        </w:rPr>
        <w:t>29</w:t>
      </w:r>
      <w:r w:rsidRPr="007B04E0">
        <w:rPr>
          <w:rFonts w:ascii="FrankRuehl" w:eastAsiaTheme="minorHAnsi" w:hAnsi="FrankRuehl"/>
          <w:color w:val="000000"/>
          <w:sz w:val="28"/>
          <w:rtl/>
        </w:rPr>
        <w:t xml:space="preserve"> (14.12.2022)</w:t>
      </w:r>
      <w:r w:rsidRPr="007B04E0">
        <w:rPr>
          <w:rFonts w:hint="cs"/>
          <w:rtl/>
        </w:rPr>
        <w:t>).</w:t>
      </w:r>
    </w:p>
    <w:p w14:paraId="08830D28" w14:textId="77777777" w:rsidR="0040186B" w:rsidRPr="007B04E0" w:rsidRDefault="0040186B" w:rsidP="00C634DC">
      <w:pPr>
        <w:pStyle w:val="Ruller5"/>
        <w:rPr>
          <w:rtl/>
        </w:rPr>
      </w:pPr>
    </w:p>
    <w:p w14:paraId="269C67DD" w14:textId="77777777" w:rsidR="0040186B" w:rsidRPr="007B04E0" w:rsidRDefault="0040186B" w:rsidP="00C634DC">
      <w:pPr>
        <w:pStyle w:val="Ruller4"/>
        <w:numPr>
          <w:ilvl w:val="0"/>
          <w:numId w:val="0"/>
        </w:numPr>
      </w:pPr>
      <w:r>
        <w:rPr>
          <w:rtl/>
        </w:rPr>
        <w:tab/>
      </w:r>
      <w:r w:rsidRPr="007B04E0">
        <w:rPr>
          <w:rFonts w:hint="cs"/>
          <w:rtl/>
        </w:rPr>
        <w:t>במענה לקשיים השונים שהועלו ביחס להצעת החוק, השיב ח"כ ארבל כי:</w:t>
      </w:r>
    </w:p>
    <w:p w14:paraId="594942D4" w14:textId="77777777" w:rsidR="0040186B" w:rsidRPr="007B04E0" w:rsidRDefault="0040186B" w:rsidP="00C634DC">
      <w:pPr>
        <w:pStyle w:val="Ruller5"/>
        <w:rPr>
          <w:rtl/>
        </w:rPr>
      </w:pPr>
      <w:r w:rsidRPr="007B04E0">
        <w:rPr>
          <w:rFonts w:hint="cs"/>
          <w:rtl/>
        </w:rPr>
        <w:t>"</w:t>
      </w:r>
      <w:r w:rsidRPr="007B04E0">
        <w:rPr>
          <w:rtl/>
        </w:rPr>
        <w:t xml:space="preserve">הציבור ידע היטב מה בוחר. </w:t>
      </w:r>
      <w:r w:rsidRPr="007B04E0">
        <w:rPr>
          <w:rFonts w:hint="cs"/>
          <w:rtl/>
        </w:rPr>
        <w:t xml:space="preserve">הוא ידע היטב שאריה </w:t>
      </w:r>
      <w:bookmarkStart w:id="7" w:name="_ETM_Q1_7364885"/>
      <w:bookmarkEnd w:id="7"/>
      <w:r w:rsidRPr="007B04E0">
        <w:rPr>
          <w:rFonts w:hint="cs"/>
          <w:rtl/>
        </w:rPr>
        <w:t xml:space="preserve">דרעי לא יהיה סתם חבר כנסת שעליו המגבלה </w:t>
      </w:r>
      <w:r w:rsidRPr="007B04E0">
        <w:rPr>
          <w:rtl/>
        </w:rPr>
        <w:t xml:space="preserve">לא חלה </w:t>
      </w:r>
      <w:bookmarkStart w:id="8" w:name="_ETM_Q1_7371091"/>
      <w:bookmarkEnd w:id="8"/>
      <w:r w:rsidRPr="007B04E0">
        <w:rPr>
          <w:rFonts w:hint="cs"/>
          <w:rtl/>
        </w:rPr>
        <w:t>[...]</w:t>
      </w:r>
      <w:r w:rsidRPr="007B04E0">
        <w:rPr>
          <w:rtl/>
        </w:rPr>
        <w:t xml:space="preserve"> הוא קם ויצא ובחר באריה דרעי</w:t>
      </w:r>
      <w:r w:rsidRPr="007B04E0">
        <w:rPr>
          <w:rFonts w:hint="cs"/>
          <w:rtl/>
        </w:rPr>
        <w:t xml:space="preserve"> כראש סיעה ורצה שהוא יהיה שר בממשלה,</w:t>
      </w:r>
      <w:r w:rsidRPr="007B04E0">
        <w:rPr>
          <w:rtl/>
        </w:rPr>
        <w:t xml:space="preserve"> בצורה מאוד ברורה. האמירה שנאמרה פה </w:t>
      </w:r>
      <w:r w:rsidRPr="007B04E0">
        <w:rPr>
          <w:rFonts w:hint="cs"/>
          <w:rtl/>
        </w:rPr>
        <w:t xml:space="preserve">שהמסר שיוצא מהכנסת </w:t>
      </w:r>
      <w:bookmarkStart w:id="9" w:name="_ETM_Q1_7382666"/>
      <w:bookmarkEnd w:id="9"/>
      <w:r w:rsidRPr="007B04E0">
        <w:rPr>
          <w:rFonts w:hint="cs"/>
          <w:rtl/>
        </w:rPr>
        <w:t xml:space="preserve">כשמחוקקת חוק פרסונלי שחל </w:t>
      </w:r>
      <w:r w:rsidRPr="007B04E0">
        <w:rPr>
          <w:rtl/>
        </w:rPr>
        <w:t>מיידית, הכנסת היא המוסד לק</w:t>
      </w:r>
      <w:r w:rsidRPr="007B04E0">
        <w:rPr>
          <w:rFonts w:hint="cs"/>
          <w:rtl/>
        </w:rPr>
        <w:t>בוע</w:t>
      </w:r>
      <w:r w:rsidRPr="007B04E0">
        <w:rPr>
          <w:rtl/>
        </w:rPr>
        <w:t xml:space="preserve"> מ</w:t>
      </w:r>
      <w:r w:rsidRPr="007B04E0">
        <w:rPr>
          <w:rFonts w:hint="cs"/>
          <w:rtl/>
        </w:rPr>
        <w:t>ה</w:t>
      </w:r>
      <w:r w:rsidRPr="007B04E0">
        <w:rPr>
          <w:rtl/>
        </w:rPr>
        <w:t xml:space="preserve"> המותר, מה אסור. ודאי בסמכותה כמ</w:t>
      </w:r>
      <w:r w:rsidRPr="007B04E0">
        <w:rPr>
          <w:rFonts w:hint="cs"/>
          <w:rtl/>
        </w:rPr>
        <w:t>כ</w:t>
      </w:r>
      <w:r w:rsidRPr="007B04E0">
        <w:rPr>
          <w:rtl/>
        </w:rPr>
        <w:t xml:space="preserve">וננת. אין פה מקרה קיצון </w:t>
      </w:r>
      <w:r w:rsidRPr="007B04E0">
        <w:rPr>
          <w:rFonts w:hint="cs"/>
          <w:rtl/>
        </w:rPr>
        <w:t xml:space="preserve">של טענת התפרקות מסמכותה </w:t>
      </w:r>
      <w:r w:rsidRPr="007B04E0">
        <w:rPr>
          <w:rtl/>
        </w:rPr>
        <w:t>או שימוש לרעה. התהליכים הל</w:t>
      </w:r>
      <w:r w:rsidRPr="007B04E0">
        <w:rPr>
          <w:rFonts w:hint="cs"/>
          <w:rtl/>
        </w:rPr>
        <w:t>ל</w:t>
      </w:r>
      <w:r w:rsidRPr="007B04E0">
        <w:rPr>
          <w:rtl/>
        </w:rPr>
        <w:t>ו הם בדיוק אלה עוד טרם הקמת ממשלה –</w:t>
      </w:r>
      <w:r w:rsidRPr="007B04E0">
        <w:rPr>
          <w:rFonts w:hint="cs"/>
          <w:rtl/>
        </w:rPr>
        <w:t xml:space="preserve"> כן, </w:t>
      </w:r>
      <w:bookmarkStart w:id="10" w:name="_ETM_Q1_7405568"/>
      <w:bookmarkEnd w:id="10"/>
      <w:r w:rsidRPr="007B04E0">
        <w:rPr>
          <w:rFonts w:hint="cs"/>
          <w:rtl/>
        </w:rPr>
        <w:t xml:space="preserve">לפני הקמת ממשלה </w:t>
      </w:r>
      <w:r w:rsidRPr="007B04E0">
        <w:rPr>
          <w:rtl/>
        </w:rPr>
        <w:t>להיות קשובים לרצון הציבור שהוא ששלח אותנו לכאן</w:t>
      </w:r>
      <w:r w:rsidRPr="007B04E0">
        <w:rPr>
          <w:rFonts w:hint="cs"/>
          <w:rtl/>
        </w:rPr>
        <w:t>. לבצע את התיקונים הנדרשים כ</w:t>
      </w:r>
      <w:r w:rsidRPr="007B04E0">
        <w:rPr>
          <w:rtl/>
        </w:rPr>
        <w:t xml:space="preserve">כל שהם נדרשים. לטעמי הם לא נדרשים אבל ככל שהם נדרשים נבצעם </w:t>
      </w:r>
      <w:r w:rsidRPr="007B04E0">
        <w:rPr>
          <w:rFonts w:hint="cs"/>
          <w:rtl/>
        </w:rPr>
        <w:t xml:space="preserve">בצורה ברורה, </w:t>
      </w:r>
      <w:bookmarkStart w:id="11" w:name="_ETM_Q1_7419839"/>
      <w:bookmarkEnd w:id="11"/>
      <w:r w:rsidRPr="007B04E0">
        <w:rPr>
          <w:rtl/>
        </w:rPr>
        <w:t xml:space="preserve">ונהיה קשובים. לומר רטרואקטיביות על ממשלה שטרם קמה </w:t>
      </w:r>
      <w:r w:rsidRPr="007B04E0">
        <w:rPr>
          <w:rFonts w:hint="cs"/>
          <w:rtl/>
        </w:rPr>
        <w:t xml:space="preserve">היא טענה </w:t>
      </w:r>
      <w:r w:rsidRPr="007B04E0">
        <w:rPr>
          <w:rtl/>
        </w:rPr>
        <w:t xml:space="preserve">מופרכת. העובדות הללו </w:t>
      </w:r>
      <w:r w:rsidRPr="007B04E0">
        <w:rPr>
          <w:rFonts w:hint="cs"/>
          <w:rtl/>
        </w:rPr>
        <w:t xml:space="preserve">כולן </w:t>
      </w:r>
      <w:r w:rsidRPr="007B04E0">
        <w:rPr>
          <w:rtl/>
        </w:rPr>
        <w:t xml:space="preserve">לרבות הסדר הטיעון היו מונחים לפני הציבור. הציבור אמר </w:t>
      </w:r>
      <w:r w:rsidRPr="007B04E0">
        <w:rPr>
          <w:rFonts w:hint="cs"/>
          <w:rtl/>
        </w:rPr>
        <w:t xml:space="preserve">את </w:t>
      </w:r>
      <w:r w:rsidRPr="007B04E0">
        <w:rPr>
          <w:rtl/>
        </w:rPr>
        <w:t xml:space="preserve">דברו וזו בדיוק חובתה ותפקידה שלנו כרשות מכוננת, לבצע </w:t>
      </w:r>
      <w:r w:rsidRPr="007B04E0">
        <w:rPr>
          <w:rFonts w:hint="cs"/>
          <w:rtl/>
        </w:rPr>
        <w:t xml:space="preserve">את </w:t>
      </w:r>
      <w:r w:rsidRPr="007B04E0">
        <w:rPr>
          <w:rtl/>
        </w:rPr>
        <w:t>התיקון הזה כדי שיה</w:t>
      </w:r>
      <w:r w:rsidRPr="007B04E0">
        <w:rPr>
          <w:rFonts w:hint="cs"/>
          <w:rtl/>
        </w:rPr>
        <w:t>יה</w:t>
      </w:r>
      <w:r w:rsidRPr="007B04E0">
        <w:rPr>
          <w:rtl/>
        </w:rPr>
        <w:t xml:space="preserve"> ברור וחד שאריה דרעי יוכל לכהן</w:t>
      </w:r>
      <w:r w:rsidRPr="007B04E0">
        <w:rPr>
          <w:rFonts w:hint="cs"/>
          <w:rtl/>
        </w:rPr>
        <w:t>" (</w:t>
      </w:r>
      <w:r w:rsidRPr="007B04E0">
        <w:rPr>
          <w:rFonts w:ascii="Miriam" w:hAnsi="Miriam" w:cs="Miriam" w:hint="eastAsia"/>
          <w:sz w:val="20"/>
          <w:szCs w:val="24"/>
          <w:rtl/>
        </w:rPr>
        <w:t>שם</w:t>
      </w:r>
      <w:r w:rsidRPr="007B04E0">
        <w:rPr>
          <w:rFonts w:hint="cs"/>
          <w:rtl/>
        </w:rPr>
        <w:t>, בעמ' 42).</w:t>
      </w:r>
    </w:p>
    <w:p w14:paraId="6A95AC09" w14:textId="77777777" w:rsidR="0040186B" w:rsidRPr="007B04E0" w:rsidRDefault="0040186B" w:rsidP="00C634DC">
      <w:pPr>
        <w:pStyle w:val="Ruller5"/>
        <w:rPr>
          <w:rtl/>
        </w:rPr>
      </w:pPr>
    </w:p>
    <w:p w14:paraId="0AF5BA20" w14:textId="77777777" w:rsidR="0040186B" w:rsidRPr="007B04E0" w:rsidRDefault="0040186B" w:rsidP="00C634DC">
      <w:pPr>
        <w:pStyle w:val="Ruller4"/>
        <w:rPr>
          <w:rtl/>
        </w:rPr>
      </w:pPr>
      <w:r w:rsidRPr="007B04E0">
        <w:rPr>
          <w:rFonts w:hint="cs"/>
          <w:rtl/>
        </w:rPr>
        <w:t>בתום הדיון הוחלט למזג את הצעת החוק בעניין סעיף 6(ג) לחוק-יסוד: הממשלה עם הצעת החוק הנוספת שנדונה בוועדה המיוחדת, ולמחרת פורסמה הצעת חוק לקריאה ראשונה של שני התיקונים. במהלך הדיון בקריאה הראשונה של החוק, טענו חברי כנסת שונים כי הצעת החוק מהווה חקיקה פרסונלית שנועדה לקדם את עניינו של דרעי. מליאת הכנסת</w:t>
      </w:r>
      <w:r>
        <w:rPr>
          <w:rFonts w:hint="cs"/>
          <w:rtl/>
        </w:rPr>
        <w:t xml:space="preserve"> אישרה</w:t>
      </w:r>
      <w:r w:rsidRPr="007B04E0">
        <w:rPr>
          <w:rFonts w:hint="cs"/>
          <w:rtl/>
        </w:rPr>
        <w:t xml:space="preserve"> את הצעת החוק </w:t>
      </w:r>
      <w:r>
        <w:rPr>
          <w:rFonts w:hint="cs"/>
          <w:rtl/>
        </w:rPr>
        <w:t xml:space="preserve">בקריאה ראשונה </w:t>
      </w:r>
      <w:r w:rsidRPr="007B04E0">
        <w:rPr>
          <w:rFonts w:hint="cs"/>
          <w:rtl/>
        </w:rPr>
        <w:t xml:space="preserve">ברוב של 63 תומכים מול </w:t>
      </w:r>
      <w:r w:rsidRPr="007B04E0">
        <w:rPr>
          <w:rFonts w:hint="cs"/>
          <w:rtl/>
        </w:rPr>
        <w:lastRenderedPageBreak/>
        <w:t>52 מתנגדים</w:t>
      </w:r>
      <w:r>
        <w:rPr>
          <w:rFonts w:hint="cs"/>
          <w:rtl/>
        </w:rPr>
        <w:t xml:space="preserve">, והדיון </w:t>
      </w:r>
      <w:r w:rsidRPr="007B04E0">
        <w:rPr>
          <w:rFonts w:hint="cs"/>
          <w:rtl/>
        </w:rPr>
        <w:t>בהצעת החוק</w:t>
      </w:r>
      <w:r w:rsidR="0060759E">
        <w:rPr>
          <w:rFonts w:hint="cs"/>
          <w:rtl/>
        </w:rPr>
        <w:t xml:space="preserve"> הוחזר</w:t>
      </w:r>
      <w:r w:rsidRPr="007B04E0">
        <w:rPr>
          <w:rFonts w:hint="cs"/>
          <w:rtl/>
        </w:rPr>
        <w:t xml:space="preserve"> לוועדה המיוחדת לשם הכנתה לקריאה שנייה ושלישית.</w:t>
      </w:r>
    </w:p>
    <w:p w14:paraId="0FF223D6" w14:textId="77777777" w:rsidR="0040186B" w:rsidRPr="007B04E0" w:rsidRDefault="0040186B" w:rsidP="00C634DC">
      <w:pPr>
        <w:pStyle w:val="Ruller5"/>
        <w:rPr>
          <w:rtl/>
        </w:rPr>
      </w:pPr>
    </w:p>
    <w:p w14:paraId="575583C9" w14:textId="77777777" w:rsidR="0040186B" w:rsidRPr="007B04E0" w:rsidRDefault="0040186B" w:rsidP="00D72B22">
      <w:pPr>
        <w:pStyle w:val="Ruller4"/>
        <w:rPr>
          <w:rtl/>
        </w:rPr>
      </w:pPr>
      <w:r w:rsidRPr="007B04E0">
        <w:rPr>
          <w:rFonts w:hint="cs"/>
          <w:rtl/>
        </w:rPr>
        <w:t xml:space="preserve">בתום דיון נוסף בוועדה ביום 18.12.2022, נשלח לחברי הוועדה נוסח הצעה להגשת הסתייגויות, ובעקבות כך הוגשו </w:t>
      </w:r>
      <w:r>
        <w:rPr>
          <w:rFonts w:hint="cs"/>
          <w:rtl/>
        </w:rPr>
        <w:t xml:space="preserve">לגביה </w:t>
      </w:r>
      <w:r w:rsidRPr="007B04E0">
        <w:rPr>
          <w:rFonts w:hint="cs"/>
          <w:rtl/>
        </w:rPr>
        <w:t>קרוב ל-1,700</w:t>
      </w:r>
      <w:r>
        <w:rPr>
          <w:rFonts w:hint="cs"/>
          <w:rtl/>
        </w:rPr>
        <w:t xml:space="preserve"> הסתייגויות</w:t>
      </w:r>
      <w:r w:rsidRPr="007B04E0">
        <w:rPr>
          <w:rFonts w:hint="cs"/>
          <w:rtl/>
        </w:rPr>
        <w:t>. למחרת, החלה הוועדה המיוחדת לדון בהסתייגויות השונות שהוגשו</w:t>
      </w:r>
      <w:r>
        <w:rPr>
          <w:rFonts w:hint="cs"/>
          <w:rtl/>
        </w:rPr>
        <w:t xml:space="preserve">. עוד באותו היום </w:t>
      </w:r>
      <w:r w:rsidRPr="007B04E0">
        <w:rPr>
          <w:rFonts w:hint="cs"/>
          <w:rtl/>
        </w:rPr>
        <w:t xml:space="preserve">הוכנס </w:t>
      </w:r>
      <w:r>
        <w:rPr>
          <w:rFonts w:hint="cs"/>
          <w:rtl/>
        </w:rPr>
        <w:t xml:space="preserve">בהצעה </w:t>
      </w:r>
      <w:r w:rsidRPr="007B04E0">
        <w:rPr>
          <w:rFonts w:hint="cs"/>
          <w:rtl/>
        </w:rPr>
        <w:t xml:space="preserve">תיקון לפיו ייקבע כי "תחילתו של חוק-יסוד זה ביום קבלתו בכנסת" (להלן: </w:t>
      </w:r>
      <w:r w:rsidRPr="007B04E0">
        <w:rPr>
          <w:rFonts w:ascii="Century" w:hAnsi="Century" w:cs="Miriam" w:hint="eastAsia"/>
          <w:b/>
          <w:spacing w:val="0"/>
          <w:sz w:val="22"/>
          <w:szCs w:val="24"/>
          <w:rtl/>
        </w:rPr>
        <w:t>סעיף</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התח</w:t>
      </w:r>
      <w:r w:rsidR="00E11DF9">
        <w:rPr>
          <w:rFonts w:ascii="Century" w:hAnsi="Century" w:cs="Miriam" w:hint="cs"/>
          <w:b/>
          <w:spacing w:val="0"/>
          <w:sz w:val="22"/>
          <w:szCs w:val="24"/>
          <w:rtl/>
        </w:rPr>
        <w:t>י</w:t>
      </w:r>
      <w:r w:rsidRPr="007B04E0">
        <w:rPr>
          <w:rFonts w:ascii="Century" w:hAnsi="Century" w:cs="Miriam" w:hint="eastAsia"/>
          <w:b/>
          <w:spacing w:val="0"/>
          <w:sz w:val="22"/>
          <w:szCs w:val="24"/>
          <w:rtl/>
        </w:rPr>
        <w:t>לה</w:t>
      </w:r>
      <w:r w:rsidRPr="007B04E0">
        <w:rPr>
          <w:rFonts w:hint="cs"/>
          <w:rtl/>
        </w:rPr>
        <w:t>)</w:t>
      </w:r>
      <w:r>
        <w:rPr>
          <w:rFonts w:hint="cs"/>
          <w:rtl/>
        </w:rPr>
        <w:t>,</w:t>
      </w:r>
      <w:r w:rsidRPr="007B04E0">
        <w:rPr>
          <w:rFonts w:hint="cs"/>
          <w:rtl/>
        </w:rPr>
        <w:t xml:space="preserve"> </w:t>
      </w:r>
      <w:r>
        <w:rPr>
          <w:rFonts w:hint="cs"/>
          <w:rtl/>
        </w:rPr>
        <w:t>והתעוררה ה</w:t>
      </w:r>
      <w:r w:rsidRPr="007B04E0">
        <w:rPr>
          <w:rFonts w:hint="cs"/>
          <w:rtl/>
        </w:rPr>
        <w:t xml:space="preserve">שאלה האם מדובר </w:t>
      </w:r>
      <w:r w:rsidR="006E5254">
        <w:rPr>
          <w:rFonts w:hint="cs"/>
          <w:rtl/>
        </w:rPr>
        <w:t>ב"</w:t>
      </w:r>
      <w:r w:rsidRPr="007B04E0">
        <w:rPr>
          <w:rFonts w:hint="cs"/>
          <w:rtl/>
        </w:rPr>
        <w:t>נושא חדש"</w:t>
      </w:r>
      <w:r>
        <w:rPr>
          <w:rFonts w:hint="cs"/>
          <w:rtl/>
        </w:rPr>
        <w:t>, על כל ההשלכות הנובעות מכך</w:t>
      </w:r>
      <w:r w:rsidRPr="007B04E0">
        <w:rPr>
          <w:rFonts w:hint="cs"/>
          <w:rtl/>
        </w:rPr>
        <w:t xml:space="preserve">. </w:t>
      </w:r>
      <w:r>
        <w:rPr>
          <w:rFonts w:hint="cs"/>
          <w:rtl/>
        </w:rPr>
        <w:t>שאלה זו הועבר</w:t>
      </w:r>
      <w:r w:rsidR="0060759E">
        <w:rPr>
          <w:rFonts w:hint="cs"/>
          <w:rtl/>
        </w:rPr>
        <w:t>ה</w:t>
      </w:r>
      <w:r>
        <w:rPr>
          <w:rFonts w:hint="cs"/>
          <w:rtl/>
        </w:rPr>
        <w:t xml:space="preserve"> לדיון ב</w:t>
      </w:r>
      <w:r w:rsidRPr="007B04E0">
        <w:rPr>
          <w:rFonts w:hint="cs"/>
          <w:rtl/>
        </w:rPr>
        <w:t>וועדה המסדרת</w:t>
      </w:r>
      <w:r>
        <w:rPr>
          <w:rFonts w:hint="cs"/>
          <w:rtl/>
        </w:rPr>
        <w:t>, אשר דחתה את הטענה כי מדובר בנושא חדש, ו</w:t>
      </w:r>
      <w:r w:rsidRPr="007B04E0">
        <w:rPr>
          <w:rFonts w:hint="cs"/>
          <w:rtl/>
        </w:rPr>
        <w:t xml:space="preserve">בהמשך לכך </w:t>
      </w:r>
      <w:r>
        <w:rPr>
          <w:rFonts w:hint="cs"/>
          <w:rtl/>
        </w:rPr>
        <w:t>דחתה הוועדה המיוחדת את</w:t>
      </w:r>
      <w:r w:rsidRPr="007B04E0">
        <w:rPr>
          <w:rFonts w:hint="cs"/>
          <w:rtl/>
        </w:rPr>
        <w:t xml:space="preserve"> ההסתייגויות שהוגשו </w:t>
      </w:r>
      <w:r>
        <w:rPr>
          <w:rFonts w:hint="cs"/>
          <w:rtl/>
        </w:rPr>
        <w:t>ל</w:t>
      </w:r>
      <w:r w:rsidRPr="007B04E0">
        <w:rPr>
          <w:rFonts w:hint="cs"/>
          <w:rtl/>
        </w:rPr>
        <w:t>עניין סעיף התח</w:t>
      </w:r>
      <w:r w:rsidR="00E11DF9">
        <w:rPr>
          <w:rFonts w:hint="cs"/>
          <w:rtl/>
        </w:rPr>
        <w:t>י</w:t>
      </w:r>
      <w:r w:rsidRPr="007B04E0">
        <w:rPr>
          <w:rFonts w:hint="cs"/>
          <w:rtl/>
        </w:rPr>
        <w:t>לה. ביום 22.12.2022 אישרה הוועדה המיוחדת את הצעת החוק לקריאה שנייה ושלישית. לקראת הדיון במליאה, ולאחר שהסתייגויות רבות נמשכו על</w:t>
      </w:r>
      <w:r w:rsidR="009B5181">
        <w:rPr>
          <w:rFonts w:hint="cs"/>
          <w:rtl/>
        </w:rPr>
        <w:t xml:space="preserve"> </w:t>
      </w:r>
      <w:r w:rsidRPr="007B04E0">
        <w:rPr>
          <w:rFonts w:hint="cs"/>
          <w:rtl/>
        </w:rPr>
        <w:t xml:space="preserve">ידי מגישיהן, נותרו 63 הסתייגויות. בעקבות זאת, ביום 26.12.2022 החליטה הוועדה המסדרת, בין היתר, כי בהתאם לסעיף 98 לתקנון הכנסת, ייקבעו סדרי דין מיוחדים לעניין הדיון בהצעת החוק בקריאה השנייה והשלישית. כך, נקבע כי שני גושי המפלגות בכנסת יוגבלו כל אחד, </w:t>
      </w:r>
      <w:r>
        <w:rPr>
          <w:rFonts w:hint="cs"/>
          <w:rtl/>
        </w:rPr>
        <w:t>ל-</w:t>
      </w:r>
      <w:r w:rsidRPr="007B04E0">
        <w:rPr>
          <w:rFonts w:hint="cs"/>
          <w:rtl/>
        </w:rPr>
        <w:t xml:space="preserve">4 הצבעות שמיות לכל היותר. </w:t>
      </w:r>
    </w:p>
    <w:p w14:paraId="06AD94F5" w14:textId="77777777" w:rsidR="0040186B" w:rsidRPr="007B04E0" w:rsidRDefault="0040186B" w:rsidP="00C634DC">
      <w:pPr>
        <w:pStyle w:val="Ruller5"/>
        <w:rPr>
          <w:rtl/>
        </w:rPr>
      </w:pPr>
    </w:p>
    <w:p w14:paraId="4C3833CD" w14:textId="77777777" w:rsidR="0040186B" w:rsidRPr="007B04E0" w:rsidRDefault="0040186B" w:rsidP="00C634DC">
      <w:pPr>
        <w:pStyle w:val="Ruller4"/>
        <w:rPr>
          <w:rtl/>
        </w:rPr>
      </w:pPr>
      <w:r w:rsidRPr="007B04E0">
        <w:rPr>
          <w:rFonts w:hint="cs"/>
          <w:rtl/>
        </w:rPr>
        <w:t>בערבו של יום 26.12.2022 התקיים</w:t>
      </w:r>
      <w:r>
        <w:rPr>
          <w:rFonts w:hint="cs"/>
          <w:rtl/>
        </w:rPr>
        <w:t xml:space="preserve"> במליאת הכנסת</w:t>
      </w:r>
      <w:r w:rsidRPr="007B04E0">
        <w:rPr>
          <w:rFonts w:hint="cs"/>
          <w:rtl/>
        </w:rPr>
        <w:t xml:space="preserve"> הדיון בהצעת החוק בקריאה השנייה והשלישית</w:t>
      </w:r>
      <w:r>
        <w:rPr>
          <w:rFonts w:hint="cs"/>
          <w:rtl/>
        </w:rPr>
        <w:t xml:space="preserve">. הדיון </w:t>
      </w:r>
      <w:r w:rsidRPr="007B04E0">
        <w:rPr>
          <w:rFonts w:hint="cs"/>
          <w:rtl/>
        </w:rPr>
        <w:t xml:space="preserve">נמשך </w:t>
      </w:r>
      <w:r>
        <w:rPr>
          <w:rFonts w:hint="cs"/>
          <w:rtl/>
        </w:rPr>
        <w:t>ברציפות</w:t>
      </w:r>
      <w:r w:rsidRPr="007B04E0">
        <w:rPr>
          <w:rFonts w:hint="cs"/>
          <w:rtl/>
        </w:rPr>
        <w:t xml:space="preserve"> כל הלילה והושלם בסביבות השעה 7:00 </w:t>
      </w:r>
      <w:r>
        <w:rPr>
          <w:rFonts w:hint="cs"/>
          <w:rtl/>
        </w:rPr>
        <w:t xml:space="preserve">בבוקר </w:t>
      </w:r>
      <w:r w:rsidRPr="007B04E0">
        <w:rPr>
          <w:rFonts w:hint="cs"/>
          <w:rtl/>
        </w:rPr>
        <w:t xml:space="preserve">יום 27.12.2022. שעות ספורות לאחר מכן פורסם התיקון לחוק היסוד ברשומות. </w:t>
      </w:r>
    </w:p>
    <w:p w14:paraId="23280D2D" w14:textId="77777777" w:rsidR="0040186B" w:rsidRPr="007B04E0" w:rsidRDefault="0040186B" w:rsidP="00C634DC">
      <w:pPr>
        <w:rPr>
          <w:rtl/>
        </w:rPr>
      </w:pPr>
    </w:p>
    <w:p w14:paraId="528E38AF" w14:textId="77777777" w:rsidR="0040186B" w:rsidRPr="007B04E0" w:rsidRDefault="0040186B" w:rsidP="00C634DC">
      <w:pPr>
        <w:pStyle w:val="Ruller4"/>
        <w:rPr>
          <w:rtl/>
        </w:rPr>
      </w:pPr>
      <w:r>
        <w:rPr>
          <w:rFonts w:hint="cs"/>
          <w:rtl/>
        </w:rPr>
        <w:t>יומיים לאחר מכן</w:t>
      </w:r>
      <w:r w:rsidRPr="007B04E0">
        <w:rPr>
          <w:rFonts w:hint="cs"/>
          <w:rtl/>
        </w:rPr>
        <w:t xml:space="preserve">, ביום 29.12.2022 </w:t>
      </w:r>
      <w:r>
        <w:rPr>
          <w:rFonts w:hint="cs"/>
          <w:rtl/>
        </w:rPr>
        <w:t xml:space="preserve">הוצגה </w:t>
      </w:r>
      <w:r w:rsidRPr="007B04E0">
        <w:rPr>
          <w:rFonts w:hint="cs"/>
          <w:rtl/>
        </w:rPr>
        <w:t xml:space="preserve">הממשלה ה-37 </w:t>
      </w:r>
      <w:r>
        <w:rPr>
          <w:rFonts w:hint="cs"/>
          <w:rtl/>
        </w:rPr>
        <w:t>בפני הכנסת וקיבלה את אמונה</w:t>
      </w:r>
      <w:r w:rsidRPr="007B04E0">
        <w:rPr>
          <w:rFonts w:hint="cs"/>
          <w:rtl/>
        </w:rPr>
        <w:t>. במועד זה</w:t>
      </w:r>
      <w:r>
        <w:rPr>
          <w:rFonts w:hint="cs"/>
          <w:rtl/>
        </w:rPr>
        <w:t xml:space="preserve"> ובמעמד זה</w:t>
      </w:r>
      <w:r w:rsidRPr="007B04E0">
        <w:rPr>
          <w:rFonts w:hint="cs"/>
          <w:rtl/>
        </w:rPr>
        <w:t xml:space="preserve"> </w:t>
      </w:r>
      <w:r>
        <w:rPr>
          <w:rFonts w:hint="cs"/>
          <w:rtl/>
        </w:rPr>
        <w:t>הושבע</w:t>
      </w:r>
      <w:r w:rsidRPr="007B04E0">
        <w:rPr>
          <w:rFonts w:hint="cs"/>
          <w:rtl/>
        </w:rPr>
        <w:t xml:space="preserve"> דרעי </w:t>
      </w:r>
      <w:r>
        <w:rPr>
          <w:rFonts w:hint="cs"/>
          <w:rtl/>
        </w:rPr>
        <w:t>לתפקיד</w:t>
      </w:r>
      <w:r w:rsidRPr="007B04E0">
        <w:rPr>
          <w:rFonts w:hint="cs"/>
          <w:rtl/>
        </w:rPr>
        <w:t xml:space="preserve"> </w:t>
      </w:r>
      <w:r w:rsidRPr="007B04E0">
        <w:rPr>
          <w:rFonts w:hint="eastAsia"/>
          <w:rtl/>
        </w:rPr>
        <w:t>שר</w:t>
      </w:r>
      <w:r w:rsidRPr="007B04E0">
        <w:rPr>
          <w:rtl/>
        </w:rPr>
        <w:t xml:space="preserve"> </w:t>
      </w:r>
      <w:r w:rsidRPr="007B04E0">
        <w:rPr>
          <w:rFonts w:hint="eastAsia"/>
          <w:rtl/>
        </w:rPr>
        <w:t>הפנים</w:t>
      </w:r>
      <w:r w:rsidRPr="007B04E0">
        <w:rPr>
          <w:rtl/>
        </w:rPr>
        <w:t xml:space="preserve"> </w:t>
      </w:r>
      <w:r w:rsidRPr="007B04E0">
        <w:rPr>
          <w:rFonts w:hint="eastAsia"/>
          <w:rtl/>
        </w:rPr>
        <w:t>ושר</w:t>
      </w:r>
      <w:r w:rsidRPr="007B04E0">
        <w:rPr>
          <w:rtl/>
        </w:rPr>
        <w:t xml:space="preserve"> </w:t>
      </w:r>
      <w:r w:rsidRPr="007B04E0">
        <w:rPr>
          <w:rFonts w:hint="eastAsia"/>
          <w:rtl/>
        </w:rPr>
        <w:t>הבריאות</w:t>
      </w:r>
      <w:r w:rsidRPr="007B04E0">
        <w:rPr>
          <w:rtl/>
        </w:rPr>
        <w:t xml:space="preserve">. </w:t>
      </w:r>
      <w:r w:rsidRPr="007B04E0">
        <w:rPr>
          <w:rFonts w:hint="cs"/>
          <w:rtl/>
        </w:rPr>
        <w:t xml:space="preserve">למען שלמות התמונה יצוין עוד </w:t>
      </w:r>
      <w:r w:rsidRPr="007B04E0">
        <w:rPr>
          <w:rFonts w:hint="eastAsia"/>
          <w:rtl/>
        </w:rPr>
        <w:t>כי</w:t>
      </w:r>
      <w:r w:rsidRPr="007B04E0">
        <w:rPr>
          <w:rtl/>
        </w:rPr>
        <w:t xml:space="preserve"> </w:t>
      </w:r>
      <w:r w:rsidRPr="007B04E0">
        <w:rPr>
          <w:rFonts w:hint="eastAsia"/>
          <w:rtl/>
        </w:rPr>
        <w:t>על</w:t>
      </w:r>
      <w:r w:rsidRPr="007B04E0">
        <w:rPr>
          <w:rtl/>
        </w:rPr>
        <w:t xml:space="preserve"> </w:t>
      </w:r>
      <w:r w:rsidRPr="007B04E0">
        <w:rPr>
          <w:rFonts w:hint="eastAsia"/>
          <w:rtl/>
        </w:rPr>
        <w:t>פי</w:t>
      </w:r>
      <w:r w:rsidRPr="007B04E0">
        <w:rPr>
          <w:rtl/>
        </w:rPr>
        <w:t xml:space="preserve"> </w:t>
      </w:r>
      <w:r w:rsidRPr="007B04E0">
        <w:rPr>
          <w:rFonts w:hint="eastAsia"/>
          <w:rtl/>
        </w:rPr>
        <w:t>ההסכ</w:t>
      </w:r>
      <w:r w:rsidRPr="007B04E0">
        <w:rPr>
          <w:rFonts w:hint="cs"/>
          <w:rtl/>
        </w:rPr>
        <w:t>ם</w:t>
      </w:r>
      <w:r w:rsidRPr="007B04E0">
        <w:rPr>
          <w:rtl/>
        </w:rPr>
        <w:t xml:space="preserve"> </w:t>
      </w:r>
      <w:r w:rsidRPr="007B04E0">
        <w:rPr>
          <w:rFonts w:hint="eastAsia"/>
          <w:rtl/>
        </w:rPr>
        <w:t>הקואליציוני</w:t>
      </w:r>
      <w:r w:rsidRPr="007B04E0">
        <w:rPr>
          <w:rtl/>
        </w:rPr>
        <w:t xml:space="preserve"> </w:t>
      </w:r>
      <w:r>
        <w:rPr>
          <w:rFonts w:hint="eastAsia"/>
          <w:rtl/>
        </w:rPr>
        <w:t>שנחת</w:t>
      </w:r>
      <w:r w:rsidRPr="007B04E0">
        <w:rPr>
          <w:rFonts w:hint="cs"/>
          <w:rtl/>
        </w:rPr>
        <w:t>ם</w:t>
      </w:r>
      <w:r w:rsidRPr="007B04E0">
        <w:rPr>
          <w:rtl/>
        </w:rPr>
        <w:t xml:space="preserve"> </w:t>
      </w:r>
      <w:r w:rsidRPr="007B04E0">
        <w:rPr>
          <w:rFonts w:hint="eastAsia"/>
          <w:rtl/>
        </w:rPr>
        <w:t>ביום</w:t>
      </w:r>
      <w:r w:rsidRPr="007B04E0">
        <w:rPr>
          <w:rtl/>
        </w:rPr>
        <w:t xml:space="preserve"> </w:t>
      </w:r>
      <w:r w:rsidRPr="007B04E0">
        <w:rPr>
          <w:rFonts w:hint="cs"/>
          <w:rtl/>
        </w:rPr>
        <w:t>28.12.2022 בין סיעת הליכוד ובין סיעת ש"ס בכנסת ה-25 והונח על שולחן הכנסת, דרעי יכהן גם כמשנה לראש הממשלה; ולאחר שהממשלה תשלים מחצית מכהונתה הוא יפסיק לכהן כשר הפנים וכשר הבריאות ויחל לכהן כשר האוצר.</w:t>
      </w:r>
    </w:p>
    <w:p w14:paraId="35217A66" w14:textId="77777777" w:rsidR="0040186B" w:rsidRPr="007B04E0" w:rsidRDefault="0040186B" w:rsidP="00C634DC">
      <w:pPr>
        <w:rPr>
          <w:rtl/>
        </w:rPr>
      </w:pPr>
    </w:p>
    <w:p w14:paraId="60617950" w14:textId="77777777" w:rsidR="0040186B" w:rsidRPr="007B04E0" w:rsidRDefault="0040186B" w:rsidP="00C634DC">
      <w:pPr>
        <w:rPr>
          <w:rFonts w:ascii="Century" w:hAnsi="Century" w:cs="Miriam"/>
          <w:b/>
          <w:sz w:val="22"/>
          <w:rtl/>
        </w:rPr>
      </w:pPr>
      <w:r w:rsidRPr="007B04E0">
        <w:rPr>
          <w:rFonts w:ascii="Century" w:hAnsi="Century" w:cs="Miriam" w:hint="cs"/>
          <w:b/>
          <w:sz w:val="22"/>
          <w:rtl/>
        </w:rPr>
        <w:t>הגשת העתירות והדיון בהן</w:t>
      </w:r>
    </w:p>
    <w:p w14:paraId="1677DF3C" w14:textId="77777777" w:rsidR="0040186B" w:rsidRPr="007B04E0" w:rsidRDefault="0040186B" w:rsidP="00C634DC">
      <w:pPr>
        <w:rPr>
          <w:rFonts w:ascii="Century" w:hAnsi="Century" w:cs="Miriam"/>
          <w:b/>
          <w:sz w:val="22"/>
          <w:rtl/>
        </w:rPr>
      </w:pPr>
    </w:p>
    <w:p w14:paraId="0FBBCD3A" w14:textId="77777777" w:rsidR="0040186B" w:rsidRPr="007B04E0" w:rsidRDefault="0040186B" w:rsidP="00C634DC">
      <w:pPr>
        <w:rPr>
          <w:rFonts w:ascii="Century" w:hAnsi="Century" w:cs="Miriam"/>
          <w:b/>
          <w:sz w:val="22"/>
          <w:rtl/>
        </w:rPr>
      </w:pPr>
    </w:p>
    <w:p w14:paraId="32BCE80A" w14:textId="77777777" w:rsidR="0040186B" w:rsidRPr="007B04E0" w:rsidRDefault="0040186B" w:rsidP="00D72B22">
      <w:pPr>
        <w:pStyle w:val="Ruller4"/>
        <w:rPr>
          <w:rtl/>
        </w:rPr>
      </w:pPr>
      <w:r w:rsidRPr="007B04E0">
        <w:rPr>
          <w:rFonts w:hint="cs"/>
          <w:rtl/>
        </w:rPr>
        <w:t xml:space="preserve">העתירה בבג"ץ 8948/22 הוגשה ביום 27.12.2022 על ידי "אזרחי ואזרחיות המדינה, אנשי חינוך, אנשי אקדמיה ואחרים [...] החברים בקבוצת 'מבצר הדמוקרטיה'" (להלן: </w:t>
      </w:r>
      <w:r w:rsidRPr="007B04E0">
        <w:rPr>
          <w:rFonts w:ascii="Century" w:hAnsi="Century" w:cs="Miriam" w:hint="eastAsia"/>
          <w:b/>
          <w:spacing w:val="0"/>
          <w:sz w:val="22"/>
          <w:szCs w:val="24"/>
          <w:rtl/>
        </w:rPr>
        <w:t>עותרי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שיינפלד</w:t>
      </w:r>
      <w:r w:rsidRPr="007B04E0">
        <w:rPr>
          <w:rFonts w:hint="cs"/>
          <w:rtl/>
        </w:rPr>
        <w:t xml:space="preserve">), והתבקשו בה סעדים ביחס לתיקון חוק היסוד; </w:t>
      </w:r>
      <w:r>
        <w:rPr>
          <w:rFonts w:hint="cs"/>
          <w:rtl/>
        </w:rPr>
        <w:t xml:space="preserve">ביחס </w:t>
      </w:r>
      <w:r w:rsidRPr="007B04E0">
        <w:rPr>
          <w:rFonts w:hint="cs"/>
          <w:rtl/>
        </w:rPr>
        <w:t xml:space="preserve">לסבירות מינויו של דרעי לשר; וכן ביחס </w:t>
      </w:r>
      <w:r>
        <w:rPr>
          <w:rFonts w:hint="cs"/>
          <w:rtl/>
        </w:rPr>
        <w:t>להיותו של דרעי מושתק ומנוע</w:t>
      </w:r>
      <w:r w:rsidRPr="007B04E0">
        <w:rPr>
          <w:rFonts w:hint="cs"/>
          <w:rtl/>
        </w:rPr>
        <w:t xml:space="preserve"> </w:t>
      </w:r>
      <w:r>
        <w:rPr>
          <w:rFonts w:hint="cs"/>
          <w:rtl/>
        </w:rPr>
        <w:t xml:space="preserve">מלהעלות טענות כנגד הטענות שמעלים העותרים לעניין מינויו </w:t>
      </w:r>
      <w:r w:rsidR="00D8714C">
        <w:rPr>
          <w:rFonts w:hint="cs"/>
          <w:rtl/>
        </w:rPr>
        <w:t>לשר</w:t>
      </w:r>
      <w:r>
        <w:rPr>
          <w:rFonts w:hint="cs"/>
          <w:rtl/>
        </w:rPr>
        <w:t xml:space="preserve">. </w:t>
      </w:r>
      <w:r w:rsidRPr="007B04E0">
        <w:rPr>
          <w:rFonts w:hint="cs"/>
          <w:rtl/>
        </w:rPr>
        <w:t>העתירה בבג"ץ 8949/22 הוגשה</w:t>
      </w:r>
      <w:r>
        <w:rPr>
          <w:rFonts w:hint="cs"/>
          <w:rtl/>
        </w:rPr>
        <w:t xml:space="preserve"> אף היא</w:t>
      </w:r>
      <w:r w:rsidRPr="007B04E0">
        <w:rPr>
          <w:rFonts w:hint="cs"/>
          <w:rtl/>
        </w:rPr>
        <w:t xml:space="preserve"> </w:t>
      </w:r>
      <w:r w:rsidRPr="007B04E0">
        <w:rPr>
          <w:rFonts w:hint="cs"/>
          <w:rtl/>
        </w:rPr>
        <w:lastRenderedPageBreak/>
        <w:t>ביום 27.12.2022</w:t>
      </w:r>
      <w:r>
        <w:rPr>
          <w:rFonts w:hint="cs"/>
          <w:rtl/>
        </w:rPr>
        <w:t>,</w:t>
      </w:r>
      <w:r w:rsidRPr="007B04E0">
        <w:rPr>
          <w:rFonts w:hint="cs"/>
          <w:rtl/>
        </w:rPr>
        <w:t xml:space="preserve"> על</w:t>
      </w:r>
      <w:r w:rsidR="009B5181">
        <w:rPr>
          <w:rFonts w:hint="cs"/>
          <w:rtl/>
        </w:rPr>
        <w:t xml:space="preserve"> </w:t>
      </w:r>
      <w:r w:rsidRPr="007B04E0">
        <w:rPr>
          <w:rFonts w:hint="cs"/>
          <w:rtl/>
        </w:rPr>
        <w:t>ידי התנועה למען איכות השלטון</w:t>
      </w:r>
      <w:r>
        <w:rPr>
          <w:rFonts w:hint="cs"/>
          <w:rtl/>
        </w:rPr>
        <w:t>. עתירה זו</w:t>
      </w:r>
      <w:r w:rsidRPr="007B04E0">
        <w:rPr>
          <w:rFonts w:hint="cs"/>
          <w:rtl/>
        </w:rPr>
        <w:t xml:space="preserve"> כללה במקור טענות </w:t>
      </w:r>
      <w:r>
        <w:rPr>
          <w:rFonts w:hint="cs"/>
          <w:rtl/>
        </w:rPr>
        <w:t>לעניין</w:t>
      </w:r>
      <w:r w:rsidRPr="007B04E0">
        <w:rPr>
          <w:rFonts w:hint="cs"/>
          <w:rtl/>
        </w:rPr>
        <w:t xml:space="preserve"> תיקון חוק היסוד, אך ביום 3.1.2023 הוגשה עתירה מתוקנת אשר </w:t>
      </w:r>
      <w:r>
        <w:rPr>
          <w:rFonts w:hint="cs"/>
          <w:rtl/>
        </w:rPr>
        <w:t>בה נוספו גם</w:t>
      </w:r>
      <w:r w:rsidRPr="007B04E0">
        <w:rPr>
          <w:rFonts w:hint="cs"/>
          <w:rtl/>
        </w:rPr>
        <w:t xml:space="preserve"> </w:t>
      </w:r>
      <w:r>
        <w:rPr>
          <w:rFonts w:hint="cs"/>
          <w:rtl/>
        </w:rPr>
        <w:t xml:space="preserve">טענות וסעדים לעניין </w:t>
      </w:r>
      <w:r w:rsidRPr="007B04E0">
        <w:rPr>
          <w:rFonts w:hint="cs"/>
          <w:rtl/>
        </w:rPr>
        <w:t xml:space="preserve">אי הסבירות שבהימנעות ראש הממשלה </w:t>
      </w:r>
      <w:r>
        <w:rPr>
          <w:rFonts w:hint="cs"/>
          <w:rtl/>
        </w:rPr>
        <w:t>מלהעביר את</w:t>
      </w:r>
      <w:r w:rsidRPr="007B04E0">
        <w:rPr>
          <w:rFonts w:hint="cs"/>
          <w:rtl/>
        </w:rPr>
        <w:t xml:space="preserve"> דרעי מתפקידו כשר. העתירה</w:t>
      </w:r>
      <w:r>
        <w:rPr>
          <w:rFonts w:hint="cs"/>
          <w:rtl/>
        </w:rPr>
        <w:t xml:space="preserve"> השלישית שהוגשה </w:t>
      </w:r>
      <w:r w:rsidRPr="007B04E0">
        <w:rPr>
          <w:rFonts w:hint="cs"/>
          <w:rtl/>
        </w:rPr>
        <w:t>ביום 27.12.2022</w:t>
      </w:r>
      <w:r>
        <w:rPr>
          <w:rFonts w:hint="cs"/>
          <w:rtl/>
        </w:rPr>
        <w:t xml:space="preserve"> היא העתירה</w:t>
      </w:r>
      <w:r w:rsidRPr="007B04E0">
        <w:rPr>
          <w:rFonts w:hint="cs"/>
          <w:rtl/>
        </w:rPr>
        <w:t xml:space="preserve"> בבג"ץ</w:t>
      </w:r>
      <w:r>
        <w:rPr>
          <w:rFonts w:hint="cs"/>
          <w:rtl/>
        </w:rPr>
        <w:t xml:space="preserve"> </w:t>
      </w:r>
      <w:r w:rsidRPr="007B04E0">
        <w:rPr>
          <w:rFonts w:hint="cs"/>
          <w:rtl/>
        </w:rPr>
        <w:t>8982/22</w:t>
      </w:r>
      <w:r>
        <w:rPr>
          <w:rFonts w:hint="cs"/>
          <w:rtl/>
        </w:rPr>
        <w:t xml:space="preserve"> מטעם</w:t>
      </w:r>
      <w:r w:rsidRPr="007B04E0">
        <w:rPr>
          <w:rFonts w:hint="cs"/>
          <w:rtl/>
        </w:rPr>
        <w:t xml:space="preserve"> התנועה לטוהר המידות</w:t>
      </w:r>
      <w:r>
        <w:rPr>
          <w:rFonts w:hint="cs"/>
          <w:rtl/>
        </w:rPr>
        <w:t>,</w:t>
      </w:r>
      <w:r w:rsidRPr="007B04E0">
        <w:rPr>
          <w:rFonts w:hint="cs"/>
          <w:rtl/>
        </w:rPr>
        <w:t xml:space="preserve"> והיא מתמקדת בביטול מינויו של דרעי לשר הפנים ושר הבריאות, בהיותו מינוי פסול ובלתי סביר באופן קיצוני. </w:t>
      </w:r>
    </w:p>
    <w:p w14:paraId="141E836E" w14:textId="77777777" w:rsidR="0040186B" w:rsidRPr="007B04E0" w:rsidRDefault="0040186B" w:rsidP="00C634DC">
      <w:pPr>
        <w:rPr>
          <w:rtl/>
        </w:rPr>
      </w:pPr>
    </w:p>
    <w:p w14:paraId="71A4C47C" w14:textId="77777777" w:rsidR="0040186B" w:rsidRPr="007B04E0" w:rsidRDefault="0040186B" w:rsidP="00C634DC">
      <w:pPr>
        <w:pStyle w:val="Ruller4"/>
      </w:pPr>
      <w:r w:rsidRPr="007B04E0">
        <w:rPr>
          <w:rFonts w:hint="cs"/>
          <w:rtl/>
        </w:rPr>
        <w:t>בהחלטותיי מיום 27.12.2022 ומיום 29.12.2022 נקבע כי הדיון בעתירות יתקיים בפני הרכב מורחב של 11 שופטים. בעתירות הוצאו צווים על תנאי ביחס לחלק מן הסעדים שהתבקשו, הנוגעים, בין היתר, ל</w:t>
      </w:r>
      <w:r>
        <w:rPr>
          <w:rFonts w:hint="cs"/>
          <w:rtl/>
        </w:rPr>
        <w:t xml:space="preserve">תיקון </w:t>
      </w:r>
      <w:r w:rsidRPr="007B04E0">
        <w:rPr>
          <w:rFonts w:hint="cs"/>
          <w:rtl/>
        </w:rPr>
        <w:t xml:space="preserve">חוק היסוד; לשאלת סבירות ההחלטה על מינוי דרעי לשר וההחלטה שלא להעבירו מתפקידו; ולקיומם של השתק ומניעות הנובעים מהצהרותיו של דרעי בפני בית המשפט שהרשיעו בעבירות המס. בקשות לצווי ביניים שעניינם מניעת מינויו של דרעי לשר </w:t>
      </w:r>
      <w:r w:rsidRPr="007B04E0">
        <w:rPr>
          <w:rtl/>
        </w:rPr>
        <w:t>–</w:t>
      </w:r>
      <w:r>
        <w:rPr>
          <w:rFonts w:hint="cs"/>
          <w:rtl/>
        </w:rPr>
        <w:t xml:space="preserve"> נדחו ולפיכך, </w:t>
      </w:r>
      <w:r w:rsidRPr="007B04E0">
        <w:rPr>
          <w:rFonts w:hint="cs"/>
          <w:rtl/>
        </w:rPr>
        <w:t xml:space="preserve">הוא מכהן בתפקיד שר הפנים ושר הבריאות החל ממועד השבעת הממשלה, ביום 29.12.2022. </w:t>
      </w:r>
    </w:p>
    <w:p w14:paraId="5912CBB8" w14:textId="77777777" w:rsidR="0040186B" w:rsidRPr="007B04E0" w:rsidRDefault="0040186B" w:rsidP="00C634DC">
      <w:pPr>
        <w:pStyle w:val="Ruller4"/>
        <w:numPr>
          <w:ilvl w:val="0"/>
          <w:numId w:val="0"/>
        </w:numPr>
        <w:rPr>
          <w:rtl/>
        </w:rPr>
      </w:pPr>
    </w:p>
    <w:p w14:paraId="411E49A8" w14:textId="77777777" w:rsidR="0040186B" w:rsidRPr="007B04E0" w:rsidRDefault="0040186B" w:rsidP="00C634DC">
      <w:pPr>
        <w:pStyle w:val="Ruller4"/>
        <w:numPr>
          <w:ilvl w:val="0"/>
          <w:numId w:val="0"/>
        </w:numPr>
        <w:rPr>
          <w:rtl/>
        </w:rPr>
      </w:pPr>
      <w:r w:rsidRPr="007B04E0">
        <w:rPr>
          <w:rtl/>
        </w:rPr>
        <w:tab/>
      </w:r>
      <w:r w:rsidRPr="007B04E0">
        <w:rPr>
          <w:rFonts w:hint="cs"/>
          <w:rtl/>
        </w:rPr>
        <w:t xml:space="preserve">הדיון בעתירות התקיים ביום 5.1.2023 ושודר בשידור ישיר. במהלך הדיון נשמעו </w:t>
      </w:r>
      <w:r>
        <w:rPr>
          <w:rFonts w:hint="cs"/>
          <w:rtl/>
        </w:rPr>
        <w:t xml:space="preserve">טענות </w:t>
      </w:r>
      <w:r w:rsidRPr="007B04E0">
        <w:rPr>
          <w:rFonts w:hint="cs"/>
          <w:rtl/>
        </w:rPr>
        <w:t xml:space="preserve">הצדדים לעתירות וחודדו הסוגיות שבמחלוקת, אשר יוצגו להלן בתמצית. </w:t>
      </w:r>
    </w:p>
    <w:p w14:paraId="41FC7684" w14:textId="77777777" w:rsidR="0040186B" w:rsidRPr="007B04E0" w:rsidRDefault="0040186B" w:rsidP="00C634DC">
      <w:pPr>
        <w:rPr>
          <w:rtl/>
        </w:rPr>
      </w:pPr>
    </w:p>
    <w:p w14:paraId="0D5B808B" w14:textId="77777777" w:rsidR="0040186B" w:rsidRPr="007B04E0" w:rsidRDefault="0040186B" w:rsidP="00C634DC">
      <w:pPr>
        <w:rPr>
          <w:rFonts w:ascii="Century" w:hAnsi="Century" w:cs="Miriam"/>
          <w:b/>
          <w:sz w:val="22"/>
          <w:rtl/>
        </w:rPr>
      </w:pPr>
      <w:r w:rsidRPr="007B04E0">
        <w:rPr>
          <w:rFonts w:ascii="Century" w:hAnsi="Century" w:cs="Miriam" w:hint="cs"/>
          <w:b/>
          <w:sz w:val="22"/>
          <w:rtl/>
        </w:rPr>
        <w:t>תמצית טענות העותרים</w:t>
      </w:r>
    </w:p>
    <w:p w14:paraId="0A5F1F21" w14:textId="77777777" w:rsidR="0040186B" w:rsidRPr="007B04E0" w:rsidRDefault="0040186B" w:rsidP="00C634DC">
      <w:pPr>
        <w:spacing w:line="360" w:lineRule="auto"/>
        <w:rPr>
          <w:rFonts w:ascii="FrankRuehl" w:hAnsi="FrankRuehl" w:cs="FrankRuehl"/>
          <w:b/>
          <w:szCs w:val="28"/>
          <w:rtl/>
        </w:rPr>
      </w:pPr>
    </w:p>
    <w:p w14:paraId="7E39E52A" w14:textId="77777777" w:rsidR="0040186B" w:rsidRPr="007B04E0" w:rsidRDefault="0040186B" w:rsidP="00DF78E3">
      <w:pPr>
        <w:pStyle w:val="Ruller4"/>
        <w:rPr>
          <w:rtl/>
        </w:rPr>
      </w:pPr>
      <w:r w:rsidRPr="007B04E0">
        <w:rPr>
          <w:rFonts w:hint="cs"/>
          <w:rtl/>
        </w:rPr>
        <w:t>עותרי שיינפלד והתנועה למען איכות השלטון טוענים כי דינו של תיקון מס' 11 להתבטל. לשיטתם לא מדובר בתיקון מבהיר, אלא בתיקון ששינה את הדין הקיים, לפיו גם מי שנידון לעונש מאסר על תנאי לא יוכל להתמנות לשר</w:t>
      </w:r>
      <w:r>
        <w:rPr>
          <w:rFonts w:hint="cs"/>
          <w:rtl/>
        </w:rPr>
        <w:t>,</w:t>
      </w:r>
      <w:r w:rsidRPr="007B04E0">
        <w:rPr>
          <w:rFonts w:hint="cs"/>
          <w:rtl/>
        </w:rPr>
        <w:t xml:space="preserve"> אלא אם יקבע יו"ר ועדת הבחירות כי "חזקת הקלון" </w:t>
      </w:r>
      <w:r>
        <w:rPr>
          <w:rFonts w:hint="cs"/>
          <w:rtl/>
        </w:rPr>
        <w:t>אינה</w:t>
      </w:r>
      <w:r w:rsidRPr="007B04E0">
        <w:rPr>
          <w:rFonts w:hint="cs"/>
          <w:rtl/>
        </w:rPr>
        <w:t xml:space="preserve"> חלה בנסיבות המקרה. לטענת העותרים, בשל תחולתו המיידית ו</w:t>
      </w:r>
      <w:r>
        <w:rPr>
          <w:rFonts w:hint="cs"/>
          <w:rtl/>
        </w:rPr>
        <w:t xml:space="preserve">בשל </w:t>
      </w:r>
      <w:r w:rsidRPr="007B04E0">
        <w:rPr>
          <w:rFonts w:hint="cs"/>
          <w:rtl/>
        </w:rPr>
        <w:t xml:space="preserve">ההיבט הפרסונלי </w:t>
      </w:r>
      <w:r w:rsidR="003B3F0D">
        <w:rPr>
          <w:rFonts w:hint="cs"/>
          <w:rtl/>
        </w:rPr>
        <w:t>המובהק</w:t>
      </w:r>
      <w:r w:rsidRPr="007B04E0">
        <w:rPr>
          <w:rFonts w:hint="cs"/>
          <w:rtl/>
        </w:rPr>
        <w:t xml:space="preserve"> שבתיקון מס' 11, התיקון מהווה שימוש לרעה בסמכות המכוננת</w:t>
      </w:r>
      <w:r>
        <w:rPr>
          <w:rFonts w:hint="cs"/>
          <w:rtl/>
        </w:rPr>
        <w:t>, בהתאם למבחנים שנקבעו בפסיקה</w:t>
      </w:r>
      <w:r w:rsidRPr="007B04E0">
        <w:rPr>
          <w:rFonts w:hint="cs"/>
          <w:rtl/>
        </w:rPr>
        <w:t xml:space="preserve">. בהקשר זה נטען, בין היתר, כי התיקון מתווסף לרשימת תיקונים חוקתיים שמטרתם לעצב את הבסיס החוקתי בישראל </w:t>
      </w:r>
      <w:r w:rsidR="007B4F99">
        <w:rPr>
          <w:rFonts w:hint="cs"/>
          <w:rtl/>
        </w:rPr>
        <w:t xml:space="preserve">בהתאם </w:t>
      </w:r>
      <w:r w:rsidRPr="007B04E0">
        <w:rPr>
          <w:rFonts w:hint="cs"/>
          <w:rtl/>
        </w:rPr>
        <w:t>לצרכיה המ</w:t>
      </w:r>
      <w:r w:rsidR="00827B85">
        <w:rPr>
          <w:rFonts w:hint="cs"/>
          <w:rtl/>
        </w:rPr>
        <w:t>י</w:t>
      </w:r>
      <w:r w:rsidRPr="007B04E0">
        <w:rPr>
          <w:rFonts w:hint="cs"/>
          <w:rtl/>
        </w:rPr>
        <w:t>ידיים של הממשלה</w:t>
      </w:r>
      <w:r>
        <w:rPr>
          <w:rFonts w:hint="cs"/>
          <w:rtl/>
        </w:rPr>
        <w:t>,</w:t>
      </w:r>
      <w:r w:rsidRPr="007B04E0">
        <w:rPr>
          <w:rFonts w:hint="cs"/>
          <w:rtl/>
        </w:rPr>
        <w:t xml:space="preserve"> ואף שהוא מנוסח כנורמה כללית הצופה פני עתיד, מאפייניו הפרסונליים מלמדים </w:t>
      </w:r>
      <w:r>
        <w:rPr>
          <w:rFonts w:hint="cs"/>
          <w:rtl/>
        </w:rPr>
        <w:t>שלא כך הדבר וכי</w:t>
      </w:r>
      <w:r w:rsidRPr="007B04E0">
        <w:rPr>
          <w:rFonts w:hint="cs"/>
          <w:rtl/>
        </w:rPr>
        <w:t xml:space="preserve"> מדובר בנורמה </w:t>
      </w:r>
      <w:r>
        <w:rPr>
          <w:rFonts w:hint="cs"/>
          <w:rtl/>
        </w:rPr>
        <w:t xml:space="preserve">ש"נתפרה" למידותיו של אדם, אשר </w:t>
      </w:r>
      <w:r w:rsidRPr="007B04E0">
        <w:rPr>
          <w:rFonts w:hint="cs"/>
          <w:rtl/>
        </w:rPr>
        <w:t xml:space="preserve">חקיקתה </w:t>
      </w:r>
      <w:r>
        <w:rPr>
          <w:rFonts w:hint="cs"/>
          <w:rtl/>
        </w:rPr>
        <w:t>נגועה</w:t>
      </w:r>
      <w:r w:rsidRPr="007B04E0">
        <w:rPr>
          <w:rFonts w:hint="cs"/>
          <w:rtl/>
        </w:rPr>
        <w:t xml:space="preserve"> </w:t>
      </w:r>
      <w:r>
        <w:rPr>
          <w:rFonts w:hint="cs"/>
          <w:rtl/>
        </w:rPr>
        <w:t>ב</w:t>
      </w:r>
      <w:r w:rsidRPr="007B04E0">
        <w:rPr>
          <w:rFonts w:hint="cs"/>
          <w:rtl/>
        </w:rPr>
        <w:t xml:space="preserve">ניגוד עניינים מוסדי ואינה תואמת את המארג החוקתי הקיים. על כן, </w:t>
      </w:r>
      <w:r>
        <w:rPr>
          <w:rFonts w:hint="cs"/>
          <w:rtl/>
        </w:rPr>
        <w:t xml:space="preserve">כך </w:t>
      </w:r>
      <w:r w:rsidRPr="007B04E0">
        <w:rPr>
          <w:rFonts w:hint="cs"/>
          <w:rtl/>
        </w:rPr>
        <w:t>נטען</w:t>
      </w:r>
      <w:r>
        <w:rPr>
          <w:rFonts w:hint="cs"/>
          <w:rtl/>
        </w:rPr>
        <w:t>,</w:t>
      </w:r>
      <w:r w:rsidRPr="007B04E0">
        <w:rPr>
          <w:rFonts w:hint="cs"/>
          <w:rtl/>
        </w:rPr>
        <w:t xml:space="preserve"> התיקון אינו עומד במבחני העזר שנקבעו בפסיקה לזיהויה של נורמה חוקתית, </w:t>
      </w:r>
      <w:r>
        <w:rPr>
          <w:rFonts w:hint="cs"/>
          <w:rtl/>
        </w:rPr>
        <w:t>ו</w:t>
      </w:r>
      <w:r w:rsidRPr="007B04E0">
        <w:rPr>
          <w:rFonts w:hint="cs"/>
          <w:rtl/>
        </w:rPr>
        <w:t xml:space="preserve">לא הוצג צידוק </w:t>
      </w:r>
      <w:r>
        <w:rPr>
          <w:rFonts w:hint="cs"/>
          <w:rtl/>
        </w:rPr>
        <w:t xml:space="preserve">למהלך זה </w:t>
      </w:r>
      <w:r w:rsidR="00DF78E3">
        <w:rPr>
          <w:rFonts w:hint="cs"/>
          <w:rtl/>
        </w:rPr>
        <w:t>המעגן</w:t>
      </w:r>
      <w:r>
        <w:rPr>
          <w:rFonts w:hint="cs"/>
          <w:rtl/>
        </w:rPr>
        <w:t xml:space="preserve"> </w:t>
      </w:r>
      <w:r w:rsidRPr="007B04E0">
        <w:rPr>
          <w:rFonts w:hint="cs"/>
          <w:rtl/>
        </w:rPr>
        <w:t xml:space="preserve">בחוק-יסוד הסדר הפוגע </w:t>
      </w:r>
      <w:r>
        <w:rPr>
          <w:rFonts w:hint="cs"/>
          <w:rtl/>
        </w:rPr>
        <w:t>ב</w:t>
      </w:r>
      <w:r w:rsidRPr="007B04E0">
        <w:rPr>
          <w:rFonts w:hint="cs"/>
          <w:rtl/>
        </w:rPr>
        <w:t>טוהר המידות, בעקרון שלטון החוק ובאמון הציבור ברשויות השלטון.</w:t>
      </w:r>
    </w:p>
    <w:p w14:paraId="0E197499" w14:textId="77777777" w:rsidR="0040186B" w:rsidRPr="007B04E0" w:rsidRDefault="0040186B" w:rsidP="00C634DC">
      <w:pPr>
        <w:rPr>
          <w:rtl/>
        </w:rPr>
      </w:pPr>
    </w:p>
    <w:p w14:paraId="019ABA46" w14:textId="77777777" w:rsidR="0040186B" w:rsidRPr="007B04E0" w:rsidRDefault="0040186B" w:rsidP="00C634DC">
      <w:pPr>
        <w:pStyle w:val="Ruller4"/>
        <w:numPr>
          <w:ilvl w:val="0"/>
          <w:numId w:val="0"/>
        </w:numPr>
        <w:rPr>
          <w:rtl/>
        </w:rPr>
      </w:pPr>
      <w:r w:rsidRPr="007B04E0">
        <w:rPr>
          <w:rtl/>
        </w:rPr>
        <w:lastRenderedPageBreak/>
        <w:tab/>
      </w:r>
      <w:r w:rsidRPr="007B04E0">
        <w:rPr>
          <w:rFonts w:hint="cs"/>
          <w:rtl/>
        </w:rPr>
        <w:t xml:space="preserve">עותרי שיינפלד והתנועה למען איכות השלטון טוענים עוד כי </w:t>
      </w:r>
      <w:r>
        <w:rPr>
          <w:rFonts w:hint="cs"/>
          <w:rtl/>
        </w:rPr>
        <w:t xml:space="preserve">גם </w:t>
      </w:r>
      <w:r w:rsidRPr="007B04E0">
        <w:rPr>
          <w:rFonts w:hint="cs"/>
          <w:rtl/>
        </w:rPr>
        <w:t xml:space="preserve">בהליך חקיקת התיקון נפלו פגמים מהותיים המצדיקים את ביטולו. בפרט, נטען כי </w:t>
      </w:r>
      <w:r>
        <w:rPr>
          <w:rFonts w:hint="cs"/>
          <w:rtl/>
        </w:rPr>
        <w:t>ככל שמדובר ב</w:t>
      </w:r>
      <w:r w:rsidRPr="007B04E0">
        <w:rPr>
          <w:rFonts w:hint="cs"/>
          <w:rtl/>
        </w:rPr>
        <w:t>חוק יסוד יש לעמוד ביתר שאת על עקרונות בסיסיים הנוגעים להליכי חקיקה וכי בעניי</w:t>
      </w:r>
      <w:r>
        <w:rPr>
          <w:rFonts w:hint="cs"/>
          <w:rtl/>
        </w:rPr>
        <w:t>נ</w:t>
      </w:r>
      <w:r w:rsidRPr="007B04E0">
        <w:rPr>
          <w:rFonts w:hint="cs"/>
          <w:rtl/>
        </w:rPr>
        <w:t>נו הדיונים נעשו במהירות ומבלי שהתקיים שיח ענייני ומקיף</w:t>
      </w:r>
      <w:r>
        <w:rPr>
          <w:rFonts w:hint="cs"/>
          <w:rtl/>
        </w:rPr>
        <w:t xml:space="preserve"> בתיקון המוצע</w:t>
      </w:r>
      <w:r w:rsidRPr="007B04E0">
        <w:rPr>
          <w:rFonts w:hint="cs"/>
          <w:rtl/>
        </w:rPr>
        <w:t xml:space="preserve">. </w:t>
      </w:r>
    </w:p>
    <w:p w14:paraId="27E8B4BF" w14:textId="77777777" w:rsidR="0040186B" w:rsidRPr="007B04E0" w:rsidRDefault="0040186B" w:rsidP="00C634DC">
      <w:pPr>
        <w:rPr>
          <w:rFonts w:ascii="Century" w:hAnsi="Century" w:cs="Miriam"/>
          <w:b/>
          <w:sz w:val="22"/>
          <w:rtl/>
        </w:rPr>
      </w:pPr>
    </w:p>
    <w:p w14:paraId="256AC866" w14:textId="77777777" w:rsidR="0040186B" w:rsidRPr="007B04E0" w:rsidRDefault="0040186B" w:rsidP="00D72B22">
      <w:pPr>
        <w:pStyle w:val="Ruller4"/>
        <w:rPr>
          <w:rFonts w:ascii="Century" w:hAnsi="Century"/>
          <w:sz w:val="22"/>
          <w:rtl/>
        </w:rPr>
      </w:pPr>
      <w:r>
        <w:rPr>
          <w:rFonts w:hint="cs"/>
          <w:rtl/>
        </w:rPr>
        <w:t xml:space="preserve">כמו כן, טוענים </w:t>
      </w:r>
      <w:r w:rsidRPr="007B04E0">
        <w:rPr>
          <w:rFonts w:hint="cs"/>
          <w:rtl/>
        </w:rPr>
        <w:t xml:space="preserve">העותרים בשלוש העתירות </w:t>
      </w:r>
      <w:r>
        <w:rPr>
          <w:rFonts w:hint="cs"/>
          <w:rtl/>
        </w:rPr>
        <w:t xml:space="preserve">כי </w:t>
      </w:r>
      <w:r w:rsidRPr="007B04E0">
        <w:rPr>
          <w:rFonts w:hint="cs"/>
          <w:rtl/>
        </w:rPr>
        <w:t>מינויו של דרעי חורג ממתחם הסבירות באופן קיצוני ודינו להתבטל</w:t>
      </w:r>
      <w:r>
        <w:rPr>
          <w:rFonts w:hint="cs"/>
          <w:rtl/>
        </w:rPr>
        <w:t>, בהסתמכם על</w:t>
      </w:r>
      <w:r w:rsidRPr="007B04E0">
        <w:rPr>
          <w:rFonts w:hint="cs"/>
          <w:rtl/>
        </w:rPr>
        <w:t xml:space="preserve"> </w:t>
      </w:r>
      <w:r>
        <w:rPr>
          <w:rFonts w:hint="cs"/>
          <w:rtl/>
        </w:rPr>
        <w:t>ה</w:t>
      </w:r>
      <w:r w:rsidRPr="007B04E0">
        <w:rPr>
          <w:rFonts w:hint="cs"/>
          <w:rtl/>
        </w:rPr>
        <w:t xml:space="preserve">הלכה </w:t>
      </w:r>
      <w:r>
        <w:rPr>
          <w:rFonts w:hint="cs"/>
          <w:rtl/>
        </w:rPr>
        <w:t xml:space="preserve">המושרשת </w:t>
      </w:r>
      <w:r w:rsidRPr="007B04E0">
        <w:rPr>
          <w:rFonts w:hint="cs"/>
          <w:rtl/>
        </w:rPr>
        <w:t xml:space="preserve">לפיה "כשירות לחוד ושיקול דעת לחוד", </w:t>
      </w:r>
      <w:r>
        <w:rPr>
          <w:rFonts w:hint="cs"/>
          <w:rtl/>
        </w:rPr>
        <w:t>שאותה שב ושנה</w:t>
      </w:r>
      <w:r w:rsidRPr="007B04E0">
        <w:rPr>
          <w:rFonts w:hint="cs"/>
          <w:rtl/>
        </w:rPr>
        <w:t xml:space="preserve"> בית משפט </w:t>
      </w:r>
      <w:r w:rsidR="00CC24D0">
        <w:rPr>
          <w:rFonts w:hint="cs"/>
          <w:rtl/>
        </w:rPr>
        <w:t xml:space="preserve">זה </w:t>
      </w:r>
      <w:r>
        <w:rPr>
          <w:rFonts w:hint="cs"/>
          <w:rtl/>
        </w:rPr>
        <w:t>בשורה של פסקי דין</w:t>
      </w:r>
      <w:r w:rsidRPr="007B04E0">
        <w:rPr>
          <w:rFonts w:hint="cs"/>
          <w:rtl/>
        </w:rPr>
        <w:t xml:space="preserve"> שדנו בסבירות מינוי</w:t>
      </w:r>
      <w:r>
        <w:rPr>
          <w:rFonts w:hint="cs"/>
          <w:rtl/>
        </w:rPr>
        <w:t>ים של</w:t>
      </w:r>
      <w:r w:rsidRPr="007B04E0">
        <w:rPr>
          <w:rFonts w:hint="cs"/>
          <w:rtl/>
        </w:rPr>
        <w:t xml:space="preserve"> שרים וסגני שרים. העותרים טוענים, בין היתר, כי יש לייחס משמעות לא מבוטלת לעובדה שמדובר באדם שהורשע בעבר, והורשע שוב אך לאחרונה </w:t>
      </w:r>
      <w:r>
        <w:rPr>
          <w:rFonts w:hint="cs"/>
          <w:rtl/>
        </w:rPr>
        <w:t>בעבירות נוספות</w:t>
      </w:r>
      <w:r w:rsidRPr="007B04E0">
        <w:rPr>
          <w:rFonts w:hint="cs"/>
          <w:rtl/>
        </w:rPr>
        <w:t xml:space="preserve"> שיש בה</w:t>
      </w:r>
      <w:r>
        <w:rPr>
          <w:rFonts w:hint="cs"/>
          <w:rtl/>
        </w:rPr>
        <w:t>ן משום</w:t>
      </w:r>
      <w:r w:rsidRPr="007B04E0">
        <w:rPr>
          <w:rFonts w:hint="cs"/>
          <w:rtl/>
        </w:rPr>
        <w:t xml:space="preserve"> פגיעה בקופה הציבורית. עוד נטען כי </w:t>
      </w:r>
      <w:r>
        <w:rPr>
          <w:rFonts w:hint="cs"/>
          <w:rtl/>
        </w:rPr>
        <w:t xml:space="preserve">בעת מינויו לשר דרעי היה </w:t>
      </w:r>
      <w:r>
        <w:rPr>
          <w:rtl/>
        </w:rPr>
        <w:t>–</w:t>
      </w:r>
      <w:r>
        <w:rPr>
          <w:rFonts w:hint="cs"/>
          <w:rtl/>
        </w:rPr>
        <w:t xml:space="preserve"> ועודנו מצוי </w:t>
      </w:r>
      <w:r>
        <w:rPr>
          <w:rtl/>
        </w:rPr>
        <w:t>–</w:t>
      </w:r>
      <w:r>
        <w:rPr>
          <w:rFonts w:hint="cs"/>
          <w:rtl/>
        </w:rPr>
        <w:t xml:space="preserve"> בתקופת התנאי של המאסר </w:t>
      </w:r>
      <w:r w:rsidRPr="007B04E0">
        <w:rPr>
          <w:rFonts w:hint="cs"/>
          <w:rtl/>
        </w:rPr>
        <w:t xml:space="preserve">שהוטל עליו; כי הוא לא הביע חרטה על מעשיו; כי מטרת התפטרותו מהכנסת הייתה להתחמק מקביעת הקלון בעניינו; כי הוא התנער מההתחייבות שלקח על עצמו </w:t>
      </w:r>
      <w:r>
        <w:rPr>
          <w:rFonts w:hint="cs"/>
          <w:rtl/>
        </w:rPr>
        <w:t>ב</w:t>
      </w:r>
      <w:r w:rsidRPr="007B04E0">
        <w:rPr>
          <w:rFonts w:hint="cs"/>
          <w:rtl/>
        </w:rPr>
        <w:t xml:space="preserve">עניין עבירות המס לפרוש מהחיים הפוליטיים; </w:t>
      </w:r>
      <w:r w:rsidRPr="007B04E0">
        <w:rPr>
          <w:rFonts w:ascii="Century" w:hAnsi="Century" w:hint="cs"/>
          <w:sz w:val="22"/>
          <w:rtl/>
        </w:rPr>
        <w:t xml:space="preserve">כי מינויו נעשה בחוסר ניקיון כפיים ובחוסר תום לב, תוך עריכת שינויים חוקתיים לטובתו; וכי בחינת מעשיו מוליכה אל המסקנה הברורה שבהרשעותיו יש משום קלון, ולפיכך הוא אינו כשיר להתמנות </w:t>
      </w:r>
      <w:r w:rsidR="00D8714C">
        <w:rPr>
          <w:rFonts w:ascii="Century" w:hAnsi="Century" w:hint="cs"/>
          <w:sz w:val="22"/>
          <w:rtl/>
        </w:rPr>
        <w:t>ל</w:t>
      </w:r>
      <w:r w:rsidR="00D8714C" w:rsidRPr="007B04E0">
        <w:rPr>
          <w:rFonts w:ascii="Century" w:hAnsi="Century" w:hint="cs"/>
          <w:sz w:val="22"/>
          <w:rtl/>
        </w:rPr>
        <w:t xml:space="preserve">שר </w:t>
      </w:r>
      <w:r w:rsidRPr="007B04E0">
        <w:rPr>
          <w:rFonts w:ascii="Century" w:hAnsi="Century" w:hint="cs"/>
          <w:sz w:val="22"/>
          <w:rtl/>
        </w:rPr>
        <w:t xml:space="preserve">בממשלה. </w:t>
      </w:r>
    </w:p>
    <w:p w14:paraId="0C96BB33" w14:textId="77777777" w:rsidR="0040186B" w:rsidRPr="007B04E0" w:rsidRDefault="0040186B" w:rsidP="00C634DC">
      <w:pPr>
        <w:rPr>
          <w:rtl/>
        </w:rPr>
      </w:pPr>
    </w:p>
    <w:p w14:paraId="0D984FF6" w14:textId="77777777" w:rsidR="0040186B" w:rsidRPr="007B04E0" w:rsidRDefault="0040186B" w:rsidP="00D72B22">
      <w:pPr>
        <w:pStyle w:val="Ruller4"/>
        <w:rPr>
          <w:rtl/>
        </w:rPr>
      </w:pPr>
      <w:r w:rsidRPr="007B04E0">
        <w:rPr>
          <w:rFonts w:hint="cs"/>
          <w:rtl/>
        </w:rPr>
        <w:t xml:space="preserve">עותרי שיינפלד אף הוסיפו ודרשו כי ייקבע שבהתאם לכלל ההשתק השיפוטי, דרעי מושתק כעת מלטעון טענות הקשורות למינויו </w:t>
      </w:r>
      <w:r w:rsidR="00D8714C">
        <w:rPr>
          <w:rFonts w:hint="cs"/>
          <w:rtl/>
        </w:rPr>
        <w:t>ל</w:t>
      </w:r>
      <w:r w:rsidR="00D8714C" w:rsidRPr="007B04E0">
        <w:rPr>
          <w:rFonts w:hint="cs"/>
          <w:rtl/>
        </w:rPr>
        <w:t>שר</w:t>
      </w:r>
      <w:r w:rsidRPr="007B04E0">
        <w:rPr>
          <w:rFonts w:hint="cs"/>
          <w:rtl/>
        </w:rPr>
        <w:t>, וזאת לנוכח הצהרותיו בפני בית המשפט שדן בעניין עבירות המס</w:t>
      </w:r>
      <w:r>
        <w:rPr>
          <w:rFonts w:hint="cs"/>
          <w:rtl/>
        </w:rPr>
        <w:t>,</w:t>
      </w:r>
      <w:r w:rsidRPr="007B04E0">
        <w:rPr>
          <w:rFonts w:hint="cs"/>
          <w:rtl/>
        </w:rPr>
        <w:t xml:space="preserve"> לפיו בכוונתו לפרוש מהחיים הפוליטיים. לטענתם, התחייבות</w:t>
      </w:r>
      <w:r>
        <w:rPr>
          <w:rFonts w:hint="cs"/>
          <w:rtl/>
        </w:rPr>
        <w:t>ו</w:t>
      </w:r>
      <w:r w:rsidRPr="007B04E0">
        <w:rPr>
          <w:rFonts w:hint="cs"/>
          <w:rtl/>
        </w:rPr>
        <w:t xml:space="preserve"> זו של דרעי בפני בית משפט השלום בירושלים היא שהובילה לכך שדרעי זכה בהסדר טיעון מקל תוך הימנעות מהכרעה בשאלת הקלון, והתנהלותו לאחר פסק הדין בעניין עבירות המס מהווה הפרה של ההתחייבות המפורשת שנתן לבית המשפט </w:t>
      </w:r>
      <w:r>
        <w:rPr>
          <w:rFonts w:hint="cs"/>
          <w:rtl/>
        </w:rPr>
        <w:t>בהקשר זה</w:t>
      </w:r>
      <w:r w:rsidRPr="007B04E0">
        <w:rPr>
          <w:rFonts w:hint="cs"/>
          <w:rtl/>
        </w:rPr>
        <w:t xml:space="preserve"> </w:t>
      </w:r>
      <w:r>
        <w:rPr>
          <w:rFonts w:hint="cs"/>
          <w:rtl/>
        </w:rPr>
        <w:t>ומהווה</w:t>
      </w:r>
      <w:r w:rsidRPr="007B04E0">
        <w:rPr>
          <w:rFonts w:hint="cs"/>
          <w:rtl/>
        </w:rPr>
        <w:t xml:space="preserve"> ביזיון בית משפט. אף התנועה לטוהר המידות ציינה בעתירתה, מטעמים דומים, כי יש לראות בדרעי כמי שמושתק היום מלטעון בדבר זכותו לכהן כשר.</w:t>
      </w:r>
    </w:p>
    <w:p w14:paraId="27404395" w14:textId="77777777" w:rsidR="0040186B" w:rsidRPr="007B04E0" w:rsidRDefault="0040186B" w:rsidP="00C634DC">
      <w:pPr>
        <w:rPr>
          <w:rtl/>
        </w:rPr>
      </w:pPr>
    </w:p>
    <w:p w14:paraId="676D7797" w14:textId="77777777" w:rsidR="0040186B" w:rsidRPr="007B04E0" w:rsidRDefault="0040186B" w:rsidP="00C634DC">
      <w:pPr>
        <w:rPr>
          <w:rFonts w:ascii="Century" w:hAnsi="Century" w:cs="Miriam"/>
          <w:b/>
          <w:sz w:val="22"/>
          <w:rtl/>
        </w:rPr>
      </w:pPr>
      <w:r w:rsidRPr="007B04E0">
        <w:rPr>
          <w:rFonts w:ascii="Century" w:hAnsi="Century" w:cs="Miriam" w:hint="cs"/>
          <w:b/>
          <w:sz w:val="22"/>
          <w:rtl/>
        </w:rPr>
        <w:t>תמצית טענות המשיבים</w:t>
      </w:r>
    </w:p>
    <w:p w14:paraId="6D91D6D9" w14:textId="77777777" w:rsidR="0040186B" w:rsidRPr="007B04E0" w:rsidRDefault="0040186B" w:rsidP="00C634DC">
      <w:pPr>
        <w:pStyle w:val="Ruller41"/>
        <w:rPr>
          <w:rtl/>
        </w:rPr>
      </w:pPr>
    </w:p>
    <w:p w14:paraId="0EEC3613" w14:textId="77777777" w:rsidR="0040186B" w:rsidRPr="007B04E0" w:rsidRDefault="0040186B" w:rsidP="00C634DC">
      <w:pPr>
        <w:pStyle w:val="Ruller4"/>
      </w:pPr>
      <w:r w:rsidRPr="007B04E0">
        <w:rPr>
          <w:rFonts w:ascii="FrankRuehl" w:hAnsi="FrankRuehl"/>
          <w:sz w:val="28"/>
          <w:rtl/>
        </w:rPr>
        <w:t xml:space="preserve">היועצת המשפטית לממשלה סבורה כי דינם של הצווים על תנאי הנוגעים לתיקון חוק היסוד </w:t>
      </w:r>
      <w:r>
        <w:rPr>
          <w:rFonts w:ascii="FrankRuehl" w:hAnsi="FrankRuehl" w:hint="cs"/>
          <w:sz w:val="28"/>
          <w:rtl/>
        </w:rPr>
        <w:t>להתבטל</w:t>
      </w:r>
      <w:r w:rsidRPr="007B04E0">
        <w:rPr>
          <w:rFonts w:ascii="FrankRuehl" w:hAnsi="FrankRuehl"/>
          <w:sz w:val="28"/>
          <w:rtl/>
        </w:rPr>
        <w:t>, בהיעדר עילה משפטית להתערבות שיפוטית</w:t>
      </w:r>
      <w:r>
        <w:rPr>
          <w:rFonts w:ascii="FrankRuehl" w:hAnsi="FrankRuehl" w:hint="cs"/>
          <w:sz w:val="28"/>
          <w:rtl/>
        </w:rPr>
        <w:t xml:space="preserve"> באותו התיקון</w:t>
      </w:r>
      <w:r w:rsidRPr="007B04E0">
        <w:rPr>
          <w:rFonts w:ascii="FrankRuehl" w:hAnsi="FrankRuehl"/>
          <w:sz w:val="28"/>
          <w:rtl/>
        </w:rPr>
        <w:t xml:space="preserve">. </w:t>
      </w:r>
      <w:r w:rsidRPr="007B04E0">
        <w:rPr>
          <w:rtl/>
        </w:rPr>
        <w:t>לשיטת</w:t>
      </w:r>
      <w:r w:rsidRPr="007B04E0">
        <w:rPr>
          <w:rFonts w:ascii="FrankRuehl" w:hAnsi="FrankRuehl"/>
          <w:sz w:val="28"/>
          <w:rtl/>
        </w:rPr>
        <w:t xml:space="preserve"> היועצת תיקון חוק היסוד שינה את הדין הקיים בנוגע לתנאי הכשירות של שרים, שכן עד לחקיקתו גם</w:t>
      </w:r>
      <w:r>
        <w:rPr>
          <w:rFonts w:ascii="FrankRuehl" w:hAnsi="FrankRuehl" w:hint="cs"/>
          <w:sz w:val="28"/>
          <w:rtl/>
        </w:rPr>
        <w:t xml:space="preserve"> ביחס</w:t>
      </w:r>
      <w:r w:rsidRPr="007B04E0">
        <w:rPr>
          <w:rFonts w:ascii="FrankRuehl" w:hAnsi="FrankRuehl"/>
          <w:sz w:val="28"/>
          <w:rtl/>
        </w:rPr>
        <w:t xml:space="preserve"> </w:t>
      </w:r>
      <w:r>
        <w:rPr>
          <w:rFonts w:ascii="FrankRuehl" w:hAnsi="FrankRuehl" w:hint="cs"/>
          <w:sz w:val="28"/>
          <w:rtl/>
        </w:rPr>
        <w:t>ל</w:t>
      </w:r>
      <w:r w:rsidRPr="007B04E0">
        <w:rPr>
          <w:rFonts w:ascii="FrankRuehl" w:hAnsi="FrankRuehl"/>
          <w:sz w:val="28"/>
          <w:rtl/>
        </w:rPr>
        <w:t>מי שהורשע ונידון לעונש מאסר על תנאי נדרש</w:t>
      </w:r>
      <w:r>
        <w:rPr>
          <w:rFonts w:ascii="FrankRuehl" w:hAnsi="FrankRuehl" w:hint="cs"/>
          <w:sz w:val="28"/>
          <w:rtl/>
        </w:rPr>
        <w:t>ה</w:t>
      </w:r>
      <w:r w:rsidRPr="007B04E0">
        <w:rPr>
          <w:rFonts w:ascii="FrankRuehl" w:hAnsi="FrankRuehl"/>
          <w:sz w:val="28"/>
          <w:rtl/>
        </w:rPr>
        <w:t xml:space="preserve"> </w:t>
      </w:r>
      <w:r>
        <w:rPr>
          <w:rFonts w:ascii="FrankRuehl" w:hAnsi="FrankRuehl" w:hint="cs"/>
          <w:sz w:val="28"/>
          <w:rtl/>
        </w:rPr>
        <w:t>פנייה</w:t>
      </w:r>
      <w:r w:rsidRPr="007B04E0">
        <w:rPr>
          <w:rFonts w:ascii="FrankRuehl" w:hAnsi="FrankRuehl"/>
          <w:sz w:val="28"/>
          <w:rtl/>
        </w:rPr>
        <w:t xml:space="preserve"> ליו"ר ועדת הבחירות על מנת שיקבע כי אין בעבירות שבהן הורשע משום קלון. היועצת מציינת </w:t>
      </w:r>
      <w:r w:rsidRPr="007B04E0">
        <w:rPr>
          <w:rFonts w:ascii="FrankRuehl" w:hAnsi="FrankRuehl"/>
          <w:sz w:val="28"/>
          <w:rtl/>
        </w:rPr>
        <w:lastRenderedPageBreak/>
        <w:t xml:space="preserve">כי הלכה למעשה התיקון לא נועד לפתור בעיה כללית אלא נועד לאפשר לחבר כנסת מסוים, שהורשע בדין, להתמנות לתפקיד שר </w:t>
      </w:r>
      <w:r>
        <w:rPr>
          <w:rFonts w:ascii="FrankRuehl" w:hAnsi="FrankRuehl" w:hint="cs"/>
          <w:sz w:val="28"/>
          <w:rtl/>
        </w:rPr>
        <w:t>ללא פנייה</w:t>
      </w:r>
      <w:r w:rsidRPr="007B04E0">
        <w:rPr>
          <w:rFonts w:ascii="FrankRuehl" w:hAnsi="FrankRuehl"/>
          <w:sz w:val="28"/>
          <w:rtl/>
        </w:rPr>
        <w:t xml:space="preserve"> ליו"ר ועדת הבחירות בעניין הקלון. </w:t>
      </w:r>
      <w:r>
        <w:rPr>
          <w:rFonts w:ascii="FrankRuehl" w:hAnsi="FrankRuehl" w:hint="cs"/>
          <w:sz w:val="28"/>
          <w:rtl/>
        </w:rPr>
        <w:t xml:space="preserve">כמו </w:t>
      </w:r>
      <w:r w:rsidRPr="007B04E0">
        <w:rPr>
          <w:rFonts w:ascii="FrankRuehl" w:hAnsi="FrankRuehl"/>
          <w:sz w:val="28"/>
          <w:rtl/>
        </w:rPr>
        <w:t xml:space="preserve">כן צוין כי עיון בדיוני הכנסת מלמד </w:t>
      </w:r>
      <w:r>
        <w:rPr>
          <w:rFonts w:ascii="FrankRuehl" w:hAnsi="FrankRuehl" w:hint="cs"/>
          <w:sz w:val="28"/>
          <w:rtl/>
        </w:rPr>
        <w:t>ש</w:t>
      </w:r>
      <w:r w:rsidRPr="007B04E0">
        <w:rPr>
          <w:rFonts w:ascii="FrankRuehl" w:hAnsi="FrankRuehl"/>
          <w:sz w:val="28"/>
          <w:rtl/>
        </w:rPr>
        <w:t>ביסוד התיקון עומד מניע פרסונלי מובהק של הסדרת מינויו של דרעי לשר, ו</w:t>
      </w:r>
      <w:r>
        <w:rPr>
          <w:rFonts w:ascii="FrankRuehl" w:hAnsi="FrankRuehl" w:hint="cs"/>
          <w:sz w:val="28"/>
          <w:rtl/>
        </w:rPr>
        <w:t xml:space="preserve">כי </w:t>
      </w:r>
      <w:r w:rsidRPr="007B04E0">
        <w:rPr>
          <w:rFonts w:ascii="FrankRuehl" w:hAnsi="FrankRuehl"/>
          <w:sz w:val="28"/>
          <w:rtl/>
        </w:rPr>
        <w:t xml:space="preserve">שינוי כללי טוהר המידות עבור שחקן פוליטי מסוים מעורר קושי רב. עם זאת, היועצת סבורה כי בהתאם להלכה הפסוקה, מניעי המחוקק, כשלעצמם, אינם מבססים עילה לביקורת שיפוטית על חוקי יסוד, ובהתאם למבחני העזר לזיהויה של נורמה חוקתית דומה כי אין מקום לקבוע </w:t>
      </w:r>
      <w:r>
        <w:rPr>
          <w:rFonts w:ascii="FrankRuehl" w:hAnsi="FrankRuehl" w:hint="cs"/>
          <w:sz w:val="28"/>
          <w:rtl/>
        </w:rPr>
        <w:t>ש</w:t>
      </w:r>
      <w:r w:rsidRPr="007B04E0">
        <w:rPr>
          <w:rFonts w:ascii="FrankRuehl" w:hAnsi="FrankRuehl"/>
          <w:sz w:val="28"/>
          <w:rtl/>
        </w:rPr>
        <w:t xml:space="preserve">חקיקת התיקון </w:t>
      </w:r>
      <w:r>
        <w:rPr>
          <w:rFonts w:ascii="FrankRuehl" w:hAnsi="FrankRuehl" w:hint="cs"/>
          <w:sz w:val="28"/>
          <w:rtl/>
        </w:rPr>
        <w:t>מהווה</w:t>
      </w:r>
      <w:r w:rsidRPr="007B04E0">
        <w:rPr>
          <w:rFonts w:ascii="FrankRuehl" w:hAnsi="FrankRuehl"/>
          <w:sz w:val="28"/>
          <w:rtl/>
        </w:rPr>
        <w:t xml:space="preserve"> שימוש לרעה בסמכות המכוננת. זאת, בין היתר, בשים </w:t>
      </w:r>
      <w:r w:rsidR="00991A5C">
        <w:rPr>
          <w:rFonts w:ascii="FrankRuehl" w:hAnsi="FrankRuehl" w:hint="cs"/>
          <w:sz w:val="28"/>
          <w:rtl/>
        </w:rPr>
        <w:t xml:space="preserve">לב </w:t>
      </w:r>
      <w:r w:rsidRPr="007B04E0">
        <w:rPr>
          <w:rFonts w:ascii="FrankRuehl" w:hAnsi="FrankRuehl"/>
          <w:sz w:val="28"/>
          <w:rtl/>
        </w:rPr>
        <w:t xml:space="preserve">לכך שהחוק נחקק כנורמה קבועה בעלת תחולה כללית. </w:t>
      </w:r>
      <w:r>
        <w:rPr>
          <w:rFonts w:ascii="FrankRuehl" w:hAnsi="FrankRuehl" w:hint="cs"/>
          <w:sz w:val="28"/>
          <w:rtl/>
        </w:rPr>
        <w:t>עוד</w:t>
      </w:r>
      <w:r w:rsidRPr="007B04E0">
        <w:rPr>
          <w:rFonts w:ascii="FrankRuehl" w:hAnsi="FrankRuehl"/>
          <w:sz w:val="28"/>
          <w:rtl/>
        </w:rPr>
        <w:t xml:space="preserve"> צוין כי לאורך השנים נחקקו הסדרים רבים</w:t>
      </w:r>
      <w:r>
        <w:rPr>
          <w:rFonts w:ascii="FrankRuehl" w:hAnsi="FrankRuehl"/>
          <w:sz w:val="28"/>
          <w:rtl/>
        </w:rPr>
        <w:t xml:space="preserve"> לצרכים קואליציוניים ופוליטיים</w:t>
      </w:r>
      <w:r>
        <w:rPr>
          <w:rFonts w:ascii="FrankRuehl" w:hAnsi="FrankRuehl" w:hint="cs"/>
          <w:sz w:val="28"/>
          <w:rtl/>
        </w:rPr>
        <w:t xml:space="preserve">, </w:t>
      </w:r>
      <w:r w:rsidRPr="007B04E0">
        <w:rPr>
          <w:rFonts w:ascii="FrankRuehl" w:hAnsi="FrankRuehl"/>
          <w:sz w:val="28"/>
          <w:rtl/>
        </w:rPr>
        <w:t>חלק נכבד מהם בתחולה מיידית. על כן, היועצת טוענת כי אף שמדובר בתיקון חוקתי-משטרי חריג המעורר קשיים רבים, אין מדובר במקרה המצדיק התערבות שיפוטית בחוק יסוד.</w:t>
      </w:r>
      <w:r>
        <w:rPr>
          <w:rFonts w:hint="cs"/>
          <w:rtl/>
        </w:rPr>
        <w:t xml:space="preserve"> עוד טוענת היועצת כי לא נפל בהליך החקיקה עצמו פגם היורד לשורשו של עניין.</w:t>
      </w:r>
    </w:p>
    <w:p w14:paraId="16E33878" w14:textId="77777777" w:rsidR="0040186B" w:rsidRPr="007B04E0" w:rsidRDefault="0040186B" w:rsidP="00C634DC">
      <w:pPr>
        <w:pStyle w:val="Ruller4"/>
        <w:numPr>
          <w:ilvl w:val="0"/>
          <w:numId w:val="0"/>
        </w:numPr>
        <w:tabs>
          <w:tab w:val="left" w:pos="720"/>
        </w:tabs>
      </w:pPr>
    </w:p>
    <w:p w14:paraId="25FA0499" w14:textId="77777777" w:rsidR="0040186B" w:rsidRPr="007B04E0" w:rsidRDefault="0040186B" w:rsidP="00C634DC">
      <w:pPr>
        <w:pStyle w:val="Ruller4"/>
        <w:rPr>
          <w:rFonts w:ascii="FrankRuehl" w:hAnsi="FrankRuehl"/>
          <w:sz w:val="28"/>
        </w:rPr>
      </w:pPr>
      <w:r w:rsidRPr="007B04E0">
        <w:rPr>
          <w:rFonts w:ascii="FrankRuehl" w:hAnsi="FrankRuehl"/>
          <w:sz w:val="28"/>
          <w:rtl/>
        </w:rPr>
        <w:t xml:space="preserve">לעומת זאת, בכל הנוגע לסבירות המינוי, מציינת היועצת כי יישום המבחנים שנקבעו בפסיקה "מוביל למסקנה ברורה וחד-משמעית כי מינוי השר דרעי חורג ממתחם שיקול הדעת הרחב, הנתון לראש הממשלה בעניין זה". היועצת מציינת כי כבר בעניין </w:t>
      </w:r>
      <w:r w:rsidRPr="007B04E0">
        <w:rPr>
          <w:rFonts w:ascii="Miriam" w:hAnsi="Miriam" w:cs="Miriam"/>
          <w:spacing w:val="0"/>
          <w:szCs w:val="24"/>
          <w:rtl/>
        </w:rPr>
        <w:t>דרעי השני</w:t>
      </w:r>
      <w:r w:rsidRPr="007B04E0">
        <w:rPr>
          <w:rFonts w:ascii="FrankRuehl" w:hAnsi="FrankRuehl"/>
          <w:sz w:val="28"/>
          <w:rtl/>
        </w:rPr>
        <w:t xml:space="preserve"> </w:t>
      </w:r>
      <w:r w:rsidRPr="007B04E0">
        <w:rPr>
          <w:rtl/>
        </w:rPr>
        <w:t>ובעניין</w:t>
      </w:r>
      <w:r w:rsidRPr="007B04E0">
        <w:rPr>
          <w:rFonts w:ascii="FrankRuehl" w:hAnsi="FrankRuehl"/>
          <w:sz w:val="28"/>
          <w:rtl/>
        </w:rPr>
        <w:t xml:space="preserve"> </w:t>
      </w:r>
      <w:r w:rsidRPr="007B04E0">
        <w:rPr>
          <w:rFonts w:ascii="Miriam" w:hAnsi="Miriam" w:cs="Miriam"/>
          <w:spacing w:val="0"/>
          <w:szCs w:val="24"/>
          <w:rtl/>
        </w:rPr>
        <w:t>דרעי השלישי</w:t>
      </w:r>
      <w:r w:rsidRPr="007B04E0">
        <w:rPr>
          <w:rFonts w:ascii="FrankRuehl" w:hAnsi="FrankRuehl"/>
          <w:sz w:val="28"/>
          <w:rtl/>
        </w:rPr>
        <w:t xml:space="preserve"> קבע בית המשפט כי מינויו לשר מצוי על גבול מתחם הסבירות, וזאת בהתבסס על </w:t>
      </w:r>
      <w:r>
        <w:rPr>
          <w:rFonts w:ascii="FrankRuehl" w:hAnsi="FrankRuehl" w:hint="cs"/>
          <w:sz w:val="28"/>
          <w:rtl/>
        </w:rPr>
        <w:t>העבירות</w:t>
      </w:r>
      <w:r w:rsidRPr="007B04E0">
        <w:rPr>
          <w:rFonts w:ascii="FrankRuehl" w:hAnsi="FrankRuehl"/>
          <w:sz w:val="28"/>
          <w:rtl/>
        </w:rPr>
        <w:t xml:space="preserve"> הישנות </w:t>
      </w:r>
      <w:r>
        <w:rPr>
          <w:rFonts w:ascii="FrankRuehl" w:hAnsi="FrankRuehl" w:hint="cs"/>
          <w:sz w:val="28"/>
          <w:rtl/>
        </w:rPr>
        <w:t>שעבר</w:t>
      </w:r>
      <w:r w:rsidRPr="007B04E0">
        <w:rPr>
          <w:rFonts w:ascii="FrankRuehl" w:hAnsi="FrankRuehl"/>
          <w:sz w:val="28"/>
          <w:rtl/>
        </w:rPr>
        <w:t xml:space="preserve"> דרעי. עבירות אלה, כך נטען, הן עבירות חמורות ביותר בתחום טוהר המידות והשחיתות השלטונית, ואף שהן נמחקו מהמרשם הפלילי יש להן משקל לעניין סבירות מינויו של דרעי לכהונה ציבורית. היועצת מוסיפה כי בינתיים הורשע דרעי</w:t>
      </w:r>
      <w:r>
        <w:rPr>
          <w:rFonts w:ascii="FrankRuehl" w:hAnsi="FrankRuehl" w:hint="cs"/>
          <w:sz w:val="28"/>
          <w:rtl/>
        </w:rPr>
        <w:t xml:space="preserve"> בעבירות מס בשתי פרשיות וכי </w:t>
      </w:r>
      <w:r w:rsidRPr="007B04E0">
        <w:rPr>
          <w:rFonts w:ascii="FrankRuehl" w:hAnsi="FrankRuehl"/>
          <w:sz w:val="28"/>
          <w:rtl/>
        </w:rPr>
        <w:t xml:space="preserve">עמדתו של היועץ המשפטי לממשלה </w:t>
      </w:r>
      <w:r>
        <w:rPr>
          <w:rFonts w:ascii="FrankRuehl" w:hAnsi="FrankRuehl" w:hint="cs"/>
          <w:sz w:val="28"/>
          <w:rtl/>
        </w:rPr>
        <w:t xml:space="preserve">טרם </w:t>
      </w:r>
      <w:r w:rsidRPr="007B04E0">
        <w:rPr>
          <w:rFonts w:ascii="FrankRuehl" w:hAnsi="FrankRuehl"/>
          <w:sz w:val="28"/>
          <w:rtl/>
        </w:rPr>
        <w:t>הסדר הטיעון</w:t>
      </w:r>
      <w:r>
        <w:rPr>
          <w:rFonts w:ascii="FrankRuehl" w:hAnsi="FrankRuehl" w:hint="cs"/>
          <w:sz w:val="28"/>
          <w:rtl/>
        </w:rPr>
        <w:t xml:space="preserve">, כמו גם עמדתה שלה כיום, היא </w:t>
      </w:r>
      <w:r>
        <w:rPr>
          <w:rFonts w:ascii="FrankRuehl" w:hAnsi="FrankRuehl"/>
          <w:sz w:val="28"/>
          <w:rtl/>
        </w:rPr>
        <w:t>–</w:t>
      </w:r>
      <w:r w:rsidRPr="007B04E0">
        <w:rPr>
          <w:rFonts w:ascii="FrankRuehl" w:hAnsi="FrankRuehl"/>
          <w:sz w:val="28"/>
          <w:rtl/>
        </w:rPr>
        <w:t xml:space="preserve"> </w:t>
      </w:r>
      <w:r>
        <w:rPr>
          <w:rFonts w:ascii="FrankRuehl" w:hAnsi="FrankRuehl" w:hint="cs"/>
          <w:sz w:val="28"/>
          <w:rtl/>
        </w:rPr>
        <w:t xml:space="preserve">כי </w:t>
      </w:r>
      <w:r w:rsidRPr="007B04E0">
        <w:rPr>
          <w:rFonts w:ascii="FrankRuehl" w:hAnsi="FrankRuehl"/>
          <w:sz w:val="28"/>
          <w:rtl/>
        </w:rPr>
        <w:t xml:space="preserve">יש עמן קלון. עבירות אלה, שבגינן תלוי ועומד נגד דרעי </w:t>
      </w:r>
      <w:r w:rsidRPr="007B04E0">
        <w:rPr>
          <w:rFonts w:ascii="FrankRuehl" w:hAnsi="FrankRuehl" w:hint="cs"/>
          <w:sz w:val="28"/>
          <w:rtl/>
        </w:rPr>
        <w:t xml:space="preserve">עונש </w:t>
      </w:r>
      <w:r w:rsidRPr="007B04E0">
        <w:rPr>
          <w:rFonts w:ascii="FrankRuehl" w:hAnsi="FrankRuehl"/>
          <w:sz w:val="28"/>
          <w:rtl/>
        </w:rPr>
        <w:t>מאסר על תנאי, מעבירות לטענת היועצת את מינויו של דרעי אל מעבר למתחם הסבירות</w:t>
      </w:r>
      <w:r w:rsidRPr="007B04E0">
        <w:rPr>
          <w:rFonts w:ascii="FrankRuehl" w:hAnsi="FrankRuehl" w:hint="cs"/>
          <w:sz w:val="28"/>
          <w:rtl/>
        </w:rPr>
        <w:t>,</w:t>
      </w:r>
      <w:r w:rsidRPr="007B04E0">
        <w:rPr>
          <w:rFonts w:ascii="FrankRuehl" w:hAnsi="FrankRuehl"/>
          <w:sz w:val="28"/>
          <w:rtl/>
        </w:rPr>
        <w:t xml:space="preserve"> ונטען כי כהונתו כשר בנסיבות אלה </w:t>
      </w:r>
      <w:r>
        <w:rPr>
          <w:rFonts w:ascii="FrankRuehl" w:hAnsi="FrankRuehl" w:hint="cs"/>
          <w:sz w:val="28"/>
          <w:rtl/>
        </w:rPr>
        <w:t xml:space="preserve">תגרום </w:t>
      </w:r>
      <w:r w:rsidRPr="007B04E0">
        <w:rPr>
          <w:rFonts w:ascii="FrankRuehl" w:hAnsi="FrankRuehl"/>
          <w:sz w:val="28"/>
          <w:rtl/>
        </w:rPr>
        <w:t xml:space="preserve">פגיעה חמורה באמון </w:t>
      </w:r>
      <w:r>
        <w:rPr>
          <w:rFonts w:ascii="FrankRuehl" w:hAnsi="FrankRuehl" w:hint="cs"/>
          <w:sz w:val="28"/>
          <w:rtl/>
        </w:rPr>
        <w:t>שהציבור רו</w:t>
      </w:r>
      <w:r w:rsidR="00785EE2">
        <w:rPr>
          <w:rFonts w:ascii="FrankRuehl" w:hAnsi="FrankRuehl" w:hint="cs"/>
          <w:sz w:val="28"/>
          <w:rtl/>
        </w:rPr>
        <w:t>ח</w:t>
      </w:r>
      <w:r>
        <w:rPr>
          <w:rFonts w:ascii="FrankRuehl" w:hAnsi="FrankRuehl" w:hint="cs"/>
          <w:sz w:val="28"/>
          <w:rtl/>
        </w:rPr>
        <w:t>ש לנבחרי הציבור ולטוהר מידותיהם</w:t>
      </w:r>
      <w:r w:rsidRPr="007B04E0">
        <w:rPr>
          <w:rFonts w:ascii="FrankRuehl" w:hAnsi="FrankRuehl"/>
          <w:sz w:val="28"/>
          <w:rtl/>
        </w:rPr>
        <w:t>. היועצת מוסיפה בהקשר זה כי</w:t>
      </w:r>
      <w:r w:rsidRPr="007B04E0">
        <w:rPr>
          <w:rFonts w:ascii="FrankRuehl" w:hAnsi="FrankRuehl" w:hint="cs"/>
          <w:sz w:val="28"/>
          <w:rtl/>
        </w:rPr>
        <w:t xml:space="preserve"> חרף שיקול הדעת הרחב הנתון לראש הממשלה בעניין הרכב הממשלה ו</w:t>
      </w:r>
      <w:r>
        <w:rPr>
          <w:rFonts w:ascii="FrankRuehl" w:hAnsi="FrankRuehl" w:hint="cs"/>
          <w:sz w:val="28"/>
          <w:rtl/>
        </w:rPr>
        <w:t xml:space="preserve">חרף </w:t>
      </w:r>
      <w:r w:rsidRPr="007B04E0">
        <w:rPr>
          <w:rFonts w:ascii="FrankRuehl" w:hAnsi="FrankRuehl" w:hint="cs"/>
          <w:sz w:val="28"/>
          <w:rtl/>
        </w:rPr>
        <w:t xml:space="preserve">העובדה </w:t>
      </w:r>
      <w:r>
        <w:rPr>
          <w:rFonts w:ascii="FrankRuehl" w:hAnsi="FrankRuehl" w:hint="cs"/>
          <w:sz w:val="28"/>
          <w:rtl/>
        </w:rPr>
        <w:t>ש</w:t>
      </w:r>
      <w:r w:rsidRPr="007B04E0">
        <w:rPr>
          <w:rFonts w:ascii="FrankRuehl" w:hAnsi="FrankRuehl" w:hint="cs"/>
          <w:sz w:val="28"/>
          <w:rtl/>
        </w:rPr>
        <w:t>דרעי ורשימתו זכו אך באחרונה לאמון הבוחר ומינויו אושר על ידי הכנסת,</w:t>
      </w:r>
      <w:r w:rsidRPr="007B04E0">
        <w:rPr>
          <w:rFonts w:ascii="FrankRuehl" w:hAnsi="FrankRuehl"/>
          <w:sz w:val="28"/>
          <w:rtl/>
        </w:rPr>
        <w:t xml:space="preserve"> ההחלטה למנות את דרעי אינה מבטאת את המשקל הכבד שיש לייחס בנסיבות העניין ל"שיקולים הנוגעים לשלטון החוק ולטוהר המידות של האוחזים בהגה השלטון"</w:t>
      </w:r>
      <w:r>
        <w:rPr>
          <w:rFonts w:ascii="FrankRuehl" w:hAnsi="FrankRuehl" w:hint="cs"/>
          <w:sz w:val="28"/>
          <w:rtl/>
        </w:rPr>
        <w:t>,</w:t>
      </w:r>
      <w:r w:rsidRPr="007B04E0">
        <w:rPr>
          <w:rFonts w:ascii="FrankRuehl" w:hAnsi="FrankRuehl" w:hint="cs"/>
          <w:sz w:val="28"/>
          <w:rtl/>
        </w:rPr>
        <w:t xml:space="preserve"> ובכך היא חורגת באופן קיצוני ממתחם הסבירות</w:t>
      </w:r>
      <w:r w:rsidRPr="007B04E0">
        <w:rPr>
          <w:rFonts w:ascii="FrankRuehl" w:hAnsi="FrankRuehl"/>
          <w:sz w:val="28"/>
          <w:rtl/>
        </w:rPr>
        <w:t>.</w:t>
      </w:r>
      <w:r w:rsidRPr="007B04E0">
        <w:rPr>
          <w:rFonts w:ascii="FrankRuehl" w:hAnsi="FrankRuehl" w:hint="cs"/>
          <w:sz w:val="28"/>
          <w:rtl/>
        </w:rPr>
        <w:t xml:space="preserve"> </w:t>
      </w:r>
    </w:p>
    <w:p w14:paraId="038F337C" w14:textId="77777777" w:rsidR="0040186B" w:rsidRPr="007B04E0" w:rsidRDefault="0040186B" w:rsidP="00C634DC">
      <w:pPr>
        <w:pStyle w:val="Ruller4"/>
        <w:numPr>
          <w:ilvl w:val="0"/>
          <w:numId w:val="0"/>
        </w:numPr>
        <w:rPr>
          <w:rFonts w:ascii="FrankRuehl" w:hAnsi="FrankRuehl"/>
          <w:sz w:val="28"/>
          <w:rtl/>
        </w:rPr>
      </w:pPr>
    </w:p>
    <w:p w14:paraId="27B6BD9E" w14:textId="77777777" w:rsidR="0040186B" w:rsidRPr="007B04E0" w:rsidRDefault="0040186B" w:rsidP="00C634DC">
      <w:pPr>
        <w:pStyle w:val="Ruller4"/>
        <w:numPr>
          <w:ilvl w:val="0"/>
          <w:numId w:val="0"/>
        </w:numPr>
        <w:rPr>
          <w:rFonts w:ascii="FrankRuehl" w:hAnsi="FrankRuehl"/>
          <w:sz w:val="28"/>
        </w:rPr>
      </w:pPr>
      <w:r w:rsidRPr="007B04E0">
        <w:rPr>
          <w:rFonts w:ascii="FrankRuehl" w:hAnsi="FrankRuehl"/>
          <w:sz w:val="28"/>
          <w:rtl/>
        </w:rPr>
        <w:tab/>
      </w:r>
      <w:r w:rsidRPr="007B04E0">
        <w:rPr>
          <w:rFonts w:ascii="FrankRuehl" w:hAnsi="FrankRuehl" w:hint="cs"/>
          <w:sz w:val="28"/>
          <w:rtl/>
        </w:rPr>
        <w:t xml:space="preserve">בשולי הדברים מבהירה היועצת כי בניגוד לנטען בעתירות, הסדר הטיעון לא כלל התחייבות מצד דרעי לפרישה מהחיים הפוליטיים, אך לא ניתן להתעלם מן הפער </w:t>
      </w:r>
      <w:r w:rsidRPr="007B04E0">
        <w:rPr>
          <w:rFonts w:ascii="FrankRuehl" w:hAnsi="FrankRuehl" w:hint="cs"/>
          <w:sz w:val="28"/>
          <w:rtl/>
        </w:rPr>
        <w:lastRenderedPageBreak/>
        <w:t>בין הדברים שנאמרו על ידי דרעי במהלך הדיון ב</w:t>
      </w:r>
      <w:r>
        <w:rPr>
          <w:rFonts w:ascii="FrankRuehl" w:hAnsi="FrankRuehl" w:hint="cs"/>
          <w:sz w:val="28"/>
          <w:rtl/>
        </w:rPr>
        <w:t xml:space="preserve">עת </w:t>
      </w:r>
      <w:r w:rsidRPr="007B04E0">
        <w:rPr>
          <w:rFonts w:ascii="FrankRuehl" w:hAnsi="FrankRuehl" w:hint="cs"/>
          <w:sz w:val="28"/>
          <w:rtl/>
        </w:rPr>
        <w:t>אישור הסדר הטיעון ובין הדברים שנאמרו על</w:t>
      </w:r>
      <w:r w:rsidR="006252F9">
        <w:rPr>
          <w:rFonts w:ascii="FrankRuehl" w:hAnsi="FrankRuehl" w:hint="cs"/>
          <w:sz w:val="28"/>
          <w:rtl/>
        </w:rPr>
        <w:t xml:space="preserve"> </w:t>
      </w:r>
      <w:r w:rsidRPr="007B04E0">
        <w:rPr>
          <w:rFonts w:ascii="FrankRuehl" w:hAnsi="FrankRuehl" w:hint="cs"/>
          <w:sz w:val="28"/>
          <w:rtl/>
        </w:rPr>
        <w:t xml:space="preserve">ידו כבר למחרת </w:t>
      </w:r>
      <w:r>
        <w:rPr>
          <w:rFonts w:ascii="FrankRuehl" w:hAnsi="FrankRuehl" w:hint="cs"/>
          <w:sz w:val="28"/>
          <w:rtl/>
        </w:rPr>
        <w:t xml:space="preserve">מתן גזר דינו. לגישתה, דבריו </w:t>
      </w:r>
      <w:r w:rsidRPr="007B04E0">
        <w:rPr>
          <w:rFonts w:ascii="FrankRuehl" w:hAnsi="FrankRuehl" w:hint="cs"/>
          <w:sz w:val="28"/>
          <w:rtl/>
        </w:rPr>
        <w:t>מעידים על כך שהוא נמנע מנטילת אחריות ו</w:t>
      </w:r>
      <w:r>
        <w:rPr>
          <w:rFonts w:ascii="FrankRuehl" w:hAnsi="FrankRuehl" w:hint="cs"/>
          <w:sz w:val="28"/>
          <w:rtl/>
        </w:rPr>
        <w:t>מ</w:t>
      </w:r>
      <w:r w:rsidRPr="007B04E0">
        <w:rPr>
          <w:rFonts w:ascii="FrankRuehl" w:hAnsi="FrankRuehl" w:hint="cs"/>
          <w:sz w:val="28"/>
          <w:rtl/>
        </w:rPr>
        <w:t xml:space="preserve">חרטה </w:t>
      </w:r>
      <w:r>
        <w:rPr>
          <w:rFonts w:ascii="FrankRuehl" w:hAnsi="FrankRuehl" w:hint="cs"/>
          <w:sz w:val="28"/>
          <w:rtl/>
        </w:rPr>
        <w:t>על</w:t>
      </w:r>
      <w:r w:rsidRPr="007B04E0">
        <w:rPr>
          <w:rFonts w:ascii="FrankRuehl" w:hAnsi="FrankRuehl" w:hint="cs"/>
          <w:sz w:val="28"/>
          <w:rtl/>
        </w:rPr>
        <w:t xml:space="preserve"> מעשיו. </w:t>
      </w:r>
    </w:p>
    <w:p w14:paraId="28951843" w14:textId="77777777" w:rsidR="0040186B" w:rsidRPr="007B04E0" w:rsidRDefault="0040186B" w:rsidP="00C634DC"/>
    <w:p w14:paraId="7AD08F37" w14:textId="77777777" w:rsidR="0040186B" w:rsidRPr="007B04E0" w:rsidRDefault="0040186B" w:rsidP="00C634DC">
      <w:pPr>
        <w:pStyle w:val="Ruller4"/>
      </w:pPr>
      <w:r w:rsidRPr="007B04E0">
        <w:rPr>
          <w:rFonts w:hint="cs"/>
          <w:rtl/>
        </w:rPr>
        <w:t>הכנסת סבורה כי דינן של העתירות התוקפות את התיקון ל</w:t>
      </w:r>
      <w:r>
        <w:rPr>
          <w:rFonts w:hint="cs"/>
          <w:rtl/>
        </w:rPr>
        <w:t>חוק היסוד להידחות. כהערה מקדימה מציינת הכנסת כי לגישתה</w:t>
      </w:r>
      <w:r w:rsidRPr="007B04E0">
        <w:rPr>
          <w:rFonts w:hint="cs"/>
          <w:rtl/>
        </w:rPr>
        <w:t xml:space="preserve"> יש בתיקון מס' 11 משום שינוי הדין. עם זאת, הכנסת סבורה כי ככלל אין מקום להעמיד חקיקת יסוד לביקורת שיפוטית, </w:t>
      </w:r>
      <w:r>
        <w:rPr>
          <w:rFonts w:hint="cs"/>
          <w:rtl/>
        </w:rPr>
        <w:t>ומכל מקום,</w:t>
      </w:r>
      <w:r w:rsidRPr="007B04E0">
        <w:rPr>
          <w:rFonts w:hint="cs"/>
          <w:rtl/>
        </w:rPr>
        <w:t xml:space="preserve"> לשיטתה</w:t>
      </w:r>
      <w:r>
        <w:rPr>
          <w:rFonts w:hint="cs"/>
          <w:rtl/>
        </w:rPr>
        <w:t>,</w:t>
      </w:r>
      <w:r w:rsidRPr="007B04E0">
        <w:rPr>
          <w:rFonts w:hint="cs"/>
          <w:rtl/>
        </w:rPr>
        <w:t xml:space="preserve"> התיקון לחוק היסוד עומד במבחנים שנקבעו בפסיקה במסגרת הדוקטרינה של "שימוש לרעה בסמכות המכוננת". לטענת הכנסת, תיקון מס' 11 הוא </w:t>
      </w:r>
      <w:r w:rsidRPr="007B04E0">
        <w:rPr>
          <w:rFonts w:ascii="Century" w:hAnsi="Century" w:hint="cs"/>
          <w:sz w:val="22"/>
          <w:rtl/>
        </w:rPr>
        <w:t>תיקון קבוע</w:t>
      </w:r>
      <w:r>
        <w:rPr>
          <w:rFonts w:ascii="Century" w:hAnsi="Century" w:hint="cs"/>
          <w:sz w:val="22"/>
          <w:rtl/>
        </w:rPr>
        <w:t xml:space="preserve"> </w:t>
      </w:r>
      <w:r w:rsidRPr="007B04E0">
        <w:rPr>
          <w:rFonts w:ascii="Century" w:hAnsi="Century" w:hint="cs"/>
          <w:sz w:val="22"/>
          <w:rtl/>
        </w:rPr>
        <w:t>אשר יחול על כלל</w:t>
      </w:r>
      <w:r w:rsidRPr="007B04E0">
        <w:rPr>
          <w:rFonts w:hint="cs"/>
          <w:rtl/>
        </w:rPr>
        <w:t xml:space="preserve"> מינוי</w:t>
      </w:r>
      <w:r>
        <w:rPr>
          <w:rFonts w:hint="cs"/>
          <w:rtl/>
        </w:rPr>
        <w:t>י</w:t>
      </w:r>
      <w:r w:rsidRPr="007B04E0">
        <w:rPr>
          <w:rFonts w:hint="cs"/>
          <w:rtl/>
        </w:rPr>
        <w:t xml:space="preserve"> השרים בעתיד, ואף שאין חולק שעניינו של דרעי עומד ברקע התיקון, עצם העובדה שמקרה פרטי הוא זה שהיווה תמריץ לחקיקה או שקיימים מניעים פרסונליים שהניעו את תהליך החקיקה </w:t>
      </w:r>
      <w:r w:rsidRPr="007B04E0">
        <w:rPr>
          <w:rtl/>
        </w:rPr>
        <w:t>–</w:t>
      </w:r>
      <w:r w:rsidRPr="007B04E0">
        <w:rPr>
          <w:rFonts w:hint="cs"/>
          <w:rtl/>
        </w:rPr>
        <w:t xml:space="preserve"> אינה משנה מן המסקנה כי הוא עומד במבחנים שנקבעו בפסיקה לזיהויה של נורמה חוקתית. הכנסת מוסיפה ומדגישה כי לא ניתן היה לעגן את התיקון שלא בדרך של תיקון לחוק יסוד, ועוד נטען כי עצם העובדה שחוק מוחל באופן אקטיבי אינה עולה כדי שימוש לרעה בסמכות המכוננת, </w:t>
      </w:r>
      <w:r>
        <w:rPr>
          <w:rFonts w:hint="cs"/>
          <w:rtl/>
        </w:rPr>
        <w:t>וכי אין</w:t>
      </w:r>
      <w:r w:rsidRPr="007B04E0">
        <w:rPr>
          <w:rFonts w:hint="cs"/>
          <w:rtl/>
        </w:rPr>
        <w:t xml:space="preserve"> מדובר בתיקון חוקתי המשנה מן היסוד את התוצאות המשפטיות של פעולות ואירועים שהתרחשו בעבר. </w:t>
      </w:r>
    </w:p>
    <w:p w14:paraId="2E1318C2" w14:textId="77777777" w:rsidR="0040186B" w:rsidRPr="007B04E0" w:rsidRDefault="0040186B" w:rsidP="00C634DC">
      <w:pPr>
        <w:pStyle w:val="Ruller4"/>
        <w:numPr>
          <w:ilvl w:val="0"/>
          <w:numId w:val="0"/>
        </w:numPr>
        <w:rPr>
          <w:rtl/>
        </w:rPr>
      </w:pPr>
    </w:p>
    <w:p w14:paraId="2DA993FC" w14:textId="77777777" w:rsidR="0040186B" w:rsidRPr="007B04E0" w:rsidRDefault="0040186B" w:rsidP="00C634DC">
      <w:pPr>
        <w:pStyle w:val="Ruller4"/>
        <w:numPr>
          <w:ilvl w:val="0"/>
          <w:numId w:val="0"/>
        </w:numPr>
        <w:rPr>
          <w:rtl/>
        </w:rPr>
      </w:pPr>
      <w:r w:rsidRPr="007B04E0">
        <w:rPr>
          <w:rtl/>
        </w:rPr>
        <w:tab/>
      </w:r>
      <w:r w:rsidRPr="007B04E0">
        <w:rPr>
          <w:rFonts w:hint="cs"/>
          <w:rtl/>
        </w:rPr>
        <w:t>אשר לטענות בדבר פגמים בהליך החקיקה, הכנסת סבורה כי הגם שהליך החקיקה של התיקון היה קצר יחסית</w:t>
      </w:r>
      <w:r>
        <w:rPr>
          <w:rFonts w:hint="cs"/>
          <w:rtl/>
        </w:rPr>
        <w:t>,</w:t>
      </w:r>
      <w:r w:rsidRPr="007B04E0">
        <w:rPr>
          <w:rFonts w:hint="cs"/>
          <w:rtl/>
        </w:rPr>
        <w:t xml:space="preserve"> </w:t>
      </w:r>
      <w:r>
        <w:rPr>
          <w:rFonts w:hint="cs"/>
          <w:rtl/>
        </w:rPr>
        <w:t>ויש בכך כדי</w:t>
      </w:r>
      <w:r w:rsidRPr="007B04E0">
        <w:rPr>
          <w:rFonts w:hint="cs"/>
          <w:rtl/>
        </w:rPr>
        <w:t xml:space="preserve"> לעורר קושי בהינתן</w:t>
      </w:r>
      <w:r>
        <w:rPr>
          <w:rFonts w:hint="cs"/>
          <w:rtl/>
        </w:rPr>
        <w:t xml:space="preserve"> העובדה</w:t>
      </w:r>
      <w:r w:rsidRPr="007B04E0">
        <w:rPr>
          <w:rFonts w:hint="cs"/>
          <w:rtl/>
        </w:rPr>
        <w:t xml:space="preserve"> שמדובר בתיקון לחוק יסוד, לא נפל בהליך פגם היורד לשורשו של עניין</w:t>
      </w:r>
      <w:r>
        <w:rPr>
          <w:rFonts w:hint="cs"/>
          <w:rtl/>
        </w:rPr>
        <w:t>,</w:t>
      </w:r>
      <w:r w:rsidRPr="007B04E0">
        <w:rPr>
          <w:rFonts w:hint="cs"/>
          <w:rtl/>
        </w:rPr>
        <w:t xml:space="preserve"> כמשמעותו בפסיקה. הכנסת עומדת על כך שאופיו המואץ של הליך החקיקה נבע מהמועדים הסטטוטוריי</w:t>
      </w:r>
      <w:r w:rsidRPr="007B04E0">
        <w:rPr>
          <w:rFonts w:hint="eastAsia"/>
          <w:rtl/>
        </w:rPr>
        <w:t>ם</w:t>
      </w:r>
      <w:r w:rsidRPr="007B04E0">
        <w:rPr>
          <w:rFonts w:hint="cs"/>
          <w:rtl/>
        </w:rPr>
        <w:t xml:space="preserve"> </w:t>
      </w:r>
      <w:r>
        <w:rPr>
          <w:rFonts w:hint="cs"/>
          <w:rtl/>
        </w:rPr>
        <w:t xml:space="preserve">להקמת הממשלה </w:t>
      </w:r>
      <w:r w:rsidRPr="007B04E0">
        <w:rPr>
          <w:rFonts w:hint="cs"/>
          <w:rtl/>
        </w:rPr>
        <w:t>המעוגנים בחוקי היסוד; כי אין מדובר בנושא ארוך או מורכב להבנה; וכי הליך החקיקה כלל ארבע קריאות, נמשך קרוב לשבועיים, והשתתפו בדיונים חברי</w:t>
      </w:r>
      <w:r>
        <w:rPr>
          <w:rFonts w:hint="cs"/>
          <w:rtl/>
        </w:rPr>
        <w:t xml:space="preserve"> כנסת רבים, נציגי משרד המשפטים, </w:t>
      </w:r>
      <w:r w:rsidRPr="007B04E0">
        <w:rPr>
          <w:rFonts w:hint="cs"/>
          <w:rtl/>
        </w:rPr>
        <w:t>הייעוץ המשפטי לכנסת, וכן נציגי החברה האזרחית.</w:t>
      </w:r>
    </w:p>
    <w:p w14:paraId="5D9EE54A" w14:textId="77777777" w:rsidR="0040186B" w:rsidRPr="007B04E0" w:rsidRDefault="0040186B" w:rsidP="00C634DC">
      <w:pPr>
        <w:pStyle w:val="Ruller41"/>
        <w:rPr>
          <w:rFonts w:ascii="Century" w:hAnsi="Century" w:cs="Miriam"/>
          <w:b/>
          <w:spacing w:val="0"/>
          <w:szCs w:val="24"/>
          <w:rtl/>
        </w:rPr>
      </w:pPr>
    </w:p>
    <w:p w14:paraId="33CF314F" w14:textId="77777777" w:rsidR="0040186B" w:rsidRPr="007B04E0" w:rsidRDefault="0040186B" w:rsidP="00C634DC">
      <w:pPr>
        <w:pStyle w:val="Ruller4"/>
        <w:rPr>
          <w:rtl/>
        </w:rPr>
      </w:pPr>
      <w:r w:rsidRPr="007B04E0">
        <w:rPr>
          <w:rFonts w:hint="cs"/>
          <w:rtl/>
        </w:rPr>
        <w:t>ראש הממשלה, המיוצג באופן פרטי בהליכים שלפנינו, טוען כי</w:t>
      </w:r>
      <w:r w:rsidRPr="007B04E0">
        <w:rPr>
          <w:rFonts w:ascii="Arial TUR" w:hAnsi="Arial TUR" w:hint="cs"/>
          <w:sz w:val="22"/>
          <w:rtl/>
        </w:rPr>
        <w:t xml:space="preserve"> </w:t>
      </w:r>
      <w:r w:rsidRPr="007B04E0">
        <w:rPr>
          <w:rFonts w:hint="cs"/>
          <w:rtl/>
        </w:rPr>
        <w:t xml:space="preserve">אין להלום ביקורת שיפוטית על חוקי יסוד, ובפרט חוקי היסוד המשטריים, וכי במקרה דנן עסקינן בסוגיה פוליטית מובהקת שאינה שפיטה. לחלופין, נטען כי אין מקום להפעיל את דוקטרינת השימוש לרעה בסמכות המכוננת ביחס לתוכנו של חוק יסוד או למטרותיהם של חברי הכנסת בעת חקיקתו, אלא </w:t>
      </w:r>
      <w:r>
        <w:rPr>
          <w:rFonts w:hint="cs"/>
          <w:rtl/>
        </w:rPr>
        <w:t>אם</w:t>
      </w:r>
      <w:r w:rsidRPr="007B04E0">
        <w:rPr>
          <w:rFonts w:hint="cs"/>
          <w:rtl/>
        </w:rPr>
        <w:t xml:space="preserve"> "ב</w:t>
      </w:r>
      <w:r w:rsidRPr="007B04E0">
        <w:rPr>
          <w:rFonts w:hint="eastAsia"/>
          <w:rtl/>
        </w:rPr>
        <w:t>אופן</w:t>
      </w:r>
      <w:r w:rsidRPr="007B04E0">
        <w:rPr>
          <w:rtl/>
        </w:rPr>
        <w:t xml:space="preserve"> </w:t>
      </w:r>
      <w:r w:rsidRPr="007B04E0">
        <w:rPr>
          <w:rFonts w:hint="eastAsia"/>
          <w:rtl/>
        </w:rPr>
        <w:t>מובהק</w:t>
      </w:r>
      <w:r w:rsidRPr="007B04E0">
        <w:rPr>
          <w:rtl/>
        </w:rPr>
        <w:t xml:space="preserve"> </w:t>
      </w:r>
      <w:r w:rsidRPr="007B04E0">
        <w:rPr>
          <w:rFonts w:hint="eastAsia"/>
          <w:rtl/>
        </w:rPr>
        <w:t>השתמש</w:t>
      </w:r>
      <w:r w:rsidRPr="007B04E0">
        <w:rPr>
          <w:rtl/>
        </w:rPr>
        <w:t xml:space="preserve"> </w:t>
      </w:r>
      <w:r w:rsidRPr="007B04E0">
        <w:rPr>
          <w:rFonts w:hint="eastAsia"/>
          <w:rtl/>
        </w:rPr>
        <w:t>הפרלמנט</w:t>
      </w:r>
      <w:r w:rsidRPr="007B04E0">
        <w:rPr>
          <w:rtl/>
        </w:rPr>
        <w:t xml:space="preserve"> </w:t>
      </w:r>
      <w:r w:rsidRPr="007B04E0">
        <w:rPr>
          <w:rFonts w:hint="eastAsia"/>
          <w:rtl/>
        </w:rPr>
        <w:t>בסמכותו</w:t>
      </w:r>
      <w:r w:rsidRPr="007B04E0">
        <w:rPr>
          <w:rtl/>
        </w:rPr>
        <w:t xml:space="preserve"> </w:t>
      </w:r>
      <w:r w:rsidRPr="007B04E0">
        <w:rPr>
          <w:rFonts w:hint="eastAsia"/>
          <w:rtl/>
        </w:rPr>
        <w:t>המכוננת</w:t>
      </w:r>
      <w:r w:rsidRPr="007B04E0">
        <w:rPr>
          <w:rtl/>
        </w:rPr>
        <w:t xml:space="preserve"> </w:t>
      </w:r>
      <w:r w:rsidRPr="007B04E0">
        <w:rPr>
          <w:rFonts w:hint="eastAsia"/>
          <w:rtl/>
        </w:rPr>
        <w:t>לחקיקה</w:t>
      </w:r>
      <w:r w:rsidRPr="007B04E0">
        <w:rPr>
          <w:rtl/>
        </w:rPr>
        <w:t xml:space="preserve"> </w:t>
      </w:r>
      <w:r w:rsidRPr="007B04E0">
        <w:rPr>
          <w:rFonts w:hint="eastAsia"/>
          <w:rtl/>
        </w:rPr>
        <w:t>בחוק</w:t>
      </w:r>
      <w:r w:rsidRPr="007B04E0">
        <w:rPr>
          <w:rtl/>
        </w:rPr>
        <w:t xml:space="preserve"> </w:t>
      </w:r>
      <w:r w:rsidRPr="007B04E0">
        <w:rPr>
          <w:rFonts w:hint="eastAsia"/>
          <w:rtl/>
        </w:rPr>
        <w:t>יסוד</w:t>
      </w:r>
      <w:r w:rsidRPr="007B04E0">
        <w:rPr>
          <w:rtl/>
        </w:rPr>
        <w:t xml:space="preserve"> </w:t>
      </w:r>
      <w:r w:rsidRPr="007B04E0">
        <w:rPr>
          <w:rFonts w:hint="eastAsia"/>
          <w:rtl/>
        </w:rPr>
        <w:t>שכלל</w:t>
      </w:r>
      <w:r w:rsidRPr="007B04E0">
        <w:rPr>
          <w:rtl/>
        </w:rPr>
        <w:t xml:space="preserve"> </w:t>
      </w:r>
      <w:r w:rsidRPr="007B04E0">
        <w:rPr>
          <w:rFonts w:hint="eastAsia"/>
          <w:rtl/>
        </w:rPr>
        <w:t>אינה</w:t>
      </w:r>
      <w:r w:rsidRPr="007B04E0">
        <w:rPr>
          <w:rFonts w:hint="cs"/>
          <w:rtl/>
        </w:rPr>
        <w:t xml:space="preserve"> </w:t>
      </w:r>
      <w:r w:rsidRPr="007B04E0">
        <w:rPr>
          <w:rFonts w:hint="eastAsia"/>
          <w:rtl/>
        </w:rPr>
        <w:t>שייכת</w:t>
      </w:r>
      <w:r w:rsidRPr="007B04E0">
        <w:rPr>
          <w:rtl/>
        </w:rPr>
        <w:t xml:space="preserve"> </w:t>
      </w:r>
      <w:r w:rsidRPr="007B04E0">
        <w:rPr>
          <w:rFonts w:hint="eastAsia"/>
          <w:rtl/>
        </w:rPr>
        <w:t>במהותה</w:t>
      </w:r>
      <w:r w:rsidRPr="007B04E0">
        <w:rPr>
          <w:rtl/>
        </w:rPr>
        <w:t xml:space="preserve"> </w:t>
      </w:r>
      <w:r w:rsidRPr="007B04E0">
        <w:rPr>
          <w:rFonts w:hint="eastAsia"/>
          <w:rtl/>
        </w:rPr>
        <w:t>לחקיקת</w:t>
      </w:r>
      <w:r w:rsidRPr="007B04E0">
        <w:rPr>
          <w:rtl/>
        </w:rPr>
        <w:t xml:space="preserve"> </w:t>
      </w:r>
      <w:r w:rsidRPr="007B04E0">
        <w:rPr>
          <w:rFonts w:hint="eastAsia"/>
          <w:rtl/>
        </w:rPr>
        <w:t>יסוד</w:t>
      </w:r>
      <w:r w:rsidRPr="007B04E0">
        <w:rPr>
          <w:rFonts w:hint="cs"/>
          <w:rtl/>
        </w:rPr>
        <w:t>"</w:t>
      </w:r>
      <w:r w:rsidRPr="007B04E0">
        <w:rPr>
          <w:rtl/>
        </w:rPr>
        <w:t>.</w:t>
      </w:r>
      <w:r w:rsidRPr="007B04E0">
        <w:rPr>
          <w:rFonts w:hint="cs"/>
          <w:rtl/>
        </w:rPr>
        <w:t xml:space="preserve"> ראש הממשלה מוסיף כי אין פסול עקרוני בתי</w:t>
      </w:r>
      <w:r>
        <w:rPr>
          <w:rFonts w:hint="cs"/>
          <w:rtl/>
        </w:rPr>
        <w:t xml:space="preserve">קון חוקי יסוד לצורך כינון ממשלה; </w:t>
      </w:r>
      <w:r w:rsidRPr="007B04E0">
        <w:rPr>
          <w:rFonts w:hint="cs"/>
          <w:rtl/>
        </w:rPr>
        <w:t xml:space="preserve">כי הדבר נעשה מספר פעמים בעבר; וכי באופן דומה אין מניעה לחוקק חוק רטרוספקטיבי, כל עוד האופי </w:t>
      </w:r>
      <w:r w:rsidRPr="007B04E0">
        <w:rPr>
          <w:rFonts w:hint="cs"/>
          <w:rtl/>
        </w:rPr>
        <w:lastRenderedPageBreak/>
        <w:t xml:space="preserve">הרטרוספקטיבי נקבע במפורש על ידי המחוקק או המכונן. לטענתו, המהירות שבה נחקק התיקון אינה מהווה </w:t>
      </w:r>
      <w:r>
        <w:rPr>
          <w:rFonts w:hint="cs"/>
          <w:rtl/>
        </w:rPr>
        <w:t xml:space="preserve">במקרה זה </w:t>
      </w:r>
      <w:r w:rsidRPr="007B04E0">
        <w:rPr>
          <w:rFonts w:hint="cs"/>
          <w:rtl/>
        </w:rPr>
        <w:t xml:space="preserve">פגם מהותי היורד לשורש הליך החקיקה, והוא מדגיש כי ההליך נוהל באופן "סדור ומקיף", תוך כיבוד זכות ההשתתפות של חברי הכנסת. </w:t>
      </w:r>
    </w:p>
    <w:p w14:paraId="2EA36CFB" w14:textId="77777777" w:rsidR="0040186B" w:rsidRPr="007B04E0" w:rsidRDefault="0040186B" w:rsidP="00C634DC">
      <w:pPr>
        <w:pStyle w:val="Ruller4"/>
        <w:numPr>
          <w:ilvl w:val="0"/>
          <w:numId w:val="0"/>
        </w:numPr>
        <w:rPr>
          <w:rtl/>
        </w:rPr>
      </w:pPr>
    </w:p>
    <w:p w14:paraId="4E98A563" w14:textId="77777777" w:rsidR="0040186B" w:rsidRPr="007B04E0" w:rsidRDefault="0040186B" w:rsidP="00C634DC">
      <w:pPr>
        <w:pStyle w:val="Ruller4"/>
        <w:numPr>
          <w:ilvl w:val="0"/>
          <w:numId w:val="0"/>
        </w:numPr>
        <w:rPr>
          <w:rtl/>
        </w:rPr>
      </w:pPr>
      <w:r w:rsidRPr="007B04E0">
        <w:rPr>
          <w:rtl/>
        </w:rPr>
        <w:tab/>
      </w:r>
      <w:r w:rsidRPr="007B04E0">
        <w:rPr>
          <w:rFonts w:hint="cs"/>
          <w:rtl/>
        </w:rPr>
        <w:t>ראש הממשלה מוסיף וטוען כי היקף הביקורת השיפוטית על החלטת הכנסת להביע אמון בממשלה ולהעניק תוקף למינוי שריהּ הוא "</w:t>
      </w:r>
      <w:r w:rsidRPr="007B04E0">
        <w:rPr>
          <w:rFonts w:hint="eastAsia"/>
          <w:rtl/>
        </w:rPr>
        <w:t>צר</w:t>
      </w:r>
      <w:r w:rsidRPr="007B04E0">
        <w:rPr>
          <w:rtl/>
        </w:rPr>
        <w:t xml:space="preserve"> </w:t>
      </w:r>
      <w:r w:rsidRPr="007B04E0">
        <w:rPr>
          <w:rFonts w:hint="eastAsia"/>
          <w:rtl/>
        </w:rPr>
        <w:t>ומצומצם</w:t>
      </w:r>
      <w:r w:rsidRPr="007B04E0">
        <w:rPr>
          <w:rtl/>
        </w:rPr>
        <w:t xml:space="preserve"> – </w:t>
      </w:r>
      <w:r w:rsidRPr="007B04E0">
        <w:rPr>
          <w:rFonts w:hint="eastAsia"/>
          <w:rtl/>
        </w:rPr>
        <w:t>אם</w:t>
      </w:r>
      <w:r w:rsidRPr="007B04E0">
        <w:rPr>
          <w:rtl/>
        </w:rPr>
        <w:t xml:space="preserve"> </w:t>
      </w:r>
      <w:r w:rsidRPr="007B04E0">
        <w:rPr>
          <w:rFonts w:hint="eastAsia"/>
          <w:rtl/>
        </w:rPr>
        <w:t>בכלל</w:t>
      </w:r>
      <w:r w:rsidRPr="007B04E0">
        <w:rPr>
          <w:rtl/>
        </w:rPr>
        <w:t xml:space="preserve"> </w:t>
      </w:r>
      <w:r w:rsidRPr="007B04E0">
        <w:rPr>
          <w:rFonts w:hint="eastAsia"/>
          <w:rtl/>
        </w:rPr>
        <w:t>קיים</w:t>
      </w:r>
      <w:r w:rsidRPr="007B04E0">
        <w:rPr>
          <w:rFonts w:hint="cs"/>
          <w:rtl/>
        </w:rPr>
        <w:t xml:space="preserve">", וכי ענייננו אינו נמנה עם אותם מקרים חריגים המצדיקים התערבות במינוי שר. </w:t>
      </w:r>
      <w:r w:rsidRPr="007B04E0">
        <w:rPr>
          <w:rFonts w:ascii="Century" w:hAnsi="Century" w:hint="cs"/>
          <w:sz w:val="22"/>
          <w:rtl/>
        </w:rPr>
        <w:t>ראש הממשלה</w:t>
      </w:r>
      <w:r w:rsidRPr="007B04E0">
        <w:rPr>
          <w:rFonts w:hint="cs"/>
          <w:rtl/>
        </w:rPr>
        <w:t xml:space="preserve"> מדגיש כי בעקבות חקיקת התיקון נושא העתירות דנן אין מחלוקת שדרעי עומד בתנאי הכשירות לכהונה כשר בממשלה, ועובדה זו מקרינה על סבירות ההחלטה למנותו לתפקיד שר. עוד נטען כי מינויו של דרעי סביר, בהינתן הצורך ביציבות שלטונית לאחר המשבר הפוליטי של השנים האחרונות; </w:t>
      </w:r>
      <w:r w:rsidRPr="007B04E0">
        <w:rPr>
          <w:rFonts w:ascii="Century" w:hAnsi="Century" w:hint="cs"/>
          <w:sz w:val="22"/>
          <w:rtl/>
        </w:rPr>
        <w:t xml:space="preserve">העובדה שלמעלה מ-2.3 מיליון איש הצביעו למפלגות הקואליציה "מתוך </w:t>
      </w:r>
      <w:r w:rsidRPr="007B04E0">
        <w:rPr>
          <w:rFonts w:ascii="Century" w:hAnsi="Century" w:hint="eastAsia"/>
          <w:sz w:val="22"/>
          <w:rtl/>
        </w:rPr>
        <w:t>ידיעה</w:t>
      </w:r>
      <w:r w:rsidRPr="007B04E0">
        <w:rPr>
          <w:rFonts w:ascii="Century" w:hAnsi="Century"/>
          <w:sz w:val="22"/>
          <w:rtl/>
        </w:rPr>
        <w:t xml:space="preserve"> </w:t>
      </w:r>
      <w:r w:rsidRPr="007B04E0">
        <w:rPr>
          <w:rFonts w:ascii="Century" w:hAnsi="Century" w:hint="eastAsia"/>
          <w:sz w:val="22"/>
          <w:rtl/>
        </w:rPr>
        <w:t>ברורה</w:t>
      </w:r>
      <w:r w:rsidRPr="007B04E0">
        <w:rPr>
          <w:rFonts w:ascii="Century" w:hAnsi="Century"/>
          <w:sz w:val="22"/>
          <w:rtl/>
        </w:rPr>
        <w:t xml:space="preserve"> </w:t>
      </w:r>
      <w:r w:rsidRPr="007B04E0">
        <w:rPr>
          <w:rFonts w:ascii="Century" w:hAnsi="Century" w:hint="cs"/>
          <w:sz w:val="22"/>
          <w:rtl/>
        </w:rPr>
        <w:t>[...] ש</w:t>
      </w:r>
      <w:r w:rsidRPr="007B04E0">
        <w:rPr>
          <w:rFonts w:ascii="Century" w:hAnsi="Century" w:hint="eastAsia"/>
          <w:sz w:val="22"/>
          <w:rtl/>
        </w:rPr>
        <w:t>הרב</w:t>
      </w:r>
      <w:r w:rsidRPr="007B04E0">
        <w:rPr>
          <w:rFonts w:ascii="Century" w:hAnsi="Century"/>
          <w:sz w:val="22"/>
          <w:rtl/>
        </w:rPr>
        <w:t xml:space="preserve"> </w:t>
      </w:r>
      <w:r w:rsidRPr="007B04E0">
        <w:rPr>
          <w:rFonts w:ascii="Century" w:hAnsi="Century" w:hint="eastAsia"/>
          <w:sz w:val="22"/>
          <w:rtl/>
        </w:rPr>
        <w:t>דרעי</w:t>
      </w:r>
      <w:r w:rsidRPr="007B04E0">
        <w:rPr>
          <w:rFonts w:ascii="Century" w:hAnsi="Century"/>
          <w:sz w:val="22"/>
          <w:rtl/>
        </w:rPr>
        <w:t xml:space="preserve"> </w:t>
      </w:r>
      <w:r w:rsidRPr="007B04E0">
        <w:rPr>
          <w:rFonts w:ascii="Century" w:hAnsi="Century" w:hint="eastAsia"/>
          <w:sz w:val="22"/>
          <w:rtl/>
        </w:rPr>
        <w:t>ישמש</w:t>
      </w:r>
      <w:r w:rsidRPr="007B04E0">
        <w:rPr>
          <w:rFonts w:ascii="Century" w:hAnsi="Century"/>
          <w:sz w:val="22"/>
          <w:rtl/>
        </w:rPr>
        <w:t xml:space="preserve"> </w:t>
      </w:r>
      <w:r w:rsidRPr="007B04E0">
        <w:rPr>
          <w:rFonts w:ascii="Century" w:hAnsi="Century" w:hint="eastAsia"/>
          <w:sz w:val="22"/>
          <w:rtl/>
        </w:rPr>
        <w:t>כשר</w:t>
      </w:r>
      <w:r w:rsidRPr="007B04E0">
        <w:rPr>
          <w:rFonts w:ascii="Century" w:hAnsi="Century"/>
          <w:sz w:val="22"/>
          <w:rtl/>
        </w:rPr>
        <w:t xml:space="preserve"> </w:t>
      </w:r>
      <w:r w:rsidRPr="007B04E0">
        <w:rPr>
          <w:rFonts w:hint="eastAsia"/>
          <w:rtl/>
        </w:rPr>
        <w:t>בממשלה</w:t>
      </w:r>
      <w:r w:rsidRPr="007B04E0">
        <w:rPr>
          <w:rFonts w:hint="cs"/>
          <w:rtl/>
        </w:rPr>
        <w:t xml:space="preserve">"; הצורך להתחשב ברצון הסיעות בעת הרכבת הממשלה; והעובדה שדרעי הוא השר הוותיק בממשלה אשר מחזיק בניסיון רב </w:t>
      </w:r>
      <w:r w:rsidRPr="007B04E0">
        <w:rPr>
          <w:rFonts w:hint="eastAsia"/>
          <w:rtl/>
        </w:rPr>
        <w:t>כשַׂר</w:t>
      </w:r>
      <w:r w:rsidRPr="007B04E0">
        <w:rPr>
          <w:rFonts w:hint="cs"/>
          <w:rtl/>
        </w:rPr>
        <w:t xml:space="preserve">. לבסוף, מדגיש ראש הממשלה כי קיומו של עבר פלילי אינו פוסל כשלעצמו את מינויו של מועמד וכי בענייננו, העבירות שבהן הורשע דרעי </w:t>
      </w:r>
      <w:r>
        <w:rPr>
          <w:rFonts w:hint="cs"/>
          <w:rtl/>
        </w:rPr>
        <w:t xml:space="preserve">לאחרונה </w:t>
      </w:r>
      <w:r w:rsidRPr="007B04E0">
        <w:rPr>
          <w:rFonts w:hint="cs"/>
          <w:rtl/>
        </w:rPr>
        <w:t>מצויות "ברף התחתון" של עבירות המיסים</w:t>
      </w:r>
      <w:r>
        <w:rPr>
          <w:rFonts w:hint="cs"/>
          <w:rtl/>
        </w:rPr>
        <w:t xml:space="preserve">; הן נוגעות לאירועים שהתרחשו לפני עשור; </w:t>
      </w:r>
      <w:r w:rsidRPr="007B04E0">
        <w:rPr>
          <w:rFonts w:hint="cs"/>
          <w:rtl/>
        </w:rPr>
        <w:t>המשרה הציבורית לא שימשה כלי לביצוע העביר</w:t>
      </w:r>
      <w:r>
        <w:rPr>
          <w:rFonts w:hint="cs"/>
          <w:rtl/>
        </w:rPr>
        <w:t>ות;</w:t>
      </w:r>
      <w:r w:rsidRPr="007B04E0">
        <w:rPr>
          <w:rFonts w:hint="cs"/>
          <w:rtl/>
        </w:rPr>
        <w:t xml:space="preserve"> ודרעי הביע חרטה בגין ביצוען. ראש הממשלה מוסיף כי דרעי ריצה זה מכבר את עונשו בגין העבירות הישנות שבהן הורשע וכי הרישום הפלילי לגביהן נמחק בהתאם להוראות </w:t>
      </w:r>
      <w:r w:rsidRPr="007B04E0">
        <w:rPr>
          <w:rtl/>
        </w:rPr>
        <w:t xml:space="preserve">חוק המידע הפלילי ותקנת השבים, </w:t>
      </w:r>
      <w:r w:rsidRPr="007B04E0">
        <w:rPr>
          <w:rFonts w:hint="cs"/>
          <w:rtl/>
        </w:rPr>
        <w:t>ה</w:t>
      </w:r>
      <w:r w:rsidRPr="007B04E0">
        <w:rPr>
          <w:rtl/>
        </w:rPr>
        <w:t>תשע"ט-2019</w:t>
      </w:r>
      <w:r w:rsidRPr="007B04E0">
        <w:rPr>
          <w:rFonts w:hint="cs"/>
          <w:rtl/>
        </w:rPr>
        <w:t xml:space="preserve"> (להלן: </w:t>
      </w:r>
      <w:r w:rsidRPr="007B04E0">
        <w:rPr>
          <w:rFonts w:ascii="Century" w:hAnsi="Century" w:cs="Miriam" w:hint="cs"/>
          <w:b/>
          <w:spacing w:val="0"/>
          <w:sz w:val="22"/>
          <w:szCs w:val="24"/>
          <w:rtl/>
        </w:rPr>
        <w:t>חוק המידע הפלילי</w:t>
      </w:r>
      <w:r w:rsidRPr="007B04E0">
        <w:rPr>
          <w:rFonts w:hint="cs"/>
          <w:rtl/>
        </w:rPr>
        <w:t>), ומשכך אין להביא</w:t>
      </w:r>
      <w:r>
        <w:rPr>
          <w:rFonts w:hint="cs"/>
          <w:rtl/>
        </w:rPr>
        <w:t>ן</w:t>
      </w:r>
      <w:r w:rsidRPr="007B04E0">
        <w:rPr>
          <w:rFonts w:hint="cs"/>
          <w:rtl/>
        </w:rPr>
        <w:t xml:space="preserve"> בחשבון. </w:t>
      </w:r>
    </w:p>
    <w:p w14:paraId="510D9663" w14:textId="77777777" w:rsidR="0040186B" w:rsidRPr="007B04E0" w:rsidRDefault="0040186B" w:rsidP="00C634DC">
      <w:pPr>
        <w:pStyle w:val="Ruller41"/>
        <w:rPr>
          <w:rtl/>
        </w:rPr>
      </w:pPr>
    </w:p>
    <w:p w14:paraId="114F427D" w14:textId="77777777" w:rsidR="0040186B" w:rsidRPr="007B04E0" w:rsidRDefault="0040186B" w:rsidP="005F31D1">
      <w:pPr>
        <w:pStyle w:val="Ruller4"/>
        <w:rPr>
          <w:rFonts w:ascii="Century" w:hAnsi="Century"/>
          <w:sz w:val="22"/>
        </w:rPr>
      </w:pPr>
      <w:r w:rsidRPr="007B04E0">
        <w:rPr>
          <w:rFonts w:ascii="Century" w:hAnsi="Century" w:hint="cs"/>
          <w:sz w:val="22"/>
          <w:rtl/>
        </w:rPr>
        <w:t>דרעי טוען אף הוא כי דין העתירות להידחות. לטענתו, הוא היה כשיר להתמנות לתפקיד שר בממשלה עוד טרם תיקון מס' 11. זאת, שכן גם לפי סעיף 6(ג) לחוק היסוד בנוסחו הקודם,</w:t>
      </w:r>
      <w:r w:rsidR="00041657">
        <w:rPr>
          <w:rFonts w:ascii="Century" w:hAnsi="Century" w:hint="cs"/>
          <w:sz w:val="22"/>
          <w:rtl/>
        </w:rPr>
        <w:t xml:space="preserve"> לא נדרש לפנות ליו"ר ועדת הבחירות על מנת שיקבע בעניינו</w:t>
      </w:r>
      <w:r w:rsidRPr="007B04E0">
        <w:rPr>
          <w:rFonts w:ascii="Century" w:hAnsi="Century" w:hint="cs"/>
          <w:sz w:val="22"/>
          <w:rtl/>
        </w:rPr>
        <w:t xml:space="preserve"> </w:t>
      </w:r>
      <w:r w:rsidR="00041657">
        <w:rPr>
          <w:rFonts w:ascii="Century" w:hAnsi="Century" w:hint="cs"/>
          <w:sz w:val="22"/>
          <w:rtl/>
        </w:rPr>
        <w:t xml:space="preserve">של מי </w:t>
      </w:r>
      <w:r w:rsidRPr="007B04E0">
        <w:rPr>
          <w:rFonts w:ascii="Century" w:hAnsi="Century" w:hint="cs"/>
          <w:sz w:val="22"/>
          <w:rtl/>
        </w:rPr>
        <w:t>שהורשע בעב</w:t>
      </w:r>
      <w:r w:rsidR="00041657">
        <w:rPr>
          <w:rFonts w:ascii="Century" w:hAnsi="Century" w:hint="cs"/>
          <w:sz w:val="22"/>
          <w:rtl/>
        </w:rPr>
        <w:t xml:space="preserve">ירה פלילית ונידון למאסר על תנאי, </w:t>
      </w:r>
      <w:r w:rsidRPr="007B04E0">
        <w:rPr>
          <w:rFonts w:ascii="Century" w:hAnsi="Century" w:hint="cs"/>
          <w:sz w:val="22"/>
          <w:rtl/>
        </w:rPr>
        <w:t xml:space="preserve">כי אין בעבירה משום קלון. נטען כי פרשנות זו נלמדת, בין היתר, מלשונו המפורשת של חוק היסוד טרם התיקון, אשר מתייחסת למניין תקופת אי הכשירות של </w:t>
      </w:r>
      <w:r w:rsidR="006206A6">
        <w:rPr>
          <w:rFonts w:ascii="Century" w:hAnsi="Century" w:hint="cs"/>
          <w:sz w:val="22"/>
          <w:rtl/>
        </w:rPr>
        <w:t>שבע</w:t>
      </w:r>
      <w:r w:rsidR="006206A6" w:rsidRPr="007B04E0">
        <w:rPr>
          <w:rFonts w:ascii="Century" w:hAnsi="Century" w:hint="cs"/>
          <w:sz w:val="22"/>
          <w:rtl/>
        </w:rPr>
        <w:t xml:space="preserve"> </w:t>
      </w:r>
      <w:r w:rsidRPr="007B04E0">
        <w:rPr>
          <w:rFonts w:ascii="Century" w:hAnsi="Century" w:hint="cs"/>
          <w:sz w:val="22"/>
          <w:rtl/>
        </w:rPr>
        <w:t xml:space="preserve">שנים "מהיום שגמר </w:t>
      </w:r>
      <w:r w:rsidRPr="007B04E0">
        <w:rPr>
          <w:rFonts w:ascii="Century" w:hAnsi="Century" w:cs="Miriam" w:hint="cs"/>
          <w:b/>
          <w:spacing w:val="0"/>
          <w:sz w:val="22"/>
          <w:szCs w:val="24"/>
          <w:rtl/>
        </w:rPr>
        <w:t>לרצות</w:t>
      </w:r>
      <w:r w:rsidRPr="007B04E0">
        <w:rPr>
          <w:rFonts w:ascii="Century" w:hAnsi="Century" w:hint="cs"/>
          <w:sz w:val="22"/>
          <w:rtl/>
        </w:rPr>
        <w:t xml:space="preserve"> את עונש המאסר או מיום מתן פסק הדין, </w:t>
      </w:r>
      <w:r w:rsidRPr="007B04E0">
        <w:rPr>
          <w:rFonts w:ascii="Century" w:hAnsi="Century" w:cs="Miriam" w:hint="cs"/>
          <w:b/>
          <w:spacing w:val="0"/>
          <w:sz w:val="22"/>
          <w:szCs w:val="24"/>
          <w:rtl/>
        </w:rPr>
        <w:t>לפי המאוחר</w:t>
      </w:r>
      <w:r w:rsidRPr="007B04E0">
        <w:rPr>
          <w:rFonts w:ascii="Century" w:hAnsi="Century" w:hint="cs"/>
          <w:sz w:val="22"/>
          <w:rtl/>
        </w:rPr>
        <w:t xml:space="preserve">". דרעי עומד על כך שהתיקון לחוק היסוד נושא את המאפיינים הצורניים ואת סימני ההיכר של נורמה חוקתית וכי ההבהרה שהוספה בתיקון איננה נטע זר, ויש לה צידוק מלא. לשיטתו, משלא הוטל עליו מאסר בפועל, לא קמה לחובתו "חזקת הקלון" הקבועה בהוראת סעיף 6(ג) לחוק היסוד, ובהתאם גם לא קמה חובה כלשהי על ראש הממשלה לפנות בעניין זה ליו"ר ועדת הבחירות, על מנת שיקבע אם דבק </w:t>
      </w:r>
      <w:r>
        <w:rPr>
          <w:rFonts w:ascii="Century" w:hAnsi="Century" w:hint="cs"/>
          <w:sz w:val="22"/>
          <w:rtl/>
        </w:rPr>
        <w:t xml:space="preserve">קלון </w:t>
      </w:r>
      <w:r w:rsidRPr="007B04E0">
        <w:rPr>
          <w:rFonts w:ascii="Century" w:hAnsi="Century" w:hint="cs"/>
          <w:sz w:val="22"/>
          <w:rtl/>
        </w:rPr>
        <w:t xml:space="preserve">בעבירות </w:t>
      </w:r>
      <w:r>
        <w:rPr>
          <w:rFonts w:ascii="Century" w:hAnsi="Century" w:hint="cs"/>
          <w:sz w:val="22"/>
          <w:rtl/>
        </w:rPr>
        <w:t>ש</w:t>
      </w:r>
      <w:r w:rsidRPr="007B04E0">
        <w:rPr>
          <w:rFonts w:ascii="Century" w:hAnsi="Century" w:hint="cs"/>
          <w:sz w:val="22"/>
          <w:rtl/>
        </w:rPr>
        <w:t xml:space="preserve">בהן הורשע. דרעי מוסיף וטוען כי </w:t>
      </w:r>
      <w:r w:rsidRPr="007B04E0">
        <w:rPr>
          <w:rFonts w:ascii="Century" w:hAnsi="Century" w:hint="cs"/>
          <w:sz w:val="22"/>
          <w:rtl/>
        </w:rPr>
        <w:lastRenderedPageBreak/>
        <w:t xml:space="preserve">אין כל יסוד לטענה בדבר מצג שווא שהציג כלפי בית משפט השלום בירושלים בעניין פרישתו מהכנסת לצמיתות ומדגיש כי התפטרותו מהכנסת הקודמת לא הייתה חלק מהסדר טיעון שהושג עימו, ולא נעשתה לדרישת היועץ המשפטי לממשלה. </w:t>
      </w:r>
    </w:p>
    <w:p w14:paraId="28B665D1" w14:textId="77777777" w:rsidR="0040186B" w:rsidRPr="007B04E0" w:rsidRDefault="0040186B" w:rsidP="00C634DC">
      <w:pPr>
        <w:pStyle w:val="Ruller4"/>
        <w:numPr>
          <w:ilvl w:val="0"/>
          <w:numId w:val="0"/>
        </w:numPr>
        <w:rPr>
          <w:rFonts w:ascii="Century" w:hAnsi="Century"/>
          <w:sz w:val="22"/>
          <w:rtl/>
        </w:rPr>
      </w:pPr>
    </w:p>
    <w:p w14:paraId="786CC370" w14:textId="77777777" w:rsidR="0040186B" w:rsidRPr="007B04E0" w:rsidRDefault="0040186B" w:rsidP="00890E72">
      <w:pPr>
        <w:pStyle w:val="Ruller4"/>
        <w:numPr>
          <w:ilvl w:val="0"/>
          <w:numId w:val="0"/>
        </w:numPr>
        <w:rPr>
          <w:rFonts w:ascii="Century" w:hAnsi="Century"/>
          <w:sz w:val="22"/>
          <w:rtl/>
        </w:rPr>
      </w:pPr>
      <w:r w:rsidRPr="007B04E0">
        <w:rPr>
          <w:rFonts w:ascii="Century" w:hAnsi="Century"/>
          <w:sz w:val="22"/>
          <w:rtl/>
        </w:rPr>
        <w:tab/>
      </w:r>
      <w:r w:rsidRPr="007B04E0">
        <w:rPr>
          <w:rFonts w:hint="cs"/>
          <w:rtl/>
        </w:rPr>
        <w:t xml:space="preserve">לבסוף, טוען דרעי כי מינויו </w:t>
      </w:r>
      <w:r w:rsidR="00D8714C">
        <w:rPr>
          <w:rFonts w:hint="cs"/>
          <w:rtl/>
        </w:rPr>
        <w:t>ל</w:t>
      </w:r>
      <w:r w:rsidR="00D8714C" w:rsidRPr="007B04E0">
        <w:rPr>
          <w:rFonts w:hint="cs"/>
          <w:rtl/>
        </w:rPr>
        <w:t xml:space="preserve">שר </w:t>
      </w:r>
      <w:r w:rsidRPr="007B04E0">
        <w:rPr>
          <w:rFonts w:hint="cs"/>
          <w:rtl/>
        </w:rPr>
        <w:t xml:space="preserve">צולח גם את מבחני הסבירות. בהקשר זה הוא מציין כי העבירות שבהן הורשע ב"תיק האישי" </w:t>
      </w:r>
      <w:proofErr w:type="spellStart"/>
      <w:r w:rsidRPr="007B04E0">
        <w:rPr>
          <w:rFonts w:hint="cs"/>
          <w:rtl/>
        </w:rPr>
        <w:t>וב"תיק</w:t>
      </w:r>
      <w:proofErr w:type="spellEnd"/>
      <w:r w:rsidRPr="007B04E0">
        <w:rPr>
          <w:rFonts w:hint="cs"/>
          <w:rtl/>
        </w:rPr>
        <w:t xml:space="preserve"> הציבורי" נמחקו בהתאם לחוק המידע הפלילי ואין </w:t>
      </w:r>
      <w:r>
        <w:rPr>
          <w:rFonts w:hint="cs"/>
          <w:rtl/>
        </w:rPr>
        <w:t xml:space="preserve">להביאן </w:t>
      </w:r>
      <w:r w:rsidRPr="007B04E0">
        <w:rPr>
          <w:rFonts w:hint="cs"/>
          <w:rtl/>
        </w:rPr>
        <w:t xml:space="preserve">במניין השיקולים </w:t>
      </w:r>
      <w:r>
        <w:rPr>
          <w:rFonts w:hint="cs"/>
          <w:rtl/>
        </w:rPr>
        <w:t>הנוגעים</w:t>
      </w:r>
      <w:r w:rsidRPr="007B04E0">
        <w:rPr>
          <w:rFonts w:hint="cs"/>
          <w:rtl/>
        </w:rPr>
        <w:t xml:space="preserve"> למינויו </w:t>
      </w:r>
      <w:r w:rsidR="00D8714C">
        <w:rPr>
          <w:rFonts w:hint="cs"/>
          <w:rtl/>
        </w:rPr>
        <w:t>ל</w:t>
      </w:r>
      <w:r w:rsidR="00D8714C" w:rsidRPr="007B04E0">
        <w:rPr>
          <w:rFonts w:hint="cs"/>
          <w:rtl/>
        </w:rPr>
        <w:t>שר</w:t>
      </w:r>
      <w:r w:rsidRPr="007B04E0">
        <w:rPr>
          <w:rFonts w:hint="cs"/>
          <w:rtl/>
        </w:rPr>
        <w:t xml:space="preserve">. עוד טוען דרעי כי אופי עבירות המס שבהן הורשע ונסיבות ביצוען כמו גם חלוף הזמן והעובדה שנטל אחריות מלאה לעבירות </w:t>
      </w:r>
      <w:r w:rsidRPr="007B04E0">
        <w:rPr>
          <w:rtl/>
        </w:rPr>
        <w:t>–</w:t>
      </w:r>
      <w:r w:rsidRPr="007B04E0">
        <w:rPr>
          <w:rFonts w:hint="cs"/>
          <w:rtl/>
        </w:rPr>
        <w:t xml:space="preserve"> מטים את הכף לטובת קביעה כי מינויו </w:t>
      </w:r>
      <w:r w:rsidR="00D8714C">
        <w:rPr>
          <w:rFonts w:hint="cs"/>
          <w:rtl/>
        </w:rPr>
        <w:t>ל</w:t>
      </w:r>
      <w:r w:rsidR="00D8714C" w:rsidRPr="007B04E0">
        <w:rPr>
          <w:rFonts w:hint="cs"/>
          <w:rtl/>
        </w:rPr>
        <w:t xml:space="preserve">שר </w:t>
      </w:r>
      <w:r w:rsidRPr="007B04E0">
        <w:rPr>
          <w:rFonts w:hint="cs"/>
          <w:rtl/>
        </w:rPr>
        <w:t xml:space="preserve">עומד </w:t>
      </w:r>
      <w:r>
        <w:rPr>
          <w:rFonts w:hint="cs"/>
          <w:rtl/>
        </w:rPr>
        <w:t>במבחן</w:t>
      </w:r>
      <w:r w:rsidRPr="007B04E0">
        <w:rPr>
          <w:rFonts w:hint="cs"/>
          <w:rtl/>
        </w:rPr>
        <w:t xml:space="preserve"> הסבירות. </w:t>
      </w:r>
      <w:r>
        <w:rPr>
          <w:rFonts w:hint="cs"/>
          <w:rtl/>
        </w:rPr>
        <w:t>כמו כן</w:t>
      </w:r>
      <w:r w:rsidRPr="007B04E0">
        <w:rPr>
          <w:rFonts w:hint="cs"/>
          <w:rtl/>
        </w:rPr>
        <w:t xml:space="preserve"> נטען </w:t>
      </w:r>
      <w:r>
        <w:rPr>
          <w:rFonts w:hint="cs"/>
          <w:rtl/>
        </w:rPr>
        <w:t>ש</w:t>
      </w:r>
      <w:r w:rsidRPr="007B04E0">
        <w:rPr>
          <w:rFonts w:hint="cs"/>
          <w:rtl/>
        </w:rPr>
        <w:t>התערבות בהחלטה בדבר מינויו של דרעי</w:t>
      </w:r>
      <w:r>
        <w:rPr>
          <w:rFonts w:hint="cs"/>
          <w:rtl/>
        </w:rPr>
        <w:t>,</w:t>
      </w:r>
      <w:r w:rsidRPr="007B04E0">
        <w:rPr>
          <w:rFonts w:hint="cs"/>
          <w:rtl/>
        </w:rPr>
        <w:t xml:space="preserve"> תהווה התערבות מרחיקת לכת בשיקול </w:t>
      </w:r>
      <w:r>
        <w:rPr>
          <w:rFonts w:hint="cs"/>
          <w:rtl/>
        </w:rPr>
        <w:t>הדעת</w:t>
      </w:r>
      <w:r w:rsidRPr="007B04E0">
        <w:rPr>
          <w:rFonts w:hint="cs"/>
          <w:rtl/>
        </w:rPr>
        <w:t xml:space="preserve"> הרחב </w:t>
      </w:r>
      <w:r>
        <w:rPr>
          <w:rFonts w:hint="cs"/>
          <w:rtl/>
        </w:rPr>
        <w:t>המסור</w:t>
      </w:r>
      <w:r w:rsidRPr="007B04E0">
        <w:rPr>
          <w:rFonts w:hint="cs"/>
          <w:rtl/>
        </w:rPr>
        <w:t xml:space="preserve"> </w:t>
      </w:r>
      <w:r>
        <w:rPr>
          <w:rFonts w:hint="cs"/>
          <w:rtl/>
        </w:rPr>
        <w:t>ל</w:t>
      </w:r>
      <w:r w:rsidRPr="007B04E0">
        <w:rPr>
          <w:rFonts w:hint="cs"/>
          <w:rtl/>
        </w:rPr>
        <w:t xml:space="preserve">ראש הממשלה בעניין הרכב ממשלתו ובהחלטת הכנסת אשר זה מקרוב הביעה אמון בממשלה; וכן תסכל את </w:t>
      </w:r>
      <w:r w:rsidRPr="007B04E0">
        <w:rPr>
          <w:rFonts w:ascii="Century" w:hAnsi="Century" w:hint="cs"/>
          <w:sz w:val="22"/>
          <w:rtl/>
        </w:rPr>
        <w:t>הצבעתם של אזרחי המדינה שהעניקו לש"ס 11 מנדטים</w:t>
      </w:r>
      <w:r>
        <w:rPr>
          <w:rFonts w:ascii="Century" w:hAnsi="Century" w:hint="cs"/>
          <w:sz w:val="22"/>
          <w:rtl/>
        </w:rPr>
        <w:t>,</w:t>
      </w:r>
      <w:r w:rsidRPr="007B04E0">
        <w:rPr>
          <w:rFonts w:ascii="Century" w:hAnsi="Century" w:hint="cs"/>
          <w:sz w:val="22"/>
          <w:rtl/>
        </w:rPr>
        <w:t xml:space="preserve"> תוך שהם מודעים לעברו הפלילי של דרעי</w:t>
      </w:r>
      <w:r w:rsidRPr="007B04E0">
        <w:rPr>
          <w:rFonts w:hint="cs"/>
          <w:rtl/>
        </w:rPr>
        <w:t xml:space="preserve">. </w:t>
      </w:r>
    </w:p>
    <w:p w14:paraId="7F928895" w14:textId="77777777" w:rsidR="0040186B" w:rsidRPr="007B04E0" w:rsidRDefault="0040186B" w:rsidP="00C634DC">
      <w:pPr>
        <w:pStyle w:val="Ruller41"/>
        <w:rPr>
          <w:rtl/>
        </w:rPr>
      </w:pPr>
    </w:p>
    <w:p w14:paraId="338EC7B9" w14:textId="77777777" w:rsidR="0040186B" w:rsidRPr="007B04E0" w:rsidRDefault="0040186B" w:rsidP="00C634DC">
      <w:pPr>
        <w:pStyle w:val="Ruller4"/>
        <w:rPr>
          <w:rtl/>
        </w:rPr>
      </w:pPr>
      <w:r w:rsidRPr="007B04E0">
        <w:rPr>
          <w:rFonts w:hint="cs"/>
          <w:rtl/>
        </w:rPr>
        <w:t>ש"ס טוענת</w:t>
      </w:r>
      <w:r>
        <w:rPr>
          <w:rFonts w:hint="cs"/>
          <w:rtl/>
        </w:rPr>
        <w:t xml:space="preserve"> אף היא</w:t>
      </w:r>
      <w:r w:rsidRPr="007B04E0">
        <w:rPr>
          <w:rFonts w:hint="cs"/>
          <w:rtl/>
        </w:rPr>
        <w:t xml:space="preserve"> כי לא נפל פגם בתיקון לחוק היסוד או במינויו של דרעי לשר.</w:t>
      </w:r>
      <w:r w:rsidRPr="007B04E0">
        <w:t xml:space="preserve"> </w:t>
      </w:r>
      <w:r w:rsidRPr="007B04E0">
        <w:rPr>
          <w:rFonts w:hint="cs"/>
          <w:rtl/>
        </w:rPr>
        <w:t xml:space="preserve">ש"ס מדגישה כי בבחירות האחרונות הצביעו למפלגה, שבראשה עומד דרעי, כ-400,000 אזרחים, שעשו זאת מתוך היכרות עם עברו הפלילי של דרעי ומתוך ידיעה שהוא ישמש שר בכיר בממשלה. ש"ס סבורה כי התיקון לחוק היסוד הינו תיקון "מבהיר", וזאת, בין היתר, בשים ללב ללשון חוק היסוד ולהוראות חוק העונשין, התשל"ז-1977 (להלן: </w:t>
      </w:r>
      <w:r w:rsidRPr="007B04E0">
        <w:rPr>
          <w:rFonts w:ascii="Century" w:hAnsi="Century" w:cs="Miriam" w:hint="eastAsia"/>
          <w:b/>
          <w:spacing w:val="0"/>
          <w:sz w:val="22"/>
          <w:szCs w:val="24"/>
          <w:rtl/>
        </w:rPr>
        <w:t>חוק</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העונשין</w:t>
      </w:r>
      <w:r w:rsidRPr="007B04E0">
        <w:rPr>
          <w:rFonts w:hint="cs"/>
          <w:rtl/>
        </w:rPr>
        <w:t>). עוד נטען כי התיקון לחוק היסוד אינו פרסונלי וצולח את המבחנים שנקבעו בפסיקה, וכי ביטול התיקון או המינוי יערערו את הממשלה שקמה זה עתה.</w:t>
      </w:r>
      <w:r w:rsidRPr="007B04E0">
        <w:t xml:space="preserve"> </w:t>
      </w:r>
      <w:r w:rsidRPr="007B04E0">
        <w:rPr>
          <w:rFonts w:hint="cs"/>
          <w:rtl/>
        </w:rPr>
        <w:t>לבסוף, נטען כי השימוש בעילת הסבירות לפסילת מינויו של דרעי, משמעו ביטול החלטת הכנסת שהביעה א</w:t>
      </w:r>
      <w:r>
        <w:rPr>
          <w:rFonts w:hint="cs"/>
          <w:rtl/>
        </w:rPr>
        <w:t xml:space="preserve">מון בממשלה וכן ביטול רצון הבוחר. לכן, כך נטען, יש לנקוט </w:t>
      </w:r>
      <w:r w:rsidRPr="007B04E0">
        <w:rPr>
          <w:rFonts w:hint="cs"/>
          <w:rtl/>
        </w:rPr>
        <w:t>משנה זהירות ב</w:t>
      </w:r>
      <w:r>
        <w:rPr>
          <w:rFonts w:hint="cs"/>
          <w:rtl/>
        </w:rPr>
        <w:t xml:space="preserve">כל </w:t>
      </w:r>
      <w:r w:rsidRPr="007B04E0">
        <w:rPr>
          <w:rFonts w:hint="cs"/>
          <w:rtl/>
        </w:rPr>
        <w:t>התערבות שיפוטית בנושא.</w:t>
      </w:r>
    </w:p>
    <w:p w14:paraId="0790C6F9" w14:textId="77777777" w:rsidR="0040186B" w:rsidRPr="007B04E0" w:rsidRDefault="0040186B" w:rsidP="00C634DC">
      <w:pPr>
        <w:pStyle w:val="Ruller41"/>
        <w:rPr>
          <w:rtl/>
        </w:rPr>
      </w:pPr>
    </w:p>
    <w:p w14:paraId="582DEBDD" w14:textId="77777777" w:rsidR="0040186B" w:rsidRDefault="0040186B" w:rsidP="00C634DC">
      <w:pPr>
        <w:pStyle w:val="Ruller4"/>
        <w:rPr>
          <w:rtl/>
        </w:rPr>
      </w:pPr>
      <w:r w:rsidRPr="007B04E0">
        <w:rPr>
          <w:rFonts w:hint="cs"/>
          <w:rtl/>
        </w:rPr>
        <w:t xml:space="preserve">אגודת ישראל בסיעת יהדות התורה וסיעת עוצמה יהודית טוענות בתשובותיהן כי התיקון לחוק היסוד הוא נורמה חוקתית הצולחת את המבחנים שנקבעו בפסיקה לעניין </w:t>
      </w:r>
    </w:p>
    <w:p w14:paraId="74BE59F8" w14:textId="77777777" w:rsidR="0040186B" w:rsidRPr="007B04E0" w:rsidRDefault="0040186B" w:rsidP="00C634DC">
      <w:pPr>
        <w:pStyle w:val="Ruller4"/>
        <w:numPr>
          <w:ilvl w:val="0"/>
          <w:numId w:val="0"/>
        </w:numPr>
      </w:pPr>
      <w:r w:rsidRPr="007B04E0">
        <w:rPr>
          <w:rFonts w:hint="cs"/>
          <w:rtl/>
        </w:rPr>
        <w:t xml:space="preserve">שימוש לרעה בסמכות המכוננת, </w:t>
      </w:r>
      <w:r>
        <w:rPr>
          <w:rFonts w:hint="cs"/>
          <w:rtl/>
        </w:rPr>
        <w:t>אשר נועד אך</w:t>
      </w:r>
      <w:r w:rsidRPr="007B04E0">
        <w:rPr>
          <w:rFonts w:ascii="Century" w:hAnsi="Century" w:hint="cs"/>
          <w:sz w:val="22"/>
          <w:rtl/>
        </w:rPr>
        <w:t xml:space="preserve"> להבהיר את תנאי הכשירות לכהונת שרים, כפי שהיו קיימים לפני התיקון.</w:t>
      </w:r>
      <w:r w:rsidRPr="007B04E0">
        <w:rPr>
          <w:rFonts w:hint="cs"/>
          <w:rtl/>
        </w:rPr>
        <w:t xml:space="preserve"> </w:t>
      </w:r>
      <w:r w:rsidRPr="007B04E0">
        <w:rPr>
          <w:rFonts w:ascii="Century" w:hAnsi="Century" w:hint="cs"/>
          <w:sz w:val="22"/>
          <w:rtl/>
        </w:rPr>
        <w:t xml:space="preserve">לעניין סבירות המינוי, נטען כי שיקול </w:t>
      </w:r>
      <w:r w:rsidR="006252F9">
        <w:rPr>
          <w:rFonts w:ascii="Century" w:hAnsi="Century" w:hint="cs"/>
          <w:sz w:val="22"/>
          <w:rtl/>
        </w:rPr>
        <w:t>ה</w:t>
      </w:r>
      <w:r w:rsidRPr="007B04E0">
        <w:rPr>
          <w:rFonts w:ascii="Century" w:hAnsi="Century" w:hint="cs"/>
          <w:sz w:val="22"/>
          <w:rtl/>
        </w:rPr>
        <w:t xml:space="preserve">דעת הנתון לראש הממשלה רחב ביותר וכי ביטול מינויו של דרעי יבטל למעשה את החלטתם של מאות אלפי בוחריו. </w:t>
      </w:r>
    </w:p>
    <w:p w14:paraId="458E7362" w14:textId="77777777" w:rsidR="0040186B" w:rsidRPr="007B04E0" w:rsidRDefault="0040186B" w:rsidP="00C634DC">
      <w:pPr>
        <w:rPr>
          <w:rFonts w:ascii="Garamond" w:hAnsi="Garamond" w:cs="FrankRuehl"/>
          <w:spacing w:val="10"/>
          <w:szCs w:val="28"/>
        </w:rPr>
      </w:pPr>
    </w:p>
    <w:p w14:paraId="04ED4CD9" w14:textId="77777777" w:rsidR="0040186B" w:rsidRPr="007B04E0" w:rsidRDefault="0040186B" w:rsidP="00C634DC">
      <w:pPr>
        <w:pStyle w:val="Ruller4"/>
      </w:pPr>
      <w:r w:rsidRPr="007B04E0">
        <w:rPr>
          <w:rFonts w:hint="cs"/>
          <w:rtl/>
        </w:rPr>
        <w:t>למען שלמות התמונה יצוין כי בהליך הוגשה בקשת הצטרפות במעמד של "ידיד בית המשפט" על</w:t>
      </w:r>
      <w:r w:rsidR="009B5181">
        <w:rPr>
          <w:rFonts w:hint="cs"/>
          <w:rtl/>
        </w:rPr>
        <w:t xml:space="preserve"> </w:t>
      </w:r>
      <w:r w:rsidRPr="007B04E0">
        <w:rPr>
          <w:rFonts w:hint="cs"/>
          <w:rtl/>
        </w:rPr>
        <w:t xml:space="preserve">ידי קבוצת מרצים למשפט ציבורי, וזאת בנוגע לשאלת חוקתיות תיקון </w:t>
      </w:r>
      <w:r w:rsidRPr="007B04E0">
        <w:rPr>
          <w:rFonts w:hint="cs"/>
          <w:rtl/>
        </w:rPr>
        <w:lastRenderedPageBreak/>
        <w:t>סעיף 6(ג) לחוק-יסוד: הממשלה, ובפרט בכל הנוגע לשאלה ה</w:t>
      </w:r>
      <w:r>
        <w:rPr>
          <w:rFonts w:hint="cs"/>
          <w:rtl/>
        </w:rPr>
        <w:t xml:space="preserve">אם נעשה </w:t>
      </w:r>
      <w:r w:rsidRPr="007B04E0">
        <w:rPr>
          <w:rFonts w:hint="cs"/>
          <w:rtl/>
        </w:rPr>
        <w:t>שימוש לרעה בסמכות המכוננת. ביום 4.1.2023 קבע ההרכב כי יסתפק בחומר הכתוב שהוגש</w:t>
      </w:r>
      <w:r>
        <w:rPr>
          <w:rFonts w:hint="cs"/>
          <w:rtl/>
        </w:rPr>
        <w:t xml:space="preserve"> על ידי המבקשים להצטרף. בתמצית יצוין כי בבקשת ההצטרפות נטען ש</w:t>
      </w:r>
      <w:r w:rsidRPr="007B04E0">
        <w:rPr>
          <w:rFonts w:hint="cs"/>
          <w:rtl/>
        </w:rPr>
        <w:t xml:space="preserve">התיקון נחזה כתיקון כללי, </w:t>
      </w:r>
      <w:r>
        <w:rPr>
          <w:rFonts w:hint="cs"/>
          <w:rtl/>
        </w:rPr>
        <w:t xml:space="preserve">אך </w:t>
      </w:r>
      <w:r w:rsidRPr="007B04E0">
        <w:rPr>
          <w:rFonts w:hint="cs"/>
          <w:rtl/>
        </w:rPr>
        <w:t>למעשה מדובר בתיקון פרסונלי ורטרוספקטיבי, המערער את היציבות החוקתית, ואשר נועד לתת מענה לצורך פוליטי נקודתי של הקמת קואליציה וכינון ממשלה, תוך עקיפת הצורך לפנות ליו"ר ועדת הבחירות בנוגע לשאלת הקלון. עוד טוענים המבקשים כי חוקת המדינה אמורה לשקף את ערכי היסוד ואת ההסדרים המקובלים על רוב הציבור ועל רוב השחקנים בזירה הפוליטית, ואילו העברת תיקון באופן בהול תוך ניצול הרוב הקואליציוני "איננה ראויה כלל להיחשב כשימוש מותר בסמכות המכוננת של הכנסת".</w:t>
      </w:r>
    </w:p>
    <w:p w14:paraId="1EA9D6EF" w14:textId="77777777" w:rsidR="0040186B" w:rsidRPr="007B04E0" w:rsidRDefault="0040186B" w:rsidP="00C634DC">
      <w:pPr>
        <w:rPr>
          <w:rtl/>
        </w:rPr>
      </w:pPr>
    </w:p>
    <w:p w14:paraId="74A747D7"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r w:rsidRPr="007B04E0">
        <w:rPr>
          <w:rFonts w:ascii="Century" w:hAnsi="Century" w:cs="Miriam" w:hint="cs"/>
          <w:b/>
          <w:sz w:val="22"/>
          <w:rtl/>
        </w:rPr>
        <w:t>דיון והכרעה</w:t>
      </w:r>
    </w:p>
    <w:p w14:paraId="507C0C13" w14:textId="77777777" w:rsidR="0040186B" w:rsidRPr="007B04E0" w:rsidRDefault="0040186B" w:rsidP="00C634DC">
      <w:pPr>
        <w:pStyle w:val="ruller400"/>
        <w:bidi/>
        <w:spacing w:before="0" w:beforeAutospacing="0" w:after="0" w:afterAutospacing="0" w:line="360" w:lineRule="auto"/>
        <w:jc w:val="both"/>
        <w:rPr>
          <w:rFonts w:ascii="FrankRuehl" w:eastAsiaTheme="minorHAnsi" w:hAnsi="FrankRuehl" w:cs="FrankRuehl"/>
          <w:color w:val="000000"/>
          <w:spacing w:val="10"/>
          <w:sz w:val="28"/>
          <w:szCs w:val="28"/>
          <w:rtl/>
        </w:rPr>
      </w:pPr>
    </w:p>
    <w:p w14:paraId="41E8103D" w14:textId="77777777" w:rsidR="0040186B" w:rsidRPr="007B04E0" w:rsidRDefault="0040186B" w:rsidP="00C634DC">
      <w:pPr>
        <w:pStyle w:val="Ruller4"/>
        <w:rPr>
          <w:color w:val="000000"/>
          <w:sz w:val="28"/>
          <w:rtl/>
        </w:rPr>
      </w:pPr>
      <w:r>
        <w:rPr>
          <w:rFonts w:ascii="FrankRuehl" w:eastAsiaTheme="minorHAnsi" w:hAnsi="FrankRuehl" w:hint="cs"/>
          <w:color w:val="000000"/>
          <w:sz w:val="28"/>
          <w:rtl/>
        </w:rPr>
        <w:t xml:space="preserve">העותרים העלו, כאמור, </w:t>
      </w:r>
      <w:r w:rsidRPr="007B04E0">
        <w:rPr>
          <w:rFonts w:ascii="FrankRuehl" w:eastAsiaTheme="minorHAnsi" w:hAnsi="FrankRuehl" w:hint="cs"/>
          <w:color w:val="000000"/>
          <w:sz w:val="28"/>
          <w:rtl/>
        </w:rPr>
        <w:t xml:space="preserve">שלוש קבוצות של טיעונים ביחס למינויו של דרעי לשר הפנים ושר הבריאות בממשלת ישראל ה-37. קבוצת הטיעונים </w:t>
      </w:r>
      <w:r w:rsidRPr="007B04E0">
        <w:rPr>
          <w:rFonts w:ascii="Century" w:hAnsi="Century" w:cs="Miriam" w:hint="cs"/>
          <w:b/>
          <w:spacing w:val="0"/>
          <w:sz w:val="22"/>
          <w:szCs w:val="24"/>
          <w:rtl/>
        </w:rPr>
        <w:t>הראשונה</w:t>
      </w:r>
      <w:r>
        <w:rPr>
          <w:rFonts w:ascii="FrankRuehl" w:eastAsiaTheme="minorHAnsi" w:hAnsi="FrankRuehl" w:hint="cs"/>
          <w:color w:val="000000"/>
          <w:sz w:val="28"/>
          <w:rtl/>
        </w:rPr>
        <w:t xml:space="preserve"> נוגעת לתיקון לחוק-יסוד: הממשלה.</w:t>
      </w:r>
      <w:r w:rsidRPr="007B04E0">
        <w:rPr>
          <w:rFonts w:ascii="FrankRuehl" w:eastAsiaTheme="minorHAnsi" w:hAnsi="FrankRuehl" w:hint="cs"/>
          <w:color w:val="000000"/>
          <w:sz w:val="28"/>
          <w:rtl/>
        </w:rPr>
        <w:t xml:space="preserve"> על פי הנטען</w:t>
      </w:r>
      <w:r>
        <w:rPr>
          <w:rFonts w:ascii="FrankRuehl" w:eastAsiaTheme="minorHAnsi" w:hAnsi="FrankRuehl" w:hint="cs"/>
          <w:color w:val="000000"/>
          <w:sz w:val="28"/>
          <w:rtl/>
        </w:rPr>
        <w:t>, התיקון</w:t>
      </w:r>
      <w:r w:rsidRPr="007B04E0">
        <w:rPr>
          <w:rFonts w:ascii="FrankRuehl" w:eastAsiaTheme="minorHAnsi" w:hAnsi="FrankRuehl" w:hint="cs"/>
          <w:color w:val="000000"/>
          <w:sz w:val="28"/>
          <w:rtl/>
        </w:rPr>
        <w:t xml:space="preserve"> "נתפר למידותיו" של דרעי </w:t>
      </w:r>
      <w:r>
        <w:rPr>
          <w:rFonts w:ascii="FrankRuehl" w:eastAsiaTheme="minorHAnsi" w:hAnsi="FrankRuehl" w:hint="cs"/>
          <w:color w:val="000000"/>
          <w:sz w:val="28"/>
          <w:rtl/>
        </w:rPr>
        <w:t>במטרה לעקוף את הצורך לפנות</w:t>
      </w:r>
      <w:r w:rsidRPr="007B04E0">
        <w:rPr>
          <w:rFonts w:ascii="FrankRuehl" w:eastAsiaTheme="minorHAnsi" w:hAnsi="FrankRuehl" w:hint="cs"/>
          <w:color w:val="000000"/>
          <w:sz w:val="28"/>
          <w:rtl/>
        </w:rPr>
        <w:t xml:space="preserve"> ליו"ר ועדת הבחירות בעניין קיומו של קלון בעבירות המס שבהן הורשע.</w:t>
      </w:r>
      <w:r>
        <w:rPr>
          <w:rFonts w:ascii="FrankRuehl" w:eastAsiaTheme="minorHAnsi" w:hAnsi="FrankRuehl" w:hint="cs"/>
          <w:color w:val="000000"/>
          <w:sz w:val="28"/>
          <w:rtl/>
        </w:rPr>
        <w:t xml:space="preserve"> לפיכך, כך הטענה, </w:t>
      </w:r>
      <w:r w:rsidRPr="007B04E0">
        <w:rPr>
          <w:rFonts w:ascii="FrankRuehl" w:eastAsiaTheme="minorHAnsi" w:hAnsi="FrankRuehl" w:hint="cs"/>
          <w:color w:val="000000"/>
          <w:sz w:val="28"/>
          <w:rtl/>
        </w:rPr>
        <w:t>חקיקת התיקון מהווה שימוש לרעה בסמכות המכוננת</w:t>
      </w:r>
      <w:r>
        <w:rPr>
          <w:rFonts w:ascii="FrankRuehl" w:eastAsiaTheme="minorHAnsi" w:hAnsi="FrankRuehl" w:hint="cs"/>
          <w:color w:val="000000"/>
          <w:sz w:val="28"/>
          <w:rtl/>
        </w:rPr>
        <w:t>. עוד נטען בהקשר זה כי</w:t>
      </w:r>
      <w:r w:rsidRPr="007B04E0">
        <w:rPr>
          <w:rFonts w:ascii="FrankRuehl" w:eastAsiaTheme="minorHAnsi" w:hAnsi="FrankRuehl" w:hint="cs"/>
          <w:color w:val="000000"/>
          <w:sz w:val="28"/>
          <w:rtl/>
        </w:rPr>
        <w:t xml:space="preserve"> נפלו פגמים בהליך </w:t>
      </w:r>
      <w:r>
        <w:rPr>
          <w:rFonts w:ascii="FrankRuehl" w:eastAsiaTheme="minorHAnsi" w:hAnsi="FrankRuehl" w:hint="cs"/>
          <w:color w:val="000000"/>
          <w:sz w:val="28"/>
          <w:rtl/>
        </w:rPr>
        <w:t>חקיקת התיקון</w:t>
      </w:r>
      <w:r w:rsidRPr="007B04E0">
        <w:rPr>
          <w:rFonts w:ascii="FrankRuehl" w:eastAsiaTheme="minorHAnsi" w:hAnsi="FrankRuehl" w:hint="cs"/>
          <w:color w:val="000000"/>
          <w:sz w:val="28"/>
          <w:rtl/>
        </w:rPr>
        <w:t xml:space="preserve">. קבוצת הטיעונים </w:t>
      </w:r>
      <w:r w:rsidRPr="007B04E0">
        <w:rPr>
          <w:rFonts w:ascii="Century" w:hAnsi="Century" w:cs="Miriam" w:hint="cs"/>
          <w:b/>
          <w:spacing w:val="0"/>
          <w:sz w:val="22"/>
          <w:szCs w:val="24"/>
          <w:rtl/>
        </w:rPr>
        <w:t>השנייה</w:t>
      </w:r>
      <w:r w:rsidRPr="007B04E0">
        <w:rPr>
          <w:rFonts w:ascii="FrankRuehl" w:eastAsiaTheme="minorHAnsi" w:hAnsi="FrankRuehl" w:hint="cs"/>
          <w:color w:val="000000"/>
          <w:sz w:val="28"/>
          <w:rtl/>
        </w:rPr>
        <w:t xml:space="preserve"> ממוקדת </w:t>
      </w:r>
      <w:r>
        <w:rPr>
          <w:rFonts w:ascii="FrankRuehl" w:eastAsiaTheme="minorHAnsi" w:hAnsi="FrankRuehl" w:hint="cs"/>
          <w:color w:val="000000"/>
          <w:sz w:val="28"/>
          <w:rtl/>
        </w:rPr>
        <w:t>בטענות הנוגעות לסבירות החלטתו</w:t>
      </w:r>
      <w:r w:rsidRPr="007B04E0">
        <w:rPr>
          <w:rFonts w:ascii="FrankRuehl" w:eastAsiaTheme="minorHAnsi" w:hAnsi="FrankRuehl" w:hint="cs"/>
          <w:color w:val="000000"/>
          <w:sz w:val="28"/>
          <w:rtl/>
        </w:rPr>
        <w:t xml:space="preserve"> של ראש הממשלה </w:t>
      </w:r>
      <w:r>
        <w:rPr>
          <w:rFonts w:ascii="FrankRuehl" w:eastAsiaTheme="minorHAnsi" w:hAnsi="FrankRuehl" w:hint="cs"/>
          <w:color w:val="000000"/>
          <w:sz w:val="28"/>
          <w:rtl/>
        </w:rPr>
        <w:t>למנות את</w:t>
      </w:r>
      <w:r w:rsidRPr="007B04E0">
        <w:rPr>
          <w:rFonts w:ascii="FrankRuehl" w:eastAsiaTheme="minorHAnsi" w:hAnsi="FrankRuehl" w:hint="cs"/>
          <w:color w:val="000000"/>
          <w:sz w:val="28"/>
          <w:rtl/>
        </w:rPr>
        <w:t xml:space="preserve"> דרעי לשר בממשלה</w:t>
      </w:r>
      <w:r>
        <w:rPr>
          <w:rFonts w:ascii="FrankRuehl" w:eastAsiaTheme="minorHAnsi" w:hAnsi="FrankRuehl" w:hint="cs"/>
          <w:color w:val="000000"/>
          <w:sz w:val="28"/>
          <w:rtl/>
        </w:rPr>
        <w:t xml:space="preserve"> ולא להעבירו</w:t>
      </w:r>
      <w:r w:rsidRPr="007B04E0">
        <w:rPr>
          <w:rFonts w:ascii="FrankRuehl" w:eastAsiaTheme="minorHAnsi" w:hAnsi="FrankRuehl"/>
          <w:color w:val="000000"/>
          <w:sz w:val="28"/>
          <w:rtl/>
        </w:rPr>
        <w:t xml:space="preserve"> </w:t>
      </w:r>
      <w:r>
        <w:rPr>
          <w:rFonts w:ascii="FrankRuehl" w:eastAsiaTheme="minorHAnsi" w:hAnsi="FrankRuehl" w:hint="cs"/>
          <w:color w:val="000000"/>
          <w:sz w:val="28"/>
          <w:rtl/>
        </w:rPr>
        <w:t>מתפקידו בהתאם לסמכות הקבועה</w:t>
      </w:r>
      <w:r w:rsidRPr="007B04E0">
        <w:rPr>
          <w:rFonts w:ascii="FrankRuehl" w:eastAsiaTheme="minorHAnsi" w:hAnsi="FrankRuehl" w:hint="cs"/>
          <w:color w:val="000000"/>
          <w:sz w:val="28"/>
          <w:rtl/>
        </w:rPr>
        <w:t xml:space="preserve"> </w:t>
      </w:r>
      <w:r>
        <w:rPr>
          <w:rFonts w:ascii="FrankRuehl" w:eastAsiaTheme="minorHAnsi" w:hAnsi="FrankRuehl" w:hint="cs"/>
          <w:color w:val="000000"/>
          <w:sz w:val="28"/>
          <w:rtl/>
        </w:rPr>
        <w:t>ב</w:t>
      </w:r>
      <w:r w:rsidRPr="007B04E0">
        <w:rPr>
          <w:rFonts w:ascii="FrankRuehl" w:eastAsiaTheme="minorHAnsi" w:hAnsi="FrankRuehl" w:hint="cs"/>
          <w:color w:val="000000"/>
          <w:sz w:val="28"/>
          <w:rtl/>
        </w:rPr>
        <w:t>סעיף 22(ב) ל</w:t>
      </w:r>
      <w:r w:rsidRPr="007B04E0">
        <w:rPr>
          <w:rFonts w:eastAsiaTheme="minorHAnsi"/>
          <w:color w:val="000000"/>
          <w:rtl/>
        </w:rPr>
        <w:t>חוק</w:t>
      </w:r>
      <w:r w:rsidRPr="007B04E0">
        <w:rPr>
          <w:rFonts w:eastAsiaTheme="minorHAnsi" w:hint="cs"/>
          <w:color w:val="000000"/>
          <w:rtl/>
        </w:rPr>
        <w:t>-</w:t>
      </w:r>
      <w:r w:rsidRPr="007B04E0">
        <w:rPr>
          <w:rFonts w:eastAsiaTheme="minorHAnsi"/>
          <w:color w:val="000000"/>
          <w:rtl/>
        </w:rPr>
        <w:t>יסוד: הממשלה</w:t>
      </w:r>
      <w:r w:rsidRPr="007B04E0">
        <w:rPr>
          <w:rFonts w:ascii="FrankRuehl" w:eastAsiaTheme="minorHAnsi" w:hAnsi="FrankRuehl" w:hint="cs"/>
          <w:color w:val="000000"/>
          <w:sz w:val="28"/>
          <w:rtl/>
        </w:rPr>
        <w:t>.</w:t>
      </w:r>
      <w:r>
        <w:rPr>
          <w:rFonts w:hint="cs"/>
          <w:color w:val="000000"/>
          <w:sz w:val="28"/>
          <w:rtl/>
        </w:rPr>
        <w:t xml:space="preserve"> בעניין זה נטען כי </w:t>
      </w:r>
      <w:r w:rsidRPr="007B04E0">
        <w:rPr>
          <w:rFonts w:hint="cs"/>
          <w:color w:val="000000"/>
          <w:sz w:val="28"/>
          <w:rtl/>
        </w:rPr>
        <w:t>נוכח עברו הפלילי של דרעי והתנהלותו בטרם מונה לתפקידו, החלטת ראש הממשלה למנותו לשר ולאפשר את המשך כהונתו</w:t>
      </w:r>
      <w:r>
        <w:rPr>
          <w:rFonts w:hint="cs"/>
          <w:color w:val="000000"/>
          <w:sz w:val="28"/>
          <w:rtl/>
        </w:rPr>
        <w:t>,</w:t>
      </w:r>
      <w:r w:rsidRPr="007B04E0">
        <w:rPr>
          <w:rFonts w:hint="cs"/>
          <w:color w:val="000000"/>
          <w:sz w:val="28"/>
          <w:rtl/>
        </w:rPr>
        <w:t xml:space="preserve"> חורגת באופן קיצוני ממתחם הסבירות. לבסוף, קבוצת הטיעונים </w:t>
      </w:r>
      <w:r w:rsidRPr="007B04E0">
        <w:rPr>
          <w:rFonts w:ascii="Century" w:hAnsi="Century" w:cs="Miriam" w:hint="cs"/>
          <w:b/>
          <w:spacing w:val="0"/>
          <w:sz w:val="22"/>
          <w:szCs w:val="24"/>
          <w:rtl/>
        </w:rPr>
        <w:t>השלישית</w:t>
      </w:r>
      <w:r w:rsidRPr="007B04E0">
        <w:rPr>
          <w:rFonts w:hint="cs"/>
          <w:color w:val="000000"/>
          <w:sz w:val="28"/>
          <w:rtl/>
        </w:rPr>
        <w:t xml:space="preserve"> מתייחסת להתחייבויותיו ולהצהרותיו של דרעי בפני בית משפט השלום בירושלים, אשר על פי הנטען יש בהן כדי למנוע ממנו </w:t>
      </w:r>
      <w:r>
        <w:rPr>
          <w:rFonts w:hint="cs"/>
          <w:color w:val="000000"/>
          <w:sz w:val="28"/>
          <w:rtl/>
        </w:rPr>
        <w:t>מ</w:t>
      </w:r>
      <w:r w:rsidRPr="007B04E0">
        <w:rPr>
          <w:rFonts w:hint="cs"/>
          <w:color w:val="000000"/>
          <w:sz w:val="28"/>
          <w:rtl/>
        </w:rPr>
        <w:t xml:space="preserve">לכהן כיום כשר בממשלה, בהתאם לעקרונות של השתק ומניעות. </w:t>
      </w:r>
    </w:p>
    <w:p w14:paraId="7EC3DE1B"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3B2CABDE" w14:textId="77777777" w:rsidR="0040186B" w:rsidRPr="007B04E0" w:rsidRDefault="0040186B" w:rsidP="00C634DC">
      <w:pPr>
        <w:pStyle w:val="Ruller4"/>
        <w:rPr>
          <w:rFonts w:ascii="FrankRuehl" w:eastAsiaTheme="minorHAnsi" w:hAnsi="FrankRuehl"/>
          <w:color w:val="000000"/>
          <w:sz w:val="28"/>
          <w:rtl/>
        </w:rPr>
      </w:pPr>
      <w:r w:rsidRPr="007B04E0">
        <w:rPr>
          <w:rFonts w:ascii="FrankRuehl" w:eastAsiaTheme="minorHAnsi" w:hAnsi="FrankRuehl" w:hint="cs"/>
          <w:color w:val="000000"/>
          <w:sz w:val="28"/>
          <w:rtl/>
        </w:rPr>
        <w:t xml:space="preserve">אומר כבר בפתח הדברים כי לגישתי אין צורך להכריע במכלול הטענות שהועלו בעתירות דנן, וזאת משהגעתי למסקנה כי בנסיבות העניין, </w:t>
      </w:r>
      <w:r w:rsidRPr="007B04E0">
        <w:rPr>
          <w:rFonts w:ascii="FrankRuehl" w:eastAsiaTheme="minorHAnsi" w:hAnsi="FrankRuehl"/>
          <w:color w:val="000000"/>
          <w:sz w:val="28"/>
          <w:rtl/>
        </w:rPr>
        <w:t>ההחלטה בדבר מינויו של דרעי לשר בממשלה ואי</w:t>
      </w:r>
      <w:r w:rsidRPr="007B04E0">
        <w:rPr>
          <w:rFonts w:ascii="FrankRuehl" w:eastAsiaTheme="minorHAnsi" w:hAnsi="FrankRuehl" w:hint="cs"/>
          <w:color w:val="000000"/>
          <w:sz w:val="28"/>
          <w:rtl/>
        </w:rPr>
        <w:t xml:space="preserve">-הפעלת הסמכות להעבירו </w:t>
      </w:r>
      <w:r w:rsidRPr="007B04E0">
        <w:rPr>
          <w:rFonts w:ascii="FrankRuehl" w:eastAsiaTheme="minorHAnsi" w:hAnsi="FrankRuehl"/>
          <w:color w:val="000000"/>
          <w:sz w:val="28"/>
          <w:rtl/>
        </w:rPr>
        <w:t>מתפקידו</w:t>
      </w:r>
      <w:r>
        <w:rPr>
          <w:rFonts w:ascii="FrankRuehl" w:eastAsiaTheme="minorHAnsi" w:hAnsi="FrankRuehl" w:hint="cs"/>
          <w:color w:val="000000"/>
          <w:sz w:val="28"/>
          <w:rtl/>
        </w:rPr>
        <w:t xml:space="preserve"> זה</w:t>
      </w:r>
      <w:r w:rsidRPr="007B04E0">
        <w:rPr>
          <w:rFonts w:ascii="FrankRuehl" w:eastAsiaTheme="minorHAnsi" w:hAnsi="FrankRuehl" w:hint="cs"/>
          <w:color w:val="000000"/>
          <w:sz w:val="28"/>
          <w:rtl/>
        </w:rPr>
        <w:t xml:space="preserve"> היא החלטה אשר</w:t>
      </w:r>
      <w:r w:rsidRPr="007B04E0">
        <w:rPr>
          <w:rFonts w:ascii="FrankRuehl" w:eastAsiaTheme="minorHAnsi" w:hAnsi="FrankRuehl"/>
          <w:color w:val="000000"/>
          <w:sz w:val="28"/>
          <w:rtl/>
        </w:rPr>
        <w:t xml:space="preserve"> חורגת באופן קיצוני ממתחם הסבירות</w:t>
      </w:r>
      <w:r w:rsidRPr="007B04E0">
        <w:rPr>
          <w:rFonts w:ascii="FrankRuehl" w:eastAsiaTheme="minorHAnsi" w:hAnsi="FrankRuehl" w:hint="cs"/>
          <w:color w:val="000000"/>
          <w:sz w:val="28"/>
          <w:rtl/>
        </w:rPr>
        <w:t xml:space="preserve">. </w:t>
      </w:r>
    </w:p>
    <w:p w14:paraId="3BCA3971"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580A7D10" w14:textId="77777777" w:rsidR="0040186B" w:rsidRPr="007B04E0" w:rsidRDefault="0040186B" w:rsidP="00C634DC">
      <w:pPr>
        <w:pStyle w:val="Ruller4"/>
        <w:numPr>
          <w:ilvl w:val="0"/>
          <w:numId w:val="0"/>
        </w:numPr>
        <w:rPr>
          <w:rFonts w:ascii="FrankRuehl" w:eastAsiaTheme="minorHAnsi" w:hAnsi="FrankRuehl"/>
          <w:color w:val="000000"/>
          <w:sz w:val="28"/>
          <w:rtl/>
        </w:rPr>
      </w:pPr>
      <w:r w:rsidRPr="007B04E0">
        <w:rPr>
          <w:rFonts w:ascii="FrankRuehl" w:eastAsiaTheme="minorHAnsi" w:hAnsi="FrankRuehl"/>
          <w:color w:val="000000"/>
          <w:sz w:val="28"/>
          <w:rtl/>
        </w:rPr>
        <w:tab/>
      </w:r>
      <w:r w:rsidRPr="007B04E0">
        <w:rPr>
          <w:rFonts w:ascii="FrankRuehl" w:eastAsiaTheme="minorHAnsi" w:hAnsi="FrankRuehl" w:hint="cs"/>
          <w:color w:val="000000"/>
          <w:sz w:val="28"/>
          <w:rtl/>
        </w:rPr>
        <w:t xml:space="preserve">אך טרם שאדרש לשאלת סבירות המינוי ראיתי לנכון להעיר מספר הערות ביחס לתיקון מס' 11 לחוק-יסוד: הממשלה. </w:t>
      </w:r>
    </w:p>
    <w:p w14:paraId="256CC6ED"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p>
    <w:p w14:paraId="59182C17"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r w:rsidRPr="007B04E0">
        <w:rPr>
          <w:rFonts w:ascii="Century" w:hAnsi="Century" w:cs="Miriam" w:hint="cs"/>
          <w:b/>
          <w:sz w:val="22"/>
          <w:rtl/>
        </w:rPr>
        <w:t>תיקון חוק-יסוד: הממשלה</w:t>
      </w:r>
    </w:p>
    <w:p w14:paraId="0F605ED3"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p>
    <w:p w14:paraId="7F2290C7" w14:textId="77777777" w:rsidR="0040186B" w:rsidRPr="007B04E0" w:rsidRDefault="0040186B" w:rsidP="00C634DC">
      <w:pPr>
        <w:pStyle w:val="Ruller4"/>
        <w:rPr>
          <w:rFonts w:ascii="FrankRuehl" w:eastAsiaTheme="minorHAnsi" w:hAnsi="FrankRuehl"/>
          <w:color w:val="000000"/>
          <w:sz w:val="28"/>
          <w:rtl/>
        </w:rPr>
      </w:pPr>
      <w:r w:rsidRPr="007B04E0">
        <w:rPr>
          <w:rFonts w:ascii="FrankRuehl" w:hAnsi="FrankRuehl" w:hint="cs"/>
          <w:color w:val="000000"/>
          <w:sz w:val="28"/>
          <w:rtl/>
        </w:rPr>
        <w:t xml:space="preserve">מקובלת עליי עמדת היועצת המשפטית לממשלה ועמדת הייעוץ המשפטי לכנסת, כי </w:t>
      </w:r>
      <w:r w:rsidRPr="007B04E0">
        <w:rPr>
          <w:rFonts w:ascii="FrankRuehl" w:eastAsiaTheme="minorHAnsi" w:hAnsi="FrankRuehl" w:hint="cs"/>
          <w:color w:val="000000"/>
          <w:sz w:val="28"/>
          <w:rtl/>
        </w:rPr>
        <w:t>תיקון מס' 11 לחוק-יסוד: הממשלה אינו תיקון "מבהיר"</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w:t>
      </w:r>
      <w:r>
        <w:rPr>
          <w:rFonts w:ascii="FrankRuehl" w:eastAsiaTheme="minorHAnsi" w:hAnsi="FrankRuehl" w:hint="cs"/>
          <w:color w:val="000000"/>
          <w:sz w:val="28"/>
          <w:rtl/>
        </w:rPr>
        <w:t>אלא תיקון</w:t>
      </w:r>
      <w:r w:rsidRPr="007B04E0">
        <w:rPr>
          <w:rFonts w:ascii="FrankRuehl" w:hAnsi="FrankRuehl"/>
          <w:color w:val="000000"/>
          <w:sz w:val="28"/>
          <w:rtl/>
        </w:rPr>
        <w:t xml:space="preserve"> </w:t>
      </w:r>
      <w:r>
        <w:rPr>
          <w:rFonts w:ascii="FrankRuehl" w:hAnsi="FrankRuehl" w:hint="cs"/>
          <w:color w:val="000000"/>
          <w:sz w:val="28"/>
          <w:rtl/>
        </w:rPr>
        <w:t>ש</w:t>
      </w:r>
      <w:r w:rsidRPr="007B04E0">
        <w:rPr>
          <w:rFonts w:ascii="FrankRuehl" w:hAnsi="FrankRuehl" w:hint="eastAsia"/>
          <w:color w:val="000000"/>
          <w:sz w:val="28"/>
          <w:rtl/>
        </w:rPr>
        <w:t>שינה</w:t>
      </w:r>
      <w:r w:rsidRPr="007B04E0">
        <w:rPr>
          <w:rFonts w:ascii="FrankRuehl" w:hAnsi="FrankRuehl"/>
          <w:color w:val="000000"/>
          <w:sz w:val="28"/>
          <w:rtl/>
        </w:rPr>
        <w:t xml:space="preserve"> את הדין שהיה קיים </w:t>
      </w:r>
      <w:r w:rsidRPr="007B04E0">
        <w:rPr>
          <w:rFonts w:ascii="FrankRuehl" w:hAnsi="FrankRuehl" w:hint="cs"/>
          <w:color w:val="000000"/>
          <w:sz w:val="28"/>
          <w:rtl/>
        </w:rPr>
        <w:t>טרם</w:t>
      </w:r>
      <w:r w:rsidRPr="007B04E0">
        <w:rPr>
          <w:rFonts w:ascii="FrankRuehl" w:hAnsi="FrankRuehl"/>
          <w:color w:val="000000"/>
          <w:sz w:val="28"/>
          <w:rtl/>
        </w:rPr>
        <w:t xml:space="preserve"> חקיקתו. </w:t>
      </w:r>
      <w:r w:rsidRPr="007B04E0">
        <w:rPr>
          <w:rFonts w:ascii="FrankRuehl" w:eastAsiaTheme="minorHAnsi" w:hAnsi="FrankRuehl" w:hint="cs"/>
          <w:color w:val="000000"/>
          <w:sz w:val="28"/>
          <w:rtl/>
        </w:rPr>
        <w:t>סעיף 6(ג) לחוק היסוד, בנוסחו לפני התיקון</w:t>
      </w:r>
      <w:r>
        <w:rPr>
          <w:rFonts w:ascii="FrankRuehl" w:eastAsiaTheme="minorHAnsi" w:hAnsi="FrankRuehl" w:hint="cs"/>
          <w:color w:val="000000"/>
          <w:sz w:val="28"/>
          <w:rtl/>
        </w:rPr>
        <w:t xml:space="preserve"> (שכבר צוטט לעיל אך ראוי לשוב ולהביאו כאן),</w:t>
      </w:r>
      <w:r w:rsidRPr="007B04E0">
        <w:rPr>
          <w:rFonts w:ascii="FrankRuehl" w:eastAsiaTheme="minorHAnsi" w:hAnsi="FrankRuehl" w:hint="cs"/>
          <w:color w:val="000000"/>
          <w:sz w:val="28"/>
          <w:rtl/>
        </w:rPr>
        <w:t xml:space="preserve"> קבע כך:</w:t>
      </w:r>
    </w:p>
    <w:p w14:paraId="6C19111C" w14:textId="77777777" w:rsidR="0040186B" w:rsidRDefault="0040186B" w:rsidP="00C634DC">
      <w:pPr>
        <w:pStyle w:val="Ruller5"/>
        <w:rPr>
          <w:rtl/>
        </w:rPr>
      </w:pPr>
      <w:r w:rsidRPr="007B04E0">
        <w:rPr>
          <w:rFonts w:hint="cs"/>
          <w:rtl/>
        </w:rPr>
        <w:t xml:space="preserve">"(1) </w:t>
      </w:r>
      <w:r w:rsidRPr="007B04E0">
        <w:rPr>
          <w:rtl/>
        </w:rPr>
        <w:t>לא יתמנה לשר מי שהורשע בעבירה ונידון ל</w:t>
      </w:r>
      <w:r w:rsidRPr="007B04E0">
        <w:rPr>
          <w:rFonts w:cs="Miriam"/>
          <w:b/>
          <w:spacing w:val="0"/>
          <w:szCs w:val="24"/>
          <w:rtl/>
        </w:rPr>
        <w:t xml:space="preserve">עונש מאסר </w:t>
      </w:r>
      <w:r w:rsidRPr="007B04E0">
        <w:rPr>
          <w:rtl/>
        </w:rPr>
        <w:t xml:space="preserve">וביום מינויו טרם עברו שבע שנים </w:t>
      </w:r>
      <w:r w:rsidRPr="007B04E0">
        <w:rPr>
          <w:rFonts w:cs="Miriam"/>
          <w:b/>
          <w:spacing w:val="0"/>
          <w:szCs w:val="24"/>
          <w:rtl/>
        </w:rPr>
        <w:t>מהיום שגמר לרצות את עונש המאסר או מיום מתן פסק הדין, לפי המאוחר</w:t>
      </w:r>
      <w:r w:rsidRPr="007B04E0">
        <w:rPr>
          <w:rtl/>
        </w:rPr>
        <w:t>, אלא אם כן קבע יושב ראש ועדת הבחירות המרכזית כי אין עם העבירה שבה הורשע, בנסיבות הענין</w:t>
      </w:r>
      <w:r w:rsidRPr="007B04E0">
        <w:rPr>
          <w:rFonts w:hint="cs"/>
          <w:rtl/>
        </w:rPr>
        <w:t>,</w:t>
      </w:r>
      <w:r w:rsidRPr="007B04E0">
        <w:t xml:space="preserve"> </w:t>
      </w:r>
      <w:r w:rsidRPr="007B04E0">
        <w:rPr>
          <w:rtl/>
        </w:rPr>
        <w:t>משום קלו</w:t>
      </w:r>
      <w:r w:rsidRPr="007B04E0">
        <w:rPr>
          <w:rFonts w:hint="cs"/>
          <w:rtl/>
        </w:rPr>
        <w:t xml:space="preserve">ן. </w:t>
      </w:r>
    </w:p>
    <w:p w14:paraId="18B251E4" w14:textId="77777777" w:rsidR="0040186B" w:rsidRPr="007B04E0" w:rsidRDefault="0040186B" w:rsidP="00C634DC">
      <w:pPr>
        <w:pStyle w:val="Ruller5"/>
        <w:rPr>
          <w:rtl/>
        </w:rPr>
      </w:pPr>
    </w:p>
    <w:p w14:paraId="0BFC4EE7" w14:textId="77777777" w:rsidR="0040186B" w:rsidRPr="007B04E0" w:rsidRDefault="0040186B" w:rsidP="00C634DC">
      <w:pPr>
        <w:pStyle w:val="Ruller5"/>
        <w:rPr>
          <w:rtl/>
        </w:rPr>
      </w:pPr>
      <w:r w:rsidRPr="007B04E0">
        <w:rPr>
          <w:rFonts w:hint="cs"/>
          <w:rtl/>
        </w:rPr>
        <w:t xml:space="preserve">(2) </w:t>
      </w:r>
      <w:r w:rsidRPr="007B04E0">
        <w:rPr>
          <w:rtl/>
        </w:rPr>
        <w:t>יושב ראש ועדת הבחירות המרכזית לא יקבע כאמור בפסקה</w:t>
      </w:r>
      <w:r w:rsidRPr="007B04E0">
        <w:rPr>
          <w:rFonts w:hint="cs"/>
          <w:rtl/>
        </w:rPr>
        <w:t xml:space="preserve"> (1)</w:t>
      </w:r>
      <w:r w:rsidRPr="007B04E0">
        <w:t xml:space="preserve"> </w:t>
      </w:r>
      <w:r w:rsidRPr="007B04E0">
        <w:rPr>
          <w:rtl/>
        </w:rPr>
        <w:t>אם קבע בית המשפט, לפי דין, כי יש עם העבירה שבה הורשע משום קלון</w:t>
      </w:r>
      <w:r w:rsidRPr="007B04E0">
        <w:rPr>
          <w:rFonts w:hint="cs"/>
          <w:rtl/>
        </w:rPr>
        <w:t>" (ההדגשות הוספו)</w:t>
      </w:r>
    </w:p>
    <w:p w14:paraId="696BBACC" w14:textId="77777777" w:rsidR="0040186B" w:rsidRPr="007B04E0" w:rsidRDefault="0040186B" w:rsidP="00C634DC">
      <w:pPr>
        <w:pStyle w:val="Ruller5"/>
        <w:ind w:left="0"/>
        <w:rPr>
          <w:rFonts w:ascii="Century" w:hAnsi="Century"/>
        </w:rPr>
      </w:pPr>
    </w:p>
    <w:p w14:paraId="64EA1DDE" w14:textId="77777777" w:rsidR="0040186B" w:rsidRPr="007B04E0" w:rsidRDefault="0040186B" w:rsidP="00C634DC">
      <w:pPr>
        <w:pStyle w:val="Ruller4"/>
        <w:rPr>
          <w:rFonts w:ascii="FrankRuehl" w:eastAsiaTheme="minorHAnsi" w:hAnsi="FrankRuehl"/>
          <w:color w:val="000000"/>
          <w:sz w:val="28"/>
          <w:rtl/>
        </w:rPr>
      </w:pPr>
      <w:r w:rsidRPr="007B04E0">
        <w:rPr>
          <w:rFonts w:ascii="FrankRuehl" w:eastAsiaTheme="minorHAnsi" w:hAnsi="FrankRuehl" w:hint="cs"/>
          <w:color w:val="000000"/>
          <w:sz w:val="28"/>
          <w:rtl/>
        </w:rPr>
        <w:t>בית משפט זה טרם נדרש עד כה באופן מפורש לשאלה האם "עונש המאסר" הנזכר בסעיף 6(ג) לחוק היסוד כולל גם מאסר על תנאי (</w:t>
      </w:r>
      <w:r w:rsidRPr="007B04E0">
        <w:rPr>
          <w:rFonts w:ascii="FrankRuehl" w:eastAsiaTheme="minorHAnsi" w:hAnsi="FrankRuehl" w:hint="eastAsia"/>
          <w:color w:val="000000"/>
          <w:sz w:val="28"/>
          <w:rtl/>
        </w:rPr>
        <w:t>אך</w:t>
      </w:r>
      <w:r w:rsidRPr="007B04E0">
        <w:rPr>
          <w:rFonts w:ascii="FrankRuehl" w:eastAsiaTheme="minorHAnsi" w:hAnsi="FrankRuehl"/>
          <w:color w:val="000000"/>
          <w:sz w:val="28"/>
          <w:rtl/>
        </w:rPr>
        <w:t xml:space="preserve"> ראו </w:t>
      </w:r>
      <w:r w:rsidRPr="007B04E0">
        <w:rPr>
          <w:rFonts w:ascii="FrankRuehl" w:eastAsiaTheme="minorHAnsi" w:hAnsi="FrankRuehl" w:hint="eastAsia"/>
          <w:color w:val="000000"/>
          <w:sz w:val="28"/>
          <w:rtl/>
        </w:rPr>
        <w:t>את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עמדת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המדינה</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שתוארה</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בבג</w:t>
      </w:r>
      <w:r w:rsidRPr="007B04E0">
        <w:rPr>
          <w:rFonts w:ascii="FrankRuehl" w:eastAsiaTheme="minorHAnsi" w:hAnsi="FrankRuehl"/>
          <w:color w:val="000000"/>
          <w:sz w:val="28"/>
          <w:rtl/>
        </w:rPr>
        <w:t xml:space="preserve">"ץ 5853/07 </w:t>
      </w:r>
      <w:r w:rsidRPr="007B04E0">
        <w:rPr>
          <w:rFonts w:ascii="Miriam" w:eastAsiaTheme="minorHAnsi" w:hAnsi="Miriam" w:cs="Miriam" w:hint="eastAsia"/>
          <w:color w:val="000000"/>
          <w:szCs w:val="24"/>
          <w:rtl/>
        </w:rPr>
        <w:t>אמונה</w:t>
      </w:r>
      <w:r w:rsidRPr="007B04E0">
        <w:rPr>
          <w:rFonts w:ascii="Miriam" w:eastAsiaTheme="minorHAnsi" w:hAnsi="Miriam" w:cs="Miriam"/>
          <w:color w:val="000000"/>
          <w:szCs w:val="24"/>
          <w:rtl/>
        </w:rPr>
        <w:t xml:space="preserve"> – תנועת </w:t>
      </w:r>
      <w:r w:rsidRPr="007B04E0">
        <w:rPr>
          <w:rFonts w:ascii="Miriam" w:eastAsiaTheme="minorHAnsi" w:hAnsi="Miriam" w:cs="Miriam" w:hint="eastAsia"/>
          <w:color w:val="000000"/>
          <w:szCs w:val="24"/>
          <w:rtl/>
        </w:rPr>
        <w:t>האשה</w:t>
      </w:r>
      <w:r w:rsidRPr="007B04E0">
        <w:rPr>
          <w:rFonts w:ascii="Miriam" w:eastAsiaTheme="minorHAnsi" w:hAnsi="Miriam" w:cs="Miriam"/>
          <w:color w:val="000000"/>
          <w:szCs w:val="24"/>
          <w:rtl/>
        </w:rPr>
        <w:t xml:space="preserve"> הדתית לאומית נ' ראש הממשלה</w:t>
      </w:r>
      <w:r w:rsidRPr="007B04E0">
        <w:rPr>
          <w:rFonts w:ascii="FrankRuehl" w:eastAsiaTheme="minorHAnsi" w:hAnsi="FrankRuehl"/>
          <w:color w:val="000000"/>
          <w:sz w:val="28"/>
          <w:rtl/>
        </w:rPr>
        <w:t xml:space="preserve">, פ"ד סב(3) 445, </w:t>
      </w:r>
      <w:r w:rsidRPr="007B04E0">
        <w:rPr>
          <w:rFonts w:ascii="FrankRuehl" w:eastAsiaTheme="minorHAnsi" w:hAnsi="FrankRuehl" w:hint="cs"/>
          <w:color w:val="000000"/>
          <w:sz w:val="28"/>
          <w:rtl/>
        </w:rPr>
        <w:t>465</w:t>
      </w:r>
      <w:r w:rsidRPr="007B04E0">
        <w:rPr>
          <w:rFonts w:ascii="FrankRuehl" w:eastAsiaTheme="minorHAnsi" w:hAnsi="FrankRuehl"/>
          <w:color w:val="000000"/>
          <w:sz w:val="28"/>
          <w:rtl/>
        </w:rPr>
        <w:t xml:space="preserve"> (2007)</w:t>
      </w:r>
      <w:r w:rsidRPr="007B04E0">
        <w:rPr>
          <w:rFonts w:ascii="FrankRuehl" w:eastAsiaTheme="minorHAnsi" w:hAnsi="FrankRuehl" w:hint="cs"/>
          <w:color w:val="000000"/>
          <w:sz w:val="28"/>
          <w:rtl/>
        </w:rPr>
        <w:t xml:space="preserve"> (להלן: </w:t>
      </w:r>
      <w:r w:rsidRPr="007B04E0">
        <w:rPr>
          <w:rFonts w:ascii="Miriam" w:eastAsiaTheme="minorHAnsi" w:hAnsi="Miriam" w:cs="Miriam" w:hint="eastAsia"/>
          <w:color w:val="000000"/>
          <w:szCs w:val="24"/>
          <w:rtl/>
        </w:rPr>
        <w:t>עניין</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אמונה</w:t>
      </w:r>
      <w:r w:rsidRPr="007B04E0">
        <w:rPr>
          <w:rFonts w:ascii="FrankRuehl" w:eastAsiaTheme="minorHAnsi" w:hAnsi="FrankRuehl" w:hint="cs"/>
          <w:color w:val="000000"/>
          <w:sz w:val="28"/>
          <w:rtl/>
        </w:rPr>
        <w:t>)</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וכן</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את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קביעת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בית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משפט</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השלום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שהוזכרה</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בבג</w:t>
      </w:r>
      <w:r w:rsidRPr="007B04E0">
        <w:rPr>
          <w:rFonts w:ascii="FrankRuehl" w:eastAsiaTheme="minorHAnsi" w:hAnsi="FrankRuehl"/>
          <w:color w:val="000000"/>
          <w:sz w:val="28"/>
          <w:rtl/>
        </w:rPr>
        <w:t xml:space="preserve">"ץ 3997/14 </w:t>
      </w:r>
      <w:r w:rsidRPr="007B04E0">
        <w:rPr>
          <w:rFonts w:ascii="Miriam" w:eastAsiaTheme="minorHAnsi" w:hAnsi="Miriam" w:cs="Miriam" w:hint="eastAsia"/>
          <w:color w:val="000000"/>
          <w:szCs w:val="24"/>
          <w:rtl/>
        </w:rPr>
        <w:t>התנועה</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למען</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איכות</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השלטון</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בישראל</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נ</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שר</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החוץ</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פסקה</w:t>
      </w:r>
      <w:r w:rsidRPr="007B04E0">
        <w:rPr>
          <w:rFonts w:ascii="FrankRuehl" w:eastAsiaTheme="minorHAnsi" w:hAnsi="FrankRuehl"/>
          <w:color w:val="000000"/>
          <w:sz w:val="28"/>
          <w:rtl/>
        </w:rPr>
        <w:t xml:space="preserve"> 4 </w:t>
      </w:r>
      <w:r w:rsidRPr="007B04E0">
        <w:rPr>
          <w:rFonts w:ascii="FrankRuehl" w:eastAsiaTheme="minorHAnsi" w:hAnsi="FrankRuehl" w:hint="eastAsia"/>
          <w:color w:val="000000"/>
          <w:sz w:val="28"/>
          <w:rtl/>
        </w:rPr>
        <w:t>לחוות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דעתו</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של</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הנשיא</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בדימ</w:t>
      </w:r>
      <w:r w:rsidRPr="007B04E0">
        <w:rPr>
          <w:rFonts w:ascii="FrankRuehl" w:eastAsiaTheme="minorHAnsi" w:hAnsi="FrankRuehl"/>
          <w:color w:val="000000"/>
          <w:sz w:val="28"/>
          <w:rtl/>
        </w:rPr>
        <w:t xml:space="preserve">') </w:t>
      </w:r>
      <w:r w:rsidRPr="007B04E0">
        <w:rPr>
          <w:rFonts w:ascii="Miriam" w:eastAsiaTheme="minorHAnsi" w:hAnsi="Miriam" w:cs="Miriam" w:hint="eastAsia"/>
          <w:color w:val="000000"/>
          <w:szCs w:val="24"/>
          <w:rtl/>
        </w:rPr>
        <w:t>א</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גרוניס</w:t>
      </w:r>
      <w:r w:rsidRPr="007B04E0">
        <w:rPr>
          <w:rFonts w:ascii="FrankRuehl" w:eastAsiaTheme="minorHAnsi" w:hAnsi="FrankRuehl"/>
          <w:color w:val="000000"/>
          <w:szCs w:val="24"/>
          <w:rtl/>
        </w:rPr>
        <w:t xml:space="preserve"> </w:t>
      </w:r>
      <w:r w:rsidRPr="007B04E0">
        <w:rPr>
          <w:rFonts w:ascii="FrankRuehl" w:eastAsiaTheme="minorHAnsi" w:hAnsi="FrankRuehl"/>
          <w:color w:val="000000"/>
          <w:sz w:val="28"/>
          <w:rtl/>
        </w:rPr>
        <w:t>(12.2.2015)</w:t>
      </w:r>
      <w:r w:rsidRPr="007B04E0">
        <w:rPr>
          <w:rFonts w:ascii="FrankRuehl" w:eastAsiaTheme="minorHAnsi" w:hAnsi="FrankRuehl" w:hint="cs"/>
          <w:color w:val="000000"/>
          <w:sz w:val="28"/>
          <w:rtl/>
        </w:rPr>
        <w:t xml:space="preserve"> (להלן: </w:t>
      </w:r>
      <w:r w:rsidRPr="007B04E0">
        <w:rPr>
          <w:rFonts w:ascii="Miriam" w:eastAsiaTheme="minorHAnsi" w:hAnsi="Miriam" w:cs="Miriam" w:hint="eastAsia"/>
          <w:color w:val="000000"/>
          <w:szCs w:val="24"/>
          <w:rtl/>
        </w:rPr>
        <w:t>עניין</w:t>
      </w:r>
      <w:r w:rsidRPr="007B04E0">
        <w:rPr>
          <w:rFonts w:ascii="Miriam" w:eastAsiaTheme="minorHAnsi" w:hAnsi="Miriam" w:cs="Miriam"/>
          <w:color w:val="000000"/>
          <w:szCs w:val="24"/>
          <w:rtl/>
        </w:rPr>
        <w:t xml:space="preserve"> הנגבי </w:t>
      </w:r>
      <w:r w:rsidRPr="007B04E0">
        <w:rPr>
          <w:rFonts w:ascii="Miriam" w:eastAsiaTheme="minorHAnsi" w:hAnsi="Miriam" w:cs="Miriam" w:hint="cs"/>
          <w:color w:val="000000"/>
          <w:szCs w:val="24"/>
          <w:rtl/>
        </w:rPr>
        <w:t>2015</w:t>
      </w:r>
      <w:r w:rsidRPr="007B04E0">
        <w:rPr>
          <w:rFonts w:ascii="FrankRuehl" w:eastAsiaTheme="minorHAnsi" w:hAnsi="FrankRuehl" w:hint="cs"/>
          <w:color w:val="000000"/>
          <w:sz w:val="28"/>
          <w:rtl/>
        </w:rPr>
        <w:t xml:space="preserve">); וחוות דעתו של השופט </w:t>
      </w:r>
      <w:r w:rsidRPr="007B04E0">
        <w:rPr>
          <w:rFonts w:ascii="Miriam" w:eastAsiaTheme="minorHAnsi" w:hAnsi="Miriam" w:cs="Miriam" w:hint="eastAsia"/>
          <w:color w:val="000000"/>
          <w:szCs w:val="24"/>
          <w:rtl/>
        </w:rPr>
        <w:t>נ</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הנדל</w:t>
      </w:r>
      <w:r w:rsidRPr="007B04E0">
        <w:rPr>
          <w:rFonts w:ascii="FrankRuehl" w:eastAsiaTheme="minorHAnsi" w:hAnsi="FrankRuehl"/>
          <w:color w:val="000000"/>
          <w:szCs w:val="24"/>
          <w:rtl/>
        </w:rPr>
        <w:t xml:space="preserve"> </w:t>
      </w:r>
      <w:r w:rsidRPr="007B04E0">
        <w:rPr>
          <w:rFonts w:ascii="FrankRuehl" w:eastAsiaTheme="minorHAnsi" w:hAnsi="FrankRuehl" w:hint="cs"/>
          <w:color w:val="000000"/>
          <w:sz w:val="28"/>
          <w:rtl/>
        </w:rPr>
        <w:t xml:space="preserve">בעניין </w:t>
      </w:r>
      <w:r w:rsidRPr="007B04E0">
        <w:rPr>
          <w:rFonts w:ascii="Miriam" w:eastAsiaTheme="minorHAnsi" w:hAnsi="Miriam" w:cs="Miriam"/>
          <w:color w:val="000000"/>
          <w:szCs w:val="24"/>
          <w:rtl/>
        </w:rPr>
        <w:t xml:space="preserve">הנגבי </w:t>
      </w:r>
      <w:r w:rsidRPr="007B04E0">
        <w:rPr>
          <w:rFonts w:ascii="Miriam" w:eastAsiaTheme="minorHAnsi" w:hAnsi="Miriam" w:cs="Miriam" w:hint="cs"/>
          <w:color w:val="000000"/>
          <w:szCs w:val="24"/>
          <w:rtl/>
        </w:rPr>
        <w:t>2015</w:t>
      </w:r>
      <w:r w:rsidRPr="007B04E0">
        <w:rPr>
          <w:rFonts w:ascii="FrankRuehl" w:eastAsiaTheme="minorHAnsi" w:hAnsi="FrankRuehl" w:hint="cs"/>
          <w:color w:val="000000"/>
          <w:sz w:val="28"/>
          <w:rtl/>
        </w:rPr>
        <w:t xml:space="preserve">). עם זאת, דומה כי </w:t>
      </w:r>
      <w:r>
        <w:rPr>
          <w:rFonts w:ascii="FrankRuehl" w:eastAsiaTheme="minorHAnsi" w:hAnsi="FrankRuehl" w:hint="cs"/>
          <w:color w:val="000000"/>
          <w:sz w:val="28"/>
          <w:rtl/>
        </w:rPr>
        <w:t>הפירוש המתבקש</w:t>
      </w:r>
      <w:r w:rsidRPr="007B04E0">
        <w:rPr>
          <w:rFonts w:ascii="FrankRuehl" w:eastAsiaTheme="minorHAnsi" w:hAnsi="FrankRuehl" w:hint="cs"/>
          <w:color w:val="000000"/>
          <w:sz w:val="28"/>
          <w:rtl/>
        </w:rPr>
        <w:t xml:space="preserve"> </w:t>
      </w:r>
      <w:r>
        <w:rPr>
          <w:rFonts w:ascii="FrankRuehl" w:eastAsiaTheme="minorHAnsi" w:hAnsi="FrankRuehl" w:hint="cs"/>
          <w:color w:val="000000"/>
          <w:sz w:val="28"/>
          <w:rtl/>
        </w:rPr>
        <w:t>ל</w:t>
      </w:r>
      <w:r w:rsidRPr="007B04E0">
        <w:rPr>
          <w:rFonts w:ascii="FrankRuehl" w:eastAsiaTheme="minorHAnsi" w:hAnsi="FrankRuehl" w:hint="cs"/>
          <w:color w:val="000000"/>
          <w:sz w:val="28"/>
          <w:rtl/>
        </w:rPr>
        <w:t xml:space="preserve">סעיף 6(ג) לחוק היסוד בנוסחו הקודם היא כי </w:t>
      </w:r>
      <w:r>
        <w:rPr>
          <w:rFonts w:ascii="FrankRuehl" w:eastAsiaTheme="minorHAnsi" w:hAnsi="FrankRuehl" w:hint="cs"/>
          <w:color w:val="000000"/>
          <w:sz w:val="28"/>
          <w:rtl/>
        </w:rPr>
        <w:t xml:space="preserve">המילים "עונש מאסר" מתייחסות גם למאסר מותנה ולא רק למאסר בפועל. לכן, על פי חוק היסוד בנוסחו הקודם נדרשה פנייה אל יו"ר ועדת הבחירות בסוגיית הקלון גם בעניינו של מי שנגזר עליו עונש מאסר על תנאי. </w:t>
      </w:r>
    </w:p>
    <w:p w14:paraId="0488ADDC"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0A828D18" w14:textId="77777777" w:rsidR="0040186B" w:rsidRPr="00B1237A" w:rsidRDefault="0040186B" w:rsidP="00CC4B0E">
      <w:pPr>
        <w:pStyle w:val="Ruller4"/>
        <w:rPr>
          <w:rFonts w:eastAsiaTheme="minorHAnsi"/>
        </w:rPr>
      </w:pPr>
      <w:r w:rsidRPr="007B04E0">
        <w:rPr>
          <w:rFonts w:eastAsiaTheme="minorHAnsi" w:hint="cs"/>
          <w:rtl/>
        </w:rPr>
        <w:t>פרשנות זו נלמדת</w:t>
      </w:r>
      <w:r>
        <w:rPr>
          <w:rFonts w:eastAsiaTheme="minorHAnsi" w:hint="cs"/>
          <w:rtl/>
        </w:rPr>
        <w:t>, בין היתר,</w:t>
      </w:r>
      <w:r w:rsidRPr="007B04E0">
        <w:rPr>
          <w:rFonts w:eastAsiaTheme="minorHAnsi" w:hint="cs"/>
          <w:rtl/>
        </w:rPr>
        <w:t xml:space="preserve"> מהוראת סעיף 52(א) לחוק העונשין, הקובעת</w:t>
      </w:r>
      <w:r>
        <w:rPr>
          <w:rFonts w:eastAsiaTheme="minorHAnsi" w:hint="cs"/>
          <w:rtl/>
        </w:rPr>
        <w:t xml:space="preserve">: </w:t>
      </w:r>
      <w:r w:rsidRPr="007B04E0">
        <w:rPr>
          <w:rFonts w:eastAsiaTheme="minorHAnsi" w:hint="cs"/>
          <w:rtl/>
        </w:rPr>
        <w:t xml:space="preserve">"הטיל בית המשפט עונש מאסר, רשאי הוא להורות בגזר הדין שהעונש, כולו או מקצתו, יהיה על תנאי" (וראו גם: סעיף 355(ב) לחוק העונשין). </w:t>
      </w:r>
      <w:r>
        <w:rPr>
          <w:rFonts w:eastAsiaTheme="minorHAnsi" w:hint="cs"/>
          <w:rtl/>
        </w:rPr>
        <w:t xml:space="preserve">כלומר "עונש מאסר" </w:t>
      </w:r>
      <w:r>
        <w:rPr>
          <w:rFonts w:eastAsiaTheme="minorHAnsi"/>
          <w:rtl/>
        </w:rPr>
        <w:t>–</w:t>
      </w:r>
      <w:r>
        <w:rPr>
          <w:rFonts w:eastAsiaTheme="minorHAnsi" w:hint="cs"/>
          <w:rtl/>
        </w:rPr>
        <w:t xml:space="preserve"> גם מאסר על תנאי </w:t>
      </w:r>
      <w:r w:rsidR="00CC4B0E" w:rsidRPr="00CC4B0E">
        <w:rPr>
          <w:rFonts w:ascii="FrankRuehl" w:eastAsiaTheme="minorHAnsi" w:hAnsi="FrankRuehl"/>
          <w:color w:val="000000"/>
          <w:sz w:val="28"/>
          <w:rtl/>
        </w:rPr>
        <w:t>בְּמַשְׁמָע</w:t>
      </w:r>
      <w:r>
        <w:rPr>
          <w:rFonts w:eastAsiaTheme="minorHAnsi" w:hint="cs"/>
          <w:rtl/>
        </w:rPr>
        <w:t xml:space="preserve">. </w:t>
      </w:r>
      <w:r w:rsidRPr="007B04E0">
        <w:rPr>
          <w:rFonts w:eastAsiaTheme="minorHAnsi" w:hint="cs"/>
          <w:rtl/>
        </w:rPr>
        <w:t xml:space="preserve">הפסיקה שבה נקבע כי </w:t>
      </w:r>
      <w:r w:rsidRPr="007B04E0">
        <w:rPr>
          <w:rFonts w:hint="cs"/>
          <w:rtl/>
        </w:rPr>
        <w:t>"</w:t>
      </w:r>
      <w:r w:rsidRPr="007B04E0">
        <w:rPr>
          <w:rtl/>
        </w:rPr>
        <w:t>במהותו עונש מאסר, בין שנקבע לריצוי בפועל ובין שהוטל על</w:t>
      </w:r>
      <w:r w:rsidRPr="007B04E0">
        <w:rPr>
          <w:vertAlign w:val="superscript"/>
        </w:rPr>
        <w:t>-</w:t>
      </w:r>
      <w:r w:rsidRPr="007B04E0">
        <w:rPr>
          <w:rtl/>
        </w:rPr>
        <w:t>תנאי, הוא אותו עונש. אלא שעונש המאסר על</w:t>
      </w:r>
      <w:r w:rsidRPr="007B04E0">
        <w:rPr>
          <w:vertAlign w:val="superscript"/>
        </w:rPr>
        <w:t>-</w:t>
      </w:r>
      <w:r w:rsidRPr="007B04E0">
        <w:rPr>
          <w:rtl/>
        </w:rPr>
        <w:t>תנאי הוא בבחינת מאסר שריצויו נדח</w:t>
      </w:r>
      <w:r w:rsidRPr="007B04E0">
        <w:rPr>
          <w:rFonts w:hint="cs"/>
          <w:rtl/>
        </w:rPr>
        <w:t>ה" (</w:t>
      </w:r>
      <w:proofErr w:type="spellStart"/>
      <w:r w:rsidRPr="007B04E0">
        <w:rPr>
          <w:rtl/>
        </w:rPr>
        <w:t>רע"פ</w:t>
      </w:r>
      <w:proofErr w:type="spellEnd"/>
      <w:r w:rsidRPr="007B04E0">
        <w:rPr>
          <w:rtl/>
        </w:rPr>
        <w:t xml:space="preserve"> 5798/00‏ </w:t>
      </w:r>
      <w:proofErr w:type="spellStart"/>
      <w:r w:rsidRPr="007B04E0">
        <w:rPr>
          <w:rFonts w:ascii="Century" w:hAnsi="Century" w:cs="Miriam"/>
          <w:b/>
          <w:spacing w:val="0"/>
          <w:sz w:val="22"/>
          <w:szCs w:val="24"/>
          <w:rtl/>
        </w:rPr>
        <w:t>ריזי</w:t>
      </w:r>
      <w:proofErr w:type="spellEnd"/>
      <w:r w:rsidRPr="007B04E0">
        <w:rPr>
          <w:rFonts w:ascii="Century" w:hAnsi="Century" w:cs="Miriam"/>
          <w:b/>
          <w:spacing w:val="0"/>
          <w:sz w:val="22"/>
          <w:szCs w:val="24"/>
          <w:rtl/>
        </w:rPr>
        <w:t xml:space="preserve"> נ' מדינת ישראל</w:t>
      </w:r>
      <w:r w:rsidRPr="007B04E0">
        <w:rPr>
          <w:rtl/>
        </w:rPr>
        <w:t>,</w:t>
      </w:r>
      <w:r w:rsidRPr="007B04E0">
        <w:rPr>
          <w:rFonts w:hint="cs"/>
          <w:rtl/>
        </w:rPr>
        <w:t xml:space="preserve"> </w:t>
      </w:r>
      <w:r w:rsidRPr="007B04E0">
        <w:rPr>
          <w:rtl/>
        </w:rPr>
        <w:t>פ</w:t>
      </w:r>
      <w:r w:rsidR="00785EE2">
        <w:rPr>
          <w:rFonts w:hint="cs"/>
          <w:rtl/>
        </w:rPr>
        <w:t>"</w:t>
      </w:r>
      <w:r w:rsidRPr="007B04E0">
        <w:rPr>
          <w:rtl/>
        </w:rPr>
        <w:t>ד נה(3) 1</w:t>
      </w:r>
      <w:r w:rsidRPr="007B04E0">
        <w:rPr>
          <w:rFonts w:hint="cs"/>
          <w:rtl/>
        </w:rPr>
        <w:t>, 11 (2001))</w:t>
      </w:r>
      <w:r w:rsidRPr="007B04E0">
        <w:rPr>
          <w:rFonts w:eastAsiaTheme="minorHAnsi" w:hint="cs"/>
          <w:rtl/>
        </w:rPr>
        <w:t>, מלמדת אף היא על אותה פרשנות. כמו כן,</w:t>
      </w:r>
      <w:r>
        <w:rPr>
          <w:rFonts w:eastAsiaTheme="minorHAnsi" w:hint="cs"/>
          <w:rtl/>
        </w:rPr>
        <w:t xml:space="preserve"> ראינו כי</w:t>
      </w:r>
      <w:r w:rsidRPr="007B04E0">
        <w:rPr>
          <w:rFonts w:eastAsiaTheme="minorHAnsi" w:hint="cs"/>
          <w:rtl/>
        </w:rPr>
        <w:t xml:space="preserve"> מקום </w:t>
      </w:r>
      <w:r>
        <w:rPr>
          <w:rFonts w:eastAsiaTheme="minorHAnsi" w:hint="cs"/>
          <w:rtl/>
        </w:rPr>
        <w:t>ש</w:t>
      </w:r>
      <w:r w:rsidRPr="007B04E0">
        <w:rPr>
          <w:rFonts w:eastAsiaTheme="minorHAnsi" w:hint="cs"/>
          <w:rtl/>
        </w:rPr>
        <w:t>בו ביקש המחוקק לקבוע תנאי כשירות שנוגע למאסר בפועל בלבד, הוא ציין זאת מפורשות</w:t>
      </w:r>
      <w:r>
        <w:rPr>
          <w:rFonts w:eastAsiaTheme="minorHAnsi" w:hint="cs"/>
          <w:rtl/>
        </w:rPr>
        <w:t xml:space="preserve">. כך, </w:t>
      </w:r>
      <w:r w:rsidRPr="007B04E0">
        <w:rPr>
          <w:rFonts w:eastAsiaTheme="minorHAnsi" w:hint="cs"/>
          <w:rtl/>
        </w:rPr>
        <w:t xml:space="preserve">סעיף 6(א) לחוק-יסוד: </w:t>
      </w:r>
      <w:r w:rsidRPr="007B04E0">
        <w:rPr>
          <w:rFonts w:eastAsiaTheme="minorHAnsi" w:hint="cs"/>
          <w:rtl/>
        </w:rPr>
        <w:lastRenderedPageBreak/>
        <w:t xml:space="preserve">הכנסת קובע כי "כל אזרח ישראלי [...] זכאי להיבחר לכנסת, זולת אם [...] נידון בפסק דין סופי, לעונש </w:t>
      </w:r>
      <w:r w:rsidRPr="007B04E0">
        <w:rPr>
          <w:rFonts w:ascii="Century" w:hAnsi="Century" w:cs="Miriam" w:hint="cs"/>
          <w:b/>
          <w:spacing w:val="0"/>
          <w:sz w:val="22"/>
          <w:szCs w:val="24"/>
          <w:rtl/>
        </w:rPr>
        <w:t>מאסר בפועל</w:t>
      </w:r>
      <w:r w:rsidRPr="007B04E0">
        <w:rPr>
          <w:rFonts w:eastAsiaTheme="minorHAnsi" w:hint="cs"/>
          <w:rtl/>
        </w:rPr>
        <w:t xml:space="preserve"> לתקופה העולה על שלושה חודשים [...]" (ההדגשה הוספה). </w:t>
      </w:r>
      <w:r>
        <w:rPr>
          <w:rFonts w:eastAsiaTheme="minorHAnsi" w:hint="cs"/>
          <w:rtl/>
        </w:rPr>
        <w:t xml:space="preserve">תמיכה נוספת לפרשנות זו מצויה בשתי החלופות שנקבעו </w:t>
      </w:r>
      <w:r w:rsidRPr="007B04E0">
        <w:rPr>
          <w:rFonts w:eastAsiaTheme="minorHAnsi" w:hint="cs"/>
          <w:rtl/>
        </w:rPr>
        <w:t xml:space="preserve">בסעיף 6(ג) לחוק היסוד למניין תקופת שבע השנים: חלופה אחת מתייחסת לשבע שנים "מהיום שגמר לרצות את עונש המאסר", וברי כי חלופה זו עניינה מאסר בפועל; החלופה השנייה מתייחסת לשבע שנים "מיום מתן פסק הדין", </w:t>
      </w:r>
      <w:r>
        <w:rPr>
          <w:rFonts w:eastAsiaTheme="minorHAnsi" w:hint="cs"/>
          <w:rtl/>
        </w:rPr>
        <w:t>ו</w:t>
      </w:r>
      <w:r w:rsidRPr="007B04E0">
        <w:rPr>
          <w:rFonts w:eastAsiaTheme="minorHAnsi" w:hint="cs"/>
          <w:rtl/>
        </w:rPr>
        <w:t xml:space="preserve">היא </w:t>
      </w:r>
      <w:r>
        <w:rPr>
          <w:rFonts w:eastAsiaTheme="minorHAnsi" w:hint="cs"/>
          <w:rtl/>
        </w:rPr>
        <w:t>מתאימה</w:t>
      </w:r>
      <w:r w:rsidRPr="007B04E0">
        <w:rPr>
          <w:rFonts w:eastAsiaTheme="minorHAnsi" w:hint="cs"/>
          <w:rtl/>
        </w:rPr>
        <w:t xml:space="preserve"> לסיטואציה של עונש מאסר על תנאי. </w:t>
      </w:r>
      <w:r>
        <w:rPr>
          <w:rFonts w:eastAsiaTheme="minorHAnsi" w:hint="cs"/>
          <w:rtl/>
        </w:rPr>
        <w:t xml:space="preserve">לא למותר לציין כי </w:t>
      </w:r>
      <w:r w:rsidRPr="007B04E0">
        <w:rPr>
          <w:rFonts w:eastAsiaTheme="minorHAnsi" w:hint="cs"/>
          <w:rtl/>
        </w:rPr>
        <w:t>חלופה זו אינה מופיעה בסעיף 6 לחוק-יסוד: הכנסת, שתנאי הכשירות בו נוגע כאמור למאסר בפועל בלבד; ולא בכדי במסגרת תיקון מס' 11 הוסרה</w:t>
      </w:r>
      <w:r>
        <w:rPr>
          <w:rFonts w:eastAsiaTheme="minorHAnsi" w:hint="cs"/>
          <w:rtl/>
        </w:rPr>
        <w:t xml:space="preserve"> חלופה זו</w:t>
      </w:r>
      <w:r w:rsidRPr="007B04E0">
        <w:rPr>
          <w:rFonts w:eastAsiaTheme="minorHAnsi" w:hint="cs"/>
          <w:rtl/>
        </w:rPr>
        <w:t xml:space="preserve"> מנוסחו של סעיף 6(ג) לחוק-יסוד: הממשלה, משהוחלט לקבוע כי הוא יחול רק ביחס למאסר בפועל. </w:t>
      </w:r>
    </w:p>
    <w:p w14:paraId="4D6B7FB9" w14:textId="77777777" w:rsidR="0040186B" w:rsidRDefault="0040186B" w:rsidP="00C634DC">
      <w:pPr>
        <w:pStyle w:val="Ruller4"/>
        <w:numPr>
          <w:ilvl w:val="0"/>
          <w:numId w:val="0"/>
        </w:numPr>
        <w:rPr>
          <w:rFonts w:ascii="FrankRuehl" w:eastAsiaTheme="minorHAnsi" w:hAnsi="FrankRuehl"/>
          <w:color w:val="000000"/>
          <w:sz w:val="28"/>
          <w:rtl/>
        </w:rPr>
      </w:pPr>
    </w:p>
    <w:p w14:paraId="300FCA47" w14:textId="77777777" w:rsidR="0040186B" w:rsidRPr="007B04E0" w:rsidRDefault="0040186B" w:rsidP="00C634DC">
      <w:pPr>
        <w:pStyle w:val="Ruller4"/>
        <w:numPr>
          <w:ilvl w:val="0"/>
          <w:numId w:val="0"/>
        </w:numPr>
        <w:rPr>
          <w:rFonts w:ascii="FrankRuehl" w:eastAsiaTheme="minorHAnsi" w:hAnsi="FrankRuehl"/>
          <w:color w:val="000000"/>
          <w:sz w:val="28"/>
          <w:rtl/>
        </w:rPr>
      </w:pPr>
      <w:r>
        <w:rPr>
          <w:rFonts w:ascii="FrankRuehl" w:eastAsiaTheme="minorHAnsi" w:hAnsi="FrankRuehl"/>
          <w:color w:val="000000"/>
          <w:sz w:val="28"/>
          <w:rtl/>
        </w:rPr>
        <w:tab/>
      </w:r>
      <w:r w:rsidRPr="007B04E0">
        <w:rPr>
          <w:rFonts w:ascii="FrankRuehl" w:eastAsiaTheme="minorHAnsi" w:hAnsi="FrankRuehl" w:hint="cs"/>
          <w:color w:val="000000"/>
          <w:sz w:val="28"/>
          <w:rtl/>
        </w:rPr>
        <w:t>לכל האמור יש להוסיף כי במסגרת הצעת תיקון לחוק-יסוד: הממשלה משנת 2014, הוצע להוסיף תנאי כשירות המונע</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בנסיבות מסוימות</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מאדם שנידון לעונש מאסר </w:t>
      </w:r>
      <w:r w:rsidRPr="007B04E0">
        <w:rPr>
          <w:rFonts w:ascii="Century" w:eastAsiaTheme="minorHAnsi" w:hAnsi="Century" w:cs="Miriam" w:hint="cs"/>
          <w:b/>
          <w:spacing w:val="0"/>
          <w:sz w:val="22"/>
          <w:szCs w:val="24"/>
          <w:rtl/>
        </w:rPr>
        <w:t>בפועל</w:t>
      </w:r>
      <w:r w:rsidRPr="007B04E0">
        <w:rPr>
          <w:rFonts w:ascii="FrankRuehl" w:eastAsiaTheme="minorHAnsi" w:hAnsi="FrankRuehl" w:hint="cs"/>
          <w:color w:val="000000"/>
          <w:sz w:val="28"/>
          <w:rtl/>
        </w:rPr>
        <w:t xml:space="preserve"> לכהן כשר לתקופה של 14 שנים מגמר ריצוי עונשו (הצעת חוק-יסוד: הממשלה (תיקון מס' 3) (כשירות לכהונה של חבר הממשלה או סגן שר שהורשע בעבירה שיש עמה קלון), </w:t>
      </w:r>
      <w:proofErr w:type="spellStart"/>
      <w:r w:rsidRPr="007B04E0">
        <w:rPr>
          <w:rFonts w:ascii="FrankRuehl" w:eastAsiaTheme="minorHAnsi" w:hAnsi="FrankRuehl" w:hint="cs"/>
          <w:color w:val="000000"/>
          <w:sz w:val="28"/>
          <w:rtl/>
        </w:rPr>
        <w:t>ה"ח</w:t>
      </w:r>
      <w:proofErr w:type="spellEnd"/>
      <w:r w:rsidRPr="007B04E0">
        <w:rPr>
          <w:rFonts w:ascii="FrankRuehl" w:eastAsiaTheme="minorHAnsi" w:hAnsi="FrankRuehl" w:hint="cs"/>
          <w:color w:val="000000"/>
          <w:sz w:val="28"/>
          <w:rtl/>
        </w:rPr>
        <w:t xml:space="preserve"> הכנסת </w:t>
      </w:r>
      <w:proofErr w:type="spellStart"/>
      <w:r w:rsidRPr="007B04E0">
        <w:rPr>
          <w:rFonts w:ascii="FrankRuehl" w:eastAsiaTheme="minorHAnsi" w:hAnsi="FrankRuehl" w:hint="cs"/>
          <w:color w:val="000000"/>
          <w:sz w:val="28"/>
          <w:rtl/>
        </w:rPr>
        <w:t>התשע"ד</w:t>
      </w:r>
      <w:proofErr w:type="spellEnd"/>
      <w:r w:rsidRPr="007B04E0">
        <w:rPr>
          <w:rFonts w:ascii="FrankRuehl" w:eastAsiaTheme="minorHAnsi" w:hAnsi="FrankRuehl" w:hint="cs"/>
          <w:color w:val="000000"/>
          <w:sz w:val="28"/>
          <w:rtl/>
        </w:rPr>
        <w:t xml:space="preserve"> 134). הצעה זו לא התקבלה משום שלא אושרה ברוב המיוחד הדרוש לצורך תיקון חוק היסוד, אך מהדיונים לגביה עולה כי נקודת המוצא הייתה שהמאסר שאליו מתייחס סעיף 6(ג) לחוק היסוד</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כולל גם מאסר על תנאי (ראו: פרוטוקול ישיבה 184 של ועדת החוקה, חוק ומשפט, הכנסת ה-19, </w:t>
      </w:r>
      <w:r w:rsidRPr="007B04E0">
        <w:rPr>
          <w:rFonts w:ascii="FrankRuehl" w:eastAsiaTheme="minorHAnsi" w:hAnsi="FrankRuehl"/>
          <w:color w:val="000000"/>
          <w:sz w:val="28"/>
          <w:rtl/>
        </w:rPr>
        <w:t>16 (21.5.2014); פרוטוקול ישיבה 211 של ועדת החוקה, חוק ומשפט, הכנסת ה-19, 2 (2.7.2014)</w:t>
      </w:r>
      <w:r w:rsidRPr="007B04E0">
        <w:rPr>
          <w:rFonts w:ascii="FrankRuehl" w:eastAsiaTheme="minorHAnsi" w:hAnsi="FrankRuehl" w:hint="cs"/>
          <w:color w:val="000000"/>
          <w:sz w:val="28"/>
          <w:rtl/>
        </w:rPr>
        <w:t>).</w:t>
      </w:r>
    </w:p>
    <w:p w14:paraId="68CFD91C"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08C906C7" w14:textId="77777777" w:rsidR="0040186B" w:rsidRPr="007B04E0" w:rsidRDefault="0040186B" w:rsidP="00D72B22">
      <w:pPr>
        <w:pStyle w:val="Ruller4"/>
        <w:tabs>
          <w:tab w:val="clear" w:pos="907"/>
        </w:tabs>
        <w:rPr>
          <w:rFonts w:ascii="FrankRuehl" w:eastAsiaTheme="minorHAnsi" w:hAnsi="FrankRuehl"/>
          <w:color w:val="000000"/>
          <w:sz w:val="28"/>
        </w:rPr>
      </w:pPr>
      <w:r>
        <w:rPr>
          <w:rFonts w:eastAsiaTheme="minorHAnsi" w:hint="cs"/>
          <w:rtl/>
        </w:rPr>
        <w:t>בעקבות תיקון מס' 11 לחוק היסוד שונו, כאמור,</w:t>
      </w:r>
      <w:r w:rsidRPr="007B04E0">
        <w:rPr>
          <w:rFonts w:eastAsiaTheme="minorHAnsi" w:hint="cs"/>
          <w:rtl/>
        </w:rPr>
        <w:t xml:space="preserve"> תנאי הכשירות בסעיף 6(ג) לחוק היסוד כך שהוא חל רק </w:t>
      </w:r>
      <w:r w:rsidRPr="007B04E0">
        <w:rPr>
          <w:rFonts w:ascii="FrankRuehl" w:eastAsiaTheme="minorHAnsi" w:hAnsi="FrankRuehl" w:hint="cs"/>
          <w:color w:val="000000"/>
          <w:sz w:val="28"/>
          <w:rtl/>
        </w:rPr>
        <w:t>ביחס ל"</w:t>
      </w:r>
      <w:r w:rsidRPr="007B04E0">
        <w:rPr>
          <w:rFonts w:ascii="FrankRuehl" w:eastAsiaTheme="minorHAnsi" w:hAnsi="FrankRuehl"/>
          <w:color w:val="000000"/>
          <w:sz w:val="28"/>
          <w:rtl/>
        </w:rPr>
        <w:t xml:space="preserve">מי שהורשע בעבירה ונידון לעונש מאסר </w:t>
      </w:r>
      <w:r w:rsidRPr="007B04E0">
        <w:rPr>
          <w:rFonts w:ascii="Century" w:hAnsi="Century" w:cs="Miriam"/>
          <w:b/>
          <w:spacing w:val="0"/>
          <w:sz w:val="22"/>
          <w:szCs w:val="24"/>
          <w:rtl/>
        </w:rPr>
        <w:t xml:space="preserve">בפועל </w:t>
      </w:r>
      <w:r w:rsidRPr="007B04E0">
        <w:rPr>
          <w:rFonts w:ascii="FrankRuehl" w:eastAsiaTheme="minorHAnsi" w:hAnsi="FrankRuehl"/>
          <w:color w:val="000000"/>
          <w:sz w:val="28"/>
          <w:rtl/>
        </w:rPr>
        <w:t xml:space="preserve">וביום מינויו טרם עברו שבע שנים מהיום שגמר לרצות את עונש המאסר </w:t>
      </w:r>
      <w:r w:rsidRPr="007B04E0">
        <w:rPr>
          <w:rFonts w:ascii="Century" w:hAnsi="Century" w:cs="Miriam"/>
          <w:b/>
          <w:spacing w:val="0"/>
          <w:sz w:val="22"/>
          <w:szCs w:val="24"/>
          <w:rtl/>
        </w:rPr>
        <w:t>בפועל</w:t>
      </w:r>
      <w:r w:rsidRPr="007B04E0">
        <w:rPr>
          <w:rFonts w:ascii="FrankRuehl" w:eastAsiaTheme="minorHAnsi" w:hAnsi="FrankRuehl" w:hint="cs"/>
          <w:color w:val="000000"/>
          <w:sz w:val="28"/>
          <w:rtl/>
        </w:rPr>
        <w:t xml:space="preserve">" (ההדגשות הוספו). על פי הנטען בעתירת שיינפלד ובעתירת התנועה למען איכות השלטון, תיקון זה מהווה שימוש לרעה בסמכותה המכוננת של הכנסת, ומשכך יש לבטלו ולמצער לקבוע כי לא יחול ביחס לדרעי. </w:t>
      </w:r>
      <w:r>
        <w:rPr>
          <w:rFonts w:ascii="FrankRuehl" w:eastAsiaTheme="minorHAnsi" w:hAnsi="FrankRuehl" w:hint="cs"/>
          <w:color w:val="000000"/>
          <w:sz w:val="28"/>
          <w:rtl/>
        </w:rPr>
        <w:t>לעניין התחולה</w:t>
      </w:r>
      <w:r w:rsidRPr="007B04E0">
        <w:rPr>
          <w:rFonts w:ascii="FrankRuehl" w:eastAsiaTheme="minorHAnsi" w:hAnsi="FrankRuehl" w:hint="cs"/>
          <w:color w:val="000000"/>
          <w:sz w:val="28"/>
          <w:rtl/>
        </w:rPr>
        <w:t xml:space="preserve"> נטען כי חקיקת התיקון והחלתו באופן מיידי "ביום קבלתו בכנסת"</w:t>
      </w:r>
      <w:r>
        <w:rPr>
          <w:rFonts w:ascii="FrankRuehl" w:eastAsiaTheme="minorHAnsi" w:hAnsi="FrankRuehl" w:hint="cs"/>
          <w:color w:val="000000"/>
          <w:sz w:val="28"/>
          <w:rtl/>
        </w:rPr>
        <w:t xml:space="preserve">, </w:t>
      </w:r>
      <w:r w:rsidRPr="007B04E0">
        <w:rPr>
          <w:rFonts w:ascii="FrankRuehl" w:eastAsiaTheme="minorHAnsi" w:hAnsi="FrankRuehl" w:hint="cs"/>
          <w:color w:val="000000"/>
          <w:sz w:val="28"/>
          <w:rtl/>
        </w:rPr>
        <w:t>כאמור בסעיף 8 לתיקון</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נועד</w:t>
      </w:r>
      <w:r>
        <w:rPr>
          <w:rFonts w:ascii="FrankRuehl" w:eastAsiaTheme="minorHAnsi" w:hAnsi="FrankRuehl" w:hint="cs"/>
          <w:color w:val="000000"/>
          <w:sz w:val="28"/>
          <w:rtl/>
        </w:rPr>
        <w:t>ו</w:t>
      </w:r>
      <w:r w:rsidRPr="007B04E0">
        <w:rPr>
          <w:rFonts w:ascii="FrankRuehl" w:eastAsiaTheme="minorHAnsi" w:hAnsi="FrankRuehl" w:hint="cs"/>
          <w:color w:val="000000"/>
          <w:sz w:val="28"/>
          <w:rtl/>
        </w:rPr>
        <w:t xml:space="preserve"> לשמש פתרון לבעיה של אדם אחד שנידון לעונש מאסר על תנאי, ולפי הדין הקודם לא יכול היה להתמנות </w:t>
      </w:r>
      <w:r w:rsidR="00D8714C">
        <w:rPr>
          <w:rFonts w:ascii="FrankRuehl" w:eastAsiaTheme="minorHAnsi" w:hAnsi="FrankRuehl" w:hint="cs"/>
          <w:color w:val="000000"/>
          <w:sz w:val="28"/>
          <w:rtl/>
        </w:rPr>
        <w:t>ל</w:t>
      </w:r>
      <w:r w:rsidR="00D8714C" w:rsidRPr="007B04E0">
        <w:rPr>
          <w:rFonts w:ascii="FrankRuehl" w:eastAsiaTheme="minorHAnsi" w:hAnsi="FrankRuehl" w:hint="cs"/>
          <w:color w:val="000000"/>
          <w:sz w:val="28"/>
          <w:rtl/>
        </w:rPr>
        <w:t xml:space="preserve">שר </w:t>
      </w:r>
      <w:r w:rsidRPr="007B04E0">
        <w:rPr>
          <w:rFonts w:ascii="FrankRuehl" w:eastAsiaTheme="minorHAnsi" w:hAnsi="FrankRuehl" w:hint="cs"/>
          <w:color w:val="000000"/>
          <w:sz w:val="28"/>
          <w:rtl/>
        </w:rPr>
        <w:t xml:space="preserve">בהיעדר קביעה של יו"ר ועדת הבחירות </w:t>
      </w:r>
      <w:r>
        <w:rPr>
          <w:rFonts w:ascii="FrankRuehl" w:eastAsiaTheme="minorHAnsi" w:hAnsi="FrankRuehl" w:hint="cs"/>
          <w:color w:val="000000"/>
          <w:sz w:val="28"/>
          <w:rtl/>
        </w:rPr>
        <w:t>ש</w:t>
      </w:r>
      <w:r w:rsidRPr="007B04E0">
        <w:rPr>
          <w:rFonts w:ascii="FrankRuehl" w:eastAsiaTheme="minorHAnsi" w:hAnsi="FrankRuehl" w:hint="cs"/>
          <w:color w:val="000000"/>
          <w:sz w:val="28"/>
          <w:rtl/>
        </w:rPr>
        <w:t xml:space="preserve">אין בעבירה שהורשע בה משום קלון. על כן, כך נטען, מדובר בנורמה פרסונלית ובעלת תחולה רטרואקטיבית, שאינה עומדת במבחנים השונים שנקבעו לזיהוי נורמה חוקתית בבג"ץ 5969/20 </w:t>
      </w:r>
      <w:r w:rsidRPr="007B04E0">
        <w:rPr>
          <w:rFonts w:ascii="Miriam" w:eastAsiaTheme="minorHAnsi" w:hAnsi="Miriam" w:cs="Miriam" w:hint="eastAsia"/>
          <w:color w:val="000000"/>
          <w:szCs w:val="24"/>
          <w:rtl/>
        </w:rPr>
        <w:t>שפיר</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נ</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הכנסת</w:t>
      </w:r>
      <w:r w:rsidRPr="007B04E0">
        <w:rPr>
          <w:rFonts w:ascii="FrankRuehl" w:eastAsiaTheme="minorHAnsi" w:hAnsi="FrankRuehl"/>
          <w:color w:val="000000"/>
          <w:szCs w:val="24"/>
          <w:rtl/>
        </w:rPr>
        <w:t xml:space="preserve"> </w:t>
      </w:r>
      <w:r w:rsidRPr="007B04E0">
        <w:rPr>
          <w:rFonts w:ascii="FrankRuehl" w:eastAsiaTheme="minorHAnsi" w:hAnsi="FrankRuehl" w:hint="cs"/>
          <w:color w:val="000000"/>
          <w:sz w:val="28"/>
          <w:rtl/>
        </w:rPr>
        <w:t xml:space="preserve">(23.5.2021) (להלן: </w:t>
      </w:r>
      <w:r w:rsidRPr="007B04E0">
        <w:rPr>
          <w:rFonts w:ascii="Miriam" w:eastAsiaTheme="minorHAnsi" w:hAnsi="Miriam" w:cs="Miriam" w:hint="eastAsia"/>
          <w:color w:val="000000"/>
          <w:szCs w:val="24"/>
          <w:rtl/>
        </w:rPr>
        <w:t>עניין</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שפיר</w:t>
      </w:r>
      <w:r w:rsidRPr="007B04E0">
        <w:rPr>
          <w:rFonts w:ascii="FrankRuehl" w:eastAsiaTheme="minorHAnsi" w:hAnsi="FrankRuehl" w:hint="cs"/>
          <w:color w:val="000000"/>
          <w:sz w:val="28"/>
          <w:rtl/>
        </w:rPr>
        <w:t xml:space="preserve">). </w:t>
      </w:r>
    </w:p>
    <w:p w14:paraId="2315C095"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1489E820" w14:textId="77777777" w:rsidR="0040186B" w:rsidRDefault="0040186B" w:rsidP="00C634DC">
      <w:pPr>
        <w:pStyle w:val="Ruller4"/>
        <w:rPr>
          <w:rFonts w:ascii="FrankRuehl" w:eastAsiaTheme="minorHAnsi" w:hAnsi="FrankRuehl"/>
          <w:color w:val="000000"/>
          <w:sz w:val="28"/>
        </w:rPr>
      </w:pPr>
      <w:r w:rsidRPr="007B04E0">
        <w:rPr>
          <w:rFonts w:ascii="FrankRuehl" w:eastAsiaTheme="minorHAnsi" w:hAnsi="FrankRuehl" w:hint="cs"/>
          <w:color w:val="000000"/>
          <w:sz w:val="28"/>
          <w:rtl/>
        </w:rPr>
        <w:lastRenderedPageBreak/>
        <w:t xml:space="preserve">בבג"ץ 2905/20 </w:t>
      </w:r>
      <w:r w:rsidRPr="007B04E0">
        <w:rPr>
          <w:rFonts w:ascii="Miriam" w:eastAsiaTheme="minorHAnsi" w:hAnsi="Miriam" w:cs="Miriam" w:hint="eastAsia"/>
          <w:color w:val="000000"/>
          <w:szCs w:val="24"/>
          <w:rtl/>
        </w:rPr>
        <w:t>התנועה</w:t>
      </w:r>
      <w:r w:rsidRPr="007B04E0">
        <w:rPr>
          <w:rFonts w:ascii="Miriam" w:eastAsiaTheme="minorHAnsi" w:hAnsi="Miriam" w:cs="Miriam"/>
          <w:color w:val="000000"/>
          <w:szCs w:val="24"/>
          <w:rtl/>
        </w:rPr>
        <w:t xml:space="preserve"> למען איכות השלטון בישראל נ' כנסת ישראל </w:t>
      </w:r>
      <w:r w:rsidRPr="007B04E0">
        <w:rPr>
          <w:rFonts w:ascii="FrankRuehl" w:eastAsiaTheme="minorHAnsi" w:hAnsi="FrankRuehl" w:hint="cs"/>
          <w:color w:val="000000"/>
          <w:sz w:val="28"/>
          <w:rtl/>
        </w:rPr>
        <w:t xml:space="preserve">(12.7.2021) (להלן: </w:t>
      </w:r>
      <w:r w:rsidRPr="007B04E0">
        <w:rPr>
          <w:rFonts w:ascii="Miriam" w:eastAsiaTheme="minorHAnsi" w:hAnsi="Miriam" w:cs="Miriam" w:hint="eastAsia"/>
          <w:color w:val="000000"/>
          <w:szCs w:val="24"/>
          <w:rtl/>
        </w:rPr>
        <w:t>עניין</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ממשלת</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הח</w:t>
      </w:r>
      <w:r w:rsidRPr="007B04E0">
        <w:rPr>
          <w:rFonts w:ascii="Miriam" w:eastAsiaTheme="minorHAnsi" w:hAnsi="Miriam" w:cs="Miriam" w:hint="cs"/>
          <w:color w:val="000000"/>
          <w:szCs w:val="24"/>
          <w:rtl/>
        </w:rPr>
        <w:t>י</w:t>
      </w:r>
      <w:r w:rsidRPr="007B04E0">
        <w:rPr>
          <w:rFonts w:ascii="Miriam" w:eastAsiaTheme="minorHAnsi" w:hAnsi="Miriam" w:cs="Miriam" w:hint="eastAsia"/>
          <w:color w:val="000000"/>
          <w:szCs w:val="24"/>
          <w:rtl/>
        </w:rPr>
        <w:t>לופים</w:t>
      </w:r>
      <w:r w:rsidRPr="007B04E0">
        <w:rPr>
          <w:rFonts w:ascii="FrankRuehl" w:eastAsiaTheme="minorHAnsi" w:hAnsi="FrankRuehl" w:hint="cs"/>
          <w:color w:val="000000"/>
          <w:sz w:val="28"/>
          <w:rtl/>
        </w:rPr>
        <w:t xml:space="preserve">) עמדתי על כך שעצם העובדה שהכנסת מתקנת את חוק היסוד ומחילה את התיקון באופן מיידי, כתיקון קבוע מעתה ואילך, אין בה כשלעצמה כדי להצביע על כך שמדובר בנורמה שלא ניתן לזהותה כנורמה חוקתית </w:t>
      </w:r>
      <w:r w:rsidRPr="007B04E0">
        <w:rPr>
          <w:rFonts w:ascii="FrankRuehl" w:eastAsiaTheme="minorHAnsi" w:hAnsi="FrankRuehl"/>
          <w:color w:val="000000"/>
          <w:sz w:val="28"/>
          <w:rtl/>
        </w:rPr>
        <w:t>(</w:t>
      </w:r>
      <w:r w:rsidRPr="007B04E0">
        <w:rPr>
          <w:rFonts w:ascii="Century" w:eastAsiaTheme="minorHAnsi" w:hAnsi="Century" w:cs="Miriam" w:hint="eastAsia"/>
          <w:b/>
          <w:spacing w:val="0"/>
          <w:sz w:val="22"/>
          <w:szCs w:val="24"/>
          <w:rtl/>
        </w:rPr>
        <w:t>שם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בפסקה</w:t>
      </w:r>
      <w:r w:rsidRPr="007B04E0">
        <w:rPr>
          <w:rFonts w:ascii="FrankRuehl" w:eastAsiaTheme="minorHAnsi" w:hAnsi="FrankRuehl"/>
          <w:color w:val="000000"/>
          <w:sz w:val="28"/>
          <w:rtl/>
        </w:rPr>
        <w:t xml:space="preserve"> 14 </w:t>
      </w:r>
      <w:r w:rsidRPr="007B04E0">
        <w:rPr>
          <w:rFonts w:ascii="FrankRuehl" w:eastAsiaTheme="minorHAnsi" w:hAnsi="FrankRuehl" w:hint="eastAsia"/>
          <w:color w:val="000000"/>
          <w:sz w:val="28"/>
          <w:rtl/>
        </w:rPr>
        <w:t>לחוות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דעתי</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אך</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ראו</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המקרים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החריגים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שעליהם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עמדתי</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בפסקאות</w:t>
      </w:r>
      <w:r w:rsidRPr="007B04E0">
        <w:rPr>
          <w:rFonts w:ascii="FrankRuehl" w:eastAsiaTheme="minorHAnsi" w:hAnsi="FrankRuehl"/>
          <w:color w:val="000000"/>
          <w:sz w:val="28"/>
          <w:rtl/>
        </w:rPr>
        <w:t xml:space="preserve"> 16-15 לחוות דעתי; </w:t>
      </w:r>
      <w:r w:rsidRPr="007B04E0">
        <w:rPr>
          <w:rFonts w:ascii="FrankRuehl" w:eastAsiaTheme="minorHAnsi" w:hAnsi="FrankRuehl" w:hint="eastAsia"/>
          <w:color w:val="000000"/>
          <w:sz w:val="28"/>
          <w:rtl/>
        </w:rPr>
        <w:t>וראו</w:t>
      </w:r>
      <w:r w:rsidRPr="007B04E0">
        <w:rPr>
          <w:rFonts w:ascii="FrankRuehl" w:eastAsiaTheme="minorHAnsi" w:hAnsi="FrankRuehl"/>
          <w:color w:val="000000"/>
          <w:sz w:val="28"/>
          <w:rtl/>
        </w:rPr>
        <w:t xml:space="preserve"> גם: </w:t>
      </w:r>
      <w:r w:rsidRPr="007B04E0">
        <w:rPr>
          <w:rFonts w:ascii="Century" w:eastAsiaTheme="minorHAnsi" w:hAnsi="Century" w:cs="Miriam" w:hint="eastAsia"/>
          <w:b/>
          <w:spacing w:val="0"/>
          <w:sz w:val="22"/>
          <w:szCs w:val="24"/>
          <w:rtl/>
        </w:rPr>
        <w:t>שם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בפסקאות</w:t>
      </w:r>
      <w:r w:rsidRPr="007B04E0">
        <w:rPr>
          <w:rFonts w:ascii="FrankRuehl" w:eastAsiaTheme="minorHAnsi" w:hAnsi="FrankRuehl"/>
          <w:color w:val="000000"/>
          <w:sz w:val="28"/>
          <w:rtl/>
        </w:rPr>
        <w:t xml:space="preserve"> 18-15 לחוות דעתו של השופט </w:t>
      </w:r>
      <w:r w:rsidRPr="007B04E0">
        <w:rPr>
          <w:rFonts w:ascii="Miriam" w:eastAsiaTheme="minorHAnsi" w:hAnsi="Miriam" w:cs="Miriam" w:hint="eastAsia"/>
          <w:color w:val="000000"/>
          <w:szCs w:val="24"/>
          <w:rtl/>
        </w:rPr>
        <w:t>נ</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הנדל</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פסקאות</w:t>
      </w:r>
      <w:r w:rsidRPr="007B04E0">
        <w:rPr>
          <w:rFonts w:ascii="FrankRuehl" w:eastAsiaTheme="minorHAnsi" w:hAnsi="FrankRuehl"/>
          <w:color w:val="000000"/>
          <w:sz w:val="28"/>
          <w:rtl/>
        </w:rPr>
        <w:t xml:space="preserve"> 6-5 לחוות דעתה של השופטת </w:t>
      </w:r>
      <w:r w:rsidRPr="007B04E0">
        <w:rPr>
          <w:rFonts w:ascii="Miriam" w:eastAsiaTheme="minorHAnsi" w:hAnsi="Miriam" w:cs="Miriam" w:hint="eastAsia"/>
          <w:color w:val="000000"/>
          <w:szCs w:val="24"/>
          <w:rtl/>
        </w:rPr>
        <w:t>ע</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ברון</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פסקה</w:t>
      </w:r>
      <w:r w:rsidRPr="007B04E0">
        <w:rPr>
          <w:rFonts w:ascii="FrankRuehl" w:eastAsiaTheme="minorHAnsi" w:hAnsi="FrankRuehl"/>
          <w:color w:val="000000"/>
          <w:sz w:val="28"/>
          <w:rtl/>
        </w:rPr>
        <w:t xml:space="preserve"> 17 לחוות דעתו של השופט </w:t>
      </w:r>
      <w:r w:rsidRPr="007B04E0">
        <w:rPr>
          <w:rFonts w:ascii="Miriam" w:eastAsiaTheme="minorHAnsi" w:hAnsi="Miriam" w:cs="Miriam" w:hint="eastAsia"/>
          <w:color w:val="000000"/>
          <w:szCs w:val="24"/>
          <w:rtl/>
        </w:rPr>
        <w:t>ד</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מינץ</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פסקאות</w:t>
      </w:r>
      <w:r w:rsidRPr="007B04E0">
        <w:rPr>
          <w:rFonts w:ascii="FrankRuehl" w:eastAsiaTheme="minorHAnsi" w:hAnsi="FrankRuehl"/>
          <w:color w:val="000000"/>
          <w:sz w:val="28"/>
          <w:rtl/>
        </w:rPr>
        <w:t xml:space="preserve"> 22-15 לחוות דעתה של השופטת </w:t>
      </w:r>
      <w:r w:rsidRPr="007B04E0">
        <w:rPr>
          <w:rFonts w:ascii="Miriam" w:eastAsiaTheme="minorHAnsi" w:hAnsi="Miriam" w:cs="Miriam" w:hint="eastAsia"/>
          <w:color w:val="000000"/>
          <w:szCs w:val="24"/>
          <w:rtl/>
        </w:rPr>
        <w:t>ד</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ברק</w:t>
      </w:r>
      <w:r w:rsidRPr="007B04E0">
        <w:rPr>
          <w:rFonts w:ascii="Miriam" w:eastAsiaTheme="minorHAnsi" w:hAnsi="Miriam" w:cs="Miriam"/>
          <w:color w:val="000000"/>
          <w:szCs w:val="24"/>
          <w:rtl/>
        </w:rPr>
        <w:t>-ארז</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פסקה</w:t>
      </w:r>
      <w:r w:rsidRPr="007B04E0">
        <w:rPr>
          <w:rFonts w:ascii="FrankRuehl" w:eastAsiaTheme="minorHAnsi" w:hAnsi="FrankRuehl"/>
          <w:color w:val="000000"/>
          <w:sz w:val="28"/>
          <w:rtl/>
        </w:rPr>
        <w:t xml:space="preserve"> 4 לחוות דעתו של השופט </w:t>
      </w:r>
      <w:r w:rsidRPr="007B04E0">
        <w:rPr>
          <w:rFonts w:ascii="Miriam" w:eastAsiaTheme="minorHAnsi" w:hAnsi="Miriam" w:cs="Miriam" w:hint="eastAsia"/>
          <w:color w:val="000000"/>
          <w:szCs w:val="24"/>
          <w:rtl/>
        </w:rPr>
        <w:t>ג</w:t>
      </w:r>
      <w:r w:rsidRPr="007B04E0">
        <w:rPr>
          <w:rFonts w:ascii="Miriam" w:eastAsiaTheme="minorHAnsi" w:hAnsi="Miriam" w:cs="Miriam"/>
          <w:color w:val="000000"/>
          <w:szCs w:val="24"/>
          <w:rtl/>
        </w:rPr>
        <w:t xml:space="preserve">' </w:t>
      </w:r>
      <w:r w:rsidRPr="007B04E0">
        <w:rPr>
          <w:rFonts w:ascii="Miriam" w:eastAsiaTheme="minorHAnsi" w:hAnsi="Miriam" w:cs="Miriam" w:hint="eastAsia"/>
          <w:color w:val="000000"/>
          <w:szCs w:val="24"/>
          <w:rtl/>
        </w:rPr>
        <w:t>קרא</w:t>
      </w:r>
      <w:r w:rsidRPr="007B04E0">
        <w:rPr>
          <w:rFonts w:ascii="FrankRuehl" w:eastAsiaTheme="minorHAnsi" w:hAnsi="FrankRuehl" w:hint="cs"/>
          <w:color w:val="000000"/>
          <w:sz w:val="28"/>
          <w:rtl/>
        </w:rPr>
        <w:t xml:space="preserve">). לצד זאת, ציינתי כי "[...] </w:t>
      </w:r>
      <w:r w:rsidRPr="007B04E0">
        <w:rPr>
          <w:rFonts w:ascii="FrankRuehl" w:eastAsiaTheme="minorHAnsi" w:hAnsi="FrankRuehl"/>
          <w:color w:val="000000"/>
          <w:sz w:val="28"/>
          <w:rtl/>
        </w:rPr>
        <w:t>לא ניתן להתעלם ממגמה מסתמנת של שינויים משטריים משמעותיים המבוצעים אד-הוק, לעתים בדרך של הוראת שעה, בתחולה מיידית (ולעתים בלעדית) לכנסת שביצעה אותם</w:t>
      </w:r>
      <w:r w:rsidRPr="007B04E0">
        <w:rPr>
          <w:rFonts w:ascii="FrankRuehl" w:eastAsiaTheme="minorHAnsi" w:hAnsi="FrankRuehl" w:hint="cs"/>
          <w:color w:val="000000"/>
          <w:sz w:val="28"/>
          <w:rtl/>
        </w:rPr>
        <w:t>" (</w:t>
      </w:r>
      <w:r w:rsidRPr="007B04E0">
        <w:rPr>
          <w:rFonts w:ascii="Miriam" w:eastAsiaTheme="minorHAnsi" w:hAnsi="Miriam" w:cs="Miriam" w:hint="eastAsia"/>
          <w:color w:val="000000"/>
          <w:szCs w:val="24"/>
          <w:rtl/>
        </w:rPr>
        <w:t>שם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בפסקה</w:t>
      </w:r>
      <w:r w:rsidRPr="007B04E0">
        <w:rPr>
          <w:rFonts w:ascii="FrankRuehl" w:eastAsiaTheme="minorHAnsi" w:hAnsi="FrankRuehl"/>
          <w:color w:val="000000"/>
          <w:sz w:val="28"/>
          <w:rtl/>
        </w:rPr>
        <w:t xml:space="preserve"> 11 לחוות דעתי; </w:t>
      </w:r>
      <w:r w:rsidRPr="007B04E0">
        <w:rPr>
          <w:rFonts w:ascii="FrankRuehl" w:eastAsiaTheme="minorHAnsi" w:hAnsi="FrankRuehl" w:hint="eastAsia"/>
          <w:color w:val="000000"/>
          <w:sz w:val="28"/>
          <w:rtl/>
        </w:rPr>
        <w:t>וראו</w:t>
      </w:r>
      <w:r w:rsidRPr="007B04E0">
        <w:rPr>
          <w:rFonts w:ascii="FrankRuehl" w:eastAsiaTheme="minorHAnsi" w:hAnsi="FrankRuehl"/>
          <w:color w:val="000000"/>
          <w:sz w:val="28"/>
          <w:rtl/>
        </w:rPr>
        <w:t xml:space="preserve"> גם דבריה של השופטת </w:t>
      </w:r>
      <w:r w:rsidRPr="007B04E0">
        <w:rPr>
          <w:rFonts w:ascii="Miriam" w:eastAsiaTheme="minorHAnsi" w:hAnsi="Miriam" w:cs="Miriam" w:hint="eastAsia"/>
          <w:color w:val="000000"/>
          <w:szCs w:val="24"/>
          <w:rtl/>
        </w:rPr>
        <w:t>ברון</w:t>
      </w:r>
      <w:r w:rsidRPr="007B04E0">
        <w:rPr>
          <w:rFonts w:ascii="FrankRuehl" w:eastAsiaTheme="minorHAnsi" w:hAnsi="FrankRuehl" w:hint="cs"/>
          <w:color w:val="000000"/>
          <w:szCs w:val="24"/>
          <w:rtl/>
        </w:rPr>
        <w:t xml:space="preserve"> </w:t>
      </w:r>
      <w:r w:rsidRPr="007B04E0">
        <w:rPr>
          <w:rFonts w:ascii="FrankRuehl" w:eastAsiaTheme="minorHAnsi" w:hAnsi="FrankRuehl" w:hint="eastAsia"/>
          <w:color w:val="000000"/>
          <w:sz w:val="28"/>
          <w:rtl/>
        </w:rPr>
        <w:t>בפסקה</w:t>
      </w:r>
      <w:r w:rsidRPr="007B04E0">
        <w:rPr>
          <w:rFonts w:ascii="FrankRuehl" w:eastAsiaTheme="minorHAnsi" w:hAnsi="FrankRuehl"/>
          <w:color w:val="000000"/>
          <w:sz w:val="28"/>
          <w:rtl/>
        </w:rPr>
        <w:t xml:space="preserve"> 8 </w:t>
      </w:r>
      <w:r w:rsidRPr="007B04E0">
        <w:rPr>
          <w:rFonts w:ascii="FrankRuehl" w:eastAsiaTheme="minorHAnsi" w:hAnsi="FrankRuehl" w:hint="eastAsia"/>
          <w:color w:val="000000"/>
          <w:sz w:val="28"/>
          <w:rtl/>
        </w:rPr>
        <w:t>לחוות</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דעתה</w:t>
      </w:r>
      <w:r w:rsidRPr="007B04E0">
        <w:rPr>
          <w:rFonts w:ascii="FrankRuehl" w:eastAsiaTheme="minorHAnsi" w:hAnsi="FrankRuehl" w:hint="cs"/>
          <w:color w:val="000000"/>
          <w:sz w:val="28"/>
          <w:rtl/>
        </w:rPr>
        <w:t>). דומה כי דברים אלה</w:t>
      </w:r>
      <w:r>
        <w:rPr>
          <w:rFonts w:ascii="FrankRuehl" w:eastAsiaTheme="minorHAnsi" w:hAnsi="FrankRuehl" w:hint="cs"/>
          <w:color w:val="000000"/>
          <w:sz w:val="28"/>
          <w:rtl/>
        </w:rPr>
        <w:t xml:space="preserve"> </w:t>
      </w:r>
      <w:r>
        <w:rPr>
          <w:rFonts w:ascii="FrankRuehl" w:eastAsiaTheme="minorHAnsi" w:hAnsi="FrankRuehl"/>
          <w:color w:val="000000"/>
          <w:sz w:val="28"/>
          <w:rtl/>
        </w:rPr>
        <w:t>–</w:t>
      </w:r>
      <w:r w:rsidRPr="007B04E0">
        <w:rPr>
          <w:rFonts w:ascii="FrankRuehl" w:eastAsiaTheme="minorHAnsi" w:hAnsi="FrankRuehl" w:hint="cs"/>
          <w:color w:val="000000"/>
          <w:sz w:val="28"/>
          <w:rtl/>
        </w:rPr>
        <w:t xml:space="preserve"> שנאמרו אגב דיון בעתירות שנוגעות לתיקון חוק יסוד </w:t>
      </w:r>
      <w:r>
        <w:rPr>
          <w:rFonts w:ascii="FrankRuehl" w:eastAsiaTheme="minorHAnsi" w:hAnsi="FrankRuehl" w:hint="cs"/>
          <w:color w:val="000000"/>
          <w:sz w:val="28"/>
          <w:rtl/>
        </w:rPr>
        <w:t>היוצר</w:t>
      </w:r>
      <w:r w:rsidRPr="007B04E0">
        <w:rPr>
          <w:rFonts w:ascii="FrankRuehl" w:eastAsiaTheme="minorHAnsi" w:hAnsi="FrankRuehl" w:hint="cs"/>
          <w:color w:val="000000"/>
          <w:sz w:val="28"/>
          <w:rtl/>
        </w:rPr>
        <w:t xml:space="preserve"> מנגנון </w:t>
      </w:r>
      <w:r>
        <w:rPr>
          <w:rFonts w:ascii="FrankRuehl" w:eastAsiaTheme="minorHAnsi" w:hAnsi="FrankRuehl" w:hint="cs"/>
          <w:color w:val="000000"/>
          <w:sz w:val="28"/>
          <w:rtl/>
        </w:rPr>
        <w:t>אופציונאלי</w:t>
      </w:r>
      <w:r w:rsidRPr="007B04E0">
        <w:rPr>
          <w:rFonts w:ascii="FrankRuehl" w:eastAsiaTheme="minorHAnsi" w:hAnsi="FrankRuehl" w:hint="cs"/>
          <w:color w:val="000000"/>
          <w:sz w:val="28"/>
          <w:rtl/>
        </w:rPr>
        <w:t xml:space="preserve"> </w:t>
      </w:r>
      <w:r>
        <w:rPr>
          <w:rFonts w:ascii="FrankRuehl" w:eastAsiaTheme="minorHAnsi" w:hAnsi="FrankRuehl" w:hint="cs"/>
          <w:color w:val="000000"/>
          <w:sz w:val="28"/>
          <w:rtl/>
        </w:rPr>
        <w:t>שיבטיח</w:t>
      </w:r>
      <w:r w:rsidRPr="007B04E0">
        <w:rPr>
          <w:rFonts w:ascii="FrankRuehl" w:eastAsiaTheme="minorHAnsi" w:hAnsi="FrankRuehl" w:hint="cs"/>
          <w:color w:val="000000"/>
          <w:sz w:val="28"/>
          <w:rtl/>
        </w:rPr>
        <w:t xml:space="preserve"> אמון בין צדדים פוליטיים</w:t>
      </w:r>
      <w:r>
        <w:rPr>
          <w:rFonts w:ascii="FrankRuehl" w:eastAsiaTheme="minorHAnsi" w:hAnsi="FrankRuehl" w:hint="cs"/>
          <w:color w:val="000000"/>
          <w:sz w:val="28"/>
          <w:rtl/>
        </w:rPr>
        <w:t xml:space="preserve"> לצורך הקמת ממשלה</w:t>
      </w:r>
      <w:r w:rsidRPr="007B04E0">
        <w:rPr>
          <w:rFonts w:ascii="FrankRuehl" w:eastAsiaTheme="minorHAnsi" w:hAnsi="FrankRuehl" w:hint="cs"/>
          <w:color w:val="000000"/>
          <w:sz w:val="28"/>
          <w:rtl/>
        </w:rPr>
        <w:t xml:space="preserve"> </w:t>
      </w:r>
      <w:r w:rsidRPr="007B04E0">
        <w:rPr>
          <w:rFonts w:ascii="FrankRuehl" w:eastAsiaTheme="minorHAnsi" w:hAnsi="FrankRuehl"/>
          <w:color w:val="000000"/>
          <w:sz w:val="28"/>
          <w:rtl/>
        </w:rPr>
        <w:t>–</w:t>
      </w:r>
      <w:r w:rsidRPr="007B04E0">
        <w:rPr>
          <w:rFonts w:ascii="FrankRuehl" w:eastAsiaTheme="minorHAnsi" w:hAnsi="FrankRuehl" w:hint="cs"/>
          <w:color w:val="000000"/>
          <w:sz w:val="28"/>
          <w:rtl/>
        </w:rPr>
        <w:t xml:space="preserve"> יפים מקל וחומר לגבי שינוי גורף של תנאי הכשירות לכהונת שרים</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שבוצע טרם הקמת הממשלה, על רקע קושי שהתעורר ביחס למינויו של אדם ספציפי. במילים אחרות, הליך חקיקת תיקון מס' 11 </w:t>
      </w:r>
      <w:r>
        <w:rPr>
          <w:rFonts w:ascii="FrankRuehl" w:eastAsiaTheme="minorHAnsi" w:hAnsi="FrankRuehl" w:hint="cs"/>
          <w:color w:val="000000"/>
          <w:sz w:val="28"/>
          <w:rtl/>
        </w:rPr>
        <w:t xml:space="preserve">אכן מדיף ריח חריף של </w:t>
      </w:r>
      <w:r w:rsidRPr="007B04E0">
        <w:rPr>
          <w:rFonts w:ascii="FrankRuehl" w:eastAsiaTheme="minorHAnsi" w:hAnsi="FrankRuehl" w:hint="cs"/>
          <w:color w:val="000000"/>
          <w:sz w:val="28"/>
          <w:rtl/>
        </w:rPr>
        <w:t>פרסונליות</w:t>
      </w:r>
      <w:r>
        <w:rPr>
          <w:rFonts w:ascii="FrankRuehl" w:eastAsiaTheme="minorHAnsi" w:hAnsi="FrankRuehl" w:hint="cs"/>
          <w:color w:val="000000"/>
          <w:sz w:val="28"/>
          <w:rtl/>
        </w:rPr>
        <w:t xml:space="preserve"> משום שהוא נועד בראש ובראשונה כדי לסלול את הדרך למינויו של דרעי לשר</w:t>
      </w:r>
      <w:r w:rsidRPr="007B04E0">
        <w:rPr>
          <w:rFonts w:ascii="FrankRuehl" w:eastAsiaTheme="minorHAnsi" w:hAnsi="FrankRuehl" w:hint="cs"/>
          <w:color w:val="000000"/>
          <w:sz w:val="28"/>
          <w:rtl/>
        </w:rPr>
        <w:t xml:space="preserve">. </w:t>
      </w:r>
    </w:p>
    <w:p w14:paraId="099ADEDB" w14:textId="77777777" w:rsidR="0040186B" w:rsidRDefault="0040186B" w:rsidP="00C634DC">
      <w:pPr>
        <w:pStyle w:val="Ruller4"/>
        <w:numPr>
          <w:ilvl w:val="0"/>
          <w:numId w:val="0"/>
        </w:numPr>
        <w:rPr>
          <w:rFonts w:ascii="FrankRuehl" w:eastAsiaTheme="minorHAnsi" w:hAnsi="FrankRuehl"/>
          <w:color w:val="000000"/>
          <w:sz w:val="28"/>
          <w:rtl/>
        </w:rPr>
      </w:pPr>
    </w:p>
    <w:p w14:paraId="15643920" w14:textId="77777777" w:rsidR="0040186B" w:rsidRPr="007B04E0" w:rsidRDefault="0040186B" w:rsidP="00D72B22">
      <w:pPr>
        <w:pStyle w:val="Ruller4"/>
        <w:numPr>
          <w:ilvl w:val="0"/>
          <w:numId w:val="0"/>
        </w:numPr>
        <w:rPr>
          <w:rFonts w:ascii="FrankRuehl" w:eastAsiaTheme="minorHAnsi" w:hAnsi="FrankRuehl"/>
          <w:color w:val="000000"/>
          <w:sz w:val="28"/>
        </w:rPr>
      </w:pPr>
      <w:r>
        <w:rPr>
          <w:rFonts w:ascii="FrankRuehl" w:eastAsiaTheme="minorHAnsi" w:hAnsi="FrankRuehl"/>
          <w:color w:val="000000"/>
          <w:sz w:val="28"/>
          <w:rtl/>
        </w:rPr>
        <w:tab/>
      </w:r>
      <w:r w:rsidRPr="007B04E0">
        <w:rPr>
          <w:rFonts w:ascii="FrankRuehl" w:eastAsiaTheme="minorHAnsi" w:hAnsi="FrankRuehl" w:hint="cs"/>
          <w:color w:val="000000"/>
          <w:sz w:val="28"/>
          <w:rtl/>
        </w:rPr>
        <w:t>הדברים נלמדים</w:t>
      </w:r>
      <w:r w:rsidR="00CE5621">
        <w:rPr>
          <w:rFonts w:ascii="FrankRuehl" w:eastAsiaTheme="minorHAnsi" w:hAnsi="FrankRuehl" w:hint="cs"/>
          <w:color w:val="000000"/>
          <w:sz w:val="28"/>
          <w:rtl/>
        </w:rPr>
        <w:t xml:space="preserve">, בין היתר, </w:t>
      </w:r>
      <w:r w:rsidRPr="007B04E0">
        <w:rPr>
          <w:rFonts w:ascii="FrankRuehl" w:eastAsiaTheme="minorHAnsi" w:hAnsi="FrankRuehl" w:hint="cs"/>
          <w:color w:val="000000"/>
          <w:sz w:val="28"/>
          <w:rtl/>
        </w:rPr>
        <w:t>מדבריו של יוזם הצעת התיקון, ח"כ משה ארבל, שציין כי "</w:t>
      </w:r>
      <w:r w:rsidRPr="007B04E0">
        <w:rPr>
          <w:rFonts w:ascii="FrankRuehl" w:eastAsiaTheme="minorHAnsi" w:hAnsi="FrankRuehl"/>
          <w:color w:val="000000"/>
          <w:sz w:val="28"/>
          <w:rtl/>
        </w:rPr>
        <w:t xml:space="preserve">הציבור אמר את דברו וזו בדיוק חובתה ותפקידה שלנו כרשות מכוננת, לבצע את התיקון הזה </w:t>
      </w:r>
      <w:r w:rsidRPr="000D37F3">
        <w:rPr>
          <w:rFonts w:ascii="Century" w:eastAsiaTheme="minorHAnsi" w:hAnsi="Century" w:cs="Miriam"/>
          <w:b/>
          <w:spacing w:val="0"/>
          <w:sz w:val="22"/>
          <w:szCs w:val="24"/>
          <w:rtl/>
        </w:rPr>
        <w:t>כדי שיהיה ברור וחד שאריה דרעי יוכל לכהן</w:t>
      </w:r>
      <w:r w:rsidRPr="007B04E0">
        <w:rPr>
          <w:rFonts w:ascii="FrankRuehl" w:eastAsiaTheme="minorHAnsi" w:hAnsi="FrankRuehl" w:hint="cs"/>
          <w:color w:val="000000"/>
          <w:sz w:val="28"/>
          <w:rtl/>
        </w:rPr>
        <w:t xml:space="preserve">" </w:t>
      </w:r>
      <w:r>
        <w:rPr>
          <w:rFonts w:ascii="FrankRuehl" w:eastAsiaTheme="minorHAnsi" w:hAnsi="FrankRuehl" w:hint="cs"/>
          <w:color w:val="000000"/>
          <w:sz w:val="28"/>
          <w:rtl/>
        </w:rPr>
        <w:t xml:space="preserve">(ההדגשה הוספה) </w:t>
      </w:r>
      <w:r w:rsidRPr="007B04E0">
        <w:rPr>
          <w:rFonts w:ascii="FrankRuehl" w:eastAsiaTheme="minorHAnsi" w:hAnsi="FrankRuehl" w:hint="cs"/>
          <w:color w:val="000000"/>
          <w:sz w:val="28"/>
          <w:rtl/>
        </w:rPr>
        <w:t xml:space="preserve">(ישיבה </w:t>
      </w:r>
      <w:r w:rsidRPr="007B04E0">
        <w:rPr>
          <w:rFonts w:ascii="FrankRuehl" w:eastAsiaTheme="minorHAnsi" w:hAnsi="FrankRuehl"/>
          <w:color w:val="000000"/>
          <w:sz w:val="28"/>
          <w:rtl/>
        </w:rPr>
        <w:t xml:space="preserve">1 של </w:t>
      </w:r>
      <w:r w:rsidRPr="007B04E0">
        <w:rPr>
          <w:rFonts w:ascii="FrankRuehl" w:eastAsiaTheme="minorHAnsi" w:hAnsi="FrankRuehl" w:hint="eastAsia"/>
          <w:color w:val="000000"/>
          <w:sz w:val="28"/>
          <w:rtl/>
        </w:rPr>
        <w:t>הוועדה</w:t>
      </w:r>
      <w:r w:rsidRPr="007B04E0">
        <w:rPr>
          <w:rFonts w:ascii="FrankRuehl" w:eastAsiaTheme="minorHAnsi" w:hAnsi="FrankRuehl"/>
          <w:color w:val="000000"/>
          <w:sz w:val="28"/>
          <w:rtl/>
        </w:rPr>
        <w:t xml:space="preserve"> המיוחדת לדיון בהצעת חוק-יסוד: הממשלה (תיקון – שר נוסף במשרד) (פ/81/25) ובהצעת חוק-יסוד: הממשלה (תיקון – כשירותם של שרים) (פ/91/25), </w:t>
      </w:r>
      <w:r w:rsidRPr="007B04E0">
        <w:rPr>
          <w:rFonts w:ascii="FrankRuehl" w:eastAsiaTheme="minorHAnsi" w:hAnsi="FrankRuehl" w:hint="eastAsia"/>
          <w:color w:val="000000"/>
          <w:sz w:val="28"/>
          <w:rtl/>
        </w:rPr>
        <w:t>הכנסת</w:t>
      </w:r>
      <w:r w:rsidRPr="007B04E0">
        <w:rPr>
          <w:rFonts w:ascii="FrankRuehl" w:eastAsiaTheme="minorHAnsi" w:hAnsi="FrankRuehl"/>
          <w:color w:val="000000"/>
          <w:sz w:val="28"/>
          <w:rtl/>
        </w:rPr>
        <w:t xml:space="preserve"> 25, 42 (14.12.2022)</w:t>
      </w:r>
      <w:r w:rsidRPr="007B04E0">
        <w:rPr>
          <w:rFonts w:ascii="FrankRuehl" w:eastAsiaTheme="minorHAnsi" w:hAnsi="FrankRuehl" w:hint="cs"/>
          <w:color w:val="000000"/>
          <w:sz w:val="28"/>
          <w:rtl/>
        </w:rPr>
        <w:t xml:space="preserve">; וראו בהקשר זה את דבריו של היועץ המשפטי לוועדת החוקה, עו"ד גור בליי, וכן את דבריה של המשנה ליועצת המשפטית לממשלה (ציבורי-חוקתי), עו"ד אביטל סומפולינסקי: </w:t>
      </w:r>
      <w:r w:rsidRPr="007B04E0">
        <w:rPr>
          <w:rFonts w:ascii="Century" w:eastAsiaTheme="minorHAnsi" w:hAnsi="Century" w:cs="Miriam" w:hint="eastAsia"/>
          <w:b/>
          <w:spacing w:val="0"/>
          <w:sz w:val="22"/>
          <w:szCs w:val="24"/>
          <w:rtl/>
        </w:rPr>
        <w:t>שם</w:t>
      </w:r>
      <w:r w:rsidRPr="007B04E0">
        <w:rPr>
          <w:rFonts w:ascii="FrankRuehl" w:eastAsiaTheme="minorHAnsi" w:hAnsi="FrankRuehl"/>
          <w:color w:val="000000"/>
          <w:sz w:val="28"/>
          <w:rtl/>
        </w:rPr>
        <w:t xml:space="preserve">, </w:t>
      </w:r>
      <w:r w:rsidRPr="007B04E0">
        <w:rPr>
          <w:rFonts w:ascii="FrankRuehl" w:eastAsiaTheme="minorHAnsi" w:hAnsi="FrankRuehl" w:hint="eastAsia"/>
          <w:color w:val="000000"/>
          <w:sz w:val="28"/>
          <w:rtl/>
        </w:rPr>
        <w:t>בעמ</w:t>
      </w:r>
      <w:r w:rsidRPr="007B04E0">
        <w:rPr>
          <w:rFonts w:ascii="FrankRuehl" w:eastAsiaTheme="minorHAnsi" w:hAnsi="FrankRuehl"/>
          <w:color w:val="000000"/>
          <w:sz w:val="28"/>
          <w:rtl/>
        </w:rPr>
        <w:t>' 18-17, 29</w:t>
      </w:r>
      <w:r w:rsidRPr="007B04E0">
        <w:rPr>
          <w:rFonts w:ascii="FrankRuehl" w:eastAsiaTheme="minorHAnsi" w:hAnsi="FrankRuehl" w:hint="cs"/>
          <w:color w:val="000000"/>
          <w:sz w:val="28"/>
          <w:rtl/>
        </w:rPr>
        <w:t>).</w:t>
      </w:r>
    </w:p>
    <w:p w14:paraId="40F031A1"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59ACBF62" w14:textId="77777777" w:rsidR="0040186B" w:rsidRPr="007B04E0" w:rsidRDefault="0040186B" w:rsidP="00C634DC">
      <w:pPr>
        <w:pStyle w:val="Ruller4"/>
        <w:tabs>
          <w:tab w:val="clear" w:pos="907"/>
        </w:tabs>
        <w:rPr>
          <w:rFonts w:ascii="FrankRuehl" w:eastAsiaTheme="minorHAnsi" w:hAnsi="FrankRuehl"/>
          <w:color w:val="000000"/>
          <w:sz w:val="28"/>
          <w:rtl/>
        </w:rPr>
      </w:pPr>
      <w:r w:rsidRPr="007B04E0">
        <w:rPr>
          <w:rFonts w:ascii="FrankRuehl" w:eastAsiaTheme="minorHAnsi" w:hAnsi="FrankRuehl" w:hint="cs"/>
          <w:color w:val="000000"/>
          <w:sz w:val="28"/>
          <w:rtl/>
        </w:rPr>
        <w:t xml:space="preserve">אף </w:t>
      </w:r>
      <w:r w:rsidRPr="007B04E0">
        <w:rPr>
          <w:rFonts w:ascii="FrankRuehl" w:hAnsi="FrankRuehl"/>
          <w:color w:val="000000"/>
          <w:sz w:val="28"/>
          <w:rtl/>
        </w:rPr>
        <w:t>שמניעי</w:t>
      </w:r>
      <w:r w:rsidRPr="007B04E0">
        <w:rPr>
          <w:rFonts w:ascii="FrankRuehl" w:hAnsi="FrankRuehl" w:hint="cs"/>
          <w:color w:val="000000"/>
          <w:sz w:val="28"/>
          <w:rtl/>
        </w:rPr>
        <w:t>ו של המחוקק, כשלעצמם, אינם</w:t>
      </w:r>
      <w:r w:rsidRPr="007B04E0">
        <w:rPr>
          <w:rFonts w:ascii="FrankRuehl" w:hAnsi="FrankRuehl"/>
          <w:color w:val="000000"/>
          <w:sz w:val="28"/>
          <w:rtl/>
        </w:rPr>
        <w:t xml:space="preserve"> מהווים עילה לביקורת שיפוטית על חוקי יסוד (</w:t>
      </w:r>
      <w:r w:rsidRPr="007B04E0">
        <w:rPr>
          <w:rFonts w:ascii="FrankRuehl" w:hAnsi="FrankRuehl" w:hint="eastAsia"/>
          <w:color w:val="000000"/>
          <w:sz w:val="28"/>
          <w:rtl/>
        </w:rPr>
        <w:t>בג</w:t>
      </w:r>
      <w:r w:rsidRPr="007B04E0">
        <w:rPr>
          <w:rFonts w:ascii="FrankRuehl" w:hAnsi="FrankRuehl"/>
          <w:color w:val="000000"/>
          <w:sz w:val="28"/>
          <w:rtl/>
        </w:rPr>
        <w:t xml:space="preserve">"ץ 4908/10 </w:t>
      </w:r>
      <w:r w:rsidRPr="007B04E0">
        <w:rPr>
          <w:rFonts w:ascii="Miriam" w:hAnsi="Miriam" w:cs="Miriam" w:hint="eastAsia"/>
          <w:color w:val="000000"/>
          <w:szCs w:val="24"/>
          <w:rtl/>
        </w:rPr>
        <w:t>בר</w:t>
      </w:r>
      <w:r w:rsidRPr="007B04E0">
        <w:rPr>
          <w:rFonts w:ascii="Miriam" w:hAnsi="Miriam" w:cs="Miriam"/>
          <w:color w:val="000000"/>
          <w:szCs w:val="24"/>
          <w:rtl/>
        </w:rPr>
        <w:t xml:space="preserve">-און </w:t>
      </w:r>
      <w:r w:rsidRPr="007B04E0">
        <w:rPr>
          <w:rFonts w:ascii="Miriam" w:hAnsi="Miriam" w:cs="Miriam" w:hint="eastAsia"/>
          <w:color w:val="000000"/>
          <w:szCs w:val="24"/>
          <w:rtl/>
        </w:rPr>
        <w:t>נ</w:t>
      </w:r>
      <w:r w:rsidRPr="007B04E0">
        <w:rPr>
          <w:rFonts w:ascii="Miriam" w:hAnsi="Miriam" w:cs="Miriam"/>
          <w:color w:val="000000"/>
          <w:szCs w:val="24"/>
          <w:rtl/>
        </w:rPr>
        <w:t xml:space="preserve">' </w:t>
      </w:r>
      <w:r w:rsidRPr="007B04E0">
        <w:rPr>
          <w:rFonts w:ascii="Miriam" w:hAnsi="Miriam" w:cs="Miriam" w:hint="eastAsia"/>
          <w:color w:val="000000"/>
          <w:szCs w:val="24"/>
          <w:rtl/>
        </w:rPr>
        <w:t>כנסת</w:t>
      </w:r>
      <w:r w:rsidRPr="007B04E0">
        <w:rPr>
          <w:rFonts w:ascii="Miriam" w:hAnsi="Miriam" w:cs="Miriam"/>
          <w:color w:val="000000"/>
          <w:szCs w:val="24"/>
          <w:rtl/>
        </w:rPr>
        <w:t xml:space="preserve"> </w:t>
      </w:r>
      <w:r w:rsidRPr="007B04E0">
        <w:rPr>
          <w:rFonts w:ascii="Miriam" w:hAnsi="Miriam" w:cs="Miriam" w:hint="eastAsia"/>
          <w:color w:val="000000"/>
          <w:szCs w:val="24"/>
          <w:rtl/>
        </w:rPr>
        <w:t>ישראל</w:t>
      </w:r>
      <w:r w:rsidRPr="007B04E0">
        <w:rPr>
          <w:rFonts w:ascii="FrankRuehl" w:hAnsi="FrankRuehl"/>
          <w:color w:val="000000"/>
          <w:sz w:val="28"/>
          <w:rtl/>
        </w:rPr>
        <w:t>, פ"ד סד(3) 275, 296-295 (2011); עניין </w:t>
      </w:r>
      <w:r w:rsidRPr="007B04E0">
        <w:rPr>
          <w:rFonts w:ascii="Century" w:hAnsi="Century" w:cs="Miriam" w:hint="eastAsia"/>
          <w:b/>
          <w:spacing w:val="0"/>
          <w:sz w:val="22"/>
          <w:szCs w:val="24"/>
          <w:rtl/>
        </w:rPr>
        <w:t>שפיר</w:t>
      </w:r>
      <w:r w:rsidRPr="007B04E0">
        <w:rPr>
          <w:rFonts w:ascii="FrankRuehl" w:hAnsi="FrankRuehl"/>
          <w:color w:val="000000"/>
          <w:sz w:val="28"/>
          <w:rtl/>
        </w:rPr>
        <w:t>,</w:t>
      </w:r>
      <w:r w:rsidRPr="007B04E0">
        <w:rPr>
          <w:rFonts w:ascii="FrankRuehl" w:hAnsi="FrankRuehl"/>
          <w:color w:val="000000"/>
          <w:sz w:val="28"/>
        </w:rPr>
        <w:t xml:space="preserve"> </w:t>
      </w:r>
      <w:r w:rsidRPr="007B04E0">
        <w:rPr>
          <w:rFonts w:ascii="FrankRuehl" w:hAnsi="FrankRuehl"/>
          <w:color w:val="000000"/>
          <w:sz w:val="28"/>
          <w:rtl/>
        </w:rPr>
        <w:t>בפסקה 43 לחוות דעתי</w:t>
      </w:r>
      <w:r w:rsidRPr="007B04E0">
        <w:rPr>
          <w:rFonts w:ascii="FrankRuehl" w:hAnsi="FrankRuehl" w:hint="cs"/>
          <w:color w:val="000000"/>
          <w:sz w:val="28"/>
          <w:rtl/>
        </w:rPr>
        <w:t>)</w:t>
      </w:r>
      <w:r w:rsidRPr="007B04E0">
        <w:rPr>
          <w:rFonts w:ascii="FrankRuehl" w:eastAsiaTheme="minorHAnsi" w:hAnsi="FrankRuehl" w:hint="cs"/>
          <w:color w:val="000000"/>
          <w:sz w:val="28"/>
          <w:rtl/>
        </w:rPr>
        <w:t>, קשה שלא לראות בתיקון מס' 11 לחוק היסוד שיא</w:t>
      </w:r>
      <w:r>
        <w:rPr>
          <w:rFonts w:ascii="FrankRuehl" w:eastAsiaTheme="minorHAnsi" w:hAnsi="FrankRuehl" w:hint="cs"/>
          <w:color w:val="000000"/>
          <w:sz w:val="28"/>
          <w:rtl/>
        </w:rPr>
        <w:t>,</w:t>
      </w:r>
      <w:r w:rsidRPr="007B04E0">
        <w:rPr>
          <w:rFonts w:ascii="FrankRuehl" w:eastAsiaTheme="minorHAnsi" w:hAnsi="FrankRuehl" w:hint="cs"/>
          <w:color w:val="000000"/>
          <w:sz w:val="28"/>
          <w:rtl/>
        </w:rPr>
        <w:t xml:space="preserve"> או נכון יותר </w:t>
      </w:r>
      <w:r>
        <w:rPr>
          <w:rFonts w:ascii="FrankRuehl" w:eastAsiaTheme="minorHAnsi" w:hAnsi="FrankRuehl" w:hint="cs"/>
          <w:color w:val="000000"/>
          <w:sz w:val="28"/>
          <w:rtl/>
        </w:rPr>
        <w:t xml:space="preserve">נקודת שפל, </w:t>
      </w:r>
      <w:r w:rsidRPr="007B04E0">
        <w:rPr>
          <w:rFonts w:ascii="FrankRuehl" w:eastAsiaTheme="minorHAnsi" w:hAnsi="FrankRuehl" w:hint="cs"/>
          <w:color w:val="000000"/>
          <w:sz w:val="28"/>
          <w:rtl/>
        </w:rPr>
        <w:t xml:space="preserve">של אותה תופעה מדאיגה שעליה הצבעתי בעניין </w:t>
      </w:r>
      <w:r w:rsidRPr="007B04E0">
        <w:rPr>
          <w:rFonts w:ascii="Century" w:eastAsiaTheme="minorHAnsi" w:hAnsi="Century" w:cs="Miriam" w:hint="cs"/>
          <w:b/>
          <w:spacing w:val="0"/>
          <w:sz w:val="22"/>
          <w:szCs w:val="24"/>
          <w:rtl/>
        </w:rPr>
        <w:t>ממשלת החילופים</w:t>
      </w:r>
      <w:r w:rsidRPr="007B04E0">
        <w:rPr>
          <w:rFonts w:ascii="FrankRuehl" w:eastAsiaTheme="minorHAnsi" w:hAnsi="FrankRuehl" w:hint="cs"/>
          <w:color w:val="000000"/>
          <w:sz w:val="28"/>
          <w:rtl/>
        </w:rPr>
        <w:t xml:space="preserve">, לפיה חברי הכנסת מנצלים את הקלות שבה ניתן לתקן את חוקי היסוד לצרכים פוליטיים נקודתיים. בכך הם גורמים לשחיקה ולזילות מסוכנת במעמדם של חוקי היסוד </w:t>
      </w:r>
      <w:r w:rsidRPr="007B04E0">
        <w:rPr>
          <w:rFonts w:ascii="FrankRuehl" w:eastAsiaTheme="minorHAnsi" w:hAnsi="FrankRuehl" w:hint="cs"/>
          <w:color w:val="000000"/>
          <w:sz w:val="28"/>
          <w:rtl/>
        </w:rPr>
        <w:lastRenderedPageBreak/>
        <w:t>שנועדו להיות פרקים מפוארים במפעל החוקה הישראלית. בפרט, יש להצר על כך שהשינוי בו עסקינן נועד להנמכת רף הכשירות הנדרש לכהונת שרים בהיבטים הנוגעים לטוהר המידות.</w:t>
      </w:r>
    </w:p>
    <w:p w14:paraId="533700E5" w14:textId="77777777" w:rsidR="0040186B" w:rsidRPr="007B04E0" w:rsidRDefault="0040186B" w:rsidP="00C634DC">
      <w:pPr>
        <w:pStyle w:val="Ruller4"/>
        <w:numPr>
          <w:ilvl w:val="0"/>
          <w:numId w:val="0"/>
        </w:numPr>
        <w:rPr>
          <w:rFonts w:ascii="FrankRuehl" w:eastAsiaTheme="minorHAnsi" w:hAnsi="FrankRuehl"/>
          <w:color w:val="000000"/>
          <w:sz w:val="28"/>
          <w:rtl/>
        </w:rPr>
      </w:pPr>
    </w:p>
    <w:p w14:paraId="002A396C" w14:textId="77777777" w:rsidR="0040186B" w:rsidRPr="007B04E0" w:rsidRDefault="0040186B" w:rsidP="000D5D66">
      <w:pPr>
        <w:pStyle w:val="Ruller4"/>
        <w:rPr>
          <w:rFonts w:eastAsiaTheme="minorHAnsi"/>
          <w:rtl/>
        </w:rPr>
      </w:pPr>
      <w:r>
        <w:rPr>
          <w:rFonts w:eastAsiaTheme="minorHAnsi" w:hint="cs"/>
          <w:rtl/>
        </w:rPr>
        <w:t xml:space="preserve">אכן, </w:t>
      </w:r>
      <w:r w:rsidRPr="007B04E0">
        <w:rPr>
          <w:rFonts w:eastAsiaTheme="minorHAnsi" w:hint="cs"/>
          <w:rtl/>
        </w:rPr>
        <w:t>הקשיים שעליהם הצביעו העותרים ביחס לתיקון לחוק היסוד אינם עניין של מה בכך והם מכתימים את התיקון בכתם פרסונלי מובהק. חרף האמור, הכלל הנקוט עמנו הוא ש"</w:t>
      </w:r>
      <w:r w:rsidRPr="007B04E0">
        <w:rPr>
          <w:rtl/>
        </w:rPr>
        <w:t xml:space="preserve">התערבות בחוק של הכנסת </w:t>
      </w:r>
      <w:r w:rsidRPr="007B04E0">
        <w:rPr>
          <w:rFonts w:hint="cs"/>
          <w:rtl/>
        </w:rPr>
        <w:t>[...]</w:t>
      </w:r>
      <w:r w:rsidRPr="007B04E0">
        <w:rPr>
          <w:rtl/>
        </w:rPr>
        <w:t xml:space="preserve"> צריכה לשמש </w:t>
      </w:r>
      <w:r>
        <w:rPr>
          <w:rFonts w:hint="cs"/>
          <w:rtl/>
        </w:rPr>
        <w:t>[...]</w:t>
      </w:r>
      <w:r w:rsidRPr="007B04E0">
        <w:rPr>
          <w:rtl/>
        </w:rPr>
        <w:t xml:space="preserve"> כאמצעי אחרון אשר יש לפנות אליו רק לאחר מיצוי דרכים משפטיות אחרות</w:t>
      </w:r>
      <w:r w:rsidRPr="007B04E0">
        <w:rPr>
          <w:rFonts w:hint="cs"/>
          <w:rtl/>
        </w:rPr>
        <w:t>" (</w:t>
      </w:r>
      <w:r w:rsidRPr="007B04E0">
        <w:rPr>
          <w:rFonts w:hint="eastAsia"/>
          <w:rtl/>
        </w:rPr>
        <w:t>בג</w:t>
      </w:r>
      <w:r w:rsidRPr="007B04E0">
        <w:rPr>
          <w:rtl/>
        </w:rPr>
        <w:t xml:space="preserve">"ץ 813/14 </w:t>
      </w:r>
      <w:r w:rsidRPr="007B04E0">
        <w:rPr>
          <w:rFonts w:ascii="Miriam" w:hAnsi="Miriam" w:cs="Miriam" w:hint="eastAsia"/>
          <w:szCs w:val="24"/>
          <w:rtl/>
        </w:rPr>
        <w:t>פלונים</w:t>
      </w:r>
      <w:r w:rsidRPr="007B04E0">
        <w:rPr>
          <w:rFonts w:ascii="Miriam" w:hAnsi="Miriam" w:cs="Miriam"/>
          <w:szCs w:val="24"/>
          <w:rtl/>
        </w:rPr>
        <w:t xml:space="preserve"> </w:t>
      </w:r>
      <w:r w:rsidRPr="007B04E0">
        <w:rPr>
          <w:rFonts w:ascii="Miriam" w:hAnsi="Miriam" w:cs="Miriam" w:hint="eastAsia"/>
          <w:szCs w:val="24"/>
          <w:rtl/>
        </w:rPr>
        <w:t>נ</w:t>
      </w:r>
      <w:r w:rsidRPr="007B04E0">
        <w:rPr>
          <w:rFonts w:ascii="Miriam" w:hAnsi="Miriam" w:cs="Miriam"/>
          <w:szCs w:val="24"/>
          <w:rtl/>
        </w:rPr>
        <w:t xml:space="preserve">' </w:t>
      </w:r>
      <w:r w:rsidRPr="007B04E0">
        <w:rPr>
          <w:rFonts w:ascii="Miriam" w:hAnsi="Miriam" w:cs="Miriam" w:hint="eastAsia"/>
          <w:szCs w:val="24"/>
          <w:rtl/>
        </w:rPr>
        <w:t>שר</w:t>
      </w:r>
      <w:r w:rsidRPr="007B04E0">
        <w:rPr>
          <w:rFonts w:ascii="Miriam" w:hAnsi="Miriam" w:cs="Miriam"/>
          <w:szCs w:val="24"/>
          <w:rtl/>
        </w:rPr>
        <w:t xml:space="preserve"> הפנים</w:t>
      </w:r>
      <w:r w:rsidRPr="007B04E0">
        <w:rPr>
          <w:rtl/>
        </w:rPr>
        <w:t xml:space="preserve">, פסקה 24 לחוות דעתה של הנשיאה </w:t>
      </w:r>
      <w:r w:rsidRPr="007B04E0">
        <w:rPr>
          <w:rFonts w:ascii="Miriam" w:hAnsi="Miriam" w:cs="Miriam" w:hint="eastAsia"/>
          <w:szCs w:val="24"/>
          <w:rtl/>
        </w:rPr>
        <w:t>מ</w:t>
      </w:r>
      <w:r w:rsidRPr="007B04E0">
        <w:rPr>
          <w:rFonts w:ascii="Miriam" w:hAnsi="Miriam" w:cs="Miriam"/>
          <w:szCs w:val="24"/>
          <w:rtl/>
        </w:rPr>
        <w:t xml:space="preserve">' </w:t>
      </w:r>
      <w:r w:rsidRPr="007B04E0">
        <w:rPr>
          <w:rFonts w:ascii="Miriam" w:hAnsi="Miriam" w:cs="Miriam" w:hint="eastAsia"/>
          <w:szCs w:val="24"/>
          <w:rtl/>
        </w:rPr>
        <w:t>נאור</w:t>
      </w:r>
      <w:r w:rsidRPr="007B04E0">
        <w:rPr>
          <w:szCs w:val="24"/>
          <w:rtl/>
        </w:rPr>
        <w:t xml:space="preserve"> </w:t>
      </w:r>
      <w:r w:rsidRPr="007B04E0">
        <w:rPr>
          <w:rtl/>
        </w:rPr>
        <w:t>(18.10.2017)</w:t>
      </w:r>
      <w:r w:rsidR="000D5D66">
        <w:rPr>
          <w:rFonts w:hint="cs"/>
          <w:rtl/>
        </w:rPr>
        <w:t xml:space="preserve">; ראו גם: </w:t>
      </w:r>
      <w:r w:rsidR="000D5D66" w:rsidRPr="000D5D66">
        <w:rPr>
          <w:rFonts w:ascii="FrankRuehl" w:hAnsi="FrankRuehl"/>
          <w:color w:val="000000"/>
          <w:sz w:val="28"/>
          <w:rtl/>
        </w:rPr>
        <w:t xml:space="preserve">ע"א 6821/93 </w:t>
      </w:r>
      <w:r w:rsidR="000D5D66" w:rsidRPr="000D5D66">
        <w:rPr>
          <w:rFonts w:ascii="Century" w:hAnsi="Century" w:cs="Miriam"/>
          <w:b/>
          <w:spacing w:val="0"/>
          <w:sz w:val="22"/>
          <w:szCs w:val="24"/>
          <w:rtl/>
        </w:rPr>
        <w:t>בנק המזרחי המאוחד בע"מ נ' מגדל כפר שיתופי</w:t>
      </w:r>
      <w:r w:rsidR="000D5D66" w:rsidRPr="000D5D66">
        <w:rPr>
          <w:rFonts w:ascii="FrankRuehl" w:hAnsi="FrankRuehl"/>
          <w:color w:val="000000"/>
          <w:sz w:val="28"/>
          <w:rtl/>
        </w:rPr>
        <w:t>, פ"ד מט(4) 221, 350-349 (1995)</w:t>
      </w:r>
      <w:r w:rsidR="000D5D66">
        <w:rPr>
          <w:rFonts w:ascii="FrankRuehl" w:hAnsi="FrankRuehl" w:hint="cs"/>
          <w:color w:val="000000"/>
          <w:sz w:val="28"/>
          <w:rtl/>
        </w:rPr>
        <w:t xml:space="preserve">; </w:t>
      </w:r>
      <w:r w:rsidR="000D5D66">
        <w:rPr>
          <w:rFonts w:ascii="FrankRuehl" w:hAnsi="FrankRuehl"/>
          <w:color w:val="000000"/>
          <w:sz w:val="28"/>
          <w:rtl/>
        </w:rPr>
        <w:t xml:space="preserve">ע"פ 4424/98‏ </w:t>
      </w:r>
      <w:proofErr w:type="spellStart"/>
      <w:r w:rsidR="000D5D66" w:rsidRPr="000D5D66">
        <w:rPr>
          <w:rFonts w:ascii="Century" w:hAnsi="Century" w:cs="Miriam"/>
          <w:b/>
          <w:spacing w:val="0"/>
          <w:sz w:val="22"/>
          <w:szCs w:val="24"/>
          <w:rtl/>
        </w:rPr>
        <w:t>סילגדו</w:t>
      </w:r>
      <w:proofErr w:type="spellEnd"/>
      <w:r w:rsidR="000D5D66" w:rsidRPr="000D5D66">
        <w:rPr>
          <w:rFonts w:ascii="Century" w:hAnsi="Century" w:cs="Miriam"/>
          <w:b/>
          <w:spacing w:val="0"/>
          <w:sz w:val="22"/>
          <w:szCs w:val="24"/>
          <w:rtl/>
        </w:rPr>
        <w:t xml:space="preserve"> נ' מדינת ישראל</w:t>
      </w:r>
      <w:r w:rsidR="000D5D66">
        <w:rPr>
          <w:rFonts w:ascii="FrankRuehl" w:hAnsi="FrankRuehl"/>
          <w:color w:val="000000"/>
          <w:sz w:val="28"/>
          <w:rtl/>
        </w:rPr>
        <w:t>, פ</w:t>
      </w:r>
      <w:r w:rsidR="000D5D66">
        <w:rPr>
          <w:rFonts w:ascii="FrankRuehl" w:hAnsi="FrankRuehl" w:hint="cs"/>
          <w:color w:val="000000"/>
          <w:sz w:val="28"/>
          <w:rtl/>
        </w:rPr>
        <w:t>"</w:t>
      </w:r>
      <w:r w:rsidR="000D5D66">
        <w:rPr>
          <w:rFonts w:ascii="FrankRuehl" w:hAnsi="FrankRuehl"/>
          <w:color w:val="000000"/>
          <w:sz w:val="28"/>
          <w:rtl/>
        </w:rPr>
        <w:t>ד נו(5) 529</w:t>
      </w:r>
      <w:r w:rsidR="000D5D66">
        <w:rPr>
          <w:rFonts w:ascii="FrankRuehl" w:hAnsi="FrankRuehl" w:hint="cs"/>
          <w:color w:val="000000"/>
          <w:sz w:val="28"/>
          <w:rtl/>
        </w:rPr>
        <w:t>, 547 (2002)</w:t>
      </w:r>
      <w:r w:rsidRPr="007B04E0">
        <w:rPr>
          <w:rFonts w:hint="cs"/>
          <w:rtl/>
        </w:rPr>
        <w:t xml:space="preserve">). דברים אלה נכונים מקל וחומר ביחס לביקורת שיפוטית על חוקי יסוד, השמורה למקרים נדירים וחריגים ביותר. </w:t>
      </w:r>
      <w:r>
        <w:rPr>
          <w:rFonts w:eastAsiaTheme="minorHAnsi" w:hint="cs"/>
          <w:rtl/>
        </w:rPr>
        <w:t xml:space="preserve">לפיכך, ומשניתן, </w:t>
      </w:r>
      <w:r w:rsidRPr="007B04E0">
        <w:rPr>
          <w:rFonts w:eastAsiaTheme="minorHAnsi" w:hint="cs"/>
          <w:rtl/>
        </w:rPr>
        <w:t xml:space="preserve">כפי שיפורט להלן, לקבל את הטענות שהעלו העותרים במישור המנהלי לעניין מינויו של דרעי לשר ואי העברתו מתפקידו </w:t>
      </w:r>
      <w:r w:rsidRPr="007B04E0">
        <w:rPr>
          <w:rFonts w:eastAsiaTheme="minorHAnsi"/>
          <w:rtl/>
        </w:rPr>
        <w:t>–</w:t>
      </w:r>
      <w:r w:rsidRPr="007B04E0">
        <w:rPr>
          <w:rFonts w:eastAsiaTheme="minorHAnsi" w:hint="cs"/>
          <w:rtl/>
        </w:rPr>
        <w:t xml:space="preserve"> מתייתר</w:t>
      </w:r>
      <w:r>
        <w:rPr>
          <w:rFonts w:eastAsiaTheme="minorHAnsi" w:hint="cs"/>
          <w:rtl/>
        </w:rPr>
        <w:t xml:space="preserve"> בעיניי</w:t>
      </w:r>
      <w:r w:rsidRPr="007B04E0">
        <w:rPr>
          <w:rFonts w:eastAsiaTheme="minorHAnsi" w:hint="cs"/>
          <w:rtl/>
        </w:rPr>
        <w:t xml:space="preserve"> הצורך להכריע לגופם של דברים בסעד החריג של בטלות תיקון מס' 11 על פי הדוקטרינה של שימוש לרעה בסמכות המכוננת.</w:t>
      </w:r>
    </w:p>
    <w:p w14:paraId="6EE98ABF" w14:textId="77777777" w:rsidR="0040186B" w:rsidRPr="007B04E0" w:rsidRDefault="0040186B" w:rsidP="00C634DC">
      <w:pPr>
        <w:pStyle w:val="Ruller4"/>
        <w:numPr>
          <w:ilvl w:val="0"/>
          <w:numId w:val="0"/>
        </w:numPr>
        <w:rPr>
          <w:rFonts w:ascii="FrankRuehl" w:eastAsiaTheme="minorHAnsi" w:hAnsi="FrankRuehl"/>
          <w:color w:val="000000"/>
          <w:sz w:val="28"/>
        </w:rPr>
      </w:pPr>
    </w:p>
    <w:p w14:paraId="107CA92B" w14:textId="77777777" w:rsidR="0040186B" w:rsidRPr="007B04E0" w:rsidRDefault="0040186B" w:rsidP="00C634DC">
      <w:pPr>
        <w:pStyle w:val="Ruller4"/>
        <w:rPr>
          <w:rFonts w:eastAsiaTheme="minorHAnsi"/>
          <w:rtl/>
        </w:rPr>
      </w:pPr>
      <w:r w:rsidRPr="007B04E0">
        <w:rPr>
          <w:rFonts w:eastAsiaTheme="minorHAnsi" w:hint="cs"/>
          <w:rtl/>
        </w:rPr>
        <w:t xml:space="preserve">העותרים הוסיפו וטענו גם לפגמים בהליך חקיקתו של תיקון מס' 11. אכן, מוטב היה לו תיקונים לחוקי היסוד לא יקודמו בבהילות ובלוח זמנים מהיר ועוד טרם הקמת </w:t>
      </w:r>
      <w:r w:rsidRPr="007B04E0">
        <w:rPr>
          <w:rFonts w:eastAsiaTheme="minorHAnsi"/>
          <w:rtl/>
        </w:rPr>
        <w:t>הממשלה</w:t>
      </w:r>
      <w:r w:rsidRPr="007B04E0">
        <w:rPr>
          <w:rFonts w:eastAsiaTheme="minorHAnsi" w:hint="cs"/>
          <w:rtl/>
        </w:rPr>
        <w:t>.</w:t>
      </w:r>
      <w:r>
        <w:rPr>
          <w:rFonts w:eastAsiaTheme="minorHAnsi" w:hint="cs"/>
          <w:rtl/>
        </w:rPr>
        <w:t xml:space="preserve"> אל לנו לשכוח כי הוראות חוקי היסוד "</w:t>
      </w:r>
      <w:r>
        <w:rPr>
          <w:rtl/>
        </w:rPr>
        <w:t>מעצבות את דמותה של החברה ואת שאיפותיה. הן קובעות את מסגרותיה הפוליטיות. הן מניחות את היסוד לערכיה החברתיים. הן קובעות את שאיפותיה, את מחויבותה ואת מגמותיה של החברה. הן נועדו לכוון התנהגות לתקו</w:t>
      </w:r>
      <w:r>
        <w:rPr>
          <w:rFonts w:hint="cs"/>
          <w:rtl/>
        </w:rPr>
        <w:t>פ</w:t>
      </w:r>
      <w:r>
        <w:rPr>
          <w:rtl/>
        </w:rPr>
        <w:t>ה ארוכה. הן קובעות את המסגרות לחקיקתם של חוקים ולהתנהלותו של הממשל</w:t>
      </w:r>
      <w:r>
        <w:rPr>
          <w:rFonts w:hint="cs"/>
          <w:rtl/>
        </w:rPr>
        <w:t xml:space="preserve">" </w:t>
      </w:r>
      <w:r>
        <w:rPr>
          <w:rFonts w:eastAsiaTheme="minorHAnsi" w:hint="cs"/>
          <w:rtl/>
        </w:rPr>
        <w:t>(</w:t>
      </w:r>
      <w:r w:rsidRPr="000E1980">
        <w:rPr>
          <w:rFonts w:ascii="FrankRuehl" w:eastAsiaTheme="minorHAnsi" w:hAnsi="FrankRuehl"/>
          <w:color w:val="000000"/>
          <w:sz w:val="28"/>
          <w:rtl/>
        </w:rPr>
        <w:t xml:space="preserve">בג"ץ 2257/04 </w:t>
      </w:r>
      <w:r w:rsidRPr="00984EC3">
        <w:rPr>
          <w:rFonts w:ascii="Miriam" w:eastAsiaTheme="minorHAnsi" w:hAnsi="Miriam" w:cs="Miriam"/>
          <w:szCs w:val="24"/>
          <w:rtl/>
        </w:rPr>
        <w:t>סיעת חד"ש-תע"ל נ' יושבת ראש ועדת הבחירות המרכזית לכנסת ה-17</w:t>
      </w:r>
      <w:r>
        <w:rPr>
          <w:rFonts w:ascii="FrankRuehl" w:eastAsiaTheme="minorHAnsi" w:hAnsi="FrankRuehl"/>
          <w:color w:val="000000"/>
          <w:sz w:val="28"/>
          <w:rtl/>
        </w:rPr>
        <w:t>, פ"ד נח(6) 685, 714 (2004)</w:t>
      </w:r>
      <w:r>
        <w:rPr>
          <w:rFonts w:eastAsiaTheme="minorHAnsi" w:hint="cs"/>
          <w:rtl/>
        </w:rPr>
        <w:t>)</w:t>
      </w:r>
      <w:r>
        <w:rPr>
          <w:rFonts w:hint="cs"/>
          <w:rtl/>
        </w:rPr>
        <w:t>. מכאן מתחייבת "</w:t>
      </w:r>
      <w:r>
        <w:rPr>
          <w:rtl/>
        </w:rPr>
        <w:t xml:space="preserve">גישה המבוססת על מרב </w:t>
      </w:r>
      <w:proofErr w:type="spellStart"/>
      <w:r>
        <w:rPr>
          <w:rtl/>
        </w:rPr>
        <w:t>שיקול־הדעת</w:t>
      </w:r>
      <w:proofErr w:type="spellEnd"/>
      <w:r>
        <w:rPr>
          <w:rtl/>
        </w:rPr>
        <w:t xml:space="preserve"> האפשרי בכינונם של חוקי יסוד או בתיקונם</w:t>
      </w:r>
      <w:r>
        <w:rPr>
          <w:rFonts w:eastAsiaTheme="minorHAnsi" w:hint="cs"/>
          <w:rtl/>
        </w:rPr>
        <w:t>" (</w:t>
      </w:r>
      <w:r w:rsidRPr="00984EC3">
        <w:rPr>
          <w:rFonts w:ascii="Miriam" w:eastAsiaTheme="minorHAnsi" w:hAnsi="Miriam" w:cs="Miriam" w:hint="cs"/>
          <w:szCs w:val="24"/>
          <w:rtl/>
        </w:rPr>
        <w:t>שם</w:t>
      </w:r>
      <w:r>
        <w:rPr>
          <w:rFonts w:eastAsiaTheme="minorHAnsi" w:hint="cs"/>
          <w:rtl/>
        </w:rPr>
        <w:t xml:space="preserve">). </w:t>
      </w:r>
      <w:r w:rsidRPr="007B04E0">
        <w:rPr>
          <w:rFonts w:eastAsiaTheme="minorHAnsi" w:hint="cs"/>
          <w:rtl/>
        </w:rPr>
        <w:t xml:space="preserve">עם זאת, </w:t>
      </w:r>
      <w:r>
        <w:rPr>
          <w:rFonts w:eastAsiaTheme="minorHAnsi" w:hint="cs"/>
          <w:rtl/>
        </w:rPr>
        <w:t>אינני סבורה</w:t>
      </w:r>
      <w:r w:rsidRPr="007B04E0">
        <w:rPr>
          <w:rFonts w:eastAsiaTheme="minorHAnsi" w:hint="cs"/>
          <w:rtl/>
        </w:rPr>
        <w:t xml:space="preserve"> </w:t>
      </w:r>
      <w:r w:rsidRPr="007B04E0">
        <w:rPr>
          <w:rFonts w:eastAsiaTheme="minorHAnsi"/>
          <w:rtl/>
        </w:rPr>
        <w:t>כי</w:t>
      </w:r>
      <w:r w:rsidRPr="007B04E0">
        <w:rPr>
          <w:rFonts w:eastAsiaTheme="minorHAnsi" w:hint="cs"/>
          <w:rtl/>
        </w:rPr>
        <w:t xml:space="preserve"> בענייננו</w:t>
      </w:r>
      <w:r w:rsidRPr="007B04E0">
        <w:rPr>
          <w:rFonts w:eastAsiaTheme="minorHAnsi"/>
          <w:rtl/>
        </w:rPr>
        <w:t xml:space="preserve"> </w:t>
      </w:r>
      <w:r w:rsidRPr="007B04E0">
        <w:rPr>
          <w:rFonts w:eastAsiaTheme="minorHAnsi" w:hint="cs"/>
          <w:rtl/>
        </w:rPr>
        <w:t>נ</w:t>
      </w:r>
      <w:r w:rsidRPr="007B04E0">
        <w:rPr>
          <w:rFonts w:eastAsiaTheme="minorHAnsi"/>
          <w:rtl/>
        </w:rPr>
        <w:t>פל בהליך החקיקה פגם היורד לשורש ההליך, במובן זה ש"ל</w:t>
      </w:r>
      <w:r w:rsidRPr="007B04E0">
        <w:rPr>
          <w:rtl/>
        </w:rPr>
        <w:t>א ניתנה לחברי הכנסת האפשרות ללבּן ולשקול, ולוּ באופן הבסיסי ביותר, את הצעת החוק</w:t>
      </w:r>
      <w:r w:rsidRPr="007B04E0">
        <w:rPr>
          <w:rFonts w:eastAsiaTheme="minorHAnsi"/>
          <w:rtl/>
        </w:rPr>
        <w:t>"</w:t>
      </w:r>
      <w:r w:rsidRPr="007B04E0">
        <w:rPr>
          <w:rFonts w:eastAsiaTheme="minorHAnsi" w:hint="cs"/>
          <w:rtl/>
        </w:rPr>
        <w:t xml:space="preserve"> (בג"ץ 10042/16 </w:t>
      </w:r>
      <w:r w:rsidRPr="007B04E0">
        <w:rPr>
          <w:rFonts w:ascii="Miriam" w:eastAsiaTheme="minorHAnsi" w:hAnsi="Miriam" w:cs="Miriam" w:hint="eastAsia"/>
          <w:szCs w:val="24"/>
          <w:rtl/>
        </w:rPr>
        <w:t>קוונטינסקי</w:t>
      </w:r>
      <w:r w:rsidRPr="007B04E0">
        <w:rPr>
          <w:rFonts w:ascii="Miriam" w:eastAsiaTheme="minorHAnsi" w:hAnsi="Miriam" w:cs="Miriam"/>
          <w:szCs w:val="24"/>
          <w:rtl/>
        </w:rPr>
        <w:t xml:space="preserve"> נ' כנסת ישרא</w:t>
      </w:r>
      <w:r w:rsidRPr="004A139E">
        <w:rPr>
          <w:rFonts w:ascii="Century" w:eastAsiaTheme="minorHAnsi" w:hAnsi="Century" w:cs="Miriam" w:hint="cs"/>
          <w:b/>
          <w:spacing w:val="0"/>
          <w:sz w:val="22"/>
          <w:szCs w:val="24"/>
          <w:rtl/>
        </w:rPr>
        <w:t>ל</w:t>
      </w:r>
      <w:r w:rsidRPr="007B04E0">
        <w:rPr>
          <w:rFonts w:eastAsiaTheme="minorHAnsi" w:hint="cs"/>
          <w:rtl/>
        </w:rPr>
        <w:t xml:space="preserve">, פסקה 79 לחוות דעתו של השופט </w:t>
      </w:r>
      <w:r w:rsidRPr="007B04E0">
        <w:rPr>
          <w:rFonts w:ascii="Century" w:eastAsiaTheme="minorHAnsi" w:hAnsi="Century" w:cs="Miriam" w:hint="eastAsia"/>
          <w:b/>
          <w:spacing w:val="0"/>
          <w:sz w:val="22"/>
          <w:szCs w:val="24"/>
          <w:rtl/>
        </w:rPr>
        <w:t>נ</w:t>
      </w:r>
      <w:r w:rsidRPr="007B04E0">
        <w:rPr>
          <w:rFonts w:ascii="Century" w:eastAsiaTheme="minorHAnsi" w:hAnsi="Century" w:cs="Miriam"/>
          <w:b/>
          <w:spacing w:val="0"/>
          <w:sz w:val="22"/>
          <w:szCs w:val="24"/>
          <w:rtl/>
        </w:rPr>
        <w:t xml:space="preserve">' </w:t>
      </w:r>
      <w:r w:rsidRPr="007B04E0">
        <w:rPr>
          <w:rFonts w:ascii="Century" w:eastAsiaTheme="minorHAnsi" w:hAnsi="Century" w:cs="Miriam" w:hint="eastAsia"/>
          <w:b/>
          <w:spacing w:val="0"/>
          <w:sz w:val="22"/>
          <w:szCs w:val="24"/>
          <w:rtl/>
        </w:rPr>
        <w:t>סולברג</w:t>
      </w:r>
      <w:r w:rsidRPr="007B04E0">
        <w:rPr>
          <w:rFonts w:eastAsiaTheme="minorHAnsi" w:hint="cs"/>
          <w:rtl/>
        </w:rPr>
        <w:t xml:space="preserve"> (6.8.2017)). </w:t>
      </w:r>
      <w:r>
        <w:rPr>
          <w:rFonts w:eastAsiaTheme="minorHAnsi" w:hint="cs"/>
          <w:rtl/>
        </w:rPr>
        <w:t>כפי שציינה הכנסת,</w:t>
      </w:r>
      <w:r w:rsidRPr="007B04E0">
        <w:rPr>
          <w:rFonts w:eastAsiaTheme="minorHAnsi" w:hint="cs"/>
          <w:rtl/>
        </w:rPr>
        <w:t xml:space="preserve"> מדובר בתיקון שאינו מורכב מבחינת תוכנו, וכפי שעולה מסקירת המהלכים שהתקיימו בכנסת, הוועדה המיוחדת </w:t>
      </w:r>
      <w:r>
        <w:rPr>
          <w:rFonts w:eastAsiaTheme="minorHAnsi" w:hint="cs"/>
          <w:rtl/>
        </w:rPr>
        <w:t>קיימה לגבי התיקון</w:t>
      </w:r>
      <w:r w:rsidRPr="007B04E0">
        <w:rPr>
          <w:rFonts w:eastAsiaTheme="minorHAnsi" w:hint="cs"/>
          <w:rtl/>
        </w:rPr>
        <w:t xml:space="preserve"> שישה ימי דיונים, בליווי ייעוץ משפטי, ובהשתתפות חברי הכנסת מהסיעות השונות ונציגי החברה האזרחית (ראו והשוו: </w:t>
      </w:r>
      <w:r w:rsidRPr="007B04E0">
        <w:rPr>
          <w:rFonts w:hint="cs"/>
          <w:rtl/>
        </w:rPr>
        <w:t xml:space="preserve">בג"ץ 3234/15 </w:t>
      </w:r>
      <w:r w:rsidRPr="007B04E0">
        <w:rPr>
          <w:rFonts w:ascii="Century" w:hAnsi="Century" w:cs="Miriam" w:hint="cs"/>
          <w:b/>
          <w:spacing w:val="0"/>
          <w:sz w:val="22"/>
          <w:szCs w:val="24"/>
          <w:rtl/>
        </w:rPr>
        <w:t>מפלגת יש עתיד בראשות יאיר לפיד נ' יו"ר הכנסת</w:t>
      </w:r>
      <w:r w:rsidRPr="007B04E0">
        <w:rPr>
          <w:rFonts w:hint="cs"/>
          <w:rtl/>
        </w:rPr>
        <w:t>, פסקה 12 (9.7.2015)</w:t>
      </w:r>
      <w:r w:rsidRPr="007B04E0">
        <w:rPr>
          <w:rFonts w:eastAsiaTheme="minorHAnsi" w:hint="cs"/>
          <w:rtl/>
        </w:rPr>
        <w:t>).</w:t>
      </w:r>
    </w:p>
    <w:p w14:paraId="19728827"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p>
    <w:p w14:paraId="59DDF61D"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r w:rsidRPr="007B04E0">
        <w:rPr>
          <w:rFonts w:ascii="Century" w:hAnsi="Century" w:cs="Miriam" w:hint="cs"/>
          <w:b/>
          <w:sz w:val="22"/>
          <w:rtl/>
        </w:rPr>
        <w:t>שיקול הדעת בעניין מינוי דרעי לשר ואי העברתו מתפקידו</w:t>
      </w:r>
    </w:p>
    <w:p w14:paraId="3337AE59" w14:textId="77777777" w:rsidR="0040186B" w:rsidRPr="007B04E0" w:rsidRDefault="0040186B" w:rsidP="00C634DC">
      <w:pPr>
        <w:pStyle w:val="ruller400"/>
        <w:bidi/>
        <w:spacing w:before="0" w:beforeAutospacing="0" w:after="0" w:afterAutospacing="0" w:line="360" w:lineRule="auto"/>
        <w:jc w:val="both"/>
        <w:rPr>
          <w:rFonts w:ascii="Century" w:hAnsi="Century" w:cs="Miriam"/>
          <w:b/>
          <w:sz w:val="22"/>
          <w:rtl/>
        </w:rPr>
      </w:pPr>
    </w:p>
    <w:p w14:paraId="7A2850D0" w14:textId="77777777" w:rsidR="0040186B" w:rsidRPr="007B04E0" w:rsidRDefault="0040186B" w:rsidP="00C634DC">
      <w:pPr>
        <w:pStyle w:val="Ruller4"/>
        <w:tabs>
          <w:tab w:val="clear" w:pos="907"/>
        </w:tabs>
      </w:pPr>
      <w:r w:rsidRPr="007B04E0">
        <w:rPr>
          <w:rFonts w:hint="cs"/>
          <w:rtl/>
        </w:rPr>
        <w:t>אין מחלוקת כי בהתאם לנוסחו המתוקן של סעיף 6(ג) לחוק-יסוד: הממשלה אין מגבלה במישור הכשירות על כהונתו של דרעי כשר בממשלה, היות שהוא לא נידון לעונש מאסר בפועל. עם זאת ובהתאם לפסיקה ארוכת שנים של בית משפט זה, אין די בכך</w:t>
      </w:r>
      <w:r w:rsidRPr="007B04E0">
        <w:rPr>
          <w:rtl/>
        </w:rPr>
        <w:t xml:space="preserve"> שמועמד לתפקיד ציבורי עונה על תנאי הכשירות הקבועים בחוק</w:t>
      </w:r>
      <w:r w:rsidRPr="007B04E0">
        <w:rPr>
          <w:rFonts w:hint="cs"/>
          <w:rtl/>
        </w:rPr>
        <w:t>. לצד זאת "נדרש הגורם הממנה</w:t>
      </w:r>
      <w:r w:rsidRPr="007B04E0">
        <w:rPr>
          <w:rtl/>
        </w:rPr>
        <w:t xml:space="preserve"> להפעיל</w:t>
      </w:r>
      <w:r w:rsidRPr="007B04E0">
        <w:rPr>
          <w:rFonts w:hint="cs"/>
          <w:rtl/>
        </w:rPr>
        <w:t xml:space="preserve"> את</w:t>
      </w:r>
      <w:r w:rsidRPr="007B04E0">
        <w:rPr>
          <w:rtl/>
        </w:rPr>
        <w:t xml:space="preserve"> שיקול </w:t>
      </w:r>
      <w:r w:rsidRPr="007B04E0">
        <w:rPr>
          <w:rFonts w:hint="cs"/>
          <w:rtl/>
        </w:rPr>
        <w:t>דעתו</w:t>
      </w:r>
      <w:r w:rsidRPr="007B04E0">
        <w:rPr>
          <w:rtl/>
        </w:rPr>
        <w:t xml:space="preserve"> בדבר התאמת המועמד לתפקיד </w:t>
      </w:r>
      <w:r w:rsidRPr="007B04E0">
        <w:rPr>
          <w:rFonts w:hint="cs"/>
          <w:rtl/>
        </w:rPr>
        <w:t>ובמסגרת זו</w:t>
      </w:r>
      <w:r w:rsidRPr="007B04E0">
        <w:rPr>
          <w:rtl/>
        </w:rPr>
        <w:t xml:space="preserve"> עליו להעניק</w:t>
      </w:r>
      <w:r w:rsidRPr="007B04E0">
        <w:rPr>
          <w:rFonts w:hint="cs"/>
          <w:rtl/>
        </w:rPr>
        <w:t>, בין היתר, משקל נכבד לשיקולים הנוגעים להבטחת אמון הציבור במוסדות השלטון ולכך שנציגיו עושים את מלאכתם למען הכלל ביושר ובניקיון כפיים" (</w:t>
      </w:r>
      <w:r w:rsidRPr="007B04E0">
        <w:rPr>
          <w:rFonts w:hint="eastAsia"/>
          <w:rtl/>
        </w:rPr>
        <w:t>בג</w:t>
      </w:r>
      <w:r w:rsidRPr="007B04E0">
        <w:rPr>
          <w:rtl/>
        </w:rPr>
        <w:t>"</w:t>
      </w:r>
      <w:r w:rsidRPr="007B04E0">
        <w:rPr>
          <w:rFonts w:hint="eastAsia"/>
          <w:rtl/>
        </w:rPr>
        <w:t>ץ</w:t>
      </w:r>
      <w:r w:rsidRPr="007B04E0">
        <w:rPr>
          <w:rtl/>
        </w:rPr>
        <w:t xml:space="preserve"> 2592/20 </w:t>
      </w:r>
      <w:r w:rsidRPr="007B04E0">
        <w:rPr>
          <w:rFonts w:ascii="Miriam" w:hAnsi="Miriam" w:cs="Miriam" w:hint="eastAsia"/>
          <w:sz w:val="22"/>
          <w:szCs w:val="24"/>
          <w:rtl/>
        </w:rPr>
        <w:t>התנועה</w:t>
      </w:r>
      <w:r w:rsidRPr="007B04E0">
        <w:rPr>
          <w:rFonts w:ascii="Miriam" w:hAnsi="Miriam" w:cs="Miriam"/>
          <w:sz w:val="22"/>
          <w:szCs w:val="24"/>
          <w:rtl/>
        </w:rPr>
        <w:t xml:space="preserve"> </w:t>
      </w:r>
      <w:r w:rsidRPr="007B04E0">
        <w:rPr>
          <w:rFonts w:ascii="Miriam" w:hAnsi="Miriam" w:cs="Miriam" w:hint="eastAsia"/>
          <w:sz w:val="22"/>
          <w:szCs w:val="24"/>
          <w:rtl/>
        </w:rPr>
        <w:t>למען</w:t>
      </w:r>
      <w:r w:rsidRPr="007B04E0">
        <w:rPr>
          <w:rFonts w:ascii="Miriam" w:hAnsi="Miriam" w:cs="Miriam"/>
          <w:sz w:val="22"/>
          <w:szCs w:val="24"/>
          <w:rtl/>
        </w:rPr>
        <w:t xml:space="preserve"> </w:t>
      </w:r>
      <w:r w:rsidRPr="007B04E0">
        <w:rPr>
          <w:rFonts w:ascii="Miriam" w:hAnsi="Miriam" w:cs="Miriam" w:hint="eastAsia"/>
          <w:sz w:val="22"/>
          <w:szCs w:val="24"/>
          <w:rtl/>
        </w:rPr>
        <w:t>איכות</w:t>
      </w:r>
      <w:r w:rsidRPr="007B04E0">
        <w:rPr>
          <w:rFonts w:ascii="Miriam" w:hAnsi="Miriam" w:cs="Miriam"/>
          <w:sz w:val="22"/>
          <w:szCs w:val="24"/>
          <w:rtl/>
        </w:rPr>
        <w:t xml:space="preserve"> </w:t>
      </w:r>
      <w:r w:rsidRPr="007B04E0">
        <w:rPr>
          <w:rFonts w:ascii="Miriam" w:hAnsi="Miriam" w:cs="Miriam" w:hint="eastAsia"/>
          <w:sz w:val="22"/>
          <w:szCs w:val="24"/>
          <w:rtl/>
        </w:rPr>
        <w:t>השלטון</w:t>
      </w:r>
      <w:r w:rsidRPr="007B04E0">
        <w:rPr>
          <w:rFonts w:ascii="Miriam" w:hAnsi="Miriam" w:cs="Miriam"/>
          <w:sz w:val="22"/>
          <w:szCs w:val="24"/>
          <w:rtl/>
        </w:rPr>
        <w:t xml:space="preserve"> </w:t>
      </w:r>
      <w:r w:rsidRPr="007B04E0">
        <w:rPr>
          <w:rFonts w:ascii="Miriam" w:hAnsi="Miriam" w:cs="Miriam" w:hint="eastAsia"/>
          <w:sz w:val="22"/>
          <w:szCs w:val="24"/>
          <w:rtl/>
        </w:rPr>
        <w:t>בישראל</w:t>
      </w:r>
      <w:r w:rsidRPr="007B04E0">
        <w:rPr>
          <w:rFonts w:ascii="Miriam" w:hAnsi="Miriam" w:cs="Miriam"/>
          <w:sz w:val="22"/>
          <w:szCs w:val="24"/>
          <w:rtl/>
        </w:rPr>
        <w:t xml:space="preserve"> </w:t>
      </w:r>
      <w:r w:rsidRPr="007B04E0">
        <w:rPr>
          <w:rFonts w:ascii="Miriam" w:hAnsi="Miriam" w:cs="Miriam" w:hint="eastAsia"/>
          <w:sz w:val="22"/>
          <w:szCs w:val="24"/>
          <w:rtl/>
        </w:rPr>
        <w:t>נ</w:t>
      </w:r>
      <w:r w:rsidRPr="007B04E0">
        <w:rPr>
          <w:rFonts w:ascii="Miriam" w:hAnsi="Miriam" w:cs="Miriam"/>
          <w:sz w:val="22"/>
          <w:szCs w:val="24"/>
          <w:rtl/>
        </w:rPr>
        <w:t xml:space="preserve">' </w:t>
      </w:r>
      <w:r w:rsidRPr="007B04E0">
        <w:rPr>
          <w:rFonts w:ascii="Miriam" w:hAnsi="Miriam" w:cs="Miriam" w:hint="eastAsia"/>
          <w:sz w:val="22"/>
          <w:szCs w:val="24"/>
          <w:rtl/>
        </w:rPr>
        <w:t>היועץ</w:t>
      </w:r>
      <w:r w:rsidRPr="007B04E0">
        <w:rPr>
          <w:rFonts w:ascii="Miriam" w:hAnsi="Miriam" w:cs="Miriam"/>
          <w:sz w:val="22"/>
          <w:szCs w:val="24"/>
          <w:rtl/>
        </w:rPr>
        <w:t xml:space="preserve"> </w:t>
      </w:r>
      <w:r w:rsidRPr="007B04E0">
        <w:rPr>
          <w:rFonts w:ascii="Miriam" w:hAnsi="Miriam" w:cs="Miriam" w:hint="eastAsia"/>
          <w:sz w:val="22"/>
          <w:szCs w:val="24"/>
          <w:rtl/>
        </w:rPr>
        <w:t>המשפטי</w:t>
      </w:r>
      <w:r w:rsidRPr="007B04E0">
        <w:rPr>
          <w:rFonts w:ascii="Miriam" w:hAnsi="Miriam" w:cs="Miriam"/>
          <w:sz w:val="22"/>
          <w:szCs w:val="24"/>
          <w:rtl/>
        </w:rPr>
        <w:t xml:space="preserve"> </w:t>
      </w:r>
      <w:r w:rsidRPr="007B04E0">
        <w:rPr>
          <w:rFonts w:ascii="Miriam" w:hAnsi="Miriam" w:cs="Miriam" w:hint="eastAsia"/>
          <w:sz w:val="22"/>
          <w:szCs w:val="24"/>
          <w:rtl/>
        </w:rPr>
        <w:t>לממשלה</w:t>
      </w:r>
      <w:r w:rsidRPr="007B04E0">
        <w:rPr>
          <w:rtl/>
        </w:rPr>
        <w:t xml:space="preserve">, </w:t>
      </w:r>
      <w:r w:rsidRPr="007B04E0">
        <w:rPr>
          <w:rFonts w:hint="eastAsia"/>
          <w:rtl/>
        </w:rPr>
        <w:t>פסקה</w:t>
      </w:r>
      <w:r w:rsidRPr="007B04E0">
        <w:rPr>
          <w:rtl/>
        </w:rPr>
        <w:t xml:space="preserve"> 9 (6.5.2020)</w:t>
      </w:r>
      <w:r w:rsidRPr="007B04E0">
        <w:rPr>
          <w:rFonts w:hint="cs"/>
          <w:rtl/>
        </w:rPr>
        <w:t xml:space="preserve"> (להלן: </w:t>
      </w:r>
      <w:r w:rsidRPr="007B04E0">
        <w:rPr>
          <w:rFonts w:ascii="Miriam" w:hAnsi="Miriam" w:cs="Miriam" w:hint="eastAsia"/>
          <w:sz w:val="22"/>
          <w:szCs w:val="24"/>
          <w:rtl/>
        </w:rPr>
        <w:t>עניין</w:t>
      </w:r>
      <w:r w:rsidRPr="007B04E0">
        <w:rPr>
          <w:rFonts w:ascii="Miriam" w:hAnsi="Miriam" w:cs="Miriam"/>
          <w:sz w:val="22"/>
          <w:szCs w:val="24"/>
          <w:rtl/>
        </w:rPr>
        <w:t xml:space="preserve"> </w:t>
      </w:r>
      <w:r w:rsidRPr="007B04E0">
        <w:rPr>
          <w:rFonts w:ascii="Miriam" w:hAnsi="Miriam" w:cs="Miriam" w:hint="eastAsia"/>
          <w:sz w:val="22"/>
          <w:szCs w:val="24"/>
          <w:rtl/>
        </w:rPr>
        <w:t>הטלת</w:t>
      </w:r>
      <w:r w:rsidRPr="007B04E0">
        <w:rPr>
          <w:rFonts w:ascii="Miriam" w:hAnsi="Miriam" w:cs="Miriam"/>
          <w:sz w:val="22"/>
          <w:szCs w:val="24"/>
          <w:rtl/>
        </w:rPr>
        <w:t xml:space="preserve"> </w:t>
      </w:r>
      <w:r w:rsidRPr="007B04E0">
        <w:rPr>
          <w:rFonts w:ascii="Miriam" w:hAnsi="Miriam" w:cs="Miriam" w:hint="eastAsia"/>
          <w:sz w:val="22"/>
          <w:szCs w:val="24"/>
          <w:rtl/>
        </w:rPr>
        <w:t>המנדט</w:t>
      </w:r>
      <w:r w:rsidRPr="007B04E0">
        <w:rPr>
          <w:rFonts w:hint="cs"/>
          <w:rtl/>
        </w:rPr>
        <w:t>)).</w:t>
      </w:r>
      <w:r w:rsidRPr="007B04E0">
        <w:rPr>
          <w:rFonts w:ascii="Century" w:hAnsi="Century" w:cs="Miriam" w:hint="cs"/>
          <w:b/>
          <w:sz w:val="22"/>
          <w:rtl/>
        </w:rPr>
        <w:t xml:space="preserve"> </w:t>
      </w:r>
    </w:p>
    <w:p w14:paraId="77B13C83" w14:textId="77777777" w:rsidR="0040186B" w:rsidRPr="007B04E0" w:rsidRDefault="0040186B" w:rsidP="00C634DC">
      <w:pPr>
        <w:pStyle w:val="Ruller4"/>
        <w:numPr>
          <w:ilvl w:val="0"/>
          <w:numId w:val="0"/>
        </w:numPr>
        <w:rPr>
          <w:rtl/>
        </w:rPr>
      </w:pPr>
    </w:p>
    <w:p w14:paraId="656B5EA8" w14:textId="77777777" w:rsidR="0040186B" w:rsidRDefault="0040186B" w:rsidP="00C634DC">
      <w:pPr>
        <w:pStyle w:val="Ruller41"/>
        <w:rPr>
          <w:rtl/>
        </w:rPr>
      </w:pPr>
      <w:r w:rsidRPr="007B04E0">
        <w:rPr>
          <w:rtl/>
        </w:rPr>
        <w:tab/>
      </w:r>
      <w:r w:rsidRPr="007B04E0">
        <w:rPr>
          <w:rFonts w:ascii="Garamond" w:hAnsi="Garamond" w:hint="cs"/>
          <w:sz w:val="24"/>
          <w:rtl/>
        </w:rPr>
        <w:t>עקרון זה לפיו "כשירות לחוד ושיקול דעת לחוד" נקבע תחילה ביחס לעובדי ציבור (</w:t>
      </w:r>
      <w:r w:rsidRPr="007B04E0">
        <w:rPr>
          <w:rtl/>
        </w:rPr>
        <w:t xml:space="preserve">בג"ץ 6163/92 </w:t>
      </w:r>
      <w:r w:rsidRPr="007B04E0">
        <w:rPr>
          <w:rFonts w:ascii="Century" w:hAnsi="Century" w:cs="Miriam"/>
          <w:b/>
          <w:spacing w:val="0"/>
          <w:szCs w:val="24"/>
          <w:rtl/>
        </w:rPr>
        <w:t>אייזנברג נ' שר הבינוי והשיכון</w:t>
      </w:r>
      <w:r w:rsidRPr="007B04E0">
        <w:rPr>
          <w:rtl/>
        </w:rPr>
        <w:t>, פ"ד מז(2) 229 (1993)</w:t>
      </w:r>
      <w:r w:rsidRPr="007B04E0">
        <w:rPr>
          <w:rFonts w:hint="cs"/>
          <w:rtl/>
        </w:rPr>
        <w:t xml:space="preserve"> (להלן: </w:t>
      </w:r>
      <w:r w:rsidRPr="007B04E0">
        <w:rPr>
          <w:rFonts w:ascii="Century" w:hAnsi="Century" w:cs="Miriam" w:hint="cs"/>
          <w:b/>
          <w:spacing w:val="0"/>
          <w:szCs w:val="24"/>
          <w:rtl/>
        </w:rPr>
        <w:t>עניין אייזנברג</w:t>
      </w:r>
      <w:r w:rsidRPr="007B04E0">
        <w:rPr>
          <w:rFonts w:hint="cs"/>
          <w:rtl/>
        </w:rPr>
        <w:t xml:space="preserve">)), והוא יושם לאחר מכן </w:t>
      </w:r>
      <w:r w:rsidRPr="007B04E0">
        <w:rPr>
          <w:rFonts w:ascii="Garamond" w:hAnsi="Garamond" w:hint="cs"/>
          <w:sz w:val="24"/>
          <w:rtl/>
        </w:rPr>
        <w:t>גם ביחס לשרים</w:t>
      </w:r>
      <w:r w:rsidRPr="007B04E0">
        <w:rPr>
          <w:rFonts w:hint="cs"/>
          <w:rtl/>
        </w:rPr>
        <w:t xml:space="preserve"> וסגני שרים במסגרת פסקי הדין בעניינם של אריה דרעי ורפאל פנחסי בתקופת כהונתם כשר וסגן שר, בהתאמה, בממשלת רבין (עניין </w:t>
      </w:r>
      <w:r w:rsidRPr="007B04E0">
        <w:rPr>
          <w:rFonts w:ascii="Century" w:hAnsi="Century" w:cs="Miriam" w:hint="eastAsia"/>
          <w:b/>
          <w:spacing w:val="0"/>
          <w:szCs w:val="24"/>
          <w:rtl/>
        </w:rPr>
        <w:t>דרעי</w:t>
      </w:r>
      <w:r w:rsidRPr="007B04E0">
        <w:rPr>
          <w:rFonts w:ascii="Century" w:hAnsi="Century" w:cs="Miriam"/>
          <w:b/>
          <w:spacing w:val="0"/>
          <w:szCs w:val="24"/>
          <w:rtl/>
        </w:rPr>
        <w:t xml:space="preserve"> </w:t>
      </w:r>
      <w:r w:rsidRPr="007B04E0">
        <w:rPr>
          <w:rFonts w:ascii="Century" w:hAnsi="Century" w:cs="Miriam" w:hint="eastAsia"/>
          <w:b/>
          <w:spacing w:val="0"/>
          <w:szCs w:val="24"/>
          <w:rtl/>
        </w:rPr>
        <w:t>הראשון</w:t>
      </w:r>
      <w:r w:rsidRPr="007B04E0">
        <w:rPr>
          <w:rFonts w:hint="cs"/>
          <w:rtl/>
        </w:rPr>
        <w:t>; ו</w:t>
      </w:r>
      <w:r w:rsidRPr="007B04E0">
        <w:rPr>
          <w:rFonts w:hint="eastAsia"/>
          <w:rtl/>
        </w:rPr>
        <w:t>בג</w:t>
      </w:r>
      <w:r w:rsidRPr="007B04E0">
        <w:rPr>
          <w:rtl/>
        </w:rPr>
        <w:t>"</w:t>
      </w:r>
      <w:r w:rsidRPr="007B04E0">
        <w:rPr>
          <w:rFonts w:hint="eastAsia"/>
          <w:rtl/>
        </w:rPr>
        <w:t>ץ</w:t>
      </w:r>
      <w:r w:rsidRPr="007B04E0">
        <w:rPr>
          <w:rtl/>
        </w:rPr>
        <w:t xml:space="preserve"> 4267/93 </w:t>
      </w:r>
      <w:r w:rsidRPr="007B04E0">
        <w:rPr>
          <w:rFonts w:ascii="Century" w:hAnsi="Century" w:cs="Miriam" w:hint="eastAsia"/>
          <w:b/>
          <w:spacing w:val="0"/>
          <w:szCs w:val="24"/>
          <w:rtl/>
        </w:rPr>
        <w:t>אמיתי</w:t>
      </w:r>
      <w:r w:rsidRPr="007B04E0">
        <w:rPr>
          <w:rFonts w:ascii="Century" w:hAnsi="Century" w:cs="Miriam"/>
          <w:b/>
          <w:spacing w:val="0"/>
          <w:szCs w:val="24"/>
          <w:rtl/>
        </w:rPr>
        <w:t xml:space="preserve"> – </w:t>
      </w:r>
      <w:r w:rsidRPr="007B04E0">
        <w:rPr>
          <w:rFonts w:ascii="Century" w:hAnsi="Century" w:cs="Miriam" w:hint="eastAsia"/>
          <w:b/>
          <w:spacing w:val="0"/>
          <w:szCs w:val="24"/>
          <w:rtl/>
        </w:rPr>
        <w:t>אזרחים</w:t>
      </w:r>
      <w:r w:rsidRPr="007B04E0">
        <w:rPr>
          <w:rFonts w:ascii="Century" w:hAnsi="Century" w:cs="Miriam"/>
          <w:b/>
          <w:spacing w:val="0"/>
          <w:szCs w:val="24"/>
          <w:rtl/>
        </w:rPr>
        <w:t xml:space="preserve"> </w:t>
      </w:r>
      <w:r w:rsidRPr="007B04E0">
        <w:rPr>
          <w:rFonts w:ascii="Century" w:hAnsi="Century" w:cs="Miriam" w:hint="eastAsia"/>
          <w:b/>
          <w:spacing w:val="0"/>
          <w:szCs w:val="24"/>
          <w:rtl/>
        </w:rPr>
        <w:t>למען</w:t>
      </w:r>
      <w:r w:rsidRPr="007B04E0">
        <w:rPr>
          <w:rFonts w:ascii="Century" w:hAnsi="Century" w:cs="Miriam"/>
          <w:b/>
          <w:spacing w:val="0"/>
          <w:szCs w:val="24"/>
          <w:rtl/>
        </w:rPr>
        <w:t xml:space="preserve"> </w:t>
      </w:r>
      <w:r w:rsidRPr="007B04E0">
        <w:rPr>
          <w:rFonts w:ascii="Century" w:hAnsi="Century" w:cs="Miriam" w:hint="eastAsia"/>
          <w:b/>
          <w:spacing w:val="0"/>
          <w:szCs w:val="24"/>
          <w:rtl/>
        </w:rPr>
        <w:t>מינהל</w:t>
      </w:r>
      <w:r w:rsidRPr="007B04E0">
        <w:rPr>
          <w:rFonts w:ascii="Century" w:hAnsi="Century" w:cs="Miriam"/>
          <w:b/>
          <w:spacing w:val="0"/>
          <w:szCs w:val="24"/>
          <w:rtl/>
        </w:rPr>
        <w:t xml:space="preserve"> </w:t>
      </w:r>
      <w:r w:rsidRPr="007B04E0">
        <w:rPr>
          <w:rFonts w:ascii="Century" w:hAnsi="Century" w:cs="Miriam" w:hint="eastAsia"/>
          <w:b/>
          <w:spacing w:val="0"/>
          <w:szCs w:val="24"/>
          <w:rtl/>
        </w:rPr>
        <w:t>תקין</w:t>
      </w:r>
      <w:r w:rsidRPr="007B04E0">
        <w:rPr>
          <w:rFonts w:ascii="Century" w:hAnsi="Century" w:cs="Miriam"/>
          <w:b/>
          <w:spacing w:val="0"/>
          <w:szCs w:val="24"/>
          <w:rtl/>
        </w:rPr>
        <w:t xml:space="preserve"> </w:t>
      </w:r>
      <w:r w:rsidRPr="007B04E0">
        <w:rPr>
          <w:rFonts w:ascii="Century" w:hAnsi="Century" w:cs="Miriam" w:hint="eastAsia"/>
          <w:b/>
          <w:spacing w:val="0"/>
          <w:szCs w:val="24"/>
          <w:rtl/>
        </w:rPr>
        <w:t>וטוהר</w:t>
      </w:r>
      <w:r w:rsidRPr="007B04E0">
        <w:rPr>
          <w:rFonts w:ascii="Century" w:hAnsi="Century" w:cs="Miriam"/>
          <w:b/>
          <w:spacing w:val="0"/>
          <w:szCs w:val="24"/>
          <w:rtl/>
        </w:rPr>
        <w:t xml:space="preserve"> </w:t>
      </w:r>
      <w:r w:rsidRPr="007B04E0">
        <w:rPr>
          <w:rFonts w:ascii="Century" w:hAnsi="Century" w:cs="Miriam" w:hint="eastAsia"/>
          <w:b/>
          <w:spacing w:val="0"/>
          <w:szCs w:val="24"/>
          <w:rtl/>
        </w:rPr>
        <w:t>המידות</w:t>
      </w:r>
      <w:r w:rsidRPr="007B04E0">
        <w:rPr>
          <w:rFonts w:ascii="Century" w:hAnsi="Century" w:cs="Miriam"/>
          <w:b/>
          <w:spacing w:val="0"/>
          <w:szCs w:val="24"/>
          <w:rtl/>
        </w:rPr>
        <w:t xml:space="preserve"> </w:t>
      </w:r>
      <w:r w:rsidRPr="007B04E0">
        <w:rPr>
          <w:rFonts w:ascii="Century" w:hAnsi="Century" w:cs="Miriam" w:hint="eastAsia"/>
          <w:b/>
          <w:spacing w:val="0"/>
          <w:szCs w:val="24"/>
          <w:rtl/>
        </w:rPr>
        <w:t>נ</w:t>
      </w:r>
      <w:r w:rsidRPr="007B04E0">
        <w:rPr>
          <w:rFonts w:ascii="Century" w:hAnsi="Century" w:cs="Miriam"/>
          <w:b/>
          <w:spacing w:val="0"/>
          <w:szCs w:val="24"/>
          <w:rtl/>
        </w:rPr>
        <w:t xml:space="preserve">' </w:t>
      </w:r>
      <w:r w:rsidRPr="007B04E0">
        <w:rPr>
          <w:rFonts w:ascii="Century" w:hAnsi="Century" w:cs="Miriam" w:hint="eastAsia"/>
          <w:b/>
          <w:spacing w:val="0"/>
          <w:szCs w:val="24"/>
          <w:rtl/>
        </w:rPr>
        <w:t>יצחק</w:t>
      </w:r>
      <w:r w:rsidRPr="007B04E0">
        <w:rPr>
          <w:rFonts w:ascii="Century" w:hAnsi="Century" w:cs="Miriam"/>
          <w:b/>
          <w:spacing w:val="0"/>
          <w:szCs w:val="24"/>
          <w:rtl/>
        </w:rPr>
        <w:t xml:space="preserve"> </w:t>
      </w:r>
      <w:r w:rsidRPr="007B04E0">
        <w:rPr>
          <w:rFonts w:ascii="Century" w:hAnsi="Century" w:cs="Miriam" w:hint="eastAsia"/>
          <w:b/>
          <w:spacing w:val="0"/>
          <w:szCs w:val="24"/>
          <w:rtl/>
        </w:rPr>
        <w:t>רבין</w:t>
      </w:r>
      <w:r w:rsidRPr="007B04E0">
        <w:rPr>
          <w:rFonts w:ascii="Century" w:hAnsi="Century" w:cs="Miriam"/>
          <w:b/>
          <w:spacing w:val="0"/>
          <w:szCs w:val="24"/>
          <w:rtl/>
        </w:rPr>
        <w:t xml:space="preserve">, </w:t>
      </w:r>
      <w:r w:rsidRPr="007B04E0">
        <w:rPr>
          <w:rFonts w:ascii="Century" w:hAnsi="Century" w:cs="Miriam" w:hint="eastAsia"/>
          <w:b/>
          <w:spacing w:val="0"/>
          <w:szCs w:val="24"/>
          <w:rtl/>
        </w:rPr>
        <w:t>ראש</w:t>
      </w:r>
      <w:r w:rsidRPr="007B04E0">
        <w:rPr>
          <w:rFonts w:ascii="Century" w:hAnsi="Century" w:cs="Miriam"/>
          <w:b/>
          <w:spacing w:val="0"/>
          <w:szCs w:val="24"/>
          <w:rtl/>
        </w:rPr>
        <w:t xml:space="preserve"> </w:t>
      </w:r>
      <w:r w:rsidRPr="007B04E0">
        <w:rPr>
          <w:rFonts w:ascii="Century" w:hAnsi="Century" w:cs="Miriam" w:hint="eastAsia"/>
          <w:b/>
          <w:spacing w:val="0"/>
          <w:szCs w:val="24"/>
          <w:rtl/>
        </w:rPr>
        <w:t>ממשלת</w:t>
      </w:r>
      <w:r w:rsidRPr="007B04E0">
        <w:rPr>
          <w:rFonts w:ascii="Century" w:hAnsi="Century" w:cs="Miriam"/>
          <w:b/>
          <w:spacing w:val="0"/>
          <w:szCs w:val="24"/>
          <w:rtl/>
        </w:rPr>
        <w:t xml:space="preserve"> </w:t>
      </w:r>
      <w:r w:rsidRPr="007B04E0">
        <w:rPr>
          <w:rFonts w:ascii="Century" w:hAnsi="Century" w:cs="Miriam" w:hint="eastAsia"/>
          <w:b/>
          <w:spacing w:val="0"/>
          <w:szCs w:val="24"/>
          <w:rtl/>
        </w:rPr>
        <w:t>ישראל</w:t>
      </w:r>
      <w:r w:rsidRPr="007B04E0">
        <w:rPr>
          <w:rtl/>
        </w:rPr>
        <w:t xml:space="preserve">, </w:t>
      </w:r>
      <w:r w:rsidRPr="007B04E0">
        <w:rPr>
          <w:rFonts w:hint="eastAsia"/>
          <w:rtl/>
        </w:rPr>
        <w:t>פ</w:t>
      </w:r>
      <w:r w:rsidRPr="007B04E0">
        <w:rPr>
          <w:rtl/>
        </w:rPr>
        <w:t>"</w:t>
      </w:r>
      <w:r w:rsidRPr="007B04E0">
        <w:rPr>
          <w:rFonts w:hint="eastAsia"/>
          <w:rtl/>
        </w:rPr>
        <w:t>ד</w:t>
      </w:r>
      <w:r w:rsidRPr="007B04E0">
        <w:rPr>
          <w:rtl/>
        </w:rPr>
        <w:t xml:space="preserve"> </w:t>
      </w:r>
      <w:r w:rsidRPr="007B04E0">
        <w:rPr>
          <w:rFonts w:hint="eastAsia"/>
          <w:rtl/>
        </w:rPr>
        <w:t>מז</w:t>
      </w:r>
      <w:r w:rsidRPr="007B04E0">
        <w:rPr>
          <w:rtl/>
        </w:rPr>
        <w:t>(5) 441 (1993)</w:t>
      </w:r>
      <w:r w:rsidRPr="007B04E0">
        <w:rPr>
          <w:rFonts w:hint="cs"/>
          <w:rtl/>
        </w:rPr>
        <w:t xml:space="preserve"> (להלן: </w:t>
      </w:r>
      <w:r w:rsidRPr="007B04E0">
        <w:rPr>
          <w:rFonts w:ascii="Century" w:hAnsi="Century" w:cs="Miriam" w:hint="eastAsia"/>
          <w:b/>
          <w:spacing w:val="0"/>
          <w:szCs w:val="24"/>
          <w:rtl/>
        </w:rPr>
        <w:t>עניין</w:t>
      </w:r>
      <w:r w:rsidRPr="007B04E0">
        <w:rPr>
          <w:rFonts w:ascii="Century" w:hAnsi="Century" w:cs="Miriam"/>
          <w:b/>
          <w:spacing w:val="0"/>
          <w:szCs w:val="24"/>
          <w:rtl/>
        </w:rPr>
        <w:t xml:space="preserve"> </w:t>
      </w:r>
      <w:r w:rsidRPr="007B04E0">
        <w:rPr>
          <w:rFonts w:ascii="Century" w:hAnsi="Century" w:cs="Miriam" w:hint="eastAsia"/>
          <w:b/>
          <w:spacing w:val="0"/>
          <w:szCs w:val="24"/>
          <w:rtl/>
        </w:rPr>
        <w:t>פנחסי</w:t>
      </w:r>
      <w:r w:rsidRPr="007B04E0">
        <w:rPr>
          <w:rFonts w:hint="cs"/>
          <w:rtl/>
        </w:rPr>
        <w:t xml:space="preserve">; ולהלן יחד: </w:t>
      </w:r>
      <w:r w:rsidRPr="007B04E0">
        <w:rPr>
          <w:rFonts w:ascii="Century" w:hAnsi="Century" w:cs="Miriam" w:hint="cs"/>
          <w:b/>
          <w:spacing w:val="0"/>
          <w:szCs w:val="24"/>
          <w:rtl/>
        </w:rPr>
        <w:t>הלכת דרעי-פנחסי</w:t>
      </w:r>
      <w:r w:rsidRPr="007B04E0">
        <w:rPr>
          <w:rFonts w:hint="cs"/>
          <w:rtl/>
        </w:rPr>
        <w:t xml:space="preserve">)). בפסק הדין בעתירות בעניין </w:t>
      </w:r>
      <w:r w:rsidRPr="007B04E0">
        <w:rPr>
          <w:rFonts w:ascii="Century" w:hAnsi="Century" w:cs="Miriam" w:hint="cs"/>
          <w:b/>
          <w:spacing w:val="0"/>
          <w:szCs w:val="24"/>
          <w:rtl/>
        </w:rPr>
        <w:t>דרעי</w:t>
      </w:r>
      <w:r w:rsidRPr="007B04E0">
        <w:rPr>
          <w:rFonts w:ascii="Century" w:hAnsi="Century" w:cs="Miriam"/>
          <w:b/>
          <w:spacing w:val="0"/>
          <w:szCs w:val="24"/>
          <w:rtl/>
        </w:rPr>
        <w:t xml:space="preserve"> הראשון</w:t>
      </w:r>
      <w:r w:rsidRPr="007B04E0">
        <w:rPr>
          <w:rFonts w:hint="cs"/>
          <w:rtl/>
        </w:rPr>
        <w:t>, שהוגשו על רקע הגשת כתב האישום נגד דרעי ב"תיק האישי"</w:t>
      </w:r>
      <w:r>
        <w:rPr>
          <w:rFonts w:hint="cs"/>
          <w:rtl/>
        </w:rPr>
        <w:t>,</w:t>
      </w:r>
      <w:r w:rsidRPr="007B04E0">
        <w:rPr>
          <w:rFonts w:hint="cs"/>
          <w:rtl/>
        </w:rPr>
        <w:t xml:space="preserve"> הובהר כי קיימות נסיבות שבהן הסמכות שנתונה לראש הממשלה בחוק-יסוד: הממשלה להעביר שר מתפקידו הופכת מסמכות שבשיקול דעת לסמכות שקמה חובה להפעילה, וזאת "כאשר הנסיבות העובדתיות הן כאלה שערכי היסוד של השיטה החוקתית והמשפטית שלנו הופכים את אי-הפעלתה של הסמכות לבלתי סבירה באופן היורד לשורשו של עניין" (</w:t>
      </w:r>
      <w:r w:rsidRPr="007B04E0">
        <w:rPr>
          <w:rFonts w:hint="eastAsia"/>
          <w:rtl/>
        </w:rPr>
        <w:t>עניין</w:t>
      </w:r>
      <w:r w:rsidRPr="007B04E0">
        <w:rPr>
          <w:rtl/>
        </w:rPr>
        <w:t xml:space="preserve"> </w:t>
      </w:r>
      <w:r w:rsidRPr="007B04E0">
        <w:rPr>
          <w:rFonts w:ascii="Miriam" w:hAnsi="Miriam" w:cs="Miriam" w:hint="eastAsia"/>
          <w:sz w:val="20"/>
          <w:szCs w:val="24"/>
          <w:rtl/>
        </w:rPr>
        <w:t>דרעי</w:t>
      </w:r>
      <w:r w:rsidRPr="007B04E0">
        <w:rPr>
          <w:rFonts w:ascii="Miriam" w:hAnsi="Miriam" w:cs="Miriam" w:hint="cs"/>
          <w:sz w:val="20"/>
          <w:szCs w:val="24"/>
          <w:rtl/>
        </w:rPr>
        <w:t xml:space="preserve"> הראשון</w:t>
      </w:r>
      <w:r w:rsidRPr="007B04E0">
        <w:rPr>
          <w:rtl/>
        </w:rPr>
        <w:t xml:space="preserve">, </w:t>
      </w:r>
      <w:r w:rsidRPr="007B04E0">
        <w:rPr>
          <w:rFonts w:hint="eastAsia"/>
          <w:rtl/>
        </w:rPr>
        <w:t>בעמ</w:t>
      </w:r>
      <w:r w:rsidRPr="007B04E0">
        <w:rPr>
          <w:rtl/>
        </w:rPr>
        <w:t>' 421</w:t>
      </w:r>
      <w:r w:rsidRPr="007B04E0">
        <w:rPr>
          <w:rFonts w:hint="cs"/>
          <w:rtl/>
        </w:rPr>
        <w:t xml:space="preserve">). בנסיבותיו של אותו עניין קבע הנשיא </w:t>
      </w:r>
      <w:r w:rsidRPr="007B04E0">
        <w:rPr>
          <w:rFonts w:ascii="Century" w:hAnsi="Century" w:cs="Miriam" w:hint="cs"/>
          <w:b/>
          <w:spacing w:val="0"/>
          <w:szCs w:val="24"/>
          <w:rtl/>
        </w:rPr>
        <w:t>מ' שמגר</w:t>
      </w:r>
      <w:r w:rsidRPr="007B04E0">
        <w:rPr>
          <w:rFonts w:hint="cs"/>
          <w:rtl/>
        </w:rPr>
        <w:t xml:space="preserve"> כי </w:t>
      </w:r>
      <w:r w:rsidRPr="007B04E0">
        <w:rPr>
          <w:rFonts w:hint="eastAsia"/>
          <w:rtl/>
        </w:rPr>
        <w:t>כתב</w:t>
      </w:r>
      <w:r w:rsidRPr="007B04E0">
        <w:rPr>
          <w:rtl/>
        </w:rPr>
        <w:t xml:space="preserve"> </w:t>
      </w:r>
      <w:r w:rsidRPr="007B04E0">
        <w:rPr>
          <w:rFonts w:hint="eastAsia"/>
          <w:rtl/>
        </w:rPr>
        <w:t>האישום</w:t>
      </w:r>
      <w:r w:rsidRPr="007B04E0">
        <w:rPr>
          <w:rFonts w:hint="cs"/>
          <w:rtl/>
        </w:rPr>
        <w:t xml:space="preserve"> נגד דרעי</w:t>
      </w:r>
      <w:r w:rsidRPr="007B04E0">
        <w:rPr>
          <w:rtl/>
        </w:rPr>
        <w:t xml:space="preserve"> </w:t>
      </w:r>
      <w:r w:rsidRPr="007B04E0">
        <w:rPr>
          <w:rFonts w:hint="cs"/>
          <w:rtl/>
        </w:rPr>
        <w:t>"</w:t>
      </w:r>
      <w:r w:rsidRPr="007B04E0">
        <w:rPr>
          <w:rFonts w:hint="eastAsia"/>
          <w:rtl/>
        </w:rPr>
        <w:t>מכיל</w:t>
      </w:r>
      <w:r w:rsidRPr="007B04E0">
        <w:rPr>
          <w:rtl/>
        </w:rPr>
        <w:t xml:space="preserve"> </w:t>
      </w:r>
      <w:r w:rsidRPr="007B04E0">
        <w:rPr>
          <w:rFonts w:hint="eastAsia"/>
          <w:rtl/>
        </w:rPr>
        <w:t>טענות</w:t>
      </w:r>
      <w:r w:rsidRPr="007B04E0">
        <w:rPr>
          <w:rtl/>
        </w:rPr>
        <w:t xml:space="preserve"> </w:t>
      </w:r>
      <w:r w:rsidRPr="007B04E0">
        <w:rPr>
          <w:rFonts w:hint="eastAsia"/>
          <w:rtl/>
        </w:rPr>
        <w:t>בדבר</w:t>
      </w:r>
      <w:r w:rsidRPr="007B04E0">
        <w:rPr>
          <w:rtl/>
        </w:rPr>
        <w:t xml:space="preserve"> </w:t>
      </w:r>
      <w:r w:rsidRPr="007B04E0">
        <w:rPr>
          <w:rFonts w:hint="eastAsia"/>
          <w:rtl/>
        </w:rPr>
        <w:t>מעשי</w:t>
      </w:r>
      <w:r w:rsidRPr="007B04E0">
        <w:rPr>
          <w:rtl/>
        </w:rPr>
        <w:t xml:space="preserve"> </w:t>
      </w:r>
      <w:r w:rsidRPr="007B04E0">
        <w:rPr>
          <w:rFonts w:hint="eastAsia"/>
          <w:rtl/>
        </w:rPr>
        <w:t>שחיתות</w:t>
      </w:r>
      <w:r w:rsidRPr="007B04E0">
        <w:t xml:space="preserve"> </w:t>
      </w:r>
      <w:r w:rsidRPr="007B04E0">
        <w:rPr>
          <w:rFonts w:hint="eastAsia"/>
          <w:rtl/>
        </w:rPr>
        <w:t>שהם</w:t>
      </w:r>
      <w:r w:rsidRPr="007B04E0">
        <w:rPr>
          <w:rtl/>
        </w:rPr>
        <w:t xml:space="preserve"> </w:t>
      </w:r>
      <w:r w:rsidRPr="007B04E0">
        <w:rPr>
          <w:rFonts w:hint="eastAsia"/>
          <w:rtl/>
        </w:rPr>
        <w:t>מפליגים</w:t>
      </w:r>
      <w:r w:rsidRPr="007B04E0">
        <w:rPr>
          <w:rtl/>
        </w:rPr>
        <w:t xml:space="preserve"> </w:t>
      </w:r>
      <w:r w:rsidRPr="007B04E0">
        <w:rPr>
          <w:rFonts w:hint="eastAsia"/>
          <w:rtl/>
        </w:rPr>
        <w:t>בחומרתם</w:t>
      </w:r>
      <w:r w:rsidRPr="007B04E0">
        <w:rPr>
          <w:rtl/>
        </w:rPr>
        <w:t xml:space="preserve">. </w:t>
      </w:r>
      <w:r w:rsidRPr="007B04E0">
        <w:rPr>
          <w:rFonts w:hint="eastAsia"/>
          <w:rtl/>
        </w:rPr>
        <w:t>כתב</w:t>
      </w:r>
      <w:r w:rsidRPr="007B04E0">
        <w:rPr>
          <w:rtl/>
        </w:rPr>
        <w:t xml:space="preserve"> </w:t>
      </w:r>
      <w:r w:rsidRPr="007B04E0">
        <w:rPr>
          <w:rFonts w:hint="eastAsia"/>
          <w:rtl/>
        </w:rPr>
        <w:t>האישום</w:t>
      </w:r>
      <w:r w:rsidRPr="007B04E0">
        <w:rPr>
          <w:rtl/>
        </w:rPr>
        <w:t xml:space="preserve"> </w:t>
      </w:r>
      <w:r w:rsidRPr="007B04E0">
        <w:rPr>
          <w:rFonts w:hint="eastAsia"/>
          <w:rtl/>
        </w:rPr>
        <w:t>אינו</w:t>
      </w:r>
      <w:r w:rsidRPr="007B04E0">
        <w:rPr>
          <w:rtl/>
        </w:rPr>
        <w:t xml:space="preserve"> </w:t>
      </w:r>
      <w:r w:rsidRPr="007B04E0">
        <w:rPr>
          <w:rFonts w:hint="eastAsia"/>
          <w:rtl/>
        </w:rPr>
        <w:t>פסק</w:t>
      </w:r>
      <w:r w:rsidRPr="007B04E0">
        <w:rPr>
          <w:rtl/>
        </w:rPr>
        <w:t>-</w:t>
      </w:r>
      <w:r w:rsidRPr="007B04E0">
        <w:rPr>
          <w:rFonts w:hint="eastAsia"/>
          <w:rtl/>
        </w:rPr>
        <w:t>דין</w:t>
      </w:r>
      <w:r w:rsidRPr="007B04E0">
        <w:rPr>
          <w:rtl/>
        </w:rPr>
        <w:t xml:space="preserve"> [...] </w:t>
      </w:r>
      <w:r w:rsidRPr="007B04E0">
        <w:rPr>
          <w:rFonts w:hint="eastAsia"/>
          <w:rtl/>
        </w:rPr>
        <w:t>אולם</w:t>
      </w:r>
      <w:r w:rsidRPr="007B04E0">
        <w:rPr>
          <w:rtl/>
        </w:rPr>
        <w:t xml:space="preserve"> </w:t>
      </w:r>
      <w:r w:rsidRPr="007B04E0">
        <w:rPr>
          <w:rFonts w:hint="eastAsia"/>
          <w:rtl/>
        </w:rPr>
        <w:t>לצורך</w:t>
      </w:r>
      <w:r w:rsidRPr="007B04E0">
        <w:rPr>
          <w:rtl/>
        </w:rPr>
        <w:t xml:space="preserve"> </w:t>
      </w:r>
      <w:r w:rsidRPr="007B04E0">
        <w:rPr>
          <w:rFonts w:hint="eastAsia"/>
          <w:rtl/>
        </w:rPr>
        <w:t>המשך</w:t>
      </w:r>
      <w:r w:rsidRPr="007B04E0">
        <w:rPr>
          <w:rtl/>
        </w:rPr>
        <w:t xml:space="preserve"> </w:t>
      </w:r>
      <w:r w:rsidRPr="007B04E0">
        <w:rPr>
          <w:rFonts w:hint="eastAsia"/>
          <w:rtl/>
        </w:rPr>
        <w:t>כהונה</w:t>
      </w:r>
      <w:r w:rsidRPr="007B04E0">
        <w:rPr>
          <w:rtl/>
        </w:rPr>
        <w:t xml:space="preserve"> </w:t>
      </w:r>
      <w:r w:rsidRPr="007B04E0">
        <w:rPr>
          <w:rFonts w:hint="eastAsia"/>
          <w:rtl/>
        </w:rPr>
        <w:t>בממשלה</w:t>
      </w:r>
      <w:r w:rsidRPr="007B04E0">
        <w:rPr>
          <w:rtl/>
        </w:rPr>
        <w:t xml:space="preserve"> </w:t>
      </w:r>
      <w:r w:rsidRPr="007B04E0">
        <w:rPr>
          <w:rFonts w:hint="eastAsia"/>
          <w:rtl/>
        </w:rPr>
        <w:t>יש</w:t>
      </w:r>
      <w:r w:rsidRPr="007B04E0">
        <w:rPr>
          <w:rtl/>
        </w:rPr>
        <w:t xml:space="preserve"> </w:t>
      </w:r>
      <w:r w:rsidRPr="007B04E0">
        <w:rPr>
          <w:rFonts w:hint="eastAsia"/>
          <w:rtl/>
        </w:rPr>
        <w:t>משמעות</w:t>
      </w:r>
      <w:r w:rsidRPr="007B04E0">
        <w:rPr>
          <w:rtl/>
        </w:rPr>
        <w:t xml:space="preserve"> </w:t>
      </w:r>
      <w:r w:rsidRPr="007B04E0">
        <w:rPr>
          <w:rFonts w:hint="eastAsia"/>
          <w:rtl/>
        </w:rPr>
        <w:t>גם</w:t>
      </w:r>
      <w:r w:rsidRPr="007B04E0">
        <w:rPr>
          <w:rtl/>
        </w:rPr>
        <w:t xml:space="preserve"> </w:t>
      </w:r>
      <w:r w:rsidRPr="007B04E0">
        <w:rPr>
          <w:rFonts w:hint="eastAsia"/>
          <w:rtl/>
        </w:rPr>
        <w:t>לראיות</w:t>
      </w:r>
      <w:r w:rsidRPr="007B04E0">
        <w:rPr>
          <w:rtl/>
        </w:rPr>
        <w:t xml:space="preserve"> </w:t>
      </w:r>
      <w:r w:rsidRPr="007B04E0">
        <w:rPr>
          <w:rFonts w:hint="eastAsia"/>
          <w:rtl/>
        </w:rPr>
        <w:t>לכאורה</w:t>
      </w:r>
      <w:r w:rsidRPr="007B04E0">
        <w:rPr>
          <w:rtl/>
        </w:rPr>
        <w:t xml:space="preserve"> </w:t>
      </w:r>
      <w:r w:rsidRPr="007B04E0">
        <w:rPr>
          <w:rFonts w:hint="eastAsia"/>
          <w:rtl/>
        </w:rPr>
        <w:t>שגובשו</w:t>
      </w:r>
      <w:r w:rsidRPr="007B04E0">
        <w:rPr>
          <w:rtl/>
        </w:rPr>
        <w:t xml:space="preserve"> </w:t>
      </w:r>
      <w:r w:rsidRPr="007B04E0">
        <w:rPr>
          <w:rFonts w:hint="eastAsia"/>
          <w:rtl/>
        </w:rPr>
        <w:t>בכתב</w:t>
      </w:r>
      <w:r w:rsidRPr="007B04E0">
        <w:rPr>
          <w:rtl/>
        </w:rPr>
        <w:t xml:space="preserve"> </w:t>
      </w:r>
      <w:r w:rsidRPr="007B04E0">
        <w:rPr>
          <w:rFonts w:hint="eastAsia"/>
          <w:rtl/>
        </w:rPr>
        <w:t>האישום</w:t>
      </w:r>
      <w:r w:rsidRPr="007B04E0">
        <w:rPr>
          <w:rtl/>
        </w:rPr>
        <w:t xml:space="preserve"> [...]"</w:t>
      </w:r>
      <w:r w:rsidRPr="007B04E0">
        <w:rPr>
          <w:rFonts w:hint="cs"/>
          <w:rtl/>
        </w:rPr>
        <w:t xml:space="preserve"> (</w:t>
      </w:r>
      <w:r w:rsidRPr="007B04E0">
        <w:rPr>
          <w:rFonts w:ascii="Century" w:hAnsi="Century" w:cs="Miriam" w:hint="cs"/>
          <w:b/>
          <w:spacing w:val="0"/>
          <w:szCs w:val="24"/>
          <w:rtl/>
        </w:rPr>
        <w:t>שם</w:t>
      </w:r>
      <w:r w:rsidRPr="007B04E0">
        <w:rPr>
          <w:rFonts w:hint="cs"/>
          <w:rtl/>
        </w:rPr>
        <w:t>, בעמ' 422)</w:t>
      </w:r>
      <w:r w:rsidRPr="007B04E0">
        <w:rPr>
          <w:rtl/>
        </w:rPr>
        <w:t xml:space="preserve">. </w:t>
      </w:r>
      <w:r w:rsidRPr="007B04E0">
        <w:rPr>
          <w:rFonts w:hint="eastAsia"/>
          <w:rtl/>
        </w:rPr>
        <w:t>הנשיא</w:t>
      </w:r>
      <w:r w:rsidRPr="007B04E0">
        <w:rPr>
          <w:rtl/>
        </w:rPr>
        <w:t xml:space="preserve"> </w:t>
      </w:r>
      <w:r w:rsidRPr="007B04E0">
        <w:rPr>
          <w:rFonts w:ascii="Century" w:hAnsi="Century" w:cs="Miriam" w:hint="eastAsia"/>
          <w:b/>
          <w:spacing w:val="0"/>
          <w:szCs w:val="24"/>
          <w:rtl/>
        </w:rPr>
        <w:t>שמגר</w:t>
      </w:r>
      <w:r w:rsidRPr="007B04E0">
        <w:rPr>
          <w:rFonts w:ascii="Century" w:hAnsi="Century" w:cs="Miriam"/>
          <w:b/>
          <w:spacing w:val="0"/>
          <w:szCs w:val="24"/>
          <w:rtl/>
        </w:rPr>
        <w:t xml:space="preserve"> </w:t>
      </w:r>
      <w:r w:rsidRPr="007B04E0">
        <w:rPr>
          <w:rFonts w:hint="eastAsia"/>
          <w:rtl/>
        </w:rPr>
        <w:t>הוסיף</w:t>
      </w:r>
      <w:r w:rsidRPr="007B04E0">
        <w:rPr>
          <w:rtl/>
        </w:rPr>
        <w:t xml:space="preserve"> </w:t>
      </w:r>
      <w:r w:rsidRPr="007B04E0">
        <w:rPr>
          <w:rFonts w:hint="eastAsia"/>
          <w:rtl/>
        </w:rPr>
        <w:t>בהקשר</w:t>
      </w:r>
      <w:r w:rsidRPr="007B04E0">
        <w:rPr>
          <w:rtl/>
        </w:rPr>
        <w:t xml:space="preserve"> </w:t>
      </w:r>
      <w:r w:rsidRPr="007B04E0">
        <w:rPr>
          <w:rFonts w:hint="eastAsia"/>
          <w:rtl/>
        </w:rPr>
        <w:t>זה</w:t>
      </w:r>
      <w:r>
        <w:rPr>
          <w:rFonts w:hint="cs"/>
          <w:rtl/>
        </w:rPr>
        <w:t>:</w:t>
      </w:r>
      <w:r w:rsidRPr="007B04E0">
        <w:rPr>
          <w:rtl/>
        </w:rPr>
        <w:t xml:space="preserve"> </w:t>
      </w:r>
    </w:p>
    <w:p w14:paraId="631B309D" w14:textId="77777777" w:rsidR="0040186B" w:rsidRDefault="0040186B" w:rsidP="00C634DC">
      <w:pPr>
        <w:pStyle w:val="Ruller41"/>
        <w:rPr>
          <w:rtl/>
        </w:rPr>
      </w:pPr>
    </w:p>
    <w:p w14:paraId="2524F238" w14:textId="77777777" w:rsidR="0040186B" w:rsidRDefault="0040186B" w:rsidP="00C634DC">
      <w:pPr>
        <w:pStyle w:val="Ruller5"/>
        <w:rPr>
          <w:rtl/>
        </w:rPr>
      </w:pPr>
      <w:r w:rsidRPr="007B04E0">
        <w:rPr>
          <w:rtl/>
        </w:rPr>
        <w:t>"</w:t>
      </w:r>
      <w:r w:rsidRPr="007B04E0">
        <w:rPr>
          <w:rFonts w:hint="eastAsia"/>
          <w:rtl/>
        </w:rPr>
        <w:t>אם</w:t>
      </w:r>
      <w:r w:rsidRPr="007B04E0">
        <w:rPr>
          <w:rtl/>
        </w:rPr>
        <w:t xml:space="preserve"> </w:t>
      </w:r>
      <w:r w:rsidRPr="007B04E0">
        <w:rPr>
          <w:rFonts w:hint="eastAsia"/>
          <w:rtl/>
        </w:rPr>
        <w:t>יכהן</w:t>
      </w:r>
      <w:r w:rsidRPr="007B04E0">
        <w:rPr>
          <w:rtl/>
        </w:rPr>
        <w:t xml:space="preserve"> </w:t>
      </w:r>
      <w:r w:rsidRPr="007B04E0">
        <w:rPr>
          <w:rFonts w:hint="eastAsia"/>
          <w:rtl/>
        </w:rPr>
        <w:t>בממשלה</w:t>
      </w:r>
      <w:r w:rsidRPr="007B04E0">
        <w:rPr>
          <w:rtl/>
        </w:rPr>
        <w:t xml:space="preserve"> </w:t>
      </w:r>
      <w:r w:rsidRPr="007B04E0">
        <w:rPr>
          <w:rFonts w:hint="eastAsia"/>
          <w:rtl/>
        </w:rPr>
        <w:t>שר</w:t>
      </w:r>
      <w:r w:rsidRPr="007B04E0">
        <w:rPr>
          <w:rtl/>
        </w:rPr>
        <w:t xml:space="preserve"> </w:t>
      </w:r>
      <w:r w:rsidRPr="007B04E0">
        <w:rPr>
          <w:rFonts w:hint="eastAsia"/>
          <w:rtl/>
        </w:rPr>
        <w:t>שהוגש</w:t>
      </w:r>
      <w:r w:rsidRPr="007B04E0">
        <w:rPr>
          <w:rtl/>
        </w:rPr>
        <w:t xml:space="preserve"> </w:t>
      </w:r>
      <w:r w:rsidRPr="007B04E0">
        <w:rPr>
          <w:rFonts w:hint="eastAsia"/>
          <w:rtl/>
        </w:rPr>
        <w:t>נגדו</w:t>
      </w:r>
      <w:r w:rsidRPr="007B04E0">
        <w:rPr>
          <w:rtl/>
        </w:rPr>
        <w:t xml:space="preserve"> </w:t>
      </w:r>
      <w:r w:rsidRPr="007B04E0">
        <w:rPr>
          <w:rFonts w:hint="eastAsia"/>
          <w:rtl/>
        </w:rPr>
        <w:t>כתב</w:t>
      </w:r>
      <w:r w:rsidRPr="007B04E0">
        <w:rPr>
          <w:rtl/>
        </w:rPr>
        <w:t>-</w:t>
      </w:r>
      <w:r w:rsidRPr="007B04E0">
        <w:rPr>
          <w:rFonts w:hint="eastAsia"/>
          <w:rtl/>
        </w:rPr>
        <w:t>אישום</w:t>
      </w:r>
      <w:r w:rsidRPr="007B04E0">
        <w:rPr>
          <w:rtl/>
        </w:rPr>
        <w:t xml:space="preserve"> </w:t>
      </w:r>
      <w:r w:rsidRPr="007B04E0">
        <w:rPr>
          <w:rFonts w:hint="eastAsia"/>
          <w:rtl/>
        </w:rPr>
        <w:t>המאשימו</w:t>
      </w:r>
      <w:r w:rsidRPr="007B04E0">
        <w:rPr>
          <w:rtl/>
        </w:rPr>
        <w:t xml:space="preserve"> </w:t>
      </w:r>
      <w:r w:rsidRPr="007B04E0">
        <w:rPr>
          <w:rFonts w:hint="eastAsia"/>
          <w:rtl/>
        </w:rPr>
        <w:t>בלקיחת</w:t>
      </w:r>
      <w:r w:rsidRPr="007B04E0">
        <w:rPr>
          <w:rtl/>
        </w:rPr>
        <w:t xml:space="preserve"> </w:t>
      </w:r>
      <w:r w:rsidRPr="007B04E0">
        <w:rPr>
          <w:rFonts w:hint="eastAsia"/>
          <w:rtl/>
        </w:rPr>
        <w:t>שוחד</w:t>
      </w:r>
      <w:r w:rsidRPr="007B04E0">
        <w:rPr>
          <w:rtl/>
        </w:rPr>
        <w:t xml:space="preserve"> </w:t>
      </w:r>
      <w:r w:rsidRPr="007B04E0">
        <w:rPr>
          <w:rFonts w:hint="eastAsia"/>
          <w:rtl/>
        </w:rPr>
        <w:t>במאות</w:t>
      </w:r>
      <w:r w:rsidRPr="007B04E0">
        <w:rPr>
          <w:rtl/>
        </w:rPr>
        <w:t xml:space="preserve"> </w:t>
      </w:r>
      <w:r w:rsidRPr="007B04E0">
        <w:rPr>
          <w:rFonts w:hint="eastAsia"/>
          <w:rtl/>
        </w:rPr>
        <w:t>אלפי</w:t>
      </w:r>
      <w:r w:rsidRPr="007B04E0">
        <w:rPr>
          <w:rtl/>
        </w:rPr>
        <w:t xml:space="preserve"> </w:t>
      </w:r>
      <w:r w:rsidRPr="007B04E0">
        <w:rPr>
          <w:rFonts w:hint="eastAsia"/>
          <w:rtl/>
        </w:rPr>
        <w:t>שקלים</w:t>
      </w:r>
      <w:r w:rsidRPr="007B04E0">
        <w:rPr>
          <w:rtl/>
        </w:rPr>
        <w:t xml:space="preserve"> </w:t>
      </w:r>
      <w:r w:rsidRPr="007B04E0">
        <w:rPr>
          <w:rFonts w:hint="eastAsia"/>
          <w:rtl/>
        </w:rPr>
        <w:t>ובשימוש</w:t>
      </w:r>
      <w:r w:rsidRPr="007B04E0">
        <w:rPr>
          <w:rtl/>
        </w:rPr>
        <w:t xml:space="preserve"> </w:t>
      </w:r>
      <w:r w:rsidRPr="007B04E0">
        <w:rPr>
          <w:rFonts w:hint="eastAsia"/>
          <w:rtl/>
        </w:rPr>
        <w:t>לרעה</w:t>
      </w:r>
      <w:r w:rsidRPr="007B04E0">
        <w:rPr>
          <w:rtl/>
        </w:rPr>
        <w:t xml:space="preserve">, </w:t>
      </w:r>
      <w:r w:rsidRPr="007B04E0">
        <w:rPr>
          <w:rFonts w:hint="eastAsia"/>
          <w:rtl/>
        </w:rPr>
        <w:t>באופנים</w:t>
      </w:r>
      <w:r w:rsidRPr="007B04E0">
        <w:rPr>
          <w:rtl/>
        </w:rPr>
        <w:t xml:space="preserve"> </w:t>
      </w:r>
      <w:r w:rsidRPr="007B04E0">
        <w:rPr>
          <w:rFonts w:hint="eastAsia"/>
          <w:rtl/>
        </w:rPr>
        <w:t>אחרים</w:t>
      </w:r>
      <w:r w:rsidRPr="007B04E0">
        <w:rPr>
          <w:rtl/>
        </w:rPr>
        <w:t xml:space="preserve">, </w:t>
      </w:r>
      <w:r w:rsidRPr="007B04E0">
        <w:rPr>
          <w:rFonts w:hint="eastAsia"/>
          <w:rtl/>
        </w:rPr>
        <w:t>במשרות</w:t>
      </w:r>
      <w:r w:rsidRPr="007B04E0">
        <w:rPr>
          <w:rtl/>
        </w:rPr>
        <w:t xml:space="preserve"> </w:t>
      </w:r>
      <w:r w:rsidRPr="007B04E0">
        <w:rPr>
          <w:rFonts w:hint="eastAsia"/>
          <w:rtl/>
        </w:rPr>
        <w:t>שלטוניות</w:t>
      </w:r>
      <w:r w:rsidRPr="007B04E0">
        <w:rPr>
          <w:rtl/>
        </w:rPr>
        <w:t xml:space="preserve">, </w:t>
      </w:r>
      <w:r w:rsidRPr="007B04E0">
        <w:rPr>
          <w:rFonts w:hint="eastAsia"/>
          <w:rtl/>
        </w:rPr>
        <w:t>תהיה</w:t>
      </w:r>
      <w:r w:rsidRPr="007B04E0">
        <w:rPr>
          <w:rtl/>
        </w:rPr>
        <w:t xml:space="preserve"> </w:t>
      </w:r>
      <w:r w:rsidRPr="007B04E0">
        <w:rPr>
          <w:rFonts w:hint="eastAsia"/>
          <w:rtl/>
        </w:rPr>
        <w:t>לכך</w:t>
      </w:r>
      <w:r w:rsidRPr="007B04E0">
        <w:rPr>
          <w:rtl/>
        </w:rPr>
        <w:t xml:space="preserve"> </w:t>
      </w:r>
      <w:r w:rsidRPr="007B04E0">
        <w:rPr>
          <w:rFonts w:hint="eastAsia"/>
          <w:rtl/>
        </w:rPr>
        <w:t>השלכה</w:t>
      </w:r>
      <w:r w:rsidRPr="007B04E0">
        <w:rPr>
          <w:rtl/>
        </w:rPr>
        <w:t xml:space="preserve"> </w:t>
      </w:r>
      <w:r w:rsidRPr="007B04E0">
        <w:rPr>
          <w:rFonts w:hint="eastAsia"/>
          <w:rtl/>
        </w:rPr>
        <w:t>מרחיקת</w:t>
      </w:r>
      <w:r w:rsidRPr="007B04E0">
        <w:rPr>
          <w:rtl/>
        </w:rPr>
        <w:t xml:space="preserve"> </w:t>
      </w:r>
      <w:r w:rsidRPr="007B04E0">
        <w:rPr>
          <w:rFonts w:hint="eastAsia"/>
          <w:rtl/>
        </w:rPr>
        <w:t>לכת</w:t>
      </w:r>
      <w:r w:rsidRPr="007B04E0">
        <w:rPr>
          <w:rtl/>
        </w:rPr>
        <w:t xml:space="preserve"> </w:t>
      </w:r>
      <w:r w:rsidRPr="007B04E0">
        <w:rPr>
          <w:rFonts w:hint="eastAsia"/>
          <w:rtl/>
        </w:rPr>
        <w:t>על</w:t>
      </w:r>
      <w:r w:rsidRPr="007B04E0">
        <w:rPr>
          <w:rtl/>
        </w:rPr>
        <w:t xml:space="preserve"> </w:t>
      </w:r>
      <w:r w:rsidRPr="007B04E0">
        <w:rPr>
          <w:rFonts w:hint="eastAsia"/>
          <w:rtl/>
        </w:rPr>
        <w:t>דמות</w:t>
      </w:r>
      <w:r w:rsidRPr="007B04E0">
        <w:rPr>
          <w:rtl/>
        </w:rPr>
        <w:t xml:space="preserve"> </w:t>
      </w:r>
      <w:r w:rsidRPr="007B04E0">
        <w:rPr>
          <w:rFonts w:hint="eastAsia"/>
          <w:rtl/>
        </w:rPr>
        <w:t>השלטון</w:t>
      </w:r>
      <w:r w:rsidRPr="007B04E0">
        <w:rPr>
          <w:rtl/>
        </w:rPr>
        <w:t xml:space="preserve"> </w:t>
      </w:r>
      <w:r w:rsidRPr="007B04E0">
        <w:rPr>
          <w:rFonts w:hint="eastAsia"/>
          <w:rtl/>
        </w:rPr>
        <w:t>בישראל</w:t>
      </w:r>
      <w:r w:rsidRPr="007B04E0">
        <w:rPr>
          <w:rtl/>
        </w:rPr>
        <w:t xml:space="preserve">, </w:t>
      </w:r>
      <w:r w:rsidRPr="007B04E0">
        <w:rPr>
          <w:rFonts w:hint="eastAsia"/>
          <w:rtl/>
        </w:rPr>
        <w:t>על</w:t>
      </w:r>
      <w:r w:rsidRPr="007B04E0">
        <w:rPr>
          <w:rtl/>
        </w:rPr>
        <w:t xml:space="preserve"> </w:t>
      </w:r>
      <w:r w:rsidRPr="007B04E0">
        <w:rPr>
          <w:rFonts w:hint="eastAsia"/>
          <w:rtl/>
        </w:rPr>
        <w:t>תום</w:t>
      </w:r>
      <w:r w:rsidRPr="007B04E0">
        <w:rPr>
          <w:rtl/>
        </w:rPr>
        <w:t>-</w:t>
      </w:r>
      <w:r w:rsidRPr="007B04E0">
        <w:rPr>
          <w:rFonts w:hint="eastAsia"/>
          <w:rtl/>
        </w:rPr>
        <w:t>לבו</w:t>
      </w:r>
      <w:r w:rsidRPr="007B04E0">
        <w:rPr>
          <w:rtl/>
        </w:rPr>
        <w:t xml:space="preserve"> </w:t>
      </w:r>
      <w:r w:rsidRPr="007B04E0">
        <w:rPr>
          <w:rFonts w:hint="eastAsia"/>
          <w:rtl/>
        </w:rPr>
        <w:t>ועל</w:t>
      </w:r>
      <w:r w:rsidRPr="007B04E0">
        <w:rPr>
          <w:rtl/>
        </w:rPr>
        <w:t xml:space="preserve"> </w:t>
      </w:r>
      <w:r w:rsidRPr="007B04E0">
        <w:rPr>
          <w:rFonts w:hint="eastAsia"/>
          <w:rtl/>
        </w:rPr>
        <w:t>הגינותו</w:t>
      </w:r>
      <w:r w:rsidRPr="007B04E0">
        <w:rPr>
          <w:rtl/>
        </w:rPr>
        <w:t>"</w:t>
      </w:r>
      <w:r w:rsidRPr="007B04E0">
        <w:rPr>
          <w:rFonts w:hint="cs"/>
          <w:rtl/>
        </w:rPr>
        <w:t xml:space="preserve"> (</w:t>
      </w:r>
      <w:r w:rsidRPr="00646B88">
        <w:rPr>
          <w:rFonts w:ascii="Century" w:hAnsi="Century" w:cs="Miriam" w:hint="cs"/>
          <w:b/>
          <w:spacing w:val="0"/>
          <w:szCs w:val="24"/>
          <w:rtl/>
        </w:rPr>
        <w:t>שם</w:t>
      </w:r>
      <w:r w:rsidRPr="007B04E0">
        <w:rPr>
          <w:rFonts w:hint="cs"/>
          <w:rtl/>
        </w:rPr>
        <w:t>, בעמ' 423)</w:t>
      </w:r>
      <w:r w:rsidRPr="007B04E0">
        <w:rPr>
          <w:rtl/>
        </w:rPr>
        <w:t>.</w:t>
      </w:r>
      <w:r w:rsidRPr="007B04E0">
        <w:rPr>
          <w:rFonts w:hint="cs"/>
          <w:rtl/>
        </w:rPr>
        <w:t xml:space="preserve"> </w:t>
      </w:r>
    </w:p>
    <w:p w14:paraId="156D1980" w14:textId="77777777" w:rsidR="0040186B" w:rsidRDefault="0040186B" w:rsidP="00C634DC">
      <w:pPr>
        <w:pStyle w:val="Ruller41"/>
        <w:rPr>
          <w:rtl/>
        </w:rPr>
      </w:pPr>
    </w:p>
    <w:p w14:paraId="1577FE19" w14:textId="77777777" w:rsidR="0040186B" w:rsidRPr="007B04E0" w:rsidRDefault="0040186B" w:rsidP="00C634DC">
      <w:pPr>
        <w:pStyle w:val="Ruller41"/>
        <w:rPr>
          <w:rtl/>
        </w:rPr>
      </w:pPr>
      <w:r>
        <w:rPr>
          <w:rtl/>
        </w:rPr>
        <w:lastRenderedPageBreak/>
        <w:tab/>
      </w:r>
      <w:r w:rsidRPr="007B04E0">
        <w:rPr>
          <w:rFonts w:hint="cs"/>
          <w:rtl/>
        </w:rPr>
        <w:t>על כן, נקבע כי</w:t>
      </w:r>
      <w:r w:rsidRPr="007B04E0">
        <w:rPr>
          <w:rFonts w:hint="eastAsia"/>
          <w:rtl/>
        </w:rPr>
        <w:t xml:space="preserve"> ראש</w:t>
      </w:r>
      <w:r w:rsidRPr="007B04E0">
        <w:rPr>
          <w:rtl/>
        </w:rPr>
        <w:t xml:space="preserve"> </w:t>
      </w:r>
      <w:r w:rsidRPr="007B04E0">
        <w:rPr>
          <w:rFonts w:hint="eastAsia"/>
          <w:rtl/>
        </w:rPr>
        <w:t>הממשלה</w:t>
      </w:r>
      <w:r w:rsidRPr="007B04E0">
        <w:rPr>
          <w:rtl/>
        </w:rPr>
        <w:t xml:space="preserve"> </w:t>
      </w:r>
      <w:r w:rsidRPr="007B04E0">
        <w:rPr>
          <w:rFonts w:hint="cs"/>
          <w:rtl/>
        </w:rPr>
        <w:t xml:space="preserve">נדרש להפעיל את סמכותו ולהעביר את השר דרעי מכהונתו. </w:t>
      </w:r>
    </w:p>
    <w:p w14:paraId="375BBA35" w14:textId="77777777" w:rsidR="0040186B" w:rsidRPr="007B04E0" w:rsidRDefault="0040186B" w:rsidP="00C634DC">
      <w:pPr>
        <w:pStyle w:val="Ruller41"/>
        <w:rPr>
          <w:rtl/>
        </w:rPr>
      </w:pPr>
    </w:p>
    <w:p w14:paraId="550354C6" w14:textId="77777777" w:rsidR="0040186B" w:rsidRPr="007B04E0" w:rsidRDefault="0040186B" w:rsidP="00491822">
      <w:pPr>
        <w:pStyle w:val="Ruller41"/>
        <w:rPr>
          <w:rtl/>
        </w:rPr>
      </w:pPr>
      <w:r w:rsidRPr="007B04E0">
        <w:rPr>
          <w:rtl/>
        </w:rPr>
        <w:tab/>
      </w:r>
      <w:r w:rsidRPr="007B04E0">
        <w:rPr>
          <w:rFonts w:hint="cs"/>
          <w:rtl/>
        </w:rPr>
        <w:t xml:space="preserve">למסקנה דומה הגיע בית המשפט גם בעניין </w:t>
      </w:r>
      <w:r w:rsidRPr="007B04E0">
        <w:rPr>
          <w:rFonts w:ascii="Century" w:hAnsi="Century" w:cs="Miriam" w:hint="cs"/>
          <w:b/>
          <w:spacing w:val="0"/>
          <w:szCs w:val="24"/>
          <w:rtl/>
        </w:rPr>
        <w:t>פנחסי</w:t>
      </w:r>
      <w:r w:rsidRPr="007B04E0">
        <w:rPr>
          <w:rFonts w:hint="cs"/>
          <w:rtl/>
        </w:rPr>
        <w:t>, שהוגש נגדו כתב אישום המייחס לו עבירות של הצהרה כוזבת, רישום כוזב במסמכי תאגיד וניסיון לקבל דבר במרמה. בהקשר זה צוין כי "</w:t>
      </w:r>
      <w:r w:rsidRPr="007B04E0">
        <w:rPr>
          <w:rtl/>
        </w:rPr>
        <w:t xml:space="preserve">דווקא עובדת היותו של אדם נבחר ציבור מחייבת אותו ברמת התנהגות קפדנית יותר, אתית יותר, מעובד ציבור </w:t>
      </w:r>
      <w:r w:rsidRPr="007B04E0">
        <w:rPr>
          <w:rFonts w:hint="cs"/>
          <w:rtl/>
        </w:rPr>
        <w:t>'</w:t>
      </w:r>
      <w:r w:rsidRPr="007B04E0">
        <w:rPr>
          <w:rtl/>
        </w:rPr>
        <w:t>רגיל</w:t>
      </w:r>
      <w:r w:rsidRPr="007B04E0">
        <w:rPr>
          <w:rFonts w:hint="cs"/>
          <w:rtl/>
        </w:rPr>
        <w:t>'.</w:t>
      </w:r>
      <w:r w:rsidRPr="007B04E0">
        <w:rPr>
          <w:rtl/>
        </w:rPr>
        <w:t xml:space="preserve"> מי שנבחר על</w:t>
      </w:r>
      <w:r w:rsidR="009B5181">
        <w:rPr>
          <w:rFonts w:hint="cs"/>
          <w:rtl/>
        </w:rPr>
        <w:t xml:space="preserve"> </w:t>
      </w:r>
      <w:r w:rsidRPr="007B04E0">
        <w:rPr>
          <w:rtl/>
        </w:rPr>
        <w:t>ידי העם צריך לשמש מופת לעם, נאמן לעם וראוי לאמון שהעם נתן בו</w:t>
      </w:r>
      <w:r w:rsidRPr="007B04E0">
        <w:rPr>
          <w:rFonts w:hint="cs"/>
          <w:rtl/>
        </w:rPr>
        <w:t>" (</w:t>
      </w:r>
      <w:r w:rsidR="002F5998" w:rsidRPr="00DA4185">
        <w:rPr>
          <w:rFonts w:ascii="Century" w:hAnsi="Century" w:cs="Miriam" w:hint="cs"/>
          <w:b/>
          <w:spacing w:val="0"/>
          <w:szCs w:val="24"/>
          <w:rtl/>
        </w:rPr>
        <w:t>שם</w:t>
      </w:r>
      <w:r w:rsidRPr="007B04E0">
        <w:rPr>
          <w:rFonts w:ascii="FrankRuehl" w:hAnsi="FrankRuehl"/>
          <w:b/>
          <w:spacing w:val="0"/>
          <w:sz w:val="24"/>
          <w:rtl/>
        </w:rPr>
        <w:t xml:space="preserve">, </w:t>
      </w:r>
      <w:r w:rsidRPr="007B04E0">
        <w:rPr>
          <w:rFonts w:ascii="FrankRuehl" w:hAnsi="FrankRuehl" w:hint="eastAsia"/>
          <w:b/>
          <w:spacing w:val="0"/>
          <w:sz w:val="24"/>
          <w:rtl/>
        </w:rPr>
        <w:t>בעמ</w:t>
      </w:r>
      <w:r w:rsidRPr="007B04E0">
        <w:rPr>
          <w:rFonts w:ascii="FrankRuehl" w:hAnsi="FrankRuehl"/>
          <w:b/>
          <w:spacing w:val="0"/>
          <w:sz w:val="24"/>
          <w:rtl/>
        </w:rPr>
        <w:t xml:space="preserve">' </w:t>
      </w:r>
      <w:r w:rsidR="002F5998">
        <w:rPr>
          <w:rFonts w:ascii="FrankRuehl" w:hAnsi="FrankRuehl" w:hint="cs"/>
          <w:b/>
          <w:spacing w:val="0"/>
          <w:sz w:val="24"/>
          <w:rtl/>
        </w:rPr>
        <w:t>470</w:t>
      </w:r>
      <w:r w:rsidRPr="007B04E0">
        <w:rPr>
          <w:rFonts w:hint="cs"/>
          <w:rtl/>
        </w:rPr>
        <w:t>).</w:t>
      </w:r>
    </w:p>
    <w:p w14:paraId="7BD821BE" w14:textId="77777777" w:rsidR="0040186B" w:rsidRPr="007B04E0" w:rsidRDefault="0040186B" w:rsidP="00C634DC">
      <w:pPr>
        <w:pStyle w:val="Ruller41"/>
        <w:rPr>
          <w:rtl/>
        </w:rPr>
      </w:pPr>
    </w:p>
    <w:p w14:paraId="2D9372DB" w14:textId="77777777" w:rsidR="0040186B" w:rsidRPr="007B04E0" w:rsidRDefault="0040186B" w:rsidP="005D07D4">
      <w:pPr>
        <w:pStyle w:val="Ruller4"/>
        <w:tabs>
          <w:tab w:val="clear" w:pos="907"/>
        </w:tabs>
        <w:rPr>
          <w:rtl/>
        </w:rPr>
      </w:pPr>
      <w:r w:rsidRPr="007B04E0">
        <w:rPr>
          <w:rFonts w:hint="cs"/>
          <w:rtl/>
        </w:rPr>
        <w:t xml:space="preserve">במועד שבו ניתנו פסקי הדין בעניין </w:t>
      </w:r>
      <w:r w:rsidRPr="007B04E0">
        <w:rPr>
          <w:rFonts w:ascii="Century" w:hAnsi="Century" w:cs="Miriam" w:hint="cs"/>
          <w:b/>
          <w:spacing w:val="0"/>
          <w:sz w:val="22"/>
          <w:szCs w:val="24"/>
          <w:rtl/>
        </w:rPr>
        <w:t>דרעי</w:t>
      </w:r>
      <w:r>
        <w:rPr>
          <w:rFonts w:ascii="Century" w:hAnsi="Century" w:cs="Miriam" w:hint="cs"/>
          <w:b/>
          <w:spacing w:val="0"/>
          <w:sz w:val="22"/>
          <w:szCs w:val="24"/>
          <w:rtl/>
        </w:rPr>
        <w:t xml:space="preserve"> הראשון</w:t>
      </w:r>
      <w:r w:rsidRPr="007B04E0">
        <w:rPr>
          <w:rFonts w:hint="cs"/>
          <w:rtl/>
        </w:rPr>
        <w:t xml:space="preserve"> ובעניין </w:t>
      </w:r>
      <w:r w:rsidRPr="007B04E0">
        <w:rPr>
          <w:rFonts w:ascii="Century" w:hAnsi="Century" w:cs="Miriam" w:hint="cs"/>
          <w:b/>
          <w:spacing w:val="0"/>
          <w:sz w:val="22"/>
          <w:szCs w:val="24"/>
          <w:rtl/>
        </w:rPr>
        <w:t>פנחסי</w:t>
      </w:r>
      <w:r w:rsidRPr="007B04E0">
        <w:rPr>
          <w:rFonts w:hint="cs"/>
          <w:rtl/>
        </w:rPr>
        <w:t>, לא היו בחוק-יסוד: הממשלה</w:t>
      </w:r>
      <w:r>
        <w:rPr>
          <w:rFonts w:hint="cs"/>
          <w:rtl/>
        </w:rPr>
        <w:t>,</w:t>
      </w:r>
      <w:r w:rsidRPr="007B04E0">
        <w:rPr>
          <w:rFonts w:hint="cs"/>
          <w:rtl/>
        </w:rPr>
        <w:t xml:space="preserve"> </w:t>
      </w:r>
      <w:r>
        <w:rPr>
          <w:rFonts w:hint="cs"/>
          <w:rtl/>
        </w:rPr>
        <w:t>כ</w:t>
      </w:r>
      <w:r w:rsidRPr="007B04E0">
        <w:rPr>
          <w:rFonts w:hint="cs"/>
          <w:rtl/>
        </w:rPr>
        <w:t>נוסחו אז</w:t>
      </w:r>
      <w:r>
        <w:rPr>
          <w:rFonts w:hint="cs"/>
          <w:rtl/>
        </w:rPr>
        <w:t>,</w:t>
      </w:r>
      <w:r w:rsidRPr="007B04E0">
        <w:rPr>
          <w:rFonts w:hint="cs"/>
          <w:rtl/>
        </w:rPr>
        <w:t xml:space="preserve"> הוראות לעניין כשירות שרים הנוגעות למעורבותם בפלילים. עם זאת, גם לאחר שבשנת 2001 </w:t>
      </w:r>
      <w:r>
        <w:rPr>
          <w:rFonts w:hint="cs"/>
          <w:rtl/>
        </w:rPr>
        <w:t xml:space="preserve">נחקק חוק היסוד </w:t>
      </w:r>
      <w:r w:rsidRPr="007B04E0">
        <w:rPr>
          <w:rFonts w:hint="cs"/>
          <w:rtl/>
        </w:rPr>
        <w:t xml:space="preserve">מחדש ונכללה בו הוראת הכשירות שבסעיף 6(ג), חזר בית משפט זה והבהיר כי </w:t>
      </w:r>
      <w:r w:rsidRPr="007B04E0">
        <w:rPr>
          <w:rFonts w:ascii="Century" w:hAnsi="Century" w:hint="cs"/>
          <w:sz w:val="22"/>
          <w:rtl/>
        </w:rPr>
        <w:t xml:space="preserve">הלכת דרעי-פנחסי "עומדת על מכונה", והיא מתייחסת לאותם "[...] מקרים מובהקים נוספים </w:t>
      </w:r>
      <w:r w:rsidRPr="007B04E0">
        <w:rPr>
          <w:rFonts w:ascii="Century" w:hAnsi="Century"/>
          <w:sz w:val="22"/>
          <w:rtl/>
        </w:rPr>
        <w:t>–</w:t>
      </w:r>
      <w:r w:rsidRPr="007B04E0">
        <w:rPr>
          <w:rFonts w:ascii="Century" w:hAnsi="Century" w:hint="cs"/>
          <w:sz w:val="22"/>
          <w:rtl/>
        </w:rPr>
        <w:t xml:space="preserve"> המתווספים לאלה הנקובים בחוק היסוד </w:t>
      </w:r>
      <w:r w:rsidRPr="007B04E0">
        <w:rPr>
          <w:rFonts w:ascii="Century" w:hAnsi="Century"/>
          <w:sz w:val="22"/>
          <w:rtl/>
        </w:rPr>
        <w:t>–</w:t>
      </w:r>
      <w:r w:rsidRPr="007B04E0">
        <w:rPr>
          <w:rFonts w:ascii="Century" w:hAnsi="Century" w:hint="cs"/>
          <w:sz w:val="22"/>
          <w:rtl/>
        </w:rPr>
        <w:t xml:space="preserve"> שבהם לא תוכל לעמוד החלטת ראש-הממשלה למנות אדם לתפקיד שר (או סגן שר) או להימנע מהעברתו מתפקידו" (בג"ץ 1993/03 </w:t>
      </w:r>
      <w:r w:rsidRPr="007B04E0">
        <w:rPr>
          <w:rFonts w:ascii="Miriam" w:hAnsi="Miriam" w:cs="Miriam" w:hint="eastAsia"/>
          <w:sz w:val="21"/>
          <w:szCs w:val="24"/>
          <w:rtl/>
        </w:rPr>
        <w:t>התנועה</w:t>
      </w:r>
      <w:r w:rsidRPr="007B04E0">
        <w:rPr>
          <w:rFonts w:ascii="Miriam" w:hAnsi="Miriam" w:cs="Miriam"/>
          <w:sz w:val="21"/>
          <w:szCs w:val="24"/>
          <w:rtl/>
        </w:rPr>
        <w:t xml:space="preserve"> </w:t>
      </w:r>
      <w:r w:rsidRPr="007B04E0">
        <w:rPr>
          <w:rFonts w:ascii="Miriam" w:hAnsi="Miriam" w:cs="Miriam" w:hint="eastAsia"/>
          <w:sz w:val="21"/>
          <w:szCs w:val="24"/>
          <w:rtl/>
        </w:rPr>
        <w:t>למען</w:t>
      </w:r>
      <w:r w:rsidRPr="007B04E0">
        <w:rPr>
          <w:rFonts w:ascii="Miriam" w:hAnsi="Miriam" w:cs="Miriam"/>
          <w:sz w:val="21"/>
          <w:szCs w:val="24"/>
          <w:rtl/>
        </w:rPr>
        <w:t xml:space="preserve"> </w:t>
      </w:r>
      <w:r w:rsidRPr="007B04E0">
        <w:rPr>
          <w:rFonts w:ascii="Miriam" w:hAnsi="Miriam" w:cs="Miriam" w:hint="eastAsia"/>
          <w:sz w:val="21"/>
          <w:szCs w:val="24"/>
          <w:rtl/>
        </w:rPr>
        <w:t>איכות</w:t>
      </w:r>
      <w:r w:rsidRPr="007B04E0">
        <w:rPr>
          <w:rFonts w:ascii="Miriam" w:hAnsi="Miriam" w:cs="Miriam"/>
          <w:sz w:val="21"/>
          <w:szCs w:val="24"/>
          <w:rtl/>
        </w:rPr>
        <w:t xml:space="preserve"> </w:t>
      </w:r>
      <w:r w:rsidRPr="007B04E0">
        <w:rPr>
          <w:rFonts w:ascii="Miriam" w:hAnsi="Miriam" w:cs="Miriam" w:hint="eastAsia"/>
          <w:sz w:val="21"/>
          <w:szCs w:val="24"/>
          <w:rtl/>
        </w:rPr>
        <w:t>השלטון</w:t>
      </w:r>
      <w:r w:rsidRPr="007B04E0">
        <w:rPr>
          <w:rFonts w:ascii="Miriam" w:hAnsi="Miriam" w:cs="Miriam"/>
          <w:sz w:val="21"/>
          <w:szCs w:val="24"/>
          <w:rtl/>
        </w:rPr>
        <w:t xml:space="preserve"> </w:t>
      </w:r>
      <w:r w:rsidRPr="007B04E0">
        <w:rPr>
          <w:rFonts w:ascii="Miriam" w:hAnsi="Miriam" w:cs="Miriam" w:hint="eastAsia"/>
          <w:sz w:val="21"/>
          <w:szCs w:val="24"/>
          <w:rtl/>
        </w:rPr>
        <w:t>בישראל</w:t>
      </w:r>
      <w:r w:rsidRPr="007B04E0">
        <w:rPr>
          <w:rFonts w:ascii="Miriam" w:hAnsi="Miriam" w:cs="Miriam"/>
          <w:sz w:val="21"/>
          <w:szCs w:val="24"/>
          <w:rtl/>
        </w:rPr>
        <w:t xml:space="preserve"> </w:t>
      </w:r>
      <w:r w:rsidRPr="007B04E0">
        <w:rPr>
          <w:rFonts w:ascii="Miriam" w:hAnsi="Miriam" w:cs="Miriam" w:hint="eastAsia"/>
          <w:sz w:val="21"/>
          <w:szCs w:val="24"/>
          <w:rtl/>
        </w:rPr>
        <w:t>נ</w:t>
      </w:r>
      <w:r w:rsidRPr="007B04E0">
        <w:rPr>
          <w:rFonts w:ascii="Miriam" w:hAnsi="Miriam" w:cs="Miriam"/>
          <w:sz w:val="21"/>
          <w:szCs w:val="24"/>
          <w:rtl/>
        </w:rPr>
        <w:t xml:space="preserve">' </w:t>
      </w:r>
      <w:r w:rsidRPr="007B04E0">
        <w:rPr>
          <w:rFonts w:ascii="Miriam" w:hAnsi="Miriam" w:cs="Miriam" w:hint="eastAsia"/>
          <w:sz w:val="21"/>
          <w:szCs w:val="24"/>
          <w:rtl/>
        </w:rPr>
        <w:t>ראש</w:t>
      </w:r>
      <w:r w:rsidRPr="007B04E0">
        <w:rPr>
          <w:rFonts w:ascii="Miriam" w:hAnsi="Miriam" w:cs="Miriam"/>
          <w:sz w:val="21"/>
          <w:szCs w:val="24"/>
          <w:rtl/>
        </w:rPr>
        <w:t xml:space="preserve"> </w:t>
      </w:r>
      <w:r w:rsidRPr="007B04E0">
        <w:rPr>
          <w:rFonts w:ascii="Miriam" w:hAnsi="Miriam" w:cs="Miriam" w:hint="eastAsia"/>
          <w:sz w:val="21"/>
          <w:szCs w:val="24"/>
          <w:rtl/>
        </w:rPr>
        <w:t>הממשלה</w:t>
      </w:r>
      <w:r w:rsidRPr="007B04E0">
        <w:rPr>
          <w:rFonts w:ascii="Century" w:hAnsi="Century" w:hint="cs"/>
          <w:sz w:val="22"/>
          <w:rtl/>
        </w:rPr>
        <w:t xml:space="preserve">, פ"ד נז(6) 817, 852 (2003) (להלן: </w:t>
      </w:r>
      <w:r w:rsidRPr="007B04E0">
        <w:rPr>
          <w:rFonts w:ascii="Miriam" w:hAnsi="Miriam" w:cs="Miriam" w:hint="eastAsia"/>
          <w:sz w:val="21"/>
          <w:szCs w:val="24"/>
          <w:rtl/>
        </w:rPr>
        <w:t>עניין</w:t>
      </w:r>
      <w:r w:rsidRPr="007B04E0">
        <w:rPr>
          <w:rFonts w:ascii="Miriam" w:hAnsi="Miriam" w:cs="Miriam"/>
          <w:sz w:val="21"/>
          <w:szCs w:val="24"/>
          <w:rtl/>
        </w:rPr>
        <w:t xml:space="preserve"> </w:t>
      </w:r>
      <w:r w:rsidRPr="007B04E0">
        <w:rPr>
          <w:rFonts w:ascii="Miriam" w:hAnsi="Miriam" w:cs="Miriam" w:hint="eastAsia"/>
          <w:sz w:val="21"/>
          <w:szCs w:val="24"/>
          <w:rtl/>
        </w:rPr>
        <w:t>הנגבי</w:t>
      </w:r>
      <w:r w:rsidRPr="007B04E0">
        <w:rPr>
          <w:rFonts w:ascii="Miriam" w:hAnsi="Miriam" w:cs="Miriam"/>
          <w:sz w:val="21"/>
          <w:szCs w:val="24"/>
          <w:rtl/>
        </w:rPr>
        <w:t xml:space="preserve"> 2003</w:t>
      </w:r>
      <w:r w:rsidRPr="007B04E0">
        <w:rPr>
          <w:rFonts w:ascii="Century" w:hAnsi="Century" w:hint="cs"/>
          <w:sz w:val="22"/>
          <w:rtl/>
        </w:rPr>
        <w:t xml:space="preserve">); להליכים נוספים שבהם שב ועמד בית המשפט על הלכת דרעי-פנחסי ראו, </w:t>
      </w:r>
      <w:r w:rsidRPr="007B04E0">
        <w:rPr>
          <w:rFonts w:ascii="Century" w:hAnsi="Century" w:hint="eastAsia"/>
          <w:sz w:val="22"/>
          <w:rtl/>
        </w:rPr>
        <w:t>למשל</w:t>
      </w:r>
      <w:r w:rsidRPr="007B04E0">
        <w:rPr>
          <w:rFonts w:ascii="Century" w:hAnsi="Century"/>
          <w:sz w:val="22"/>
          <w:rtl/>
        </w:rPr>
        <w:t xml:space="preserve">: </w:t>
      </w:r>
      <w:r w:rsidRPr="007B04E0">
        <w:rPr>
          <w:rFonts w:ascii="Century" w:hAnsi="Century" w:hint="cs"/>
          <w:sz w:val="22"/>
          <w:rtl/>
        </w:rPr>
        <w:t xml:space="preserve">בג"ץ 3059/15 </w:t>
      </w:r>
      <w:r w:rsidRPr="007B04E0">
        <w:rPr>
          <w:rFonts w:ascii="Miriam" w:hAnsi="Miriam" w:cs="Miriam" w:hint="eastAsia"/>
          <w:sz w:val="21"/>
          <w:szCs w:val="24"/>
          <w:rtl/>
        </w:rPr>
        <w:t>התנועה</w:t>
      </w:r>
      <w:r w:rsidRPr="007B04E0">
        <w:rPr>
          <w:rFonts w:ascii="Miriam" w:hAnsi="Miriam" w:cs="Miriam"/>
          <w:sz w:val="21"/>
          <w:szCs w:val="24"/>
          <w:rtl/>
        </w:rPr>
        <w:t xml:space="preserve"> </w:t>
      </w:r>
      <w:r w:rsidRPr="007B04E0">
        <w:rPr>
          <w:rFonts w:ascii="Miriam" w:hAnsi="Miriam" w:cs="Miriam" w:hint="eastAsia"/>
          <w:sz w:val="21"/>
          <w:szCs w:val="24"/>
          <w:rtl/>
        </w:rPr>
        <w:t>למען</w:t>
      </w:r>
      <w:r w:rsidRPr="007B04E0">
        <w:rPr>
          <w:rFonts w:ascii="Miriam" w:hAnsi="Miriam" w:cs="Miriam"/>
          <w:sz w:val="21"/>
          <w:szCs w:val="24"/>
          <w:rtl/>
        </w:rPr>
        <w:t xml:space="preserve"> </w:t>
      </w:r>
      <w:r w:rsidRPr="007B04E0">
        <w:rPr>
          <w:rFonts w:ascii="Miriam" w:hAnsi="Miriam" w:cs="Miriam" w:hint="eastAsia"/>
          <w:sz w:val="21"/>
          <w:szCs w:val="24"/>
          <w:rtl/>
        </w:rPr>
        <w:t>איכות</w:t>
      </w:r>
      <w:r w:rsidRPr="007B04E0">
        <w:rPr>
          <w:rFonts w:ascii="Miriam" w:hAnsi="Miriam" w:cs="Miriam"/>
          <w:sz w:val="21"/>
          <w:szCs w:val="24"/>
          <w:rtl/>
        </w:rPr>
        <w:t xml:space="preserve"> </w:t>
      </w:r>
      <w:r w:rsidRPr="007B04E0">
        <w:rPr>
          <w:rFonts w:ascii="Miriam" w:hAnsi="Miriam" w:cs="Miriam" w:hint="eastAsia"/>
          <w:sz w:val="21"/>
          <w:szCs w:val="24"/>
          <w:rtl/>
        </w:rPr>
        <w:t>השלטון</w:t>
      </w:r>
      <w:r w:rsidRPr="007B04E0">
        <w:rPr>
          <w:rFonts w:ascii="Miriam" w:hAnsi="Miriam" w:cs="Miriam"/>
          <w:sz w:val="21"/>
          <w:szCs w:val="24"/>
          <w:rtl/>
        </w:rPr>
        <w:t xml:space="preserve"> </w:t>
      </w:r>
      <w:r w:rsidRPr="007B04E0">
        <w:rPr>
          <w:rFonts w:ascii="Miriam" w:hAnsi="Miriam" w:cs="Miriam" w:hint="eastAsia"/>
          <w:sz w:val="21"/>
          <w:szCs w:val="24"/>
          <w:rtl/>
        </w:rPr>
        <w:t>בישראל</w:t>
      </w:r>
      <w:r w:rsidRPr="007B04E0">
        <w:rPr>
          <w:rFonts w:ascii="Miriam" w:hAnsi="Miriam" w:cs="Miriam"/>
          <w:sz w:val="21"/>
          <w:szCs w:val="24"/>
          <w:rtl/>
        </w:rPr>
        <w:t xml:space="preserve"> </w:t>
      </w:r>
      <w:r w:rsidRPr="007B04E0">
        <w:rPr>
          <w:rFonts w:ascii="Miriam" w:hAnsi="Miriam" w:cs="Miriam" w:hint="eastAsia"/>
          <w:sz w:val="21"/>
          <w:szCs w:val="24"/>
          <w:rtl/>
        </w:rPr>
        <w:t>נ</w:t>
      </w:r>
      <w:r w:rsidRPr="007B04E0">
        <w:rPr>
          <w:rFonts w:ascii="Miriam" w:hAnsi="Miriam" w:cs="Miriam"/>
          <w:sz w:val="21"/>
          <w:szCs w:val="24"/>
          <w:rtl/>
        </w:rPr>
        <w:t xml:space="preserve">' </w:t>
      </w:r>
      <w:r w:rsidRPr="007B04E0">
        <w:rPr>
          <w:rFonts w:ascii="Miriam" w:hAnsi="Miriam" w:cs="Miriam" w:hint="eastAsia"/>
          <w:sz w:val="21"/>
          <w:szCs w:val="24"/>
          <w:rtl/>
        </w:rPr>
        <w:t>ראש</w:t>
      </w:r>
      <w:r w:rsidRPr="007B04E0">
        <w:rPr>
          <w:rFonts w:ascii="Miriam" w:hAnsi="Miriam" w:cs="Miriam"/>
          <w:sz w:val="21"/>
          <w:szCs w:val="24"/>
          <w:rtl/>
        </w:rPr>
        <w:t xml:space="preserve"> </w:t>
      </w:r>
      <w:r w:rsidRPr="007B04E0">
        <w:rPr>
          <w:rFonts w:ascii="Miriam" w:hAnsi="Miriam" w:cs="Miriam" w:hint="eastAsia"/>
          <w:sz w:val="21"/>
          <w:szCs w:val="24"/>
          <w:rtl/>
        </w:rPr>
        <w:t>ממשלת</w:t>
      </w:r>
      <w:r w:rsidRPr="007B04E0">
        <w:rPr>
          <w:rFonts w:ascii="Miriam" w:hAnsi="Miriam" w:cs="Miriam"/>
          <w:sz w:val="21"/>
          <w:szCs w:val="24"/>
          <w:rtl/>
        </w:rPr>
        <w:t xml:space="preserve"> </w:t>
      </w:r>
      <w:r w:rsidRPr="007B04E0">
        <w:rPr>
          <w:rFonts w:ascii="Miriam" w:hAnsi="Miriam" w:cs="Miriam" w:hint="eastAsia"/>
          <w:sz w:val="21"/>
          <w:szCs w:val="24"/>
          <w:rtl/>
        </w:rPr>
        <w:t>ישראל</w:t>
      </w:r>
      <w:r w:rsidRPr="007B04E0">
        <w:rPr>
          <w:rFonts w:ascii="Century" w:hAnsi="Century" w:hint="cs"/>
          <w:sz w:val="22"/>
          <w:rtl/>
        </w:rPr>
        <w:t xml:space="preserve">, פסקה 21 (10.11.2015); </w:t>
      </w:r>
      <w:r w:rsidRPr="007B04E0">
        <w:rPr>
          <w:rFonts w:ascii="Century" w:hAnsi="Century" w:hint="eastAsia"/>
          <w:sz w:val="22"/>
          <w:rtl/>
        </w:rPr>
        <w:t>בג</w:t>
      </w:r>
      <w:r w:rsidRPr="007B04E0">
        <w:rPr>
          <w:rFonts w:ascii="Century" w:hAnsi="Century"/>
          <w:sz w:val="22"/>
          <w:rtl/>
        </w:rPr>
        <w:t>"</w:t>
      </w:r>
      <w:r w:rsidRPr="007B04E0">
        <w:rPr>
          <w:rFonts w:ascii="Century" w:hAnsi="Century" w:hint="eastAsia"/>
          <w:sz w:val="22"/>
          <w:rtl/>
        </w:rPr>
        <w:t>ץ</w:t>
      </w:r>
      <w:r w:rsidRPr="007B04E0">
        <w:rPr>
          <w:rFonts w:ascii="Century" w:hAnsi="Century"/>
          <w:sz w:val="22"/>
          <w:rtl/>
        </w:rPr>
        <w:t xml:space="preserve"> 1400/06 </w:t>
      </w:r>
      <w:r w:rsidRPr="007B04E0">
        <w:rPr>
          <w:rFonts w:ascii="Miriam" w:hAnsi="Miriam" w:cs="Miriam" w:hint="eastAsia"/>
          <w:sz w:val="21"/>
          <w:szCs w:val="24"/>
          <w:rtl/>
        </w:rPr>
        <w:t>התנועה</w:t>
      </w:r>
      <w:r w:rsidRPr="007B04E0">
        <w:rPr>
          <w:rFonts w:ascii="Miriam" w:hAnsi="Miriam" w:cs="Miriam"/>
          <w:sz w:val="21"/>
          <w:szCs w:val="24"/>
          <w:rtl/>
        </w:rPr>
        <w:t xml:space="preserve"> </w:t>
      </w:r>
      <w:r w:rsidRPr="007B04E0">
        <w:rPr>
          <w:rFonts w:ascii="Miriam" w:hAnsi="Miriam" w:cs="Miriam" w:hint="eastAsia"/>
          <w:sz w:val="21"/>
          <w:szCs w:val="24"/>
          <w:rtl/>
        </w:rPr>
        <w:t>למען</w:t>
      </w:r>
      <w:r w:rsidRPr="007B04E0">
        <w:rPr>
          <w:rFonts w:ascii="Miriam" w:hAnsi="Miriam" w:cs="Miriam"/>
          <w:sz w:val="21"/>
          <w:szCs w:val="24"/>
          <w:rtl/>
        </w:rPr>
        <w:t xml:space="preserve"> </w:t>
      </w:r>
      <w:r w:rsidRPr="007B04E0">
        <w:rPr>
          <w:rFonts w:ascii="Miriam" w:hAnsi="Miriam" w:cs="Miriam" w:hint="eastAsia"/>
          <w:sz w:val="21"/>
          <w:szCs w:val="24"/>
          <w:rtl/>
        </w:rPr>
        <w:t>איכות</w:t>
      </w:r>
      <w:r w:rsidRPr="007B04E0">
        <w:rPr>
          <w:rFonts w:ascii="Miriam" w:hAnsi="Miriam" w:cs="Miriam"/>
          <w:sz w:val="21"/>
          <w:szCs w:val="24"/>
          <w:rtl/>
        </w:rPr>
        <w:t xml:space="preserve"> </w:t>
      </w:r>
      <w:r w:rsidRPr="007B04E0">
        <w:rPr>
          <w:rFonts w:ascii="Miriam" w:hAnsi="Miriam" w:cs="Miriam" w:hint="eastAsia"/>
          <w:sz w:val="21"/>
          <w:szCs w:val="24"/>
          <w:rtl/>
        </w:rPr>
        <w:t>השלטון</w:t>
      </w:r>
      <w:r w:rsidRPr="007B04E0">
        <w:rPr>
          <w:rFonts w:ascii="Miriam" w:hAnsi="Miriam" w:cs="Miriam"/>
          <w:sz w:val="21"/>
          <w:szCs w:val="24"/>
          <w:rtl/>
        </w:rPr>
        <w:t xml:space="preserve"> </w:t>
      </w:r>
      <w:r w:rsidRPr="007B04E0">
        <w:rPr>
          <w:rFonts w:ascii="Miriam" w:hAnsi="Miriam" w:cs="Miriam" w:hint="eastAsia"/>
          <w:sz w:val="21"/>
          <w:szCs w:val="24"/>
          <w:rtl/>
        </w:rPr>
        <w:t>נ</w:t>
      </w:r>
      <w:r w:rsidRPr="007B04E0">
        <w:rPr>
          <w:rFonts w:ascii="Miriam" w:hAnsi="Miriam" w:cs="Miriam"/>
          <w:sz w:val="21"/>
          <w:szCs w:val="24"/>
          <w:rtl/>
        </w:rPr>
        <w:t xml:space="preserve">' </w:t>
      </w:r>
      <w:r w:rsidRPr="007B04E0">
        <w:rPr>
          <w:rFonts w:ascii="Miriam" w:hAnsi="Miriam" w:cs="Miriam" w:hint="eastAsia"/>
          <w:sz w:val="21"/>
          <w:szCs w:val="24"/>
          <w:rtl/>
        </w:rPr>
        <w:t>ממלא</w:t>
      </w:r>
      <w:r w:rsidRPr="007B04E0">
        <w:rPr>
          <w:rFonts w:ascii="Miriam" w:hAnsi="Miriam" w:cs="Miriam"/>
          <w:sz w:val="21"/>
          <w:szCs w:val="24"/>
          <w:rtl/>
        </w:rPr>
        <w:t xml:space="preserve"> </w:t>
      </w:r>
      <w:r w:rsidRPr="007B04E0">
        <w:rPr>
          <w:rFonts w:ascii="Miriam" w:hAnsi="Miriam" w:cs="Miriam" w:hint="eastAsia"/>
          <w:sz w:val="21"/>
          <w:szCs w:val="24"/>
          <w:rtl/>
        </w:rPr>
        <w:t>מקום</w:t>
      </w:r>
      <w:r w:rsidRPr="007B04E0">
        <w:rPr>
          <w:rFonts w:ascii="Miriam" w:hAnsi="Miriam" w:cs="Miriam"/>
          <w:sz w:val="21"/>
          <w:szCs w:val="24"/>
          <w:rtl/>
        </w:rPr>
        <w:t xml:space="preserve"> </w:t>
      </w:r>
      <w:r w:rsidRPr="007B04E0">
        <w:rPr>
          <w:rFonts w:ascii="Miriam" w:hAnsi="Miriam" w:cs="Miriam" w:hint="eastAsia"/>
          <w:sz w:val="21"/>
          <w:szCs w:val="24"/>
          <w:rtl/>
        </w:rPr>
        <w:t>ראש</w:t>
      </w:r>
      <w:r w:rsidRPr="007B04E0">
        <w:rPr>
          <w:rFonts w:ascii="Miriam" w:hAnsi="Miriam" w:cs="Miriam"/>
          <w:sz w:val="21"/>
          <w:szCs w:val="24"/>
          <w:rtl/>
        </w:rPr>
        <w:t xml:space="preserve"> </w:t>
      </w:r>
      <w:r w:rsidRPr="007B04E0">
        <w:rPr>
          <w:rFonts w:ascii="Miriam" w:hAnsi="Miriam" w:cs="Miriam" w:hint="eastAsia"/>
          <w:sz w:val="21"/>
          <w:szCs w:val="24"/>
          <w:rtl/>
        </w:rPr>
        <w:t>הממשלה</w:t>
      </w:r>
      <w:r w:rsidRPr="007B04E0">
        <w:rPr>
          <w:rFonts w:ascii="Century" w:hAnsi="Century"/>
          <w:sz w:val="22"/>
          <w:rtl/>
        </w:rPr>
        <w:t xml:space="preserve">, </w:t>
      </w:r>
      <w:r w:rsidRPr="007B04E0">
        <w:rPr>
          <w:rFonts w:ascii="Century" w:hAnsi="Century" w:hint="eastAsia"/>
          <w:sz w:val="22"/>
          <w:rtl/>
        </w:rPr>
        <w:t>פסקאות</w:t>
      </w:r>
      <w:r w:rsidRPr="007B04E0">
        <w:rPr>
          <w:rFonts w:ascii="Century" w:hAnsi="Century"/>
          <w:sz w:val="22"/>
          <w:rtl/>
        </w:rPr>
        <w:t xml:space="preserve"> 8-7 (6.3.2006)</w:t>
      </w:r>
      <w:r w:rsidRPr="007B04E0">
        <w:rPr>
          <w:rFonts w:ascii="Century" w:hAnsi="Century" w:hint="cs"/>
          <w:sz w:val="22"/>
          <w:rtl/>
        </w:rPr>
        <w:t xml:space="preserve">; עניין </w:t>
      </w:r>
      <w:r w:rsidRPr="007B04E0">
        <w:rPr>
          <w:rFonts w:ascii="Century" w:hAnsi="Century" w:cs="Miriam" w:hint="cs"/>
          <w:b/>
          <w:spacing w:val="0"/>
          <w:sz w:val="22"/>
          <w:szCs w:val="24"/>
          <w:rtl/>
        </w:rPr>
        <w:t>הטלת המנדט</w:t>
      </w:r>
      <w:r w:rsidRPr="007B04E0">
        <w:rPr>
          <w:rFonts w:ascii="Century" w:hAnsi="Century" w:hint="cs"/>
          <w:sz w:val="22"/>
          <w:rtl/>
        </w:rPr>
        <w:t>, בפסקה 9 לחוות דעתי ובפסקה 6 לחוות דעתו של השופט</w:t>
      </w:r>
      <w:r w:rsidRPr="007B04E0">
        <w:rPr>
          <w:rFonts w:ascii="Miriam" w:hAnsi="Miriam" w:cs="Miriam"/>
          <w:sz w:val="21"/>
          <w:szCs w:val="24"/>
          <w:rtl/>
        </w:rPr>
        <w:t xml:space="preserve"> </w:t>
      </w:r>
      <w:r w:rsidRPr="007B04E0">
        <w:rPr>
          <w:rFonts w:ascii="Miriam" w:hAnsi="Miriam" w:cs="Miriam" w:hint="eastAsia"/>
          <w:sz w:val="21"/>
          <w:szCs w:val="24"/>
          <w:rtl/>
        </w:rPr>
        <w:t>עמית</w:t>
      </w:r>
      <w:r w:rsidRPr="007B04E0">
        <w:rPr>
          <w:rFonts w:ascii="Century" w:hAnsi="Century" w:hint="cs"/>
          <w:sz w:val="22"/>
          <w:rtl/>
        </w:rPr>
        <w:t xml:space="preserve"> בפסק הדין המשלים מיום 27.5.2020). </w:t>
      </w:r>
    </w:p>
    <w:p w14:paraId="0CAA06B7" w14:textId="77777777" w:rsidR="0040186B" w:rsidRPr="007B04E0" w:rsidRDefault="0040186B" w:rsidP="00C634DC">
      <w:pPr>
        <w:pStyle w:val="Ruller41"/>
      </w:pPr>
    </w:p>
    <w:p w14:paraId="71D05512" w14:textId="77777777" w:rsidR="0040186B" w:rsidRPr="007B04E0" w:rsidRDefault="0040186B" w:rsidP="003F55B1">
      <w:pPr>
        <w:pStyle w:val="Ruller4"/>
        <w:tabs>
          <w:tab w:val="clear" w:pos="907"/>
        </w:tabs>
      </w:pPr>
      <w:r w:rsidRPr="007B04E0">
        <w:rPr>
          <w:rFonts w:hint="cs"/>
          <w:rtl/>
        </w:rPr>
        <w:t xml:space="preserve">כפי שצוין בפתח הדברים, </w:t>
      </w:r>
      <w:r w:rsidR="003F55B1">
        <w:rPr>
          <w:rFonts w:hint="cs"/>
          <w:rtl/>
        </w:rPr>
        <w:t xml:space="preserve">בשנים האחרונות דן </w:t>
      </w:r>
      <w:r w:rsidRPr="007B04E0">
        <w:rPr>
          <w:rFonts w:hint="cs"/>
          <w:rtl/>
        </w:rPr>
        <w:t xml:space="preserve">בית משפט זה בסבירות מינויו של דרעי לשר בממשלה בשני הליכים </w:t>
      </w:r>
      <w:r>
        <w:rPr>
          <w:rFonts w:hint="cs"/>
          <w:rtl/>
        </w:rPr>
        <w:t>קודמים</w:t>
      </w:r>
      <w:r w:rsidRPr="007B04E0">
        <w:rPr>
          <w:rFonts w:hint="cs"/>
          <w:rtl/>
        </w:rPr>
        <w:t xml:space="preserve">. </w:t>
      </w:r>
      <w:r w:rsidRPr="007B04E0">
        <w:rPr>
          <w:rFonts w:ascii="Century" w:hAnsi="Century" w:hint="eastAsia"/>
          <w:sz w:val="22"/>
          <w:rtl/>
        </w:rPr>
        <w:t>בעניין</w:t>
      </w:r>
      <w:r w:rsidRPr="007B04E0">
        <w:rPr>
          <w:rFonts w:ascii="Century" w:hAnsi="Century" w:cs="Miriam" w:hint="cs"/>
          <w:b/>
          <w:spacing w:val="0"/>
          <w:sz w:val="22"/>
          <w:szCs w:val="24"/>
          <w:rtl/>
        </w:rPr>
        <w:t xml:space="preserve"> דרעי השני</w:t>
      </w:r>
      <w:r w:rsidRPr="007B04E0">
        <w:rPr>
          <w:rFonts w:hint="cs"/>
          <w:rtl/>
        </w:rPr>
        <w:t xml:space="preserve"> נתקף מינויו לשר הכלכלה ופיתוח הנגב והגליל בממשלה ה-34 </w:t>
      </w:r>
      <w:r w:rsidRPr="007B04E0">
        <w:rPr>
          <w:rtl/>
        </w:rPr>
        <w:t>–</w:t>
      </w:r>
      <w:r w:rsidRPr="007B04E0">
        <w:rPr>
          <w:rFonts w:hint="cs"/>
          <w:rtl/>
        </w:rPr>
        <w:t xml:space="preserve"> מינוי אשר זכה לאישור הכנסת במסגרת הבעת </w:t>
      </w:r>
      <w:r>
        <w:rPr>
          <w:rFonts w:hint="cs"/>
          <w:rtl/>
        </w:rPr>
        <w:t>אמונה</w:t>
      </w:r>
      <w:r w:rsidRPr="007B04E0">
        <w:rPr>
          <w:rFonts w:hint="cs"/>
          <w:rtl/>
        </w:rPr>
        <w:t xml:space="preserve"> בממשלה כולה. באותו עניין ציינתי כי העבירות שבגינן הורשע דרעי ב"תיק האישי" </w:t>
      </w:r>
      <w:proofErr w:type="spellStart"/>
      <w:r w:rsidRPr="007B04E0">
        <w:rPr>
          <w:rFonts w:hint="cs"/>
          <w:rtl/>
        </w:rPr>
        <w:t>וב"תיק</w:t>
      </w:r>
      <w:proofErr w:type="spellEnd"/>
      <w:r w:rsidRPr="007B04E0">
        <w:rPr>
          <w:rFonts w:hint="cs"/>
          <w:rtl/>
        </w:rPr>
        <w:t xml:space="preserve"> הציבורי" הן "עבירות מובהקות של שחיתות שלטונית המטילות על איש הציבור החוטא בהן כתם מוסרי כבד", ואליהן מצטרפים החשדות שהועלו נגדו בפרשת "בראון-חברון" ולא הופרכו, ומשכך יש לראות בהן משום ראיות מנהליות לחובתו. עם זאת, קבעתי</w:t>
      </w:r>
      <w:r>
        <w:rPr>
          <w:rFonts w:hint="cs"/>
          <w:rtl/>
        </w:rPr>
        <w:t xml:space="preserve"> שם</w:t>
      </w:r>
      <w:r w:rsidRPr="007B04E0">
        <w:rPr>
          <w:rFonts w:hint="cs"/>
          <w:rtl/>
        </w:rPr>
        <w:t xml:space="preserve"> כי יש ליתן משקל לפרק הזמן שחלף מאז סיים דרעי לרצות את עונש המאסר </w:t>
      </w:r>
      <w:r w:rsidRPr="007B04E0">
        <w:rPr>
          <w:rtl/>
        </w:rPr>
        <w:t>–</w:t>
      </w:r>
      <w:r w:rsidRPr="007B04E0">
        <w:rPr>
          <w:rFonts w:hint="cs"/>
          <w:rtl/>
        </w:rPr>
        <w:t xml:space="preserve"> שהוא כמעט כפול מפרק הזמן בן שבע השנים שקבע המחוקק בסעיף 6(ג) לחוק-יסוד: הממשלה כמגבלת כשירות בהקשר זה; וכן לפרק הזמן שחלף מאז ביצוע המעשים עצמם, שהוא </w:t>
      </w:r>
      <w:r>
        <w:rPr>
          <w:rFonts w:hint="cs"/>
          <w:rtl/>
        </w:rPr>
        <w:t>משמעותי אף</w:t>
      </w:r>
      <w:r w:rsidRPr="007B04E0">
        <w:rPr>
          <w:rFonts w:hint="cs"/>
          <w:rtl/>
        </w:rPr>
        <w:t xml:space="preserve"> יותר. עוד צוין כי</w:t>
      </w:r>
      <w:r>
        <w:rPr>
          <w:rFonts w:hint="cs"/>
          <w:rtl/>
        </w:rPr>
        <w:t xml:space="preserve"> יש ליתן משקל ל</w:t>
      </w:r>
      <w:r w:rsidRPr="007B04E0">
        <w:rPr>
          <w:rFonts w:hint="cs"/>
          <w:rtl/>
        </w:rPr>
        <w:t>עובדה ש</w:t>
      </w:r>
      <w:r>
        <w:rPr>
          <w:rFonts w:hint="cs"/>
          <w:rtl/>
        </w:rPr>
        <w:t xml:space="preserve">מינוי </w:t>
      </w:r>
      <w:r>
        <w:rPr>
          <w:rFonts w:hint="cs"/>
          <w:rtl/>
        </w:rPr>
        <w:lastRenderedPageBreak/>
        <w:t>דרעי</w:t>
      </w:r>
      <w:r w:rsidRPr="007B04E0">
        <w:rPr>
          <w:rFonts w:hint="cs"/>
          <w:rtl/>
        </w:rPr>
        <w:t xml:space="preserve"> לתפקיד שר קיבל </w:t>
      </w:r>
      <w:r>
        <w:rPr>
          <w:rFonts w:hint="cs"/>
          <w:rtl/>
        </w:rPr>
        <w:t>"</w:t>
      </w:r>
      <w:r w:rsidRPr="007B04E0">
        <w:rPr>
          <w:rFonts w:hint="cs"/>
          <w:rtl/>
        </w:rPr>
        <w:t>גושפנקה פרלמנטרית עם הבעת האמון של הכנסת בממשלה</w:t>
      </w:r>
      <w:r>
        <w:rPr>
          <w:rFonts w:hint="cs"/>
          <w:rtl/>
        </w:rPr>
        <w:t>"</w:t>
      </w:r>
      <w:r w:rsidRPr="007B04E0">
        <w:rPr>
          <w:rFonts w:hint="cs"/>
          <w:rtl/>
        </w:rPr>
        <w:t xml:space="preserve"> (</w:t>
      </w:r>
      <w:r w:rsidRPr="007B04E0">
        <w:rPr>
          <w:rFonts w:ascii="Century" w:hAnsi="Century" w:cs="Miriam" w:hint="cs"/>
          <w:b/>
          <w:spacing w:val="0"/>
          <w:sz w:val="22"/>
          <w:szCs w:val="24"/>
          <w:rtl/>
        </w:rPr>
        <w:t>שם</w:t>
      </w:r>
      <w:r w:rsidRPr="007B04E0">
        <w:rPr>
          <w:rFonts w:hint="cs"/>
          <w:rtl/>
        </w:rPr>
        <w:t>, בפסקה 22). בסופו של יום נקבע כי "מינויו של דרעי לתפקיד שר מצוי על גבול מתחם הסבירות, אך בהינתן מכלול השיקולים שעליהם עמדנו בפירוט לעיל ובהינתן שיקול הדעת הרחב המסור לראש הממשלה בעניינים אלה, לא מצאנו עילה להתערב בו" (</w:t>
      </w:r>
      <w:r w:rsidRPr="007B04E0">
        <w:rPr>
          <w:rFonts w:ascii="Century" w:hAnsi="Century" w:cs="Miriam" w:hint="cs"/>
          <w:b/>
          <w:spacing w:val="0"/>
          <w:sz w:val="22"/>
          <w:szCs w:val="24"/>
          <w:rtl/>
        </w:rPr>
        <w:t>שם</w:t>
      </w:r>
      <w:r w:rsidRPr="007B04E0">
        <w:rPr>
          <w:rFonts w:hint="cs"/>
          <w:rtl/>
        </w:rPr>
        <w:t>, בפסקה 23).</w:t>
      </w:r>
    </w:p>
    <w:p w14:paraId="605C9563" w14:textId="77777777" w:rsidR="0040186B" w:rsidRPr="007B04E0" w:rsidRDefault="0040186B" w:rsidP="00C634DC">
      <w:pPr>
        <w:pStyle w:val="Ruller4"/>
        <w:numPr>
          <w:ilvl w:val="0"/>
          <w:numId w:val="0"/>
        </w:numPr>
      </w:pPr>
    </w:p>
    <w:p w14:paraId="5ADBEEEC" w14:textId="77777777" w:rsidR="0040186B" w:rsidRPr="007B04E0" w:rsidRDefault="0040186B" w:rsidP="005D07D4">
      <w:pPr>
        <w:pStyle w:val="Ruller4"/>
        <w:tabs>
          <w:tab w:val="clear" w:pos="907"/>
        </w:tabs>
        <w:rPr>
          <w:color w:val="000000"/>
          <w:sz w:val="27"/>
          <w:szCs w:val="27"/>
          <w:rtl/>
        </w:rPr>
      </w:pPr>
      <w:r w:rsidRPr="007B04E0">
        <w:rPr>
          <w:rFonts w:hint="cs"/>
          <w:rtl/>
        </w:rPr>
        <w:t xml:space="preserve">העתירה </w:t>
      </w:r>
      <w:r w:rsidRPr="007B04E0">
        <w:rPr>
          <w:rFonts w:hint="eastAsia"/>
          <w:rtl/>
        </w:rPr>
        <w:t>ב</w:t>
      </w:r>
      <w:r w:rsidRPr="007B04E0">
        <w:rPr>
          <w:rFonts w:ascii="Century" w:hAnsi="Century" w:hint="eastAsia"/>
          <w:sz w:val="22"/>
          <w:rtl/>
        </w:rPr>
        <w:t>עניין</w:t>
      </w:r>
      <w:r w:rsidRPr="007B04E0">
        <w:rPr>
          <w:rFonts w:ascii="Century" w:hAnsi="Century" w:cs="Miriam" w:hint="cs"/>
          <w:b/>
          <w:spacing w:val="0"/>
          <w:sz w:val="22"/>
          <w:szCs w:val="24"/>
          <w:rtl/>
        </w:rPr>
        <w:t xml:space="preserve"> דרעי השלישי</w:t>
      </w:r>
      <w:r w:rsidRPr="007B04E0">
        <w:rPr>
          <w:rFonts w:hint="cs"/>
          <w:rtl/>
        </w:rPr>
        <w:t xml:space="preserve"> הוגשה בעקבות מינויו של דרעי לתפקיד שר הפנים </w:t>
      </w:r>
      <w:r w:rsidRPr="007B04E0">
        <w:rPr>
          <w:rtl/>
        </w:rPr>
        <w:t>–</w:t>
      </w:r>
      <w:r w:rsidRPr="007B04E0">
        <w:rPr>
          <w:rFonts w:hint="cs"/>
          <w:rtl/>
        </w:rPr>
        <w:t xml:space="preserve"> מינוי שאושר על ידי הכנסת באופן פרטני. השופט </w:t>
      </w:r>
      <w:r w:rsidRPr="007B04E0">
        <w:rPr>
          <w:rFonts w:ascii="Century" w:hAnsi="Century" w:cs="Miriam" w:hint="cs"/>
          <w:b/>
          <w:spacing w:val="0"/>
          <w:sz w:val="22"/>
          <w:szCs w:val="24"/>
          <w:rtl/>
        </w:rPr>
        <w:t>ג'ובראן</w:t>
      </w:r>
      <w:r w:rsidRPr="007B04E0">
        <w:rPr>
          <w:rFonts w:hint="cs"/>
          <w:rtl/>
        </w:rPr>
        <w:t xml:space="preserve"> (בהסכמת השופט </w:t>
      </w:r>
      <w:r w:rsidRPr="007B04E0">
        <w:rPr>
          <w:rFonts w:ascii="Century" w:hAnsi="Century" w:cs="Miriam" w:hint="cs"/>
          <w:b/>
          <w:spacing w:val="0"/>
          <w:sz w:val="22"/>
          <w:szCs w:val="24"/>
          <w:rtl/>
        </w:rPr>
        <w:t>דנציגר</w:t>
      </w:r>
      <w:r w:rsidRPr="007B04E0">
        <w:rPr>
          <w:rFonts w:hint="cs"/>
          <w:rtl/>
        </w:rPr>
        <w:t xml:space="preserve">) הבהיר כי לנוכח קביעת בית המשפט בעניין </w:t>
      </w:r>
      <w:r w:rsidRPr="007B04E0">
        <w:rPr>
          <w:rFonts w:ascii="Century" w:hAnsi="Century" w:cs="Miriam" w:hint="cs"/>
          <w:b/>
          <w:spacing w:val="0"/>
          <w:sz w:val="22"/>
          <w:szCs w:val="24"/>
          <w:rtl/>
        </w:rPr>
        <w:t>דרעי השני</w:t>
      </w:r>
      <w:r w:rsidRPr="007B04E0">
        <w:rPr>
          <w:rFonts w:hint="cs"/>
          <w:rtl/>
        </w:rPr>
        <w:t>, השאלה הנשאלת היא האם העובדה שדרעי מונה לתפקיד שר הפנים, משנה מן התוצאה שנקבע</w:t>
      </w:r>
      <w:r>
        <w:rPr>
          <w:rFonts w:hint="cs"/>
          <w:rtl/>
        </w:rPr>
        <w:t>ה</w:t>
      </w:r>
      <w:r w:rsidRPr="007B04E0">
        <w:rPr>
          <w:rFonts w:hint="cs"/>
          <w:rtl/>
        </w:rPr>
        <w:t xml:space="preserve"> באותו עניין. </w:t>
      </w:r>
      <w:r w:rsidRPr="007B04E0">
        <w:rPr>
          <w:rFonts w:ascii="Century" w:hAnsi="Century"/>
          <w:sz w:val="22"/>
          <w:rtl/>
        </w:rPr>
        <w:t xml:space="preserve">השופט </w:t>
      </w:r>
      <w:r w:rsidRPr="007B04E0">
        <w:rPr>
          <w:rFonts w:ascii="Century" w:hAnsi="Century" w:cs="Miriam"/>
          <w:b/>
          <w:spacing w:val="0"/>
          <w:sz w:val="22"/>
          <w:szCs w:val="24"/>
          <w:rtl/>
        </w:rPr>
        <w:t>ג'ובראן</w:t>
      </w:r>
      <w:r w:rsidRPr="007B04E0">
        <w:rPr>
          <w:rFonts w:ascii="Century" w:hAnsi="Century"/>
          <w:sz w:val="22"/>
          <w:rtl/>
        </w:rPr>
        <w:t xml:space="preserve"> </w:t>
      </w:r>
      <w:r w:rsidRPr="007B04E0">
        <w:rPr>
          <w:rFonts w:ascii="Century" w:hAnsi="Century" w:hint="cs"/>
          <w:sz w:val="22"/>
          <w:rtl/>
        </w:rPr>
        <w:t xml:space="preserve">קבע כי </w:t>
      </w:r>
      <w:r w:rsidRPr="007B04E0">
        <w:rPr>
          <w:rFonts w:ascii="Century" w:hAnsi="Century"/>
          <w:sz w:val="22"/>
          <w:rtl/>
        </w:rPr>
        <w:t xml:space="preserve">המעשים המיוחסים לדרעי אינם מבססים זיקה ישירה ומהותית לתפקיד שר הפנים, </w:t>
      </w:r>
      <w:r w:rsidRPr="007B04E0">
        <w:rPr>
          <w:rFonts w:ascii="Century" w:hAnsi="Century" w:hint="cs"/>
          <w:sz w:val="22"/>
          <w:rtl/>
        </w:rPr>
        <w:t xml:space="preserve">וכי </w:t>
      </w:r>
      <w:r w:rsidRPr="007B04E0">
        <w:rPr>
          <w:rFonts w:ascii="Century" w:hAnsi="Century"/>
          <w:sz w:val="22"/>
          <w:rtl/>
        </w:rPr>
        <w:t xml:space="preserve">העבירות </w:t>
      </w:r>
      <w:r w:rsidRPr="007B04E0">
        <w:rPr>
          <w:rFonts w:ascii="Century" w:hAnsi="Century" w:hint="cs"/>
          <w:sz w:val="22"/>
          <w:rtl/>
        </w:rPr>
        <w:t>ש</w:t>
      </w:r>
      <w:r w:rsidRPr="007B04E0">
        <w:rPr>
          <w:rFonts w:ascii="Century" w:hAnsi="Century"/>
          <w:sz w:val="22"/>
          <w:rtl/>
        </w:rPr>
        <w:t xml:space="preserve">בהן הורשע דרעי אינן ייחודיות לתפקיד שר הפנים, ולא נעברו </w:t>
      </w:r>
      <w:r w:rsidRPr="007B04E0">
        <w:rPr>
          <w:rFonts w:ascii="Century" w:hAnsi="Century" w:hint="cs"/>
          <w:sz w:val="22"/>
          <w:rtl/>
        </w:rPr>
        <w:t>באופן שאינו אפשרי</w:t>
      </w:r>
      <w:r w:rsidRPr="007B04E0">
        <w:rPr>
          <w:rFonts w:ascii="Century" w:hAnsi="Century"/>
          <w:sz w:val="22"/>
          <w:rtl/>
        </w:rPr>
        <w:t xml:space="preserve"> במסגרת תפקיד בכיר במשרד אחר.</w:t>
      </w:r>
      <w:r w:rsidRPr="007B04E0">
        <w:rPr>
          <w:rFonts w:hint="cs"/>
          <w:rtl/>
        </w:rPr>
        <w:t xml:space="preserve"> כן נדחתה הטענה כי </w:t>
      </w:r>
      <w:r w:rsidRPr="007B04E0">
        <w:rPr>
          <w:rFonts w:hint="eastAsia"/>
          <w:rtl/>
        </w:rPr>
        <w:t>תפקידו</w:t>
      </w:r>
      <w:r w:rsidRPr="007B04E0">
        <w:rPr>
          <w:rtl/>
        </w:rPr>
        <w:t xml:space="preserve"> </w:t>
      </w:r>
      <w:r w:rsidRPr="007B04E0">
        <w:rPr>
          <w:rFonts w:hint="eastAsia"/>
          <w:rtl/>
        </w:rPr>
        <w:t>של</w:t>
      </w:r>
      <w:r w:rsidRPr="007B04E0">
        <w:rPr>
          <w:rtl/>
        </w:rPr>
        <w:t xml:space="preserve"> </w:t>
      </w:r>
      <w:r w:rsidRPr="007B04E0">
        <w:rPr>
          <w:rFonts w:hint="eastAsia"/>
          <w:rtl/>
        </w:rPr>
        <w:t>שר</w:t>
      </w:r>
      <w:r w:rsidRPr="007B04E0">
        <w:rPr>
          <w:rtl/>
        </w:rPr>
        <w:t xml:space="preserve"> </w:t>
      </w:r>
      <w:r w:rsidRPr="007B04E0">
        <w:rPr>
          <w:rFonts w:hint="eastAsia"/>
          <w:rtl/>
        </w:rPr>
        <w:t>הפנים</w:t>
      </w:r>
      <w:r w:rsidRPr="007B04E0">
        <w:rPr>
          <w:rtl/>
        </w:rPr>
        <w:t xml:space="preserve"> </w:t>
      </w:r>
      <w:r w:rsidRPr="007B04E0">
        <w:rPr>
          <w:rFonts w:hint="eastAsia"/>
          <w:rtl/>
        </w:rPr>
        <w:t>מחייב</w:t>
      </w:r>
      <w:r w:rsidRPr="007B04E0">
        <w:rPr>
          <w:rtl/>
        </w:rPr>
        <w:t xml:space="preserve"> </w:t>
      </w:r>
      <w:r w:rsidRPr="007B04E0">
        <w:rPr>
          <w:rFonts w:hint="eastAsia"/>
          <w:rtl/>
        </w:rPr>
        <w:t>טוהר</w:t>
      </w:r>
      <w:r w:rsidRPr="007B04E0">
        <w:rPr>
          <w:rtl/>
        </w:rPr>
        <w:t xml:space="preserve"> </w:t>
      </w:r>
      <w:r w:rsidRPr="007B04E0">
        <w:rPr>
          <w:rFonts w:hint="eastAsia"/>
          <w:rtl/>
        </w:rPr>
        <w:t>מידות</w:t>
      </w:r>
      <w:r w:rsidRPr="007B04E0">
        <w:rPr>
          <w:rtl/>
        </w:rPr>
        <w:t xml:space="preserve"> "</w:t>
      </w:r>
      <w:r w:rsidRPr="007B04E0">
        <w:rPr>
          <w:rFonts w:hint="eastAsia"/>
          <w:rtl/>
        </w:rPr>
        <w:t>מיוחד</w:t>
      </w:r>
      <w:r w:rsidRPr="007B04E0">
        <w:rPr>
          <w:rtl/>
        </w:rPr>
        <w:t xml:space="preserve">", </w:t>
      </w:r>
      <w:r w:rsidRPr="007B04E0">
        <w:rPr>
          <w:rFonts w:hint="cs"/>
          <w:rtl/>
        </w:rPr>
        <w:t xml:space="preserve">ונקבע כי </w:t>
      </w:r>
      <w:r w:rsidRPr="007B04E0">
        <w:rPr>
          <w:rFonts w:hint="eastAsia"/>
          <w:rtl/>
        </w:rPr>
        <w:t>אין</w:t>
      </w:r>
      <w:r w:rsidRPr="007B04E0">
        <w:rPr>
          <w:rtl/>
        </w:rPr>
        <w:t xml:space="preserve"> </w:t>
      </w:r>
      <w:r w:rsidRPr="007B04E0">
        <w:rPr>
          <w:rFonts w:hint="eastAsia"/>
          <w:rtl/>
        </w:rPr>
        <w:t>מקום</w:t>
      </w:r>
      <w:r w:rsidRPr="007B04E0">
        <w:rPr>
          <w:rtl/>
        </w:rPr>
        <w:t xml:space="preserve"> </w:t>
      </w:r>
      <w:r w:rsidRPr="007B04E0">
        <w:rPr>
          <w:rFonts w:hint="eastAsia"/>
          <w:rtl/>
        </w:rPr>
        <w:t>לקביעתם</w:t>
      </w:r>
      <w:r w:rsidRPr="007B04E0">
        <w:rPr>
          <w:rtl/>
        </w:rPr>
        <w:t xml:space="preserve"> </w:t>
      </w:r>
      <w:r w:rsidRPr="007B04E0">
        <w:rPr>
          <w:rFonts w:hint="eastAsia"/>
          <w:rtl/>
        </w:rPr>
        <w:t>של</w:t>
      </w:r>
      <w:r w:rsidRPr="007B04E0">
        <w:rPr>
          <w:rtl/>
        </w:rPr>
        <w:t xml:space="preserve"> </w:t>
      </w:r>
      <w:r w:rsidRPr="007B04E0">
        <w:rPr>
          <w:rFonts w:hint="eastAsia"/>
          <w:rtl/>
        </w:rPr>
        <w:t>תנאי</w:t>
      </w:r>
      <w:r w:rsidRPr="007B04E0">
        <w:rPr>
          <w:rtl/>
        </w:rPr>
        <w:t xml:space="preserve"> </w:t>
      </w:r>
      <w:r w:rsidRPr="007B04E0">
        <w:rPr>
          <w:rFonts w:hint="eastAsia"/>
          <w:rtl/>
        </w:rPr>
        <w:t>כשירות</w:t>
      </w:r>
      <w:r w:rsidRPr="007B04E0">
        <w:rPr>
          <w:rtl/>
        </w:rPr>
        <w:t xml:space="preserve"> </w:t>
      </w:r>
      <w:r w:rsidRPr="007B04E0">
        <w:rPr>
          <w:rFonts w:hint="eastAsia"/>
          <w:rtl/>
        </w:rPr>
        <w:t>שונים</w:t>
      </w:r>
      <w:r w:rsidRPr="007B04E0">
        <w:rPr>
          <w:rtl/>
        </w:rPr>
        <w:t xml:space="preserve"> </w:t>
      </w:r>
      <w:r w:rsidRPr="007B04E0">
        <w:rPr>
          <w:rFonts w:hint="eastAsia"/>
          <w:rtl/>
        </w:rPr>
        <w:t>למשרדי</w:t>
      </w:r>
      <w:r w:rsidRPr="007B04E0">
        <w:rPr>
          <w:rtl/>
        </w:rPr>
        <w:t xml:space="preserve"> </w:t>
      </w:r>
      <w:r w:rsidRPr="007B04E0">
        <w:rPr>
          <w:rFonts w:hint="eastAsia"/>
          <w:rtl/>
        </w:rPr>
        <w:t>ממשלה</w:t>
      </w:r>
      <w:r w:rsidRPr="007B04E0">
        <w:rPr>
          <w:rtl/>
        </w:rPr>
        <w:t xml:space="preserve"> </w:t>
      </w:r>
      <w:r w:rsidRPr="007B04E0">
        <w:rPr>
          <w:rFonts w:hint="eastAsia"/>
          <w:rtl/>
        </w:rPr>
        <w:t>שונים</w:t>
      </w:r>
      <w:r w:rsidRPr="007B04E0">
        <w:rPr>
          <w:rtl/>
        </w:rPr>
        <w:t>.</w:t>
      </w:r>
      <w:r w:rsidRPr="007B04E0">
        <w:rPr>
          <w:rFonts w:hint="cs"/>
          <w:rtl/>
        </w:rPr>
        <w:t xml:space="preserve"> במכלול הדברים נקבע כי "</w:t>
      </w:r>
      <w:r w:rsidRPr="007B04E0">
        <w:rPr>
          <w:rFonts w:ascii="FrankRuehl" w:hAnsi="FrankRuehl"/>
          <w:color w:val="000000"/>
          <w:sz w:val="28"/>
          <w:rtl/>
        </w:rPr>
        <w:t xml:space="preserve">מינויו של דרעי לתפקיד שר הפנים נותר בגדר </w:t>
      </w:r>
      <w:r w:rsidRPr="007B04E0">
        <w:rPr>
          <w:rFonts w:ascii="FrankRuehl" w:hAnsi="FrankRuehl" w:hint="cs"/>
          <w:color w:val="000000"/>
          <w:sz w:val="28"/>
          <w:rtl/>
        </w:rPr>
        <w:t>'</w:t>
      </w:r>
      <w:r w:rsidRPr="007B04E0">
        <w:rPr>
          <w:rFonts w:ascii="FrankRuehl" w:hAnsi="FrankRuehl"/>
          <w:color w:val="000000"/>
          <w:sz w:val="28"/>
          <w:rtl/>
        </w:rPr>
        <w:t>מקרה גבול</w:t>
      </w:r>
      <w:r w:rsidRPr="007B04E0">
        <w:rPr>
          <w:rFonts w:ascii="FrankRuehl" w:hAnsi="FrankRuehl" w:hint="cs"/>
          <w:color w:val="000000"/>
          <w:sz w:val="28"/>
          <w:rtl/>
        </w:rPr>
        <w:t>'</w:t>
      </w:r>
      <w:r w:rsidRPr="007B04E0">
        <w:rPr>
          <w:rFonts w:ascii="FrankRuehl" w:hAnsi="FrankRuehl"/>
          <w:color w:val="000000"/>
          <w:sz w:val="28"/>
          <w:rtl/>
        </w:rPr>
        <w:t>, אשר חרף הקשיים אותם הוא מעורר, הוא אינו מקים עילה משפטית להתערבות בו</w:t>
      </w:r>
      <w:r w:rsidRPr="007B04E0">
        <w:rPr>
          <w:rFonts w:ascii="FrankRuehl" w:hAnsi="FrankRuehl" w:hint="cs"/>
          <w:color w:val="000000"/>
          <w:sz w:val="28"/>
          <w:rtl/>
        </w:rPr>
        <w:t>" (</w:t>
      </w:r>
      <w:r w:rsidRPr="007B04E0">
        <w:rPr>
          <w:rFonts w:ascii="Century" w:hAnsi="Century" w:cs="Miriam" w:hint="cs"/>
          <w:b/>
          <w:spacing w:val="0"/>
          <w:sz w:val="22"/>
          <w:szCs w:val="24"/>
          <w:rtl/>
        </w:rPr>
        <w:t>שם,</w:t>
      </w:r>
      <w:r w:rsidRPr="007B04E0">
        <w:rPr>
          <w:rFonts w:ascii="FrankRuehl" w:hAnsi="FrankRuehl" w:hint="cs"/>
          <w:color w:val="000000"/>
          <w:sz w:val="28"/>
          <w:rtl/>
        </w:rPr>
        <w:t xml:space="preserve"> בפסקה 45 לחוות דעתו של השופט </w:t>
      </w:r>
      <w:r w:rsidRPr="007B04E0">
        <w:rPr>
          <w:rFonts w:ascii="Miriam" w:hAnsi="Miriam" w:cs="Miriam" w:hint="eastAsia"/>
          <w:color w:val="000000"/>
          <w:szCs w:val="24"/>
          <w:rtl/>
        </w:rPr>
        <w:t>ג</w:t>
      </w:r>
      <w:r w:rsidRPr="007B04E0">
        <w:rPr>
          <w:rFonts w:ascii="Miriam" w:hAnsi="Miriam" w:cs="Miriam"/>
          <w:color w:val="000000"/>
          <w:szCs w:val="24"/>
          <w:rtl/>
        </w:rPr>
        <w:t>'ובר</w:t>
      </w:r>
      <w:r w:rsidRPr="007B04E0">
        <w:rPr>
          <w:rFonts w:ascii="Miriam" w:hAnsi="Miriam" w:cs="Miriam" w:hint="eastAsia"/>
          <w:color w:val="000000"/>
          <w:szCs w:val="24"/>
          <w:rtl/>
        </w:rPr>
        <w:t>אן</w:t>
      </w:r>
      <w:r w:rsidRPr="007B04E0">
        <w:rPr>
          <w:rFonts w:ascii="FrankRuehl" w:hAnsi="FrankRuehl" w:hint="cs"/>
          <w:color w:val="000000"/>
          <w:sz w:val="28"/>
          <w:rtl/>
        </w:rPr>
        <w:t>)</w:t>
      </w:r>
      <w:r w:rsidRPr="007B04E0">
        <w:rPr>
          <w:rFonts w:ascii="FrankRuehl" w:hAnsi="FrankRuehl"/>
          <w:color w:val="000000"/>
          <w:sz w:val="28"/>
          <w:rtl/>
        </w:rPr>
        <w:t>.</w:t>
      </w:r>
    </w:p>
    <w:p w14:paraId="4269CC85" w14:textId="77777777" w:rsidR="0040186B" w:rsidRPr="007B04E0" w:rsidRDefault="0040186B" w:rsidP="00C634DC">
      <w:pPr>
        <w:pStyle w:val="ruller410"/>
        <w:bidi/>
        <w:spacing w:before="0" w:beforeAutospacing="0" w:after="0" w:afterAutospacing="0" w:line="320" w:lineRule="atLeast"/>
        <w:jc w:val="both"/>
        <w:rPr>
          <w:rFonts w:ascii="FrankRuehl" w:hAnsi="FrankRuehl" w:cs="FrankRuehl"/>
          <w:color w:val="000000"/>
          <w:sz w:val="26"/>
          <w:szCs w:val="26"/>
          <w:rtl/>
        </w:rPr>
      </w:pPr>
    </w:p>
    <w:p w14:paraId="6FD7DCA9" w14:textId="77777777" w:rsidR="0040186B" w:rsidRPr="007B04E0" w:rsidRDefault="0040186B" w:rsidP="005D07D4">
      <w:pPr>
        <w:pStyle w:val="ruller410"/>
        <w:bidi/>
        <w:spacing w:before="0" w:beforeAutospacing="0" w:after="0" w:afterAutospacing="0" w:line="360" w:lineRule="auto"/>
        <w:ind w:firstLine="720"/>
        <w:jc w:val="both"/>
        <w:rPr>
          <w:rFonts w:ascii="Century" w:hAnsi="Century" w:cs="FrankRuehl"/>
          <w:spacing w:val="10"/>
          <w:sz w:val="22"/>
          <w:szCs w:val="28"/>
          <w:rtl/>
        </w:rPr>
      </w:pPr>
      <w:r w:rsidRPr="007B04E0">
        <w:rPr>
          <w:rFonts w:ascii="Century" w:hAnsi="Century" w:cs="FrankRuehl"/>
          <w:spacing w:val="10"/>
          <w:sz w:val="22"/>
          <w:szCs w:val="28"/>
          <w:rtl/>
        </w:rPr>
        <w:t xml:space="preserve">השופט </w:t>
      </w:r>
      <w:r w:rsidRPr="007B04E0">
        <w:rPr>
          <w:rFonts w:ascii="Century" w:hAnsi="Century" w:cs="Miriam"/>
          <w:b/>
          <w:sz w:val="22"/>
          <w:rtl/>
        </w:rPr>
        <w:t>הנדל</w:t>
      </w:r>
      <w:r w:rsidRPr="007B04E0">
        <w:rPr>
          <w:rFonts w:ascii="Century" w:hAnsi="Century" w:cs="FrankRuehl" w:hint="cs"/>
          <w:spacing w:val="10"/>
          <w:sz w:val="22"/>
          <w:szCs w:val="28"/>
          <w:rtl/>
        </w:rPr>
        <w:t xml:space="preserve">, בדעת מיעוט, סבר כי </w:t>
      </w:r>
      <w:r w:rsidRPr="007B04E0">
        <w:rPr>
          <w:rFonts w:ascii="Century" w:hAnsi="Century" w:cs="FrankRuehl"/>
          <w:spacing w:val="10"/>
          <w:sz w:val="22"/>
          <w:szCs w:val="28"/>
          <w:rtl/>
        </w:rPr>
        <w:t xml:space="preserve">ההחלטה למנות את דרעי לשר הפנים אינה יכולה לעמוד, בהיותה נגועה בחוסר סבירות </w:t>
      </w:r>
      <w:r w:rsidRPr="007B04E0">
        <w:rPr>
          <w:rFonts w:ascii="Century" w:hAnsi="Century" w:cs="FrankRuehl" w:hint="cs"/>
          <w:spacing w:val="10"/>
          <w:sz w:val="22"/>
          <w:szCs w:val="28"/>
          <w:rtl/>
        </w:rPr>
        <w:t>"</w:t>
      </w:r>
      <w:r w:rsidRPr="007B04E0">
        <w:rPr>
          <w:rFonts w:ascii="Century" w:hAnsi="Century" w:cs="FrankRuehl"/>
          <w:spacing w:val="10"/>
          <w:sz w:val="22"/>
          <w:szCs w:val="28"/>
          <w:rtl/>
        </w:rPr>
        <w:t>בעוצמה המצדיקה את ביטול המינוי</w:t>
      </w:r>
      <w:r w:rsidRPr="007B04E0">
        <w:rPr>
          <w:rFonts w:ascii="Century" w:hAnsi="Century" w:cs="FrankRuehl" w:hint="cs"/>
          <w:spacing w:val="10"/>
          <w:sz w:val="22"/>
          <w:szCs w:val="28"/>
          <w:rtl/>
        </w:rPr>
        <w:t>"</w:t>
      </w:r>
      <w:r w:rsidRPr="007B04E0">
        <w:rPr>
          <w:rFonts w:ascii="Century" w:hAnsi="Century" w:cs="FrankRuehl"/>
          <w:spacing w:val="10"/>
          <w:sz w:val="22"/>
          <w:szCs w:val="28"/>
          <w:rtl/>
        </w:rPr>
        <w:t xml:space="preserve">. </w:t>
      </w:r>
      <w:r w:rsidRPr="007B04E0">
        <w:rPr>
          <w:rFonts w:ascii="Century" w:hAnsi="Century" w:cs="FrankRuehl" w:hint="cs"/>
          <w:spacing w:val="10"/>
          <w:sz w:val="22"/>
          <w:szCs w:val="28"/>
          <w:rtl/>
        </w:rPr>
        <w:t>לגישתו,</w:t>
      </w:r>
      <w:r w:rsidRPr="007B04E0">
        <w:rPr>
          <w:rFonts w:ascii="Century" w:hAnsi="Century" w:cs="FrankRuehl"/>
          <w:spacing w:val="10"/>
          <w:sz w:val="22"/>
          <w:szCs w:val="28"/>
          <w:rtl/>
        </w:rPr>
        <w:t xml:space="preserve"> מתקיימת "זיקה ישירה וברורה" בין תפקיד שר הפנים לבין העבירות בהן חטא דרעי בעבר. </w:t>
      </w:r>
      <w:r w:rsidRPr="007B04E0">
        <w:rPr>
          <w:rFonts w:ascii="Century" w:hAnsi="Century" w:cs="FrankRuehl" w:hint="cs"/>
          <w:spacing w:val="10"/>
          <w:sz w:val="22"/>
          <w:szCs w:val="28"/>
          <w:rtl/>
        </w:rPr>
        <w:t>בהקשר זה צוין כי זיקה זו נובעת מ</w:t>
      </w:r>
      <w:r w:rsidRPr="007B04E0">
        <w:rPr>
          <w:rFonts w:ascii="Century" w:hAnsi="Century" w:cs="FrankRuehl"/>
          <w:spacing w:val="10"/>
          <w:sz w:val="22"/>
          <w:szCs w:val="28"/>
          <w:rtl/>
        </w:rPr>
        <w:t xml:space="preserve">מהות וייחודיות </w:t>
      </w:r>
      <w:r w:rsidRPr="007B04E0">
        <w:rPr>
          <w:rFonts w:ascii="Century" w:hAnsi="Century" w:cs="FrankRuehl" w:hint="cs"/>
          <w:spacing w:val="10"/>
          <w:sz w:val="22"/>
          <w:szCs w:val="28"/>
          <w:rtl/>
        </w:rPr>
        <w:t>תפקיד שר הפנים</w:t>
      </w:r>
      <w:r w:rsidRPr="007B04E0">
        <w:rPr>
          <w:rFonts w:ascii="Century" w:hAnsi="Century" w:cs="FrankRuehl"/>
          <w:spacing w:val="10"/>
          <w:sz w:val="22"/>
          <w:szCs w:val="28"/>
          <w:rtl/>
        </w:rPr>
        <w:t>, אופי העבירות ונסיבות ביצוען הקונקרטיות</w:t>
      </w:r>
      <w:r w:rsidRPr="007B04E0">
        <w:rPr>
          <w:rFonts w:ascii="Century" w:hAnsi="Century" w:cs="FrankRuehl" w:hint="cs"/>
          <w:spacing w:val="10"/>
          <w:sz w:val="22"/>
          <w:szCs w:val="28"/>
          <w:rtl/>
        </w:rPr>
        <w:t xml:space="preserve">, </w:t>
      </w:r>
      <w:r w:rsidR="006252F9" w:rsidRPr="007B04E0">
        <w:rPr>
          <w:rFonts w:ascii="Century" w:hAnsi="Century" w:cs="FrankRuehl" w:hint="cs"/>
          <w:spacing w:val="10"/>
          <w:sz w:val="22"/>
          <w:szCs w:val="28"/>
          <w:rtl/>
        </w:rPr>
        <w:t>ו</w:t>
      </w:r>
      <w:r w:rsidR="006252F9">
        <w:rPr>
          <w:rFonts w:ascii="Century" w:hAnsi="Century" w:cs="FrankRuehl" w:hint="cs"/>
          <w:spacing w:val="10"/>
          <w:sz w:val="22"/>
          <w:szCs w:val="28"/>
          <w:rtl/>
        </w:rPr>
        <w:t xml:space="preserve">כי </w:t>
      </w:r>
      <w:r w:rsidRPr="007B04E0">
        <w:rPr>
          <w:rFonts w:ascii="Century" w:hAnsi="Century" w:cs="FrankRuehl"/>
          <w:spacing w:val="10"/>
          <w:sz w:val="22"/>
          <w:szCs w:val="28"/>
          <w:rtl/>
        </w:rPr>
        <w:t xml:space="preserve">כל אחד </w:t>
      </w:r>
      <w:r w:rsidRPr="007B04E0">
        <w:rPr>
          <w:rFonts w:ascii="Century" w:hAnsi="Century" w:cs="FrankRuehl" w:hint="cs"/>
          <w:spacing w:val="10"/>
          <w:sz w:val="22"/>
          <w:szCs w:val="28"/>
          <w:rtl/>
        </w:rPr>
        <w:t>מהיבטים אלה</w:t>
      </w:r>
      <w:r w:rsidRPr="007B04E0">
        <w:rPr>
          <w:rFonts w:ascii="Century" w:hAnsi="Century" w:cs="FrankRuehl"/>
          <w:spacing w:val="10"/>
          <w:sz w:val="22"/>
          <w:szCs w:val="28"/>
          <w:rtl/>
        </w:rPr>
        <w:t xml:space="preserve"> </w:t>
      </w:r>
      <w:r>
        <w:rPr>
          <w:rFonts w:ascii="Century" w:hAnsi="Century" w:cs="FrankRuehl" w:hint="cs"/>
          <w:spacing w:val="10"/>
          <w:sz w:val="22"/>
          <w:szCs w:val="28"/>
          <w:rtl/>
        </w:rPr>
        <w:t>נושא כשלעצמו</w:t>
      </w:r>
      <w:r w:rsidRPr="007B04E0">
        <w:rPr>
          <w:rFonts w:ascii="Century" w:hAnsi="Century" w:cs="FrankRuehl"/>
          <w:spacing w:val="10"/>
          <w:sz w:val="22"/>
          <w:szCs w:val="28"/>
          <w:rtl/>
        </w:rPr>
        <w:t xml:space="preserve"> משקל רב</w:t>
      </w:r>
      <w:r w:rsidRPr="007B04E0">
        <w:rPr>
          <w:rFonts w:ascii="Century" w:hAnsi="Century" w:cs="FrankRuehl" w:hint="cs"/>
          <w:spacing w:val="10"/>
          <w:sz w:val="22"/>
          <w:szCs w:val="28"/>
          <w:rtl/>
        </w:rPr>
        <w:t xml:space="preserve">. לפיכך סבר השופט </w:t>
      </w:r>
      <w:r w:rsidRPr="007B04E0">
        <w:rPr>
          <w:rFonts w:ascii="Century" w:hAnsi="Century" w:cs="Miriam" w:hint="eastAsia"/>
          <w:b/>
          <w:sz w:val="22"/>
          <w:rtl/>
        </w:rPr>
        <w:t>הנדל</w:t>
      </w:r>
      <w:r w:rsidRPr="007B04E0">
        <w:rPr>
          <w:rFonts w:ascii="Century" w:hAnsi="Century" w:cs="FrankRuehl" w:hint="cs"/>
          <w:spacing w:val="10"/>
          <w:sz w:val="22"/>
          <w:szCs w:val="28"/>
          <w:rtl/>
        </w:rPr>
        <w:t xml:space="preserve"> כי בשים לב לפגיעה בטוהר המידות,</w:t>
      </w:r>
      <w:r>
        <w:rPr>
          <w:rFonts w:ascii="Century" w:hAnsi="Century" w:cs="FrankRuehl" w:hint="cs"/>
          <w:spacing w:val="10"/>
          <w:sz w:val="22"/>
          <w:szCs w:val="28"/>
          <w:rtl/>
        </w:rPr>
        <w:t xml:space="preserve"> באמון הציבור ובעקרונות של </w:t>
      </w:r>
      <w:r w:rsidRPr="007B04E0">
        <w:rPr>
          <w:rFonts w:ascii="Century" w:hAnsi="Century" w:cs="FrankRuehl" w:hint="cs"/>
          <w:spacing w:val="10"/>
          <w:sz w:val="22"/>
          <w:szCs w:val="28"/>
          <w:rtl/>
        </w:rPr>
        <w:t>מנהל ציבורי תקין</w:t>
      </w:r>
      <w:r>
        <w:rPr>
          <w:rFonts w:ascii="Century" w:hAnsi="Century" w:cs="FrankRuehl" w:hint="cs"/>
          <w:spacing w:val="10"/>
          <w:sz w:val="22"/>
          <w:szCs w:val="28"/>
          <w:rtl/>
        </w:rPr>
        <w:t xml:space="preserve"> </w:t>
      </w:r>
      <w:r w:rsidRPr="007B04E0">
        <w:rPr>
          <w:rFonts w:ascii="Century" w:hAnsi="Century" w:cs="FrankRuehl"/>
          <w:spacing w:val="10"/>
          <w:sz w:val="22"/>
          <w:szCs w:val="28"/>
          <w:rtl/>
        </w:rPr>
        <w:t xml:space="preserve">– לא ניתן להותיר </w:t>
      </w:r>
      <w:r>
        <w:rPr>
          <w:rFonts w:ascii="Century" w:hAnsi="Century" w:cs="FrankRuehl" w:hint="cs"/>
          <w:spacing w:val="10"/>
          <w:sz w:val="22"/>
          <w:szCs w:val="28"/>
          <w:rtl/>
        </w:rPr>
        <w:t xml:space="preserve">על כנו </w:t>
      </w:r>
      <w:r w:rsidRPr="007B04E0">
        <w:rPr>
          <w:rFonts w:ascii="Century" w:hAnsi="Century" w:cs="FrankRuehl"/>
          <w:spacing w:val="10"/>
          <w:sz w:val="22"/>
          <w:szCs w:val="28"/>
          <w:rtl/>
        </w:rPr>
        <w:t>את מינויו של דרעי לשר הפנים.</w:t>
      </w:r>
    </w:p>
    <w:p w14:paraId="47393123" w14:textId="77777777" w:rsidR="0040186B" w:rsidRPr="007B04E0" w:rsidRDefault="0040186B" w:rsidP="00C634DC">
      <w:pPr>
        <w:pStyle w:val="ruller410"/>
        <w:bidi/>
        <w:spacing w:before="0" w:beforeAutospacing="0" w:after="0" w:afterAutospacing="0" w:line="360" w:lineRule="auto"/>
        <w:ind w:firstLine="720"/>
        <w:jc w:val="both"/>
        <w:rPr>
          <w:rFonts w:ascii="Century" w:hAnsi="Century" w:cs="FrankRuehl"/>
          <w:spacing w:val="10"/>
          <w:sz w:val="22"/>
          <w:szCs w:val="28"/>
          <w:rtl/>
        </w:rPr>
      </w:pPr>
    </w:p>
    <w:p w14:paraId="781EDB5C" w14:textId="77777777" w:rsidR="0040186B" w:rsidRPr="007B04E0" w:rsidRDefault="0040186B" w:rsidP="00C634DC">
      <w:pPr>
        <w:pStyle w:val="Ruller4"/>
        <w:tabs>
          <w:tab w:val="clear" w:pos="907"/>
        </w:tabs>
        <w:rPr>
          <w:rtl/>
        </w:rPr>
      </w:pPr>
      <w:r w:rsidRPr="007B04E0">
        <w:rPr>
          <w:rFonts w:hint="cs"/>
          <w:rtl/>
        </w:rPr>
        <w:t xml:space="preserve">בבואנו לבחון מה נשתנה מאז ההליכים בעניין </w:t>
      </w:r>
      <w:r w:rsidRPr="007B04E0">
        <w:rPr>
          <w:rFonts w:ascii="Century" w:hAnsi="Century" w:cs="Miriam" w:hint="cs"/>
          <w:b/>
          <w:spacing w:val="0"/>
          <w:sz w:val="22"/>
          <w:szCs w:val="24"/>
          <w:rtl/>
        </w:rPr>
        <w:t>דרעי השני</w:t>
      </w:r>
      <w:r w:rsidRPr="007B04E0">
        <w:rPr>
          <w:rFonts w:hint="cs"/>
          <w:rtl/>
        </w:rPr>
        <w:t xml:space="preserve"> ובעניין </w:t>
      </w:r>
      <w:r w:rsidRPr="007B04E0">
        <w:rPr>
          <w:rFonts w:ascii="Century" w:hAnsi="Century" w:cs="Miriam" w:hint="cs"/>
          <w:b/>
          <w:spacing w:val="0"/>
          <w:sz w:val="22"/>
          <w:szCs w:val="24"/>
          <w:rtl/>
        </w:rPr>
        <w:t>דרעי השלישי</w:t>
      </w:r>
      <w:r w:rsidRPr="007B04E0">
        <w:rPr>
          <w:rFonts w:hint="cs"/>
          <w:rtl/>
        </w:rPr>
        <w:t xml:space="preserve"> ניתן לומר, בקווים כלליים, כי מחד גיסא, חלף פרק זמן נוסף מאז הורשע דרעי ב"תיק האישי" ו"בתיק הציבורי"; ומאידך גיסא </w:t>
      </w:r>
      <w:r w:rsidRPr="007B04E0">
        <w:rPr>
          <w:rtl/>
        </w:rPr>
        <w:t>–</w:t>
      </w:r>
      <w:r w:rsidRPr="007B04E0">
        <w:rPr>
          <w:rFonts w:hint="cs"/>
          <w:rtl/>
        </w:rPr>
        <w:t xml:space="preserve"> אך לפני שנה הורשע דרעי בשתי עבירות נוספות, ונידון למאסר על תנאי, שעודנו תלוי ועומד נגדו. </w:t>
      </w:r>
      <w:r>
        <w:rPr>
          <w:rFonts w:hint="cs"/>
          <w:rtl/>
        </w:rPr>
        <w:t>כל אלה עומדים ברקע ה</w:t>
      </w:r>
      <w:r w:rsidRPr="007B04E0">
        <w:rPr>
          <w:rFonts w:hint="cs"/>
          <w:rtl/>
        </w:rPr>
        <w:t xml:space="preserve">חלטת ראש הממשלה </w:t>
      </w:r>
      <w:r>
        <w:rPr>
          <w:rFonts w:hint="cs"/>
          <w:rtl/>
        </w:rPr>
        <w:t>למנות את דרעי</w:t>
      </w:r>
      <w:r w:rsidRPr="007B04E0">
        <w:rPr>
          <w:rFonts w:hint="cs"/>
          <w:rtl/>
        </w:rPr>
        <w:t xml:space="preserve"> לשר הפנים ושר הבריאות בממשלת ישראל ה-37.</w:t>
      </w:r>
    </w:p>
    <w:p w14:paraId="52D25BD8" w14:textId="77777777" w:rsidR="0040186B" w:rsidRPr="007B04E0" w:rsidRDefault="0040186B" w:rsidP="00C634DC">
      <w:pPr>
        <w:rPr>
          <w:rtl/>
        </w:rPr>
      </w:pPr>
    </w:p>
    <w:p w14:paraId="6B1A5E62" w14:textId="77777777" w:rsidR="0040186B" w:rsidRPr="007B04E0" w:rsidRDefault="0040186B" w:rsidP="00C634DC">
      <w:pPr>
        <w:pStyle w:val="Ruller4"/>
        <w:tabs>
          <w:tab w:val="clear" w:pos="907"/>
        </w:tabs>
        <w:rPr>
          <w:rtl/>
        </w:rPr>
      </w:pPr>
      <w:r w:rsidRPr="007B04E0">
        <w:rPr>
          <w:rFonts w:hint="cs"/>
          <w:rtl/>
        </w:rPr>
        <w:lastRenderedPageBreak/>
        <w:t>בכתב התשובה מטעמו עמד ראש הממשלה על השיקולים העיקריים שהנחו אותו בהחלטתו זו, ובכללם הצורך בהשבת היציבות השלטונית על כנה לאחר המשבר הפוליטי של השנים האחרונות; העובדה שבבחירות שהתקיימו לפני מספר חודשים</w:t>
      </w:r>
      <w:r>
        <w:rPr>
          <w:rFonts w:hint="cs"/>
          <w:rtl/>
        </w:rPr>
        <w:t xml:space="preserve"> </w:t>
      </w:r>
      <w:r w:rsidRPr="007B04E0">
        <w:rPr>
          <w:rFonts w:hint="cs"/>
          <w:rtl/>
        </w:rPr>
        <w:t xml:space="preserve">למעלה מ-2.3 מיליון איש הצביעו למפלגות הקואליציה </w:t>
      </w:r>
      <w:r w:rsidRPr="007B04E0">
        <w:rPr>
          <w:rtl/>
        </w:rPr>
        <w:t>–</w:t>
      </w:r>
      <w:r w:rsidRPr="007B04E0">
        <w:rPr>
          <w:rFonts w:hint="cs"/>
          <w:rtl/>
        </w:rPr>
        <w:t xml:space="preserve"> מתוכם כ-400,000 איש שבחרו בסיעת ש"ס </w:t>
      </w:r>
      <w:r w:rsidRPr="007B04E0">
        <w:rPr>
          <w:rtl/>
        </w:rPr>
        <w:t>–</w:t>
      </w:r>
      <w:r w:rsidRPr="007B04E0">
        <w:rPr>
          <w:rFonts w:hint="cs"/>
          <w:rtl/>
        </w:rPr>
        <w:t xml:space="preserve"> </w:t>
      </w:r>
      <w:r>
        <w:rPr>
          <w:rFonts w:hint="cs"/>
          <w:rtl/>
        </w:rPr>
        <w:t>ב</w:t>
      </w:r>
      <w:r w:rsidRPr="007B04E0">
        <w:rPr>
          <w:rFonts w:hint="eastAsia"/>
          <w:rtl/>
        </w:rPr>
        <w:t>ידיעה</w:t>
      </w:r>
      <w:r w:rsidRPr="007B04E0">
        <w:rPr>
          <w:rtl/>
        </w:rPr>
        <w:t xml:space="preserve"> </w:t>
      </w:r>
      <w:r w:rsidRPr="007B04E0">
        <w:rPr>
          <w:rFonts w:hint="cs"/>
          <w:rtl/>
        </w:rPr>
        <w:t>ש</w:t>
      </w:r>
      <w:r w:rsidRPr="007B04E0">
        <w:rPr>
          <w:rFonts w:hint="eastAsia"/>
          <w:rtl/>
        </w:rPr>
        <w:t>דרעי</w:t>
      </w:r>
      <w:r w:rsidRPr="007B04E0">
        <w:rPr>
          <w:rtl/>
        </w:rPr>
        <w:t xml:space="preserve"> </w:t>
      </w:r>
      <w:r w:rsidRPr="007B04E0">
        <w:rPr>
          <w:rFonts w:hint="eastAsia"/>
          <w:rtl/>
        </w:rPr>
        <w:t>ישמש</w:t>
      </w:r>
      <w:r w:rsidRPr="007B04E0">
        <w:rPr>
          <w:rtl/>
        </w:rPr>
        <w:t xml:space="preserve"> </w:t>
      </w:r>
      <w:r w:rsidRPr="007B04E0">
        <w:rPr>
          <w:rFonts w:hint="eastAsia"/>
          <w:rtl/>
        </w:rPr>
        <w:t>כשר</w:t>
      </w:r>
      <w:r w:rsidRPr="007B04E0">
        <w:rPr>
          <w:rtl/>
        </w:rPr>
        <w:t xml:space="preserve"> </w:t>
      </w:r>
      <w:r w:rsidRPr="007B04E0">
        <w:rPr>
          <w:rFonts w:hint="eastAsia"/>
          <w:rtl/>
        </w:rPr>
        <w:t>בממשלה</w:t>
      </w:r>
      <w:r w:rsidRPr="007B04E0">
        <w:rPr>
          <w:rFonts w:hint="cs"/>
          <w:rtl/>
        </w:rPr>
        <w:t>; ו</w:t>
      </w:r>
      <w:r>
        <w:rPr>
          <w:rFonts w:hint="cs"/>
          <w:rtl/>
        </w:rPr>
        <w:t xml:space="preserve">כן </w:t>
      </w:r>
      <w:r w:rsidRPr="007B04E0">
        <w:rPr>
          <w:rFonts w:hint="cs"/>
          <w:rtl/>
        </w:rPr>
        <w:t>ניסיונו וכישוריו הרבים של דרעי, בהיותו השר הוותיק בממשלה.</w:t>
      </w:r>
    </w:p>
    <w:p w14:paraId="6DA3CB89" w14:textId="77777777" w:rsidR="0040186B" w:rsidRPr="007B04E0" w:rsidRDefault="0040186B" w:rsidP="00C634DC">
      <w:pPr>
        <w:pStyle w:val="ruller410"/>
        <w:bidi/>
        <w:spacing w:before="0" w:beforeAutospacing="0" w:after="0" w:afterAutospacing="0" w:line="360" w:lineRule="auto"/>
        <w:ind w:firstLine="720"/>
        <w:jc w:val="both"/>
      </w:pPr>
    </w:p>
    <w:p w14:paraId="3FC44360" w14:textId="77777777" w:rsidR="0040186B" w:rsidRPr="007B04E0" w:rsidRDefault="0040186B" w:rsidP="00491822">
      <w:pPr>
        <w:pStyle w:val="Ruller4"/>
        <w:tabs>
          <w:tab w:val="clear" w:pos="907"/>
        </w:tabs>
      </w:pPr>
      <w:r w:rsidRPr="007B04E0">
        <w:rPr>
          <w:rFonts w:hint="cs"/>
          <w:rtl/>
        </w:rPr>
        <w:t>שיקולים אלה הם כמובן שיקולים רלוונטיים</w:t>
      </w:r>
      <w:r>
        <w:rPr>
          <w:rFonts w:hint="cs"/>
          <w:rtl/>
        </w:rPr>
        <w:t xml:space="preserve"> וחשובים,</w:t>
      </w:r>
      <w:r w:rsidRPr="007B04E0">
        <w:rPr>
          <w:rFonts w:hint="cs"/>
          <w:rtl/>
        </w:rPr>
        <w:t xml:space="preserve"> שניתן להביאם בחשבון במסגרת שיקול הדעת הרחב הנתון לראש הממשלה בכל הנוגע למינוי שרים</w:t>
      </w:r>
      <w:r>
        <w:rPr>
          <w:rFonts w:hint="cs"/>
          <w:rtl/>
        </w:rPr>
        <w:t>. רוחב שיקול הדעת</w:t>
      </w:r>
      <w:r w:rsidRPr="007B04E0">
        <w:rPr>
          <w:rFonts w:hint="cs"/>
          <w:rtl/>
        </w:rPr>
        <w:t xml:space="preserve"> נובע מזהותו של בעל הסמכות </w:t>
      </w:r>
      <w:r>
        <w:rPr>
          <w:rFonts w:hint="cs"/>
          <w:rtl/>
        </w:rPr>
        <w:t>ה</w:t>
      </w:r>
      <w:r w:rsidRPr="007B04E0">
        <w:rPr>
          <w:rFonts w:hint="cs"/>
          <w:rtl/>
        </w:rPr>
        <w:t>עומד בראש הרשות המבצעת</w:t>
      </w:r>
      <w:r>
        <w:rPr>
          <w:rFonts w:hint="cs"/>
          <w:rtl/>
        </w:rPr>
        <w:t>,</w:t>
      </w:r>
      <w:r w:rsidRPr="007B04E0">
        <w:rPr>
          <w:rFonts w:hint="cs"/>
          <w:rtl/>
        </w:rPr>
        <w:t xml:space="preserve"> וכן מאופייה של הסמכות שהיא סמכות פוליטית במהותה, </w:t>
      </w:r>
      <w:r>
        <w:rPr>
          <w:rFonts w:hint="cs"/>
          <w:rtl/>
        </w:rPr>
        <w:t>ו</w:t>
      </w:r>
      <w:r w:rsidRPr="007B04E0">
        <w:rPr>
          <w:rFonts w:hint="cs"/>
          <w:rtl/>
        </w:rPr>
        <w:t>במסגרתה ניתן לשקול שיקולים פוליטיים ופרלמנטריים (</w:t>
      </w:r>
      <w:r w:rsidRPr="007B04E0">
        <w:rPr>
          <w:rFonts w:hint="eastAsia"/>
          <w:rtl/>
        </w:rPr>
        <w:t>בג</w:t>
      </w:r>
      <w:r w:rsidRPr="007B04E0">
        <w:rPr>
          <w:rtl/>
        </w:rPr>
        <w:t>"</w:t>
      </w:r>
      <w:r w:rsidRPr="007B04E0">
        <w:rPr>
          <w:rFonts w:hint="eastAsia"/>
          <w:rtl/>
        </w:rPr>
        <w:t>ץ</w:t>
      </w:r>
      <w:r w:rsidRPr="007B04E0">
        <w:rPr>
          <w:rtl/>
        </w:rPr>
        <w:t xml:space="preserve"> 2533/97 </w:t>
      </w:r>
      <w:r w:rsidRPr="007B04E0">
        <w:rPr>
          <w:rFonts w:ascii="Miriam" w:hAnsi="Miriam" w:cs="Miriam" w:hint="eastAsia"/>
          <w:sz w:val="22"/>
          <w:szCs w:val="24"/>
          <w:rtl/>
        </w:rPr>
        <w:t>התנועה</w:t>
      </w:r>
      <w:r w:rsidRPr="007B04E0">
        <w:rPr>
          <w:rFonts w:ascii="Miriam" w:hAnsi="Miriam" w:cs="Miriam"/>
          <w:sz w:val="22"/>
          <w:szCs w:val="24"/>
          <w:rtl/>
        </w:rPr>
        <w:t xml:space="preserve"> </w:t>
      </w:r>
      <w:r w:rsidRPr="007B04E0">
        <w:rPr>
          <w:rFonts w:ascii="Miriam" w:hAnsi="Miriam" w:cs="Miriam" w:hint="eastAsia"/>
          <w:sz w:val="22"/>
          <w:szCs w:val="24"/>
          <w:rtl/>
        </w:rPr>
        <w:t>למען</w:t>
      </w:r>
      <w:r w:rsidRPr="007B04E0">
        <w:rPr>
          <w:rFonts w:ascii="Miriam" w:hAnsi="Miriam" w:cs="Miriam"/>
          <w:sz w:val="22"/>
          <w:szCs w:val="24"/>
          <w:rtl/>
        </w:rPr>
        <w:t xml:space="preserve"> </w:t>
      </w:r>
      <w:r w:rsidRPr="007B04E0">
        <w:rPr>
          <w:rFonts w:ascii="Miriam" w:hAnsi="Miriam" w:cs="Miriam" w:hint="eastAsia"/>
          <w:sz w:val="22"/>
          <w:szCs w:val="24"/>
          <w:rtl/>
        </w:rPr>
        <w:t>איכות</w:t>
      </w:r>
      <w:r w:rsidRPr="007B04E0">
        <w:rPr>
          <w:rFonts w:ascii="Miriam" w:hAnsi="Miriam" w:cs="Miriam"/>
          <w:sz w:val="22"/>
          <w:szCs w:val="24"/>
          <w:rtl/>
        </w:rPr>
        <w:t xml:space="preserve"> </w:t>
      </w:r>
      <w:r w:rsidRPr="007B04E0">
        <w:rPr>
          <w:rFonts w:ascii="Miriam" w:hAnsi="Miriam" w:cs="Miriam" w:hint="eastAsia"/>
          <w:sz w:val="22"/>
          <w:szCs w:val="24"/>
          <w:rtl/>
        </w:rPr>
        <w:t>השלטון</w:t>
      </w:r>
      <w:r w:rsidRPr="007B04E0">
        <w:rPr>
          <w:rFonts w:ascii="Miriam" w:hAnsi="Miriam" w:cs="Miriam"/>
          <w:sz w:val="22"/>
          <w:szCs w:val="24"/>
          <w:rtl/>
        </w:rPr>
        <w:t xml:space="preserve"> </w:t>
      </w:r>
      <w:r w:rsidRPr="007B04E0">
        <w:rPr>
          <w:rFonts w:ascii="Miriam" w:hAnsi="Miriam" w:cs="Miriam" w:hint="eastAsia"/>
          <w:sz w:val="22"/>
          <w:szCs w:val="24"/>
          <w:rtl/>
        </w:rPr>
        <w:t>בישראל</w:t>
      </w:r>
      <w:r w:rsidRPr="007B04E0">
        <w:rPr>
          <w:rFonts w:ascii="Miriam" w:hAnsi="Miriam" w:cs="Miriam"/>
          <w:sz w:val="22"/>
          <w:szCs w:val="24"/>
          <w:rtl/>
        </w:rPr>
        <w:t xml:space="preserve"> </w:t>
      </w:r>
      <w:r w:rsidRPr="007B04E0">
        <w:rPr>
          <w:rFonts w:ascii="Miriam" w:hAnsi="Miriam" w:cs="Miriam" w:hint="eastAsia"/>
          <w:sz w:val="22"/>
          <w:szCs w:val="24"/>
          <w:rtl/>
        </w:rPr>
        <w:t>נ</w:t>
      </w:r>
      <w:r w:rsidRPr="007B04E0">
        <w:rPr>
          <w:rFonts w:ascii="Miriam" w:hAnsi="Miriam" w:cs="Miriam"/>
          <w:sz w:val="22"/>
          <w:szCs w:val="24"/>
          <w:rtl/>
        </w:rPr>
        <w:t xml:space="preserve">' </w:t>
      </w:r>
      <w:r w:rsidRPr="007B04E0">
        <w:rPr>
          <w:rFonts w:ascii="Miriam" w:hAnsi="Miriam" w:cs="Miriam" w:hint="eastAsia"/>
          <w:sz w:val="22"/>
          <w:szCs w:val="24"/>
          <w:rtl/>
        </w:rPr>
        <w:t>ממשלת</w:t>
      </w:r>
      <w:r w:rsidRPr="007B04E0">
        <w:rPr>
          <w:rFonts w:ascii="Miriam" w:hAnsi="Miriam" w:cs="Miriam"/>
          <w:sz w:val="22"/>
          <w:szCs w:val="24"/>
          <w:rtl/>
        </w:rPr>
        <w:t xml:space="preserve"> </w:t>
      </w:r>
      <w:r w:rsidRPr="007B04E0">
        <w:rPr>
          <w:rFonts w:ascii="Miriam" w:hAnsi="Miriam" w:cs="Miriam" w:hint="eastAsia"/>
          <w:sz w:val="22"/>
          <w:szCs w:val="24"/>
          <w:rtl/>
        </w:rPr>
        <w:t>ישראל</w:t>
      </w:r>
      <w:r w:rsidRPr="007B04E0">
        <w:rPr>
          <w:rtl/>
        </w:rPr>
        <w:t xml:space="preserve">, </w:t>
      </w:r>
      <w:r w:rsidRPr="007B04E0">
        <w:rPr>
          <w:rFonts w:hint="eastAsia"/>
          <w:rtl/>
        </w:rPr>
        <w:t>פ</w:t>
      </w:r>
      <w:r w:rsidRPr="007B04E0">
        <w:rPr>
          <w:rtl/>
        </w:rPr>
        <w:t>"</w:t>
      </w:r>
      <w:r w:rsidRPr="007B04E0">
        <w:rPr>
          <w:rFonts w:hint="eastAsia"/>
          <w:rtl/>
        </w:rPr>
        <w:t>ד</w:t>
      </w:r>
      <w:r w:rsidRPr="007B04E0">
        <w:rPr>
          <w:rtl/>
        </w:rPr>
        <w:t xml:space="preserve"> </w:t>
      </w:r>
      <w:r w:rsidRPr="007B04E0">
        <w:rPr>
          <w:rFonts w:hint="eastAsia"/>
          <w:rtl/>
        </w:rPr>
        <w:t>נא</w:t>
      </w:r>
      <w:r w:rsidRPr="007B04E0">
        <w:rPr>
          <w:rtl/>
        </w:rPr>
        <w:t xml:space="preserve">(3) 46, 59-58 (1997); </w:t>
      </w:r>
      <w:r w:rsidRPr="007B04E0">
        <w:rPr>
          <w:rFonts w:hint="eastAsia"/>
          <w:rtl/>
        </w:rPr>
        <w:t>עניין</w:t>
      </w:r>
      <w:r w:rsidRPr="007B04E0">
        <w:rPr>
          <w:rFonts w:ascii="Century" w:hAnsi="Century" w:cs="Times New Roman"/>
          <w:b/>
          <w:spacing w:val="0"/>
          <w:rtl/>
        </w:rPr>
        <w:t xml:space="preserve"> </w:t>
      </w:r>
      <w:r w:rsidRPr="007B04E0">
        <w:rPr>
          <w:rFonts w:ascii="Century" w:hAnsi="Century" w:cs="Miriam" w:hint="cs"/>
          <w:b/>
          <w:spacing w:val="0"/>
          <w:sz w:val="22"/>
          <w:szCs w:val="24"/>
          <w:rtl/>
        </w:rPr>
        <w:t>דרעי השלישי</w:t>
      </w:r>
      <w:r w:rsidRPr="007B04E0">
        <w:rPr>
          <w:rFonts w:ascii="FrankRuehl" w:hAnsi="FrankRuehl"/>
          <w:b/>
          <w:spacing w:val="0"/>
          <w:rtl/>
        </w:rPr>
        <w:t xml:space="preserve">, </w:t>
      </w:r>
      <w:r w:rsidRPr="007B04E0">
        <w:rPr>
          <w:rFonts w:hint="eastAsia"/>
          <w:rtl/>
        </w:rPr>
        <w:t>בפסקה</w:t>
      </w:r>
      <w:r w:rsidRPr="007B04E0">
        <w:rPr>
          <w:rtl/>
        </w:rPr>
        <w:t xml:space="preserve"> 28 </w:t>
      </w:r>
      <w:r w:rsidRPr="007B04E0">
        <w:rPr>
          <w:rFonts w:hint="eastAsia"/>
          <w:rtl/>
        </w:rPr>
        <w:t>לחוות</w:t>
      </w:r>
      <w:r w:rsidRPr="007B04E0">
        <w:rPr>
          <w:rtl/>
        </w:rPr>
        <w:t xml:space="preserve"> </w:t>
      </w:r>
      <w:r w:rsidRPr="007B04E0">
        <w:rPr>
          <w:rFonts w:hint="eastAsia"/>
          <w:rtl/>
        </w:rPr>
        <w:t>דעתו</w:t>
      </w:r>
      <w:r w:rsidRPr="007B04E0">
        <w:rPr>
          <w:rtl/>
        </w:rPr>
        <w:t xml:space="preserve"> </w:t>
      </w:r>
      <w:r w:rsidRPr="007B04E0">
        <w:rPr>
          <w:rFonts w:hint="eastAsia"/>
          <w:rtl/>
        </w:rPr>
        <w:t>של</w:t>
      </w:r>
      <w:r w:rsidRPr="007B04E0">
        <w:rPr>
          <w:rtl/>
        </w:rPr>
        <w:t xml:space="preserve"> </w:t>
      </w:r>
      <w:r w:rsidRPr="007B04E0">
        <w:rPr>
          <w:rFonts w:hint="eastAsia"/>
          <w:rtl/>
        </w:rPr>
        <w:t>השופט</w:t>
      </w:r>
      <w:r w:rsidRPr="007B04E0">
        <w:rPr>
          <w:rtl/>
        </w:rPr>
        <w:t xml:space="preserve"> </w:t>
      </w:r>
      <w:r w:rsidRPr="007B04E0">
        <w:rPr>
          <w:rFonts w:ascii="Century" w:hAnsi="Century" w:cs="Miriam" w:hint="eastAsia"/>
          <w:b/>
          <w:spacing w:val="0"/>
          <w:sz w:val="22"/>
          <w:szCs w:val="24"/>
          <w:rtl/>
        </w:rPr>
        <w:t>ג</w:t>
      </w:r>
      <w:r w:rsidRPr="007B04E0">
        <w:rPr>
          <w:rFonts w:ascii="Century" w:hAnsi="Century" w:cs="Miriam"/>
          <w:b/>
          <w:spacing w:val="0"/>
          <w:sz w:val="22"/>
          <w:szCs w:val="24"/>
          <w:rtl/>
        </w:rPr>
        <w:t>'</w:t>
      </w:r>
      <w:r w:rsidRPr="007B04E0">
        <w:rPr>
          <w:rFonts w:ascii="Century" w:hAnsi="Century" w:cs="Miriam" w:hint="eastAsia"/>
          <w:b/>
          <w:spacing w:val="0"/>
          <w:sz w:val="22"/>
          <w:szCs w:val="24"/>
          <w:rtl/>
        </w:rPr>
        <w:t>ובראן</w:t>
      </w:r>
      <w:r w:rsidRPr="007B04E0">
        <w:rPr>
          <w:rFonts w:hint="cs"/>
          <w:rtl/>
        </w:rPr>
        <w:t>). העובדה שמינויו של דרעי אושר על ידי הכנסת, כחלק ממתן האמון בממשלה כולה, מרחיבה אף היא את היקף מתחם הסבירות בכל הנוגע למינוי</w:t>
      </w:r>
      <w:r>
        <w:rPr>
          <w:rFonts w:hint="cs"/>
          <w:rtl/>
        </w:rPr>
        <w:t>,</w:t>
      </w:r>
      <w:r w:rsidRPr="007B04E0">
        <w:rPr>
          <w:rFonts w:hint="cs"/>
          <w:rtl/>
        </w:rPr>
        <w:t xml:space="preserve"> ומצמצמת בהתאמה את היקף הביקורת השיפוטי</w:t>
      </w:r>
      <w:r>
        <w:rPr>
          <w:rFonts w:hint="cs"/>
          <w:rtl/>
        </w:rPr>
        <w:t>ת</w:t>
      </w:r>
      <w:r w:rsidRPr="007B04E0">
        <w:rPr>
          <w:rFonts w:hint="cs"/>
          <w:rtl/>
        </w:rPr>
        <w:t xml:space="preserve"> על החלטה זו (</w:t>
      </w:r>
      <w:r w:rsidRPr="007B04E0">
        <w:rPr>
          <w:rFonts w:hint="eastAsia"/>
          <w:rtl/>
        </w:rPr>
        <w:t>עניין</w:t>
      </w:r>
      <w:r w:rsidRPr="007B04E0">
        <w:rPr>
          <w:rtl/>
        </w:rPr>
        <w:t xml:space="preserve"> </w:t>
      </w:r>
      <w:r w:rsidRPr="007B04E0">
        <w:rPr>
          <w:rFonts w:ascii="Miriam" w:hAnsi="Miriam" w:cs="Miriam" w:hint="eastAsia"/>
          <w:sz w:val="22"/>
          <w:szCs w:val="24"/>
          <w:rtl/>
        </w:rPr>
        <w:t>הנגבי</w:t>
      </w:r>
      <w:r w:rsidRPr="007B04E0">
        <w:rPr>
          <w:rFonts w:ascii="Miriam" w:hAnsi="Miriam" w:cs="Miriam"/>
          <w:sz w:val="22"/>
          <w:szCs w:val="24"/>
          <w:rtl/>
        </w:rPr>
        <w:t xml:space="preserve"> 2003</w:t>
      </w:r>
      <w:r w:rsidRPr="007B04E0">
        <w:rPr>
          <w:rtl/>
        </w:rPr>
        <w:t xml:space="preserve">, </w:t>
      </w:r>
      <w:r w:rsidR="00BA7BF1">
        <w:rPr>
          <w:rFonts w:hint="cs"/>
          <w:rtl/>
        </w:rPr>
        <w:t>בעמ' 868</w:t>
      </w:r>
      <w:r w:rsidRPr="007B04E0">
        <w:rPr>
          <w:rtl/>
        </w:rPr>
        <w:t xml:space="preserve">; </w:t>
      </w:r>
      <w:r w:rsidRPr="007B04E0">
        <w:rPr>
          <w:rFonts w:hint="cs"/>
          <w:rtl/>
        </w:rPr>
        <w:t xml:space="preserve">עניין </w:t>
      </w:r>
      <w:r w:rsidRPr="007B04E0">
        <w:rPr>
          <w:rFonts w:ascii="Century" w:hAnsi="Century" w:cs="Miriam" w:hint="eastAsia"/>
          <w:b/>
          <w:spacing w:val="0"/>
          <w:sz w:val="22"/>
          <w:szCs w:val="24"/>
          <w:rtl/>
        </w:rPr>
        <w:t>אמונה</w:t>
      </w:r>
      <w:r w:rsidRPr="007B04E0">
        <w:rPr>
          <w:rFonts w:hint="cs"/>
          <w:rtl/>
        </w:rPr>
        <w:t xml:space="preserve">, בעמ' </w:t>
      </w:r>
      <w:r w:rsidR="00777EAD">
        <w:rPr>
          <w:rFonts w:hint="cs"/>
          <w:rtl/>
        </w:rPr>
        <w:t>482-480</w:t>
      </w:r>
      <w:r w:rsidRPr="007B04E0">
        <w:rPr>
          <w:rFonts w:hint="cs"/>
          <w:rtl/>
        </w:rPr>
        <w:t xml:space="preserve">). כמו כן, ואף </w:t>
      </w:r>
      <w:r>
        <w:rPr>
          <w:rFonts w:hint="cs"/>
          <w:rtl/>
        </w:rPr>
        <w:t xml:space="preserve">שאין לנבחר הציבור </w:t>
      </w:r>
      <w:r w:rsidRPr="007B04E0">
        <w:rPr>
          <w:rFonts w:hint="cs"/>
          <w:rtl/>
        </w:rPr>
        <w:t>"'זכות קנויה' להיות שר"</w:t>
      </w:r>
      <w:r>
        <w:rPr>
          <w:rFonts w:hint="cs"/>
          <w:rtl/>
        </w:rPr>
        <w:t xml:space="preserve"> </w:t>
      </w:r>
      <w:r w:rsidRPr="007B04E0">
        <w:rPr>
          <w:rFonts w:hint="cs"/>
          <w:rtl/>
        </w:rPr>
        <w:t xml:space="preserve">בהתחשב בכך שבשיטת הבחירות שלנו האזרח מצביע לרשימה לכנסת </w:t>
      </w:r>
      <w:r>
        <w:rPr>
          <w:rFonts w:hint="cs"/>
          <w:rtl/>
        </w:rPr>
        <w:t xml:space="preserve">ולא להרכב הממשלה </w:t>
      </w:r>
      <w:r w:rsidRPr="007B04E0">
        <w:rPr>
          <w:rFonts w:hint="cs"/>
          <w:rtl/>
        </w:rPr>
        <w:t>(</w:t>
      </w:r>
      <w:r w:rsidR="00B03B74">
        <w:rPr>
          <w:rFonts w:hint="cs"/>
          <w:rtl/>
        </w:rPr>
        <w:t xml:space="preserve">ראו: </w:t>
      </w:r>
      <w:r w:rsidRPr="007B04E0">
        <w:rPr>
          <w:rFonts w:hint="eastAsia"/>
          <w:rtl/>
        </w:rPr>
        <w:t>עניין</w:t>
      </w:r>
      <w:r w:rsidRPr="007B04E0">
        <w:rPr>
          <w:rtl/>
        </w:rPr>
        <w:t xml:space="preserve"> </w:t>
      </w:r>
      <w:r w:rsidRPr="007B04E0">
        <w:rPr>
          <w:rFonts w:ascii="Miriam" w:hAnsi="Miriam" w:cs="Miriam" w:hint="eastAsia"/>
          <w:sz w:val="22"/>
          <w:szCs w:val="24"/>
          <w:rtl/>
        </w:rPr>
        <w:t>דרעי</w:t>
      </w:r>
      <w:r w:rsidRPr="007B04E0">
        <w:rPr>
          <w:rFonts w:ascii="Miriam" w:hAnsi="Miriam" w:cs="Miriam"/>
          <w:sz w:val="22"/>
          <w:szCs w:val="24"/>
          <w:rtl/>
        </w:rPr>
        <w:t xml:space="preserve"> </w:t>
      </w:r>
      <w:r w:rsidRPr="007B04E0">
        <w:rPr>
          <w:rFonts w:ascii="Miriam" w:hAnsi="Miriam" w:cs="Miriam" w:hint="eastAsia"/>
          <w:sz w:val="22"/>
          <w:szCs w:val="24"/>
          <w:rtl/>
        </w:rPr>
        <w:t>השני</w:t>
      </w:r>
      <w:r w:rsidRPr="007B04E0">
        <w:rPr>
          <w:rtl/>
        </w:rPr>
        <w:t xml:space="preserve">, </w:t>
      </w:r>
      <w:r w:rsidRPr="007B04E0">
        <w:rPr>
          <w:rFonts w:hint="eastAsia"/>
          <w:rtl/>
        </w:rPr>
        <w:t>בפסקה</w:t>
      </w:r>
      <w:r w:rsidRPr="007B04E0">
        <w:rPr>
          <w:rtl/>
        </w:rPr>
        <w:t xml:space="preserve"> 22</w:t>
      </w:r>
      <w:r w:rsidRPr="007B04E0">
        <w:rPr>
          <w:rFonts w:hint="cs"/>
          <w:rtl/>
        </w:rPr>
        <w:t xml:space="preserve">), יש ליתן משקל לכך שאך לאחרונה התקיימו בחירות שבהן נתן הציבור אמון ברשימה בהובלתו של דרעי, </w:t>
      </w:r>
      <w:r>
        <w:rPr>
          <w:rFonts w:hint="cs"/>
          <w:rtl/>
        </w:rPr>
        <w:t>ו</w:t>
      </w:r>
      <w:r w:rsidRPr="007B04E0">
        <w:rPr>
          <w:rFonts w:hint="cs"/>
          <w:rtl/>
        </w:rPr>
        <w:t xml:space="preserve">עברו הפלילי </w:t>
      </w:r>
      <w:r w:rsidRPr="007B04E0">
        <w:rPr>
          <w:rtl/>
        </w:rPr>
        <w:t>–</w:t>
      </w:r>
      <w:r w:rsidRPr="007B04E0">
        <w:rPr>
          <w:rFonts w:hint="cs"/>
          <w:rtl/>
        </w:rPr>
        <w:t xml:space="preserve"> לרבות הרשעתו האחרונה בעבירות המס </w:t>
      </w:r>
      <w:r w:rsidRPr="007B04E0">
        <w:rPr>
          <w:rtl/>
        </w:rPr>
        <w:t>–</w:t>
      </w:r>
      <w:r w:rsidRPr="007B04E0">
        <w:rPr>
          <w:rFonts w:hint="cs"/>
          <w:rtl/>
        </w:rPr>
        <w:t xml:space="preserve"> היה ידוע לכל (ראו והשוו: </w:t>
      </w:r>
      <w:r w:rsidRPr="007B04E0">
        <w:rPr>
          <w:rFonts w:hint="eastAsia"/>
          <w:rtl/>
        </w:rPr>
        <w:t>עניין</w:t>
      </w:r>
      <w:r w:rsidRPr="007B04E0">
        <w:rPr>
          <w:rtl/>
        </w:rPr>
        <w:t xml:space="preserve"> </w:t>
      </w:r>
      <w:r w:rsidRPr="007B04E0">
        <w:rPr>
          <w:rFonts w:ascii="Miriam" w:hAnsi="Miriam" w:cs="Miriam" w:hint="eastAsia"/>
          <w:sz w:val="22"/>
          <w:szCs w:val="24"/>
          <w:rtl/>
        </w:rPr>
        <w:t>הנגבי</w:t>
      </w:r>
      <w:r w:rsidRPr="007B04E0">
        <w:rPr>
          <w:rFonts w:ascii="Miriam" w:hAnsi="Miriam" w:cs="Miriam"/>
          <w:sz w:val="22"/>
          <w:szCs w:val="24"/>
          <w:rtl/>
        </w:rPr>
        <w:t xml:space="preserve"> 2015</w:t>
      </w:r>
      <w:r w:rsidRPr="007B04E0">
        <w:rPr>
          <w:rtl/>
        </w:rPr>
        <w:t xml:space="preserve">, </w:t>
      </w:r>
      <w:r w:rsidRPr="007B04E0">
        <w:rPr>
          <w:rFonts w:hint="eastAsia"/>
          <w:rtl/>
        </w:rPr>
        <w:t>בפסקה</w:t>
      </w:r>
      <w:r w:rsidRPr="007B04E0">
        <w:rPr>
          <w:rtl/>
        </w:rPr>
        <w:t xml:space="preserve"> 33 </w:t>
      </w:r>
      <w:r w:rsidRPr="007B04E0">
        <w:rPr>
          <w:rFonts w:hint="eastAsia"/>
          <w:rtl/>
        </w:rPr>
        <w:t>לחוות</w:t>
      </w:r>
      <w:r w:rsidRPr="007B04E0">
        <w:rPr>
          <w:rtl/>
        </w:rPr>
        <w:t xml:space="preserve"> </w:t>
      </w:r>
      <w:r w:rsidRPr="007B04E0">
        <w:rPr>
          <w:rFonts w:hint="eastAsia"/>
          <w:rtl/>
        </w:rPr>
        <w:t>דעתו</w:t>
      </w:r>
      <w:r w:rsidRPr="007B04E0">
        <w:rPr>
          <w:rtl/>
        </w:rPr>
        <w:t xml:space="preserve"> </w:t>
      </w:r>
      <w:r w:rsidRPr="007B04E0">
        <w:rPr>
          <w:rFonts w:hint="eastAsia"/>
          <w:rtl/>
        </w:rPr>
        <w:t>של</w:t>
      </w:r>
      <w:r w:rsidRPr="007B04E0">
        <w:rPr>
          <w:rtl/>
        </w:rPr>
        <w:t xml:space="preserve"> </w:t>
      </w:r>
      <w:r w:rsidRPr="007B04E0">
        <w:rPr>
          <w:rFonts w:hint="eastAsia"/>
          <w:rtl/>
        </w:rPr>
        <w:t>הנשיא</w:t>
      </w:r>
      <w:r w:rsidRPr="007B04E0">
        <w:rPr>
          <w:rtl/>
        </w:rPr>
        <w:t xml:space="preserve"> (</w:t>
      </w:r>
      <w:r w:rsidRPr="007B04E0">
        <w:rPr>
          <w:rFonts w:hint="eastAsia"/>
          <w:rtl/>
        </w:rPr>
        <w:t>בדימ</w:t>
      </w:r>
      <w:r w:rsidRPr="007B04E0">
        <w:rPr>
          <w:rtl/>
        </w:rPr>
        <w:t xml:space="preserve">') </w:t>
      </w:r>
      <w:r w:rsidRPr="007B04E0">
        <w:rPr>
          <w:rFonts w:ascii="Miriam" w:hAnsi="Miriam" w:cs="Miriam" w:hint="eastAsia"/>
          <w:sz w:val="22"/>
          <w:szCs w:val="24"/>
          <w:rtl/>
        </w:rPr>
        <w:t>גרוניס</w:t>
      </w:r>
      <w:r w:rsidRPr="007B04E0">
        <w:rPr>
          <w:rFonts w:hint="cs"/>
          <w:rtl/>
        </w:rPr>
        <w:t xml:space="preserve">). </w:t>
      </w:r>
    </w:p>
    <w:p w14:paraId="67599669" w14:textId="77777777" w:rsidR="0040186B" w:rsidRPr="007B04E0" w:rsidRDefault="0040186B" w:rsidP="00C634DC">
      <w:pPr>
        <w:pStyle w:val="Ruller4"/>
        <w:numPr>
          <w:ilvl w:val="0"/>
          <w:numId w:val="0"/>
        </w:numPr>
        <w:rPr>
          <w:rtl/>
        </w:rPr>
      </w:pPr>
    </w:p>
    <w:p w14:paraId="72EC207E" w14:textId="77777777" w:rsidR="0040186B" w:rsidRDefault="0040186B" w:rsidP="00C634DC">
      <w:pPr>
        <w:pStyle w:val="Ruller4"/>
        <w:tabs>
          <w:tab w:val="clear" w:pos="907"/>
        </w:tabs>
        <w:rPr>
          <w:rtl/>
        </w:rPr>
      </w:pPr>
      <w:r w:rsidRPr="007B04E0">
        <w:rPr>
          <w:rFonts w:hint="cs"/>
          <w:rtl/>
        </w:rPr>
        <w:t xml:space="preserve">ואולם, שיקול דעת רחב אין משמעו שיקול דעת בלתי מוגבל, ואף החלטות בנוגע למינוי שרים </w:t>
      </w:r>
      <w:r w:rsidRPr="007B04E0">
        <w:rPr>
          <w:rtl/>
        </w:rPr>
        <w:t>–</w:t>
      </w:r>
      <w:r w:rsidRPr="007B04E0">
        <w:rPr>
          <w:rFonts w:hint="cs"/>
          <w:rtl/>
        </w:rPr>
        <w:t xml:space="preserve"> בדומה לכל החלטה מנהלית אחרת </w:t>
      </w:r>
      <w:r w:rsidRPr="007B04E0">
        <w:rPr>
          <w:rtl/>
        </w:rPr>
        <w:t>–</w:t>
      </w:r>
      <w:r w:rsidRPr="007B04E0">
        <w:rPr>
          <w:rFonts w:hint="cs"/>
          <w:rtl/>
        </w:rPr>
        <w:t xml:space="preserve"> אינן חסינות מביקורת שיפוטית וכפופות לכללי המשפט המנהלי (</w:t>
      </w:r>
      <w:r w:rsidRPr="007B04E0">
        <w:rPr>
          <w:rFonts w:hint="eastAsia"/>
          <w:rtl/>
        </w:rPr>
        <w:t>ראו</w:t>
      </w:r>
      <w:r w:rsidRPr="007B04E0">
        <w:rPr>
          <w:rtl/>
        </w:rPr>
        <w:t xml:space="preserve">: </w:t>
      </w:r>
      <w:r w:rsidRPr="007B04E0">
        <w:rPr>
          <w:rFonts w:hint="eastAsia"/>
          <w:rtl/>
        </w:rPr>
        <w:t>עניין</w:t>
      </w:r>
      <w:r w:rsidRPr="007B04E0">
        <w:rPr>
          <w:rtl/>
        </w:rPr>
        <w:t xml:space="preserve"> </w:t>
      </w:r>
      <w:r w:rsidRPr="00660165">
        <w:rPr>
          <w:rFonts w:ascii="Miriam" w:hAnsi="Miriam" w:cs="Miriam" w:hint="eastAsia"/>
          <w:sz w:val="22"/>
          <w:szCs w:val="24"/>
          <w:rtl/>
        </w:rPr>
        <w:t>דרעי</w:t>
      </w:r>
      <w:r w:rsidRPr="00660165">
        <w:rPr>
          <w:rFonts w:ascii="Miriam" w:hAnsi="Miriam" w:cs="Miriam" w:hint="cs"/>
          <w:sz w:val="22"/>
          <w:szCs w:val="24"/>
          <w:rtl/>
        </w:rPr>
        <w:t xml:space="preserve"> הראשון</w:t>
      </w:r>
      <w:r w:rsidRPr="007B04E0">
        <w:rPr>
          <w:rtl/>
        </w:rPr>
        <w:t xml:space="preserve">, </w:t>
      </w:r>
      <w:r w:rsidRPr="007B04E0">
        <w:rPr>
          <w:rFonts w:hint="eastAsia"/>
          <w:rtl/>
        </w:rPr>
        <w:t>בעמ</w:t>
      </w:r>
      <w:r w:rsidRPr="007B04E0">
        <w:rPr>
          <w:rtl/>
        </w:rPr>
        <w:t xml:space="preserve">' 419; </w:t>
      </w:r>
      <w:r w:rsidRPr="007B04E0">
        <w:rPr>
          <w:rFonts w:hint="eastAsia"/>
          <w:rtl/>
        </w:rPr>
        <w:t>עניין</w:t>
      </w:r>
      <w:r w:rsidRPr="00660165">
        <w:rPr>
          <w:rFonts w:ascii="Century" w:hAnsi="Century" w:cs="Miriam"/>
          <w:b/>
          <w:spacing w:val="0"/>
          <w:rtl/>
        </w:rPr>
        <w:t xml:space="preserve"> </w:t>
      </w:r>
      <w:r w:rsidRPr="00660165">
        <w:rPr>
          <w:rFonts w:ascii="Century" w:hAnsi="Century" w:cs="Miriam" w:hint="eastAsia"/>
          <w:b/>
          <w:spacing w:val="0"/>
          <w:sz w:val="22"/>
          <w:szCs w:val="24"/>
          <w:rtl/>
        </w:rPr>
        <w:t>דרעי</w:t>
      </w:r>
      <w:r w:rsidRPr="00660165">
        <w:rPr>
          <w:rFonts w:ascii="Century" w:hAnsi="Century" w:cs="Miriam"/>
          <w:b/>
          <w:spacing w:val="0"/>
          <w:sz w:val="22"/>
          <w:szCs w:val="24"/>
          <w:rtl/>
        </w:rPr>
        <w:t xml:space="preserve"> </w:t>
      </w:r>
      <w:r w:rsidRPr="00660165">
        <w:rPr>
          <w:rFonts w:ascii="Century" w:hAnsi="Century" w:cs="Miriam" w:hint="eastAsia"/>
          <w:b/>
          <w:spacing w:val="0"/>
          <w:sz w:val="22"/>
          <w:szCs w:val="24"/>
          <w:rtl/>
        </w:rPr>
        <w:t>השלישי</w:t>
      </w:r>
      <w:r w:rsidRPr="00660165">
        <w:rPr>
          <w:rFonts w:ascii="FrankRuehl" w:hAnsi="FrankRuehl"/>
          <w:b/>
          <w:spacing w:val="0"/>
          <w:rtl/>
        </w:rPr>
        <w:t xml:space="preserve">, </w:t>
      </w:r>
      <w:r w:rsidRPr="007B04E0">
        <w:rPr>
          <w:rFonts w:hint="eastAsia"/>
          <w:rtl/>
        </w:rPr>
        <w:t>בפסקה</w:t>
      </w:r>
      <w:r w:rsidRPr="007B04E0">
        <w:rPr>
          <w:rtl/>
        </w:rPr>
        <w:t xml:space="preserve"> 28 </w:t>
      </w:r>
      <w:r w:rsidRPr="007B04E0">
        <w:rPr>
          <w:rFonts w:hint="eastAsia"/>
          <w:rtl/>
        </w:rPr>
        <w:t>לחוות</w:t>
      </w:r>
      <w:r w:rsidRPr="007B04E0">
        <w:rPr>
          <w:rtl/>
        </w:rPr>
        <w:t xml:space="preserve"> </w:t>
      </w:r>
      <w:r w:rsidRPr="007B04E0">
        <w:rPr>
          <w:rFonts w:hint="eastAsia"/>
          <w:rtl/>
        </w:rPr>
        <w:t>דעתו</w:t>
      </w:r>
      <w:r w:rsidRPr="007B04E0">
        <w:rPr>
          <w:rtl/>
        </w:rPr>
        <w:t xml:space="preserve"> </w:t>
      </w:r>
      <w:r w:rsidRPr="007B04E0">
        <w:rPr>
          <w:rFonts w:hint="eastAsia"/>
          <w:rtl/>
        </w:rPr>
        <w:t>של</w:t>
      </w:r>
      <w:r w:rsidRPr="007B04E0">
        <w:rPr>
          <w:rtl/>
        </w:rPr>
        <w:t xml:space="preserve"> </w:t>
      </w:r>
      <w:r w:rsidRPr="007B04E0">
        <w:rPr>
          <w:rFonts w:hint="eastAsia"/>
          <w:rtl/>
        </w:rPr>
        <w:t>השופט</w:t>
      </w:r>
      <w:r w:rsidRPr="007B04E0">
        <w:rPr>
          <w:rtl/>
        </w:rPr>
        <w:t xml:space="preserve"> </w:t>
      </w:r>
      <w:r w:rsidRPr="00660165">
        <w:rPr>
          <w:rFonts w:ascii="Miriam" w:hAnsi="Miriam" w:cs="Miriam"/>
          <w:sz w:val="22"/>
          <w:szCs w:val="24"/>
          <w:rtl/>
        </w:rPr>
        <w:t>ג'ובראן</w:t>
      </w:r>
      <w:r w:rsidRPr="007B04E0">
        <w:rPr>
          <w:rFonts w:hint="cs"/>
          <w:rtl/>
        </w:rPr>
        <w:t xml:space="preserve">). בשונה מעניין </w:t>
      </w:r>
      <w:r w:rsidRPr="00660165">
        <w:rPr>
          <w:rFonts w:ascii="Century" w:hAnsi="Century" w:cs="Miriam" w:hint="eastAsia"/>
          <w:b/>
          <w:spacing w:val="0"/>
          <w:sz w:val="22"/>
          <w:szCs w:val="24"/>
          <w:rtl/>
        </w:rPr>
        <w:t>הטלת</w:t>
      </w:r>
      <w:r w:rsidRPr="00660165">
        <w:rPr>
          <w:rFonts w:ascii="Century" w:hAnsi="Century" w:cs="Miriam"/>
          <w:b/>
          <w:spacing w:val="0"/>
          <w:sz w:val="22"/>
          <w:szCs w:val="24"/>
          <w:rtl/>
        </w:rPr>
        <w:t xml:space="preserve"> </w:t>
      </w:r>
      <w:r w:rsidRPr="00660165">
        <w:rPr>
          <w:rFonts w:ascii="Century" w:hAnsi="Century" w:cs="Miriam" w:hint="eastAsia"/>
          <w:b/>
          <w:spacing w:val="0"/>
          <w:sz w:val="22"/>
          <w:szCs w:val="24"/>
          <w:rtl/>
        </w:rPr>
        <w:t>המנדט</w:t>
      </w:r>
      <w:r>
        <w:rPr>
          <w:rFonts w:hint="cs"/>
          <w:rtl/>
        </w:rPr>
        <w:t xml:space="preserve"> (שם קיבלו רוב חברי הכנסת את ההחלטה בדבר הטלת המנדט להרכבת הממשלה) </w:t>
      </w:r>
      <w:r w:rsidRPr="007B04E0">
        <w:rPr>
          <w:rtl/>
        </w:rPr>
        <w:t>–</w:t>
      </w:r>
      <w:r w:rsidRPr="007B04E0">
        <w:rPr>
          <w:rFonts w:hint="cs"/>
          <w:rtl/>
        </w:rPr>
        <w:t xml:space="preserve"> קיים </w:t>
      </w:r>
      <w:r>
        <w:rPr>
          <w:rFonts w:hint="cs"/>
          <w:rtl/>
        </w:rPr>
        <w:t xml:space="preserve">בענייננו </w:t>
      </w:r>
      <w:r w:rsidRPr="007B04E0">
        <w:rPr>
          <w:rFonts w:hint="cs"/>
          <w:rtl/>
        </w:rPr>
        <w:t xml:space="preserve">גורם </w:t>
      </w:r>
      <w:r w:rsidRPr="00660165">
        <w:rPr>
          <w:rFonts w:ascii="Miriam" w:hAnsi="Miriam" w:cs="Miriam" w:hint="cs"/>
          <w:sz w:val="22"/>
          <w:szCs w:val="24"/>
          <w:rtl/>
        </w:rPr>
        <w:t>מנהלי</w:t>
      </w:r>
      <w:r w:rsidRPr="007B04E0">
        <w:rPr>
          <w:rFonts w:hint="cs"/>
          <w:rtl/>
        </w:rPr>
        <w:t xml:space="preserve"> </w:t>
      </w:r>
      <w:r>
        <w:rPr>
          <w:rFonts w:hint="cs"/>
          <w:rtl/>
        </w:rPr>
        <w:t>שאת אופן הפעלת סמכותו ניתן לבחון על פי כללי המשפט המנהלי</w:t>
      </w:r>
      <w:r w:rsidRPr="007B04E0">
        <w:rPr>
          <w:rFonts w:hint="cs"/>
          <w:rtl/>
        </w:rPr>
        <w:t>. משלא ניתן בעתירות צו ביניים ומינויו של דרעי נכנס לתוקפו</w:t>
      </w:r>
      <w:r>
        <w:rPr>
          <w:rFonts w:hint="cs"/>
          <w:rtl/>
        </w:rPr>
        <w:t xml:space="preserve">, </w:t>
      </w:r>
      <w:r w:rsidRPr="007B04E0">
        <w:rPr>
          <w:rFonts w:hint="cs"/>
          <w:rtl/>
        </w:rPr>
        <w:t>הסמכות הרלוונטית</w:t>
      </w:r>
      <w:r>
        <w:rPr>
          <w:rFonts w:hint="cs"/>
          <w:rtl/>
        </w:rPr>
        <w:t xml:space="preserve"> לעניין זה </w:t>
      </w:r>
      <w:r w:rsidRPr="007B04E0">
        <w:rPr>
          <w:rFonts w:hint="cs"/>
          <w:rtl/>
        </w:rPr>
        <w:t xml:space="preserve">היא </w:t>
      </w:r>
      <w:r>
        <w:rPr>
          <w:rFonts w:hint="cs"/>
          <w:rtl/>
        </w:rPr>
        <w:t>הסמכות</w:t>
      </w:r>
      <w:r w:rsidRPr="007B04E0">
        <w:rPr>
          <w:rFonts w:hint="cs"/>
          <w:rtl/>
        </w:rPr>
        <w:t xml:space="preserve"> הקבועה בסעיף 22(ב) לחוק-יסוד: הממשלה ולפיה "</w:t>
      </w:r>
      <w:r w:rsidRPr="007B04E0">
        <w:rPr>
          <w:rtl/>
        </w:rPr>
        <w:t>ראש הממשלה רשאי, לאחר שהודיע לממשלה על כוונתו לעשות כן, להעביר שר מכהונתו</w:t>
      </w:r>
      <w:r w:rsidRPr="007B04E0">
        <w:rPr>
          <w:rFonts w:hint="cs"/>
          <w:rtl/>
        </w:rPr>
        <w:t xml:space="preserve"> [...]". </w:t>
      </w:r>
    </w:p>
    <w:p w14:paraId="67A7869F" w14:textId="77777777" w:rsidR="0040186B" w:rsidRPr="00660165" w:rsidRDefault="0040186B" w:rsidP="00C634DC">
      <w:pPr>
        <w:rPr>
          <w:rtl/>
        </w:rPr>
      </w:pPr>
    </w:p>
    <w:p w14:paraId="20E45D8D" w14:textId="77777777" w:rsidR="0040186B" w:rsidRPr="007B04E0" w:rsidRDefault="0040186B" w:rsidP="00E877B8">
      <w:pPr>
        <w:pStyle w:val="Ruller4"/>
        <w:tabs>
          <w:tab w:val="clear" w:pos="907"/>
        </w:tabs>
        <w:rPr>
          <w:rtl/>
        </w:rPr>
      </w:pPr>
      <w:r w:rsidRPr="007B04E0">
        <w:rPr>
          <w:rFonts w:hint="cs"/>
          <w:rtl/>
        </w:rPr>
        <w:lastRenderedPageBreak/>
        <w:t xml:space="preserve">לצד השיקולים הפוליטיים שצוינו לעיל, </w:t>
      </w:r>
      <w:r w:rsidRPr="007B04E0">
        <w:rPr>
          <w:rtl/>
        </w:rPr>
        <w:t xml:space="preserve">עברו הפלילי של </w:t>
      </w:r>
      <w:r w:rsidRPr="007B04E0">
        <w:rPr>
          <w:rFonts w:hint="eastAsia"/>
          <w:rtl/>
        </w:rPr>
        <w:t>מועמד</w:t>
      </w:r>
      <w:r w:rsidRPr="007B04E0">
        <w:rPr>
          <w:rtl/>
        </w:rPr>
        <w:t xml:space="preserve"> למשרה ציבורית –</w:t>
      </w:r>
      <w:r w:rsidRPr="007B04E0">
        <w:rPr>
          <w:rFonts w:hint="cs"/>
          <w:rtl/>
        </w:rPr>
        <w:t xml:space="preserve"> ובכלל</w:t>
      </w:r>
      <w:r w:rsidR="00FD6883">
        <w:rPr>
          <w:rFonts w:hint="cs"/>
          <w:rtl/>
        </w:rPr>
        <w:t xml:space="preserve"> זה</w:t>
      </w:r>
      <w:r w:rsidRPr="007B04E0">
        <w:rPr>
          <w:rFonts w:hint="cs"/>
          <w:rtl/>
        </w:rPr>
        <w:t xml:space="preserve"> משרה של שר </w:t>
      </w:r>
      <w:r w:rsidRPr="007B04E0">
        <w:rPr>
          <w:rtl/>
        </w:rPr>
        <w:t>–</w:t>
      </w:r>
      <w:r w:rsidRPr="007B04E0">
        <w:rPr>
          <w:rFonts w:hint="cs"/>
          <w:rtl/>
        </w:rPr>
        <w:t xml:space="preserve"> </w:t>
      </w:r>
      <w:r w:rsidRPr="007B04E0">
        <w:rPr>
          <w:rtl/>
        </w:rPr>
        <w:t xml:space="preserve">הינו שיקול רלוונטי, אשר </w:t>
      </w:r>
      <w:r w:rsidRPr="007B04E0">
        <w:rPr>
          <w:rFonts w:hint="cs"/>
          <w:rtl/>
        </w:rPr>
        <w:t>הגורם הממנה</w:t>
      </w:r>
      <w:r w:rsidRPr="007B04E0">
        <w:rPr>
          <w:rtl/>
        </w:rPr>
        <w:t xml:space="preserve"> רשאי</w:t>
      </w:r>
      <w:r w:rsidRPr="007B04E0">
        <w:rPr>
          <w:rFonts w:hint="cs"/>
          <w:rtl/>
        </w:rPr>
        <w:t>,</w:t>
      </w:r>
      <w:r w:rsidRPr="007B04E0">
        <w:rPr>
          <w:rtl/>
        </w:rPr>
        <w:t xml:space="preserve"> וחייב</w:t>
      </w:r>
      <w:r w:rsidRPr="007B04E0">
        <w:rPr>
          <w:rFonts w:hint="cs"/>
          <w:rtl/>
        </w:rPr>
        <w:t>,</w:t>
      </w:r>
      <w:r w:rsidRPr="007B04E0">
        <w:rPr>
          <w:rtl/>
        </w:rPr>
        <w:t xml:space="preserve"> </w:t>
      </w:r>
      <w:r w:rsidRPr="007B04E0">
        <w:rPr>
          <w:rFonts w:hint="cs"/>
          <w:rtl/>
        </w:rPr>
        <w:t>להביאו</w:t>
      </w:r>
      <w:r w:rsidRPr="007B04E0">
        <w:rPr>
          <w:rtl/>
        </w:rPr>
        <w:t xml:space="preserve"> </w:t>
      </w:r>
      <w:r w:rsidRPr="007B04E0">
        <w:rPr>
          <w:rFonts w:hint="eastAsia"/>
          <w:rtl/>
        </w:rPr>
        <w:t>בחשבון</w:t>
      </w:r>
      <w:r w:rsidRPr="007B04E0">
        <w:rPr>
          <w:rtl/>
        </w:rPr>
        <w:t xml:space="preserve"> שיקולי</w:t>
      </w:r>
      <w:r w:rsidRPr="007B04E0">
        <w:rPr>
          <w:rFonts w:hint="cs"/>
          <w:rtl/>
        </w:rPr>
        <w:t>ו</w:t>
      </w:r>
      <w:r w:rsidRPr="007B04E0">
        <w:rPr>
          <w:rtl/>
        </w:rPr>
        <w:t xml:space="preserve"> בטרם </w:t>
      </w:r>
      <w:r>
        <w:rPr>
          <w:rFonts w:hint="cs"/>
          <w:rtl/>
        </w:rPr>
        <w:t>יוחלט על</w:t>
      </w:r>
      <w:r w:rsidRPr="007B04E0">
        <w:rPr>
          <w:rtl/>
        </w:rPr>
        <w:t xml:space="preserve"> המינוי</w:t>
      </w:r>
      <w:r w:rsidRPr="007B04E0">
        <w:rPr>
          <w:rFonts w:hint="cs"/>
          <w:rtl/>
        </w:rPr>
        <w:t xml:space="preserve">, ולאחר מכן </w:t>
      </w:r>
      <w:r w:rsidRPr="007B04E0">
        <w:rPr>
          <w:rtl/>
        </w:rPr>
        <w:t>–</w:t>
      </w:r>
      <w:r w:rsidRPr="007B04E0">
        <w:rPr>
          <w:rFonts w:hint="cs"/>
          <w:rtl/>
        </w:rPr>
        <w:t xml:space="preserve"> בבואו לבחון אם יש להעביר את נושא המשרה מתפקידו (ראו </w:t>
      </w:r>
      <w:r w:rsidRPr="007B04E0">
        <w:rPr>
          <w:rFonts w:hint="eastAsia"/>
          <w:rtl/>
        </w:rPr>
        <w:t>והשוו</w:t>
      </w:r>
      <w:r w:rsidRPr="007B04E0">
        <w:rPr>
          <w:rtl/>
        </w:rPr>
        <w:t xml:space="preserve">: </w:t>
      </w:r>
      <w:r w:rsidRPr="007B04E0">
        <w:rPr>
          <w:rFonts w:hint="eastAsia"/>
          <w:rtl/>
        </w:rPr>
        <w:t>עניין</w:t>
      </w:r>
      <w:r w:rsidRPr="007B04E0">
        <w:rPr>
          <w:rtl/>
        </w:rPr>
        <w:t xml:space="preserve"> </w:t>
      </w:r>
      <w:r w:rsidRPr="007B04E0">
        <w:rPr>
          <w:rFonts w:ascii="Miriam" w:hAnsi="Miriam" w:cs="Miriam" w:hint="eastAsia"/>
          <w:sz w:val="22"/>
          <w:szCs w:val="24"/>
          <w:rtl/>
        </w:rPr>
        <w:t>הנגבי</w:t>
      </w:r>
      <w:r w:rsidRPr="007B04E0">
        <w:rPr>
          <w:rFonts w:ascii="Miriam" w:hAnsi="Miriam" w:cs="Miriam"/>
          <w:sz w:val="22"/>
          <w:szCs w:val="24"/>
          <w:rtl/>
        </w:rPr>
        <w:t xml:space="preserve"> 2003</w:t>
      </w:r>
      <w:r w:rsidRPr="007B04E0">
        <w:rPr>
          <w:rtl/>
        </w:rPr>
        <w:t xml:space="preserve">, </w:t>
      </w:r>
      <w:r w:rsidRPr="007B04E0">
        <w:rPr>
          <w:rFonts w:hint="eastAsia"/>
          <w:rtl/>
        </w:rPr>
        <w:t>בעמ</w:t>
      </w:r>
      <w:r w:rsidRPr="007B04E0">
        <w:rPr>
          <w:rtl/>
        </w:rPr>
        <w:t>' 834</w:t>
      </w:r>
      <w:r w:rsidRPr="007B04E0">
        <w:rPr>
          <w:rFonts w:hint="cs"/>
          <w:rtl/>
        </w:rPr>
        <w:t>). בהקשר זה "[...] מחד גיסא יש להתחשב בעברו הפלילי של המועמד ובחומרת מעשיו ומאידך גיסא יש ליתן את הדעת לפרק הזמן שחלף מאז ביצוע העבירה וסיום ריצוי העונש וכן להתנהלותו של המועמד מאז ועד היום [...]" (</w:t>
      </w:r>
      <w:r w:rsidRPr="007B04E0">
        <w:rPr>
          <w:rFonts w:hint="eastAsia"/>
          <w:rtl/>
        </w:rPr>
        <w:t>עניין</w:t>
      </w:r>
      <w:r w:rsidRPr="007B04E0">
        <w:rPr>
          <w:rtl/>
        </w:rPr>
        <w:t xml:space="preserve"> </w:t>
      </w:r>
      <w:r w:rsidRPr="007B04E0">
        <w:rPr>
          <w:rFonts w:ascii="Miriam" w:hAnsi="Miriam" w:cs="Miriam" w:hint="eastAsia"/>
          <w:sz w:val="22"/>
          <w:szCs w:val="24"/>
          <w:rtl/>
        </w:rPr>
        <w:t>דרעי</w:t>
      </w:r>
      <w:r w:rsidRPr="007B04E0">
        <w:rPr>
          <w:rFonts w:ascii="Miriam" w:hAnsi="Miriam" w:cs="Miriam"/>
          <w:sz w:val="22"/>
          <w:szCs w:val="24"/>
          <w:rtl/>
        </w:rPr>
        <w:t xml:space="preserve"> </w:t>
      </w:r>
      <w:r w:rsidRPr="007B04E0">
        <w:rPr>
          <w:rFonts w:ascii="Miriam" w:hAnsi="Miriam" w:cs="Miriam" w:hint="eastAsia"/>
          <w:sz w:val="22"/>
          <w:szCs w:val="24"/>
          <w:rtl/>
        </w:rPr>
        <w:t>השני</w:t>
      </w:r>
      <w:r w:rsidRPr="007B04E0">
        <w:rPr>
          <w:rtl/>
        </w:rPr>
        <w:t xml:space="preserve">, </w:t>
      </w:r>
      <w:r w:rsidRPr="007B04E0">
        <w:rPr>
          <w:rFonts w:hint="eastAsia"/>
          <w:rtl/>
        </w:rPr>
        <w:t>בפסקה</w:t>
      </w:r>
      <w:r w:rsidRPr="007B04E0">
        <w:rPr>
          <w:rtl/>
        </w:rPr>
        <w:t xml:space="preserve"> 15; </w:t>
      </w:r>
      <w:r w:rsidRPr="007B04E0">
        <w:rPr>
          <w:rFonts w:hint="eastAsia"/>
          <w:rtl/>
        </w:rPr>
        <w:t>ראו</w:t>
      </w:r>
      <w:r w:rsidRPr="007B04E0">
        <w:rPr>
          <w:rtl/>
        </w:rPr>
        <w:t xml:space="preserve"> </w:t>
      </w:r>
      <w:r w:rsidRPr="007B04E0">
        <w:rPr>
          <w:rFonts w:hint="eastAsia"/>
          <w:rtl/>
        </w:rPr>
        <w:t>גם</w:t>
      </w:r>
      <w:r w:rsidRPr="007B04E0">
        <w:rPr>
          <w:rtl/>
        </w:rPr>
        <w:t xml:space="preserve">: </w:t>
      </w:r>
      <w:r w:rsidRPr="007B04E0">
        <w:rPr>
          <w:rFonts w:hint="eastAsia"/>
          <w:rtl/>
        </w:rPr>
        <w:t>עניין</w:t>
      </w:r>
      <w:r w:rsidRPr="007B04E0">
        <w:rPr>
          <w:rtl/>
        </w:rPr>
        <w:t xml:space="preserve"> </w:t>
      </w:r>
      <w:r w:rsidRPr="007B04E0">
        <w:rPr>
          <w:rFonts w:ascii="Miriam" w:hAnsi="Miriam" w:cs="Miriam" w:hint="eastAsia"/>
          <w:sz w:val="22"/>
          <w:szCs w:val="24"/>
          <w:rtl/>
        </w:rPr>
        <w:t>אמונה</w:t>
      </w:r>
      <w:r w:rsidRPr="007B04E0">
        <w:rPr>
          <w:rtl/>
        </w:rPr>
        <w:t xml:space="preserve">, </w:t>
      </w:r>
      <w:r w:rsidRPr="007B04E0">
        <w:rPr>
          <w:rFonts w:hint="eastAsia"/>
          <w:rtl/>
        </w:rPr>
        <w:t>בעמ</w:t>
      </w:r>
      <w:r w:rsidRPr="007B04E0">
        <w:rPr>
          <w:rtl/>
        </w:rPr>
        <w:t xml:space="preserve">' 470; </w:t>
      </w:r>
      <w:r w:rsidRPr="007B04E0">
        <w:rPr>
          <w:rFonts w:hint="eastAsia"/>
          <w:rtl/>
        </w:rPr>
        <w:t>עניין</w:t>
      </w:r>
      <w:r w:rsidRPr="007B04E0">
        <w:rPr>
          <w:rtl/>
        </w:rPr>
        <w:t xml:space="preserve"> </w:t>
      </w:r>
      <w:r w:rsidRPr="007B04E0">
        <w:rPr>
          <w:rFonts w:ascii="Miriam" w:hAnsi="Miriam" w:cs="Miriam" w:hint="eastAsia"/>
          <w:sz w:val="22"/>
          <w:szCs w:val="24"/>
          <w:rtl/>
        </w:rPr>
        <w:t>הנגבי</w:t>
      </w:r>
      <w:r w:rsidRPr="007B04E0">
        <w:rPr>
          <w:rFonts w:ascii="Miriam" w:hAnsi="Miriam" w:cs="Miriam"/>
          <w:sz w:val="22"/>
          <w:szCs w:val="24"/>
          <w:rtl/>
        </w:rPr>
        <w:t xml:space="preserve"> 2015</w:t>
      </w:r>
      <w:r w:rsidRPr="007B04E0">
        <w:rPr>
          <w:rtl/>
        </w:rPr>
        <w:t xml:space="preserve">, </w:t>
      </w:r>
      <w:r w:rsidR="002D7DDD" w:rsidRPr="007B04E0">
        <w:rPr>
          <w:rFonts w:hint="eastAsia"/>
          <w:rtl/>
        </w:rPr>
        <w:t>בפסק</w:t>
      </w:r>
      <w:r w:rsidR="002D7DDD">
        <w:rPr>
          <w:rFonts w:hint="cs"/>
          <w:rtl/>
        </w:rPr>
        <w:t>ה</w:t>
      </w:r>
      <w:r w:rsidR="002D7DDD" w:rsidRPr="007B04E0">
        <w:rPr>
          <w:rtl/>
        </w:rPr>
        <w:t xml:space="preserve"> </w:t>
      </w:r>
      <w:r w:rsidR="002D7DDD">
        <w:rPr>
          <w:rFonts w:hint="cs"/>
          <w:rtl/>
        </w:rPr>
        <w:t>27</w:t>
      </w:r>
      <w:r w:rsidR="000C24BA">
        <w:rPr>
          <w:rFonts w:hint="cs"/>
          <w:rtl/>
        </w:rPr>
        <w:t xml:space="preserve"> </w:t>
      </w:r>
      <w:r w:rsidRPr="007B04E0">
        <w:rPr>
          <w:rFonts w:hint="eastAsia"/>
          <w:rtl/>
        </w:rPr>
        <w:t>לחוות</w:t>
      </w:r>
      <w:r w:rsidRPr="007B04E0">
        <w:rPr>
          <w:rtl/>
        </w:rPr>
        <w:t xml:space="preserve"> </w:t>
      </w:r>
      <w:r w:rsidRPr="007B04E0">
        <w:rPr>
          <w:rFonts w:hint="eastAsia"/>
          <w:rtl/>
        </w:rPr>
        <w:t>דעתו</w:t>
      </w:r>
      <w:r w:rsidRPr="007B04E0">
        <w:rPr>
          <w:rtl/>
        </w:rPr>
        <w:t xml:space="preserve"> </w:t>
      </w:r>
      <w:r w:rsidRPr="007B04E0">
        <w:rPr>
          <w:rFonts w:hint="eastAsia"/>
          <w:rtl/>
        </w:rPr>
        <w:t>של</w:t>
      </w:r>
      <w:r w:rsidRPr="007B04E0">
        <w:rPr>
          <w:rtl/>
        </w:rPr>
        <w:t xml:space="preserve"> </w:t>
      </w:r>
      <w:r w:rsidRPr="007B04E0">
        <w:rPr>
          <w:rFonts w:hint="eastAsia"/>
          <w:rtl/>
        </w:rPr>
        <w:t>הנשיא</w:t>
      </w:r>
      <w:r w:rsidRPr="007B04E0">
        <w:rPr>
          <w:rtl/>
        </w:rPr>
        <w:t xml:space="preserve"> (</w:t>
      </w:r>
      <w:r w:rsidRPr="007B04E0">
        <w:rPr>
          <w:rFonts w:hint="eastAsia"/>
          <w:rtl/>
        </w:rPr>
        <w:t>בדימ</w:t>
      </w:r>
      <w:r w:rsidRPr="007B04E0">
        <w:rPr>
          <w:rtl/>
        </w:rPr>
        <w:t xml:space="preserve">') </w:t>
      </w:r>
      <w:r w:rsidRPr="007B04E0">
        <w:rPr>
          <w:rFonts w:ascii="Miriam" w:hAnsi="Miriam" w:cs="Miriam" w:hint="eastAsia"/>
          <w:sz w:val="22"/>
          <w:szCs w:val="24"/>
          <w:rtl/>
        </w:rPr>
        <w:t>גרוניס</w:t>
      </w:r>
      <w:r w:rsidRPr="007B04E0">
        <w:rPr>
          <w:rtl/>
        </w:rPr>
        <w:t>; עניין</w:t>
      </w:r>
      <w:r w:rsidRPr="007B04E0">
        <w:rPr>
          <w:rFonts w:ascii="Century" w:hAnsi="Century" w:cs="Miriam" w:hint="cs"/>
          <w:b/>
          <w:spacing w:val="0"/>
          <w:rtl/>
        </w:rPr>
        <w:t xml:space="preserve"> </w:t>
      </w:r>
      <w:r w:rsidRPr="007B04E0">
        <w:rPr>
          <w:rFonts w:ascii="Century" w:hAnsi="Century" w:cs="Miriam" w:hint="cs"/>
          <w:b/>
          <w:spacing w:val="0"/>
          <w:sz w:val="22"/>
          <w:szCs w:val="24"/>
          <w:rtl/>
        </w:rPr>
        <w:t>דרעי השלישי</w:t>
      </w:r>
      <w:r w:rsidRPr="007B04E0">
        <w:rPr>
          <w:rFonts w:ascii="FrankRuehl" w:hAnsi="FrankRuehl"/>
          <w:b/>
          <w:spacing w:val="0"/>
          <w:rtl/>
        </w:rPr>
        <w:t xml:space="preserve">, </w:t>
      </w:r>
      <w:r w:rsidR="005C297A" w:rsidRPr="007B04E0">
        <w:rPr>
          <w:rtl/>
        </w:rPr>
        <w:t>בפסק</w:t>
      </w:r>
      <w:r w:rsidR="005C297A">
        <w:rPr>
          <w:rFonts w:hint="cs"/>
          <w:rtl/>
        </w:rPr>
        <w:t>ה</w:t>
      </w:r>
      <w:r w:rsidR="005C297A" w:rsidRPr="007B04E0">
        <w:rPr>
          <w:rFonts w:hint="cs"/>
          <w:rtl/>
        </w:rPr>
        <w:t xml:space="preserve"> </w:t>
      </w:r>
      <w:r w:rsidRPr="007B04E0">
        <w:rPr>
          <w:rFonts w:hint="cs"/>
          <w:rtl/>
        </w:rPr>
        <w:t xml:space="preserve">29 </w:t>
      </w:r>
      <w:r w:rsidRPr="007B04E0">
        <w:rPr>
          <w:rtl/>
        </w:rPr>
        <w:t xml:space="preserve">לחוות דעתו של השופט </w:t>
      </w:r>
      <w:r w:rsidRPr="007B04E0">
        <w:rPr>
          <w:rFonts w:ascii="Miriam" w:hAnsi="Miriam" w:cs="Miriam"/>
          <w:sz w:val="22"/>
          <w:szCs w:val="24"/>
          <w:rtl/>
        </w:rPr>
        <w:t>ג'ובראן</w:t>
      </w:r>
      <w:r w:rsidRPr="007B04E0">
        <w:rPr>
          <w:rFonts w:hint="cs"/>
          <w:rtl/>
        </w:rPr>
        <w:t xml:space="preserve">). </w:t>
      </w:r>
    </w:p>
    <w:p w14:paraId="73E5B140" w14:textId="77777777" w:rsidR="0040186B" w:rsidRPr="007B04E0" w:rsidRDefault="0040186B" w:rsidP="00C634DC">
      <w:pPr>
        <w:rPr>
          <w:rtl/>
        </w:rPr>
      </w:pPr>
    </w:p>
    <w:p w14:paraId="4DCDEBF2" w14:textId="77777777" w:rsidR="0040186B" w:rsidRPr="007B04E0" w:rsidRDefault="0040186B" w:rsidP="00C634DC">
      <w:pPr>
        <w:pStyle w:val="Ruller4"/>
        <w:tabs>
          <w:tab w:val="clear" w:pos="907"/>
        </w:tabs>
      </w:pPr>
      <w:r w:rsidRPr="007B04E0">
        <w:rPr>
          <w:rFonts w:hint="cs"/>
          <w:rtl/>
        </w:rPr>
        <w:t>בחינת שיקולים אלה ביחס לדרעי מלמדת, כפי ש</w:t>
      </w:r>
      <w:r>
        <w:rPr>
          <w:rFonts w:hint="cs"/>
          <w:rtl/>
        </w:rPr>
        <w:t xml:space="preserve">אף </w:t>
      </w:r>
      <w:r w:rsidRPr="007B04E0">
        <w:rPr>
          <w:rFonts w:hint="cs"/>
          <w:rtl/>
        </w:rPr>
        <w:t xml:space="preserve">ציינה היועצת המשפטית לממשלה, כי </w:t>
      </w:r>
      <w:r>
        <w:rPr>
          <w:rFonts w:hint="cs"/>
          <w:rtl/>
        </w:rPr>
        <w:t>ה</w:t>
      </w:r>
      <w:r w:rsidRPr="007B04E0">
        <w:rPr>
          <w:rFonts w:hint="cs"/>
          <w:rtl/>
        </w:rPr>
        <w:t xml:space="preserve">נסיבות </w:t>
      </w:r>
      <w:r>
        <w:rPr>
          <w:rFonts w:hint="cs"/>
          <w:rtl/>
        </w:rPr>
        <w:t>ב</w:t>
      </w:r>
      <w:r w:rsidRPr="007B04E0">
        <w:rPr>
          <w:rFonts w:hint="cs"/>
          <w:rtl/>
        </w:rPr>
        <w:t xml:space="preserve">עניינו הן חריגות ביותר, </w:t>
      </w:r>
      <w:r>
        <w:rPr>
          <w:rFonts w:hint="cs"/>
          <w:rtl/>
        </w:rPr>
        <w:t xml:space="preserve">וכי </w:t>
      </w:r>
      <w:r w:rsidRPr="007B04E0">
        <w:rPr>
          <w:rFonts w:hint="cs"/>
          <w:rtl/>
        </w:rPr>
        <w:t xml:space="preserve">אין מנוס מן הקביעה </w:t>
      </w:r>
      <w:r>
        <w:rPr>
          <w:rFonts w:hint="cs"/>
          <w:rtl/>
        </w:rPr>
        <w:t>ש</w:t>
      </w:r>
      <w:r w:rsidRPr="007B04E0">
        <w:rPr>
          <w:rFonts w:hint="cs"/>
          <w:rtl/>
        </w:rPr>
        <w:t xml:space="preserve">אי-העברתו </w:t>
      </w:r>
      <w:r>
        <w:rPr>
          <w:rFonts w:hint="cs"/>
          <w:rtl/>
        </w:rPr>
        <w:t xml:space="preserve">של דרעי </w:t>
      </w:r>
      <w:r w:rsidRPr="007B04E0">
        <w:rPr>
          <w:rFonts w:hint="cs"/>
          <w:rtl/>
        </w:rPr>
        <w:t xml:space="preserve">מתפקידו חורגת באופן קיצוני ממתחם הסבירות. מסקנתי זו מבוססת על שני טעמים עיקריים: ראשית, צבר הרשעותיו החריג של דרעי הכולל הרשעות "ישנות" בעבירות </w:t>
      </w:r>
      <w:r>
        <w:rPr>
          <w:rFonts w:hint="cs"/>
          <w:rtl/>
        </w:rPr>
        <w:t>שחיתות חמורות,</w:t>
      </w:r>
      <w:r w:rsidRPr="007B04E0">
        <w:rPr>
          <w:rFonts w:hint="cs"/>
          <w:rtl/>
        </w:rPr>
        <w:t xml:space="preserve"> שבוצעו במהלך כהונתו בתפקידים ציבוריים </w:t>
      </w:r>
      <w:r>
        <w:rPr>
          <w:rFonts w:hint="cs"/>
          <w:rtl/>
        </w:rPr>
        <w:t>וכן</w:t>
      </w:r>
      <w:r w:rsidRPr="007B04E0">
        <w:rPr>
          <w:rFonts w:hint="cs"/>
          <w:rtl/>
        </w:rPr>
        <w:t xml:space="preserve"> הרשעה</w:t>
      </w:r>
      <w:r>
        <w:rPr>
          <w:rFonts w:hint="cs"/>
          <w:rtl/>
        </w:rPr>
        <w:t xml:space="preserve"> מן העת האחרונה</w:t>
      </w:r>
      <w:r w:rsidRPr="007B04E0">
        <w:rPr>
          <w:rFonts w:hint="cs"/>
          <w:rtl/>
        </w:rPr>
        <w:t xml:space="preserve"> בעבירות מס</w:t>
      </w:r>
      <w:r>
        <w:rPr>
          <w:rFonts w:hint="cs"/>
          <w:rtl/>
        </w:rPr>
        <w:t xml:space="preserve"> שבוצעו אף הן בעת שכיהן כחבר כנסת</w:t>
      </w:r>
      <w:r w:rsidRPr="007B04E0">
        <w:rPr>
          <w:rFonts w:hint="cs"/>
          <w:rtl/>
        </w:rPr>
        <w:t xml:space="preserve">. צבר ההרשעות </w:t>
      </w:r>
      <w:r>
        <w:rPr>
          <w:rFonts w:hint="cs"/>
          <w:rtl/>
        </w:rPr>
        <w:t>הזה</w:t>
      </w:r>
      <w:r w:rsidRPr="007B04E0">
        <w:rPr>
          <w:rFonts w:hint="cs"/>
          <w:rtl/>
        </w:rPr>
        <w:t xml:space="preserve"> מוביל לגישתי </w:t>
      </w:r>
      <w:r>
        <w:rPr>
          <w:rFonts w:hint="cs"/>
          <w:rtl/>
        </w:rPr>
        <w:t>אל ה</w:t>
      </w:r>
      <w:r w:rsidRPr="007B04E0">
        <w:rPr>
          <w:rFonts w:hint="cs"/>
          <w:rtl/>
        </w:rPr>
        <w:t xml:space="preserve">מסקנה כי כהונתו </w:t>
      </w:r>
      <w:r>
        <w:rPr>
          <w:rFonts w:hint="cs"/>
          <w:rtl/>
        </w:rPr>
        <w:t>כשר בממשלת ישראל</w:t>
      </w:r>
      <w:r w:rsidRPr="007B04E0">
        <w:rPr>
          <w:rFonts w:hint="cs"/>
          <w:rtl/>
        </w:rPr>
        <w:t xml:space="preserve"> </w:t>
      </w:r>
      <w:r>
        <w:rPr>
          <w:rFonts w:hint="cs"/>
          <w:rtl/>
        </w:rPr>
        <w:t>יש בה משום</w:t>
      </w:r>
      <w:r w:rsidRPr="007B04E0">
        <w:rPr>
          <w:rFonts w:hint="cs"/>
          <w:rtl/>
        </w:rPr>
        <w:t xml:space="preserve"> פגיעה חמורה וקשה ב</w:t>
      </w:r>
      <w:r>
        <w:rPr>
          <w:rFonts w:hint="cs"/>
          <w:rtl/>
        </w:rPr>
        <w:t>תדמיתן ובמעמדן של רשויות השלטון בישראל ובעקרונות היסוד של ניקיון כפיים ו</w:t>
      </w:r>
      <w:r w:rsidRPr="007B04E0">
        <w:rPr>
          <w:rFonts w:hint="cs"/>
          <w:rtl/>
        </w:rPr>
        <w:t>טוהר המידות</w:t>
      </w:r>
      <w:r>
        <w:rPr>
          <w:rFonts w:hint="cs"/>
          <w:rtl/>
        </w:rPr>
        <w:t>, שלהם מחויבים נבחרי הציבור</w:t>
      </w:r>
      <w:r w:rsidRPr="007B04E0">
        <w:rPr>
          <w:rFonts w:hint="cs"/>
          <w:rtl/>
        </w:rPr>
        <w:t xml:space="preserve">. שנית, אני סבורה כי יש לייחס משקל משמעותי למצג שהציג דרעי בפני בית משפט השלום בירושלים שהרשיעו על פי הודאתו בעבירות המס, וכן להתנהלותו בהמשך למצג זה, אשר מחזקים את המסקנה כי אין </w:t>
      </w:r>
      <w:r>
        <w:rPr>
          <w:rFonts w:hint="cs"/>
          <w:rtl/>
        </w:rPr>
        <w:t>מדובר</w:t>
      </w:r>
      <w:r w:rsidRPr="007B04E0">
        <w:rPr>
          <w:rFonts w:hint="cs"/>
          <w:rtl/>
        </w:rPr>
        <w:t xml:space="preserve"> עוד במינוי המצוי "על גבול מתחם הסבירות", אלא במינוי שחוצה גבול זה באופן ברור. </w:t>
      </w:r>
    </w:p>
    <w:p w14:paraId="6FE17AF4" w14:textId="77777777" w:rsidR="0040186B" w:rsidRPr="007B04E0" w:rsidRDefault="0040186B" w:rsidP="00C634DC">
      <w:pPr>
        <w:pStyle w:val="Ruller4"/>
        <w:numPr>
          <w:ilvl w:val="0"/>
          <w:numId w:val="0"/>
        </w:numPr>
        <w:rPr>
          <w:rFonts w:ascii="Century" w:hAnsi="Century"/>
          <w:sz w:val="22"/>
          <w:rtl/>
        </w:rPr>
      </w:pPr>
    </w:p>
    <w:p w14:paraId="3836CCE4" w14:textId="77777777" w:rsidR="0040186B" w:rsidRPr="007B04E0" w:rsidRDefault="0040186B" w:rsidP="00C634DC">
      <w:pPr>
        <w:pStyle w:val="Ruller4"/>
        <w:numPr>
          <w:ilvl w:val="0"/>
          <w:numId w:val="0"/>
        </w:numPr>
        <w:rPr>
          <w:rFonts w:ascii="Century" w:hAnsi="Century"/>
          <w:sz w:val="22"/>
          <w:rtl/>
        </w:rPr>
      </w:pPr>
      <w:r w:rsidRPr="007B04E0">
        <w:rPr>
          <w:rFonts w:ascii="Century" w:hAnsi="Century"/>
          <w:sz w:val="22"/>
          <w:rtl/>
        </w:rPr>
        <w:tab/>
      </w:r>
      <w:r>
        <w:rPr>
          <w:rFonts w:ascii="Century" w:hAnsi="Century" w:hint="cs"/>
          <w:sz w:val="22"/>
          <w:rtl/>
        </w:rPr>
        <w:t xml:space="preserve">להלן </w:t>
      </w:r>
      <w:r w:rsidRPr="007B04E0">
        <w:rPr>
          <w:rFonts w:ascii="Century" w:hAnsi="Century" w:hint="eastAsia"/>
          <w:sz w:val="22"/>
          <w:rtl/>
        </w:rPr>
        <w:t>אתייחס</w:t>
      </w:r>
      <w:r w:rsidRPr="007B04E0">
        <w:rPr>
          <w:rFonts w:ascii="Century" w:hAnsi="Century"/>
          <w:sz w:val="22"/>
          <w:rtl/>
        </w:rPr>
        <w:t xml:space="preserve"> </w:t>
      </w:r>
      <w:r w:rsidRPr="007B04E0">
        <w:rPr>
          <w:rFonts w:ascii="Century" w:hAnsi="Century" w:hint="eastAsia"/>
          <w:sz w:val="22"/>
          <w:rtl/>
        </w:rPr>
        <w:t>לכל</w:t>
      </w:r>
      <w:r w:rsidRPr="007B04E0">
        <w:rPr>
          <w:rFonts w:ascii="Century" w:hAnsi="Century"/>
          <w:sz w:val="22"/>
          <w:rtl/>
        </w:rPr>
        <w:t xml:space="preserve"> </w:t>
      </w:r>
      <w:r w:rsidRPr="007B04E0">
        <w:rPr>
          <w:rFonts w:ascii="Century" w:hAnsi="Century" w:hint="eastAsia"/>
          <w:sz w:val="22"/>
          <w:rtl/>
        </w:rPr>
        <w:t>אחד</w:t>
      </w:r>
      <w:r w:rsidRPr="007B04E0">
        <w:rPr>
          <w:rFonts w:ascii="Century" w:hAnsi="Century"/>
          <w:sz w:val="22"/>
          <w:rtl/>
        </w:rPr>
        <w:t xml:space="preserve"> </w:t>
      </w:r>
      <w:r w:rsidRPr="007B04E0">
        <w:rPr>
          <w:rFonts w:ascii="Century" w:hAnsi="Century" w:hint="eastAsia"/>
          <w:sz w:val="22"/>
          <w:rtl/>
        </w:rPr>
        <w:t>מטעמים</w:t>
      </w:r>
      <w:r w:rsidRPr="007B04E0">
        <w:rPr>
          <w:rFonts w:ascii="Century" w:hAnsi="Century"/>
          <w:sz w:val="22"/>
          <w:rtl/>
        </w:rPr>
        <w:t xml:space="preserve"> </w:t>
      </w:r>
      <w:r w:rsidRPr="007B04E0">
        <w:rPr>
          <w:rFonts w:ascii="Century" w:hAnsi="Century" w:hint="eastAsia"/>
          <w:sz w:val="22"/>
          <w:rtl/>
        </w:rPr>
        <w:t>אלה</w:t>
      </w:r>
      <w:r w:rsidRPr="007B04E0">
        <w:rPr>
          <w:rFonts w:ascii="Century" w:hAnsi="Century"/>
          <w:sz w:val="22"/>
          <w:rtl/>
        </w:rPr>
        <w:t xml:space="preserve"> </w:t>
      </w:r>
      <w:r w:rsidRPr="007B04E0">
        <w:rPr>
          <w:rFonts w:ascii="Century" w:hAnsi="Century" w:hint="eastAsia"/>
          <w:sz w:val="22"/>
          <w:rtl/>
        </w:rPr>
        <w:t>בהרחבה</w:t>
      </w:r>
      <w:r w:rsidRPr="007B04E0">
        <w:rPr>
          <w:rFonts w:ascii="Century" w:hAnsi="Century"/>
          <w:sz w:val="22"/>
          <w:rtl/>
        </w:rPr>
        <w:t>.</w:t>
      </w:r>
    </w:p>
    <w:p w14:paraId="295F102F" w14:textId="77777777" w:rsidR="0040186B" w:rsidRPr="007B04E0" w:rsidRDefault="0040186B" w:rsidP="00C634DC">
      <w:pPr>
        <w:rPr>
          <w:rtl/>
        </w:rPr>
      </w:pPr>
    </w:p>
    <w:p w14:paraId="3EFCAE3F" w14:textId="77777777" w:rsidR="0040186B" w:rsidRPr="007B04E0" w:rsidRDefault="0040186B" w:rsidP="00C634DC">
      <w:pPr>
        <w:pStyle w:val="ruller44"/>
        <w:numPr>
          <w:ilvl w:val="0"/>
          <w:numId w:val="19"/>
        </w:numPr>
        <w:bidi/>
        <w:spacing w:before="0" w:beforeAutospacing="0" w:after="0" w:afterAutospacing="0" w:line="360" w:lineRule="auto"/>
        <w:ind w:left="714" w:hanging="357"/>
        <w:rPr>
          <w:rFonts w:ascii="Century" w:hAnsi="Century" w:cs="Miriam"/>
          <w:b/>
          <w:sz w:val="22"/>
        </w:rPr>
      </w:pPr>
      <w:r w:rsidRPr="007B04E0">
        <w:rPr>
          <w:rFonts w:ascii="Century" w:hAnsi="Century" w:cs="Miriam" w:hint="cs"/>
          <w:b/>
          <w:sz w:val="22"/>
          <w:rtl/>
        </w:rPr>
        <w:t>הרשעותיו של דרעי</w:t>
      </w:r>
    </w:p>
    <w:p w14:paraId="7EB57230" w14:textId="77777777" w:rsidR="0040186B" w:rsidRPr="007B04E0" w:rsidRDefault="0040186B" w:rsidP="00C634DC">
      <w:pPr>
        <w:pStyle w:val="Ruller4"/>
        <w:numPr>
          <w:ilvl w:val="0"/>
          <w:numId w:val="0"/>
        </w:numPr>
        <w:rPr>
          <w:rFonts w:ascii="Century" w:hAnsi="Century"/>
          <w:sz w:val="22"/>
        </w:rPr>
      </w:pPr>
    </w:p>
    <w:p w14:paraId="11EA8A56" w14:textId="77777777" w:rsidR="0040186B" w:rsidRPr="007B04E0" w:rsidRDefault="0040186B" w:rsidP="00C634DC">
      <w:pPr>
        <w:pStyle w:val="Ruller4"/>
        <w:rPr>
          <w:rFonts w:ascii="FrankRuehl" w:hAnsi="FrankRuehl"/>
          <w:color w:val="000000"/>
          <w:sz w:val="28"/>
          <w:rtl/>
        </w:rPr>
      </w:pPr>
      <w:r w:rsidRPr="007B04E0">
        <w:rPr>
          <w:rFonts w:hint="cs"/>
          <w:rtl/>
        </w:rPr>
        <w:t>דרעי הורשע</w:t>
      </w:r>
      <w:r>
        <w:rPr>
          <w:rFonts w:hint="cs"/>
          <w:rtl/>
        </w:rPr>
        <w:t>,</w:t>
      </w:r>
      <w:r w:rsidRPr="007B04E0">
        <w:rPr>
          <w:rFonts w:hint="cs"/>
          <w:rtl/>
        </w:rPr>
        <w:t xml:space="preserve"> כאמור</w:t>
      </w:r>
      <w:r>
        <w:rPr>
          <w:rFonts w:hint="cs"/>
          <w:rtl/>
        </w:rPr>
        <w:t>,</w:t>
      </w:r>
      <w:r w:rsidRPr="007B04E0">
        <w:rPr>
          <w:rFonts w:hint="cs"/>
          <w:rtl/>
        </w:rPr>
        <w:t xml:space="preserve"> בפלילים </w:t>
      </w:r>
      <w:r>
        <w:rPr>
          <w:rFonts w:hint="cs"/>
          <w:rtl/>
        </w:rPr>
        <w:t>שלוש פעמים</w:t>
      </w:r>
      <w:r w:rsidRPr="007B04E0">
        <w:rPr>
          <w:rFonts w:hint="cs"/>
          <w:rtl/>
        </w:rPr>
        <w:t xml:space="preserve"> </w:t>
      </w:r>
      <w:r w:rsidRPr="007B04E0">
        <w:rPr>
          <w:rtl/>
        </w:rPr>
        <w:t>–</w:t>
      </w:r>
      <w:r w:rsidRPr="007B04E0">
        <w:rPr>
          <w:rFonts w:hint="cs"/>
          <w:rtl/>
        </w:rPr>
        <w:t xml:space="preserve"> בתיק האישי, בתיק הציבורי ולאחרונה בעניין עבירות המס. בתיק האישי הורשע דרעי, בין היתר, בעבירת השוחד </w:t>
      </w:r>
      <w:r w:rsidRPr="007B04E0">
        <w:rPr>
          <w:rtl/>
        </w:rPr>
        <w:t>–</w:t>
      </w:r>
      <w:r>
        <w:rPr>
          <w:rFonts w:hint="cs"/>
          <w:rtl/>
        </w:rPr>
        <w:t xml:space="preserve"> שהיא מן העבירות החמורות שב</w:t>
      </w:r>
      <w:r w:rsidRPr="007B04E0">
        <w:rPr>
          <w:rFonts w:hint="cs"/>
          <w:rtl/>
        </w:rPr>
        <w:t xml:space="preserve">ספר החוקים (ובהקשר זה ראו: </w:t>
      </w:r>
      <w:r w:rsidRPr="007B04E0">
        <w:rPr>
          <w:rtl/>
        </w:rPr>
        <w:t xml:space="preserve">ע"פ 4456/14 </w:t>
      </w:r>
      <w:r w:rsidRPr="007B04E0">
        <w:rPr>
          <w:rFonts w:ascii="Century" w:hAnsi="Century" w:cs="Miriam"/>
          <w:b/>
          <w:spacing w:val="0"/>
          <w:sz w:val="22"/>
          <w:szCs w:val="24"/>
          <w:rtl/>
        </w:rPr>
        <w:t>קלנר נ' מדינת ישראל</w:t>
      </w:r>
      <w:r w:rsidRPr="007B04E0">
        <w:rPr>
          <w:rtl/>
        </w:rPr>
        <w:t>, פסקאות 3-2 לפרק "על השוחד ועל העיוורון" (29.12.2015)</w:t>
      </w:r>
      <w:r w:rsidRPr="007B04E0">
        <w:rPr>
          <w:rFonts w:hint="cs"/>
          <w:rtl/>
        </w:rPr>
        <w:t xml:space="preserve">). </w:t>
      </w:r>
      <w:r w:rsidRPr="007B04E0">
        <w:rPr>
          <w:rFonts w:ascii="Century" w:hAnsi="Century" w:hint="cs"/>
          <w:sz w:val="22"/>
          <w:rtl/>
        </w:rPr>
        <w:t>ב</w:t>
      </w:r>
      <w:r w:rsidRPr="007B04E0">
        <w:rPr>
          <w:rFonts w:ascii="Century" w:hAnsi="Century"/>
          <w:sz w:val="22"/>
          <w:rtl/>
        </w:rPr>
        <w:t>גזר הדין</w:t>
      </w:r>
      <w:r w:rsidRPr="007B04E0">
        <w:rPr>
          <w:rFonts w:ascii="Century" w:hAnsi="Century" w:hint="cs"/>
          <w:sz w:val="22"/>
          <w:rtl/>
        </w:rPr>
        <w:t xml:space="preserve"> בתיק האישי צוין</w:t>
      </w:r>
      <w:r w:rsidRPr="007B04E0">
        <w:rPr>
          <w:rFonts w:ascii="Century" w:hAnsi="Century"/>
          <w:sz w:val="22"/>
          <w:rtl/>
        </w:rPr>
        <w:t xml:space="preserve"> באשר לעבירת השוחד </w:t>
      </w:r>
      <w:r w:rsidRPr="007B04E0">
        <w:rPr>
          <w:rFonts w:ascii="Century" w:hAnsi="Century" w:hint="cs"/>
          <w:sz w:val="22"/>
          <w:rtl/>
        </w:rPr>
        <w:t>ש</w:t>
      </w:r>
      <w:r w:rsidRPr="007B04E0">
        <w:rPr>
          <w:rFonts w:ascii="Century" w:hAnsi="Century"/>
          <w:sz w:val="22"/>
          <w:rtl/>
        </w:rPr>
        <w:t>בה הורשע דרעי כי "[</w:t>
      </w:r>
      <w:r w:rsidRPr="007B04E0">
        <w:rPr>
          <w:rFonts w:ascii="Century" w:hAnsi="Century" w:hint="cs"/>
          <w:sz w:val="22"/>
          <w:rtl/>
        </w:rPr>
        <w:t>...</w:t>
      </w:r>
      <w:r w:rsidRPr="007B04E0">
        <w:rPr>
          <w:rFonts w:ascii="Century" w:hAnsi="Century"/>
          <w:sz w:val="22"/>
          <w:rtl/>
        </w:rPr>
        <w:t>]</w:t>
      </w:r>
      <w:r w:rsidRPr="007B04E0">
        <w:rPr>
          <w:rFonts w:ascii="Century" w:hAnsi="Century" w:hint="cs"/>
          <w:sz w:val="22"/>
          <w:rtl/>
        </w:rPr>
        <w:t xml:space="preserve"> </w:t>
      </w:r>
      <w:r w:rsidRPr="007B04E0">
        <w:rPr>
          <w:rFonts w:ascii="Century" w:hAnsi="Century"/>
          <w:sz w:val="22"/>
          <w:rtl/>
        </w:rPr>
        <w:t>קלון היא במהותה וקלון היא בנסיבותיה"</w:t>
      </w:r>
      <w:r w:rsidRPr="007B04E0">
        <w:rPr>
          <w:rFonts w:ascii="Century" w:hAnsi="Century" w:hint="cs"/>
          <w:sz w:val="22"/>
          <w:rtl/>
        </w:rPr>
        <w:t xml:space="preserve"> (</w:t>
      </w:r>
      <w:r w:rsidRPr="007B04E0">
        <w:rPr>
          <w:rFonts w:ascii="Century" w:hAnsi="Century" w:cs="Miriam" w:hint="cs"/>
          <w:b/>
          <w:spacing w:val="0"/>
          <w:sz w:val="22"/>
          <w:szCs w:val="24"/>
          <w:rtl/>
        </w:rPr>
        <w:t>שם</w:t>
      </w:r>
      <w:r w:rsidRPr="007B04E0">
        <w:rPr>
          <w:rFonts w:ascii="Century" w:hAnsi="Century"/>
          <w:sz w:val="22"/>
          <w:rtl/>
        </w:rPr>
        <w:t xml:space="preserve">, </w:t>
      </w:r>
      <w:r w:rsidRPr="007B04E0">
        <w:rPr>
          <w:rFonts w:ascii="Century" w:hAnsi="Century" w:hint="cs"/>
          <w:sz w:val="22"/>
          <w:rtl/>
        </w:rPr>
        <w:t>ב</w:t>
      </w:r>
      <w:r w:rsidRPr="007B04E0">
        <w:rPr>
          <w:rFonts w:ascii="Century" w:hAnsi="Century"/>
          <w:sz w:val="22"/>
          <w:rtl/>
        </w:rPr>
        <w:t>פס</w:t>
      </w:r>
      <w:r w:rsidRPr="007B04E0">
        <w:rPr>
          <w:rFonts w:ascii="Century" w:hAnsi="Century" w:hint="cs"/>
          <w:sz w:val="22"/>
          <w:rtl/>
        </w:rPr>
        <w:t>קה</w:t>
      </w:r>
      <w:r w:rsidRPr="007B04E0">
        <w:rPr>
          <w:rFonts w:ascii="Century" w:hAnsi="Century"/>
          <w:sz w:val="22"/>
          <w:rtl/>
        </w:rPr>
        <w:t xml:space="preserve"> 7</w:t>
      </w:r>
      <w:r w:rsidRPr="007B04E0">
        <w:rPr>
          <w:rFonts w:ascii="Century" w:hAnsi="Century" w:hint="cs"/>
          <w:sz w:val="22"/>
          <w:rtl/>
        </w:rPr>
        <w:t>)</w:t>
      </w:r>
      <w:r w:rsidRPr="007B04E0">
        <w:rPr>
          <w:rFonts w:ascii="Century" w:hAnsi="Century"/>
          <w:sz w:val="22"/>
          <w:rtl/>
        </w:rPr>
        <w:t xml:space="preserve"> </w:t>
      </w:r>
      <w:r w:rsidRPr="007B04E0">
        <w:rPr>
          <w:rFonts w:ascii="Century" w:hAnsi="Century" w:hint="cs"/>
          <w:sz w:val="22"/>
          <w:rtl/>
        </w:rPr>
        <w:t>וכי "</w:t>
      </w:r>
      <w:r w:rsidRPr="007B04E0">
        <w:rPr>
          <w:rFonts w:ascii="Century" w:hAnsi="Century"/>
          <w:sz w:val="22"/>
          <w:rtl/>
        </w:rPr>
        <w:t xml:space="preserve">אין מדובר </w:t>
      </w:r>
      <w:proofErr w:type="spellStart"/>
      <w:r w:rsidRPr="007B04E0">
        <w:rPr>
          <w:rFonts w:ascii="Century" w:hAnsi="Century"/>
          <w:sz w:val="22"/>
          <w:rtl/>
        </w:rPr>
        <w:t>בכשלון</w:t>
      </w:r>
      <w:proofErr w:type="spellEnd"/>
      <w:r w:rsidRPr="007B04E0">
        <w:rPr>
          <w:rFonts w:ascii="Century" w:hAnsi="Century"/>
          <w:sz w:val="22"/>
          <w:rtl/>
        </w:rPr>
        <w:t xml:space="preserve"> בודד של צעיר שעתה </w:t>
      </w:r>
      <w:r w:rsidRPr="007B04E0">
        <w:rPr>
          <w:rFonts w:ascii="Century" w:hAnsi="Century"/>
          <w:sz w:val="22"/>
          <w:rtl/>
        </w:rPr>
        <w:lastRenderedPageBreak/>
        <w:t>זה נחשף למנעמי השלטון, אלא במי שהתמיד באורח חיים המיוסד על אדני שוחד</w:t>
      </w:r>
      <w:r w:rsidRPr="007B04E0">
        <w:rPr>
          <w:rFonts w:ascii="Century" w:hAnsi="Century" w:hint="cs"/>
          <w:sz w:val="22"/>
          <w:rtl/>
        </w:rPr>
        <w:t>"</w:t>
      </w:r>
      <w:r w:rsidRPr="007B04E0">
        <w:rPr>
          <w:rFonts w:hint="cs"/>
          <w:rtl/>
        </w:rPr>
        <w:t xml:space="preserve"> (</w:t>
      </w:r>
      <w:r w:rsidRPr="007B04E0">
        <w:rPr>
          <w:rFonts w:ascii="Century" w:hAnsi="Century" w:cs="Miriam" w:hint="cs"/>
          <w:b/>
          <w:spacing w:val="0"/>
          <w:sz w:val="22"/>
          <w:szCs w:val="24"/>
          <w:rtl/>
        </w:rPr>
        <w:t>שם</w:t>
      </w:r>
      <w:r w:rsidRPr="007B04E0">
        <w:rPr>
          <w:rFonts w:hint="cs"/>
          <w:rtl/>
        </w:rPr>
        <w:t>, בפסקה 3). אף שערעורו של דרעי לבית המשפט העליון התקבל באופ</w:t>
      </w:r>
      <w:r>
        <w:rPr>
          <w:rFonts w:hint="cs"/>
          <w:rtl/>
        </w:rPr>
        <w:t>ן חלקי, נותרה הרשעה זו בעינה (אם כי</w:t>
      </w:r>
      <w:r w:rsidRPr="007B04E0">
        <w:rPr>
          <w:rFonts w:hint="cs"/>
          <w:rtl/>
        </w:rPr>
        <w:t xml:space="preserve"> בהיקף מצומצם יותר), כמו גם הרשעתו בעבירות נוספות של מרמה והפרת אמונים וקבלת דבר במרמה בנסיבות מחמירות. בתיק הציבורי, הורשע דרעי בעבירה נוספת של מרמה והפרת אמונים. באשר להרשעות</w:t>
      </w:r>
      <w:r w:rsidR="005D07D4">
        <w:rPr>
          <w:rFonts w:hint="cs"/>
          <w:rtl/>
        </w:rPr>
        <w:t xml:space="preserve"> בעבירות</w:t>
      </w:r>
      <w:r w:rsidRPr="007B04E0">
        <w:rPr>
          <w:rFonts w:hint="cs"/>
          <w:rtl/>
        </w:rPr>
        <w:t xml:space="preserve"> אלה</w:t>
      </w:r>
      <w:r>
        <w:rPr>
          <w:rFonts w:hint="cs"/>
          <w:rtl/>
        </w:rPr>
        <w:t xml:space="preserve">, </w:t>
      </w:r>
      <w:r>
        <w:rPr>
          <w:rFonts w:ascii="FrankRuehl" w:hAnsi="FrankRuehl" w:hint="cs"/>
          <w:color w:val="000000"/>
          <w:sz w:val="28"/>
          <w:rtl/>
        </w:rPr>
        <w:t>ש</w:t>
      </w:r>
      <w:r w:rsidRPr="007B04E0">
        <w:rPr>
          <w:rFonts w:ascii="FrankRuehl" w:hAnsi="FrankRuehl" w:hint="cs"/>
          <w:color w:val="000000"/>
          <w:sz w:val="28"/>
          <w:rtl/>
        </w:rPr>
        <w:t>בוצעו על</w:t>
      </w:r>
      <w:r w:rsidR="009B5181">
        <w:rPr>
          <w:rFonts w:ascii="FrankRuehl" w:hAnsi="FrankRuehl" w:hint="cs"/>
          <w:color w:val="000000"/>
          <w:sz w:val="28"/>
          <w:rtl/>
        </w:rPr>
        <w:t xml:space="preserve"> </w:t>
      </w:r>
      <w:r w:rsidRPr="007B04E0">
        <w:rPr>
          <w:rFonts w:ascii="FrankRuehl" w:hAnsi="FrankRuehl" w:hint="cs"/>
          <w:color w:val="000000"/>
          <w:sz w:val="28"/>
          <w:rtl/>
        </w:rPr>
        <w:t>ידי דרעי בעת כהונתו בתפקידים ציבוריים, ובכלל זה בתפקידו כשר הפנים</w:t>
      </w:r>
      <w:r>
        <w:rPr>
          <w:rFonts w:ascii="FrankRuehl" w:hAnsi="FrankRuehl" w:hint="cs"/>
          <w:color w:val="000000"/>
          <w:sz w:val="28"/>
          <w:rtl/>
        </w:rPr>
        <w:t>,</w:t>
      </w:r>
      <w:r w:rsidRPr="007B04E0">
        <w:rPr>
          <w:rFonts w:hint="cs"/>
          <w:rtl/>
        </w:rPr>
        <w:t xml:space="preserve"> כבר ציינתי בעבר כי </w:t>
      </w:r>
      <w:r w:rsidRPr="007B04E0">
        <w:rPr>
          <w:rFonts w:ascii="FrankRuehl" w:hAnsi="FrankRuehl" w:hint="cs"/>
          <w:color w:val="000000"/>
          <w:sz w:val="28"/>
          <w:rtl/>
        </w:rPr>
        <w:t>מדובר</w:t>
      </w:r>
      <w:r w:rsidRPr="007B04E0">
        <w:rPr>
          <w:rFonts w:ascii="FrankRuehl" w:hAnsi="FrankRuehl"/>
          <w:color w:val="000000"/>
          <w:sz w:val="28"/>
          <w:rtl/>
        </w:rPr>
        <w:t xml:space="preserve"> </w:t>
      </w:r>
      <w:r w:rsidRPr="007B04E0">
        <w:rPr>
          <w:rFonts w:ascii="FrankRuehl" w:hAnsi="FrankRuehl" w:hint="cs"/>
          <w:color w:val="000000"/>
          <w:sz w:val="28"/>
          <w:rtl/>
        </w:rPr>
        <w:t>ב"</w:t>
      </w:r>
      <w:r w:rsidRPr="007B04E0">
        <w:rPr>
          <w:rFonts w:ascii="FrankRuehl" w:hAnsi="FrankRuehl"/>
          <w:color w:val="000000"/>
          <w:sz w:val="28"/>
          <w:rtl/>
        </w:rPr>
        <w:t>עבירות מובהקות של שחיתות שלטונית המטילות על איש הציבור החוטא בהן כתם מוסרי כבד</w:t>
      </w:r>
      <w:r w:rsidRPr="007B04E0">
        <w:rPr>
          <w:rFonts w:ascii="FrankRuehl" w:hAnsi="FrankRuehl" w:hint="cs"/>
          <w:color w:val="000000"/>
          <w:sz w:val="28"/>
          <w:rtl/>
        </w:rPr>
        <w:t>" (</w:t>
      </w:r>
      <w:r w:rsidRPr="007B04E0">
        <w:rPr>
          <w:rFonts w:ascii="FrankRuehl" w:hAnsi="FrankRuehl" w:hint="eastAsia"/>
          <w:color w:val="000000"/>
          <w:sz w:val="28"/>
          <w:rtl/>
        </w:rPr>
        <w:t>עניין</w:t>
      </w:r>
      <w:r w:rsidRPr="007B04E0">
        <w:rPr>
          <w:rFonts w:ascii="FrankRuehl" w:hAnsi="FrankRuehl"/>
          <w:color w:val="000000"/>
          <w:sz w:val="28"/>
          <w:rtl/>
        </w:rPr>
        <w:t xml:space="preserve"> </w:t>
      </w:r>
      <w:r w:rsidRPr="007B04E0">
        <w:rPr>
          <w:rFonts w:ascii="Century" w:hAnsi="Century" w:cs="Miriam" w:hint="eastAsia"/>
          <w:b/>
          <w:spacing w:val="0"/>
          <w:sz w:val="22"/>
          <w:szCs w:val="24"/>
          <w:rtl/>
        </w:rPr>
        <w:t>דרעי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השני</w:t>
      </w:r>
      <w:r w:rsidRPr="007B04E0">
        <w:rPr>
          <w:rFonts w:ascii="FrankRuehl" w:hAnsi="FrankRuehl"/>
          <w:color w:val="000000"/>
          <w:sz w:val="28"/>
          <w:rtl/>
        </w:rPr>
        <w:t xml:space="preserve">, </w:t>
      </w:r>
      <w:r w:rsidRPr="007B04E0">
        <w:rPr>
          <w:rFonts w:ascii="FrankRuehl" w:hAnsi="FrankRuehl" w:hint="eastAsia"/>
          <w:color w:val="000000"/>
          <w:sz w:val="28"/>
          <w:rtl/>
        </w:rPr>
        <w:t>בפסקה</w:t>
      </w:r>
      <w:r w:rsidRPr="007B04E0">
        <w:rPr>
          <w:rFonts w:ascii="FrankRuehl" w:hAnsi="FrankRuehl"/>
          <w:color w:val="000000"/>
          <w:sz w:val="28"/>
          <w:rtl/>
        </w:rPr>
        <w:t xml:space="preserve"> 17</w:t>
      </w:r>
      <w:r w:rsidRPr="007B04E0">
        <w:rPr>
          <w:rFonts w:ascii="FrankRuehl" w:hAnsi="FrankRuehl" w:hint="cs"/>
          <w:color w:val="000000"/>
          <w:sz w:val="28"/>
          <w:rtl/>
        </w:rPr>
        <w:t>).</w:t>
      </w:r>
    </w:p>
    <w:p w14:paraId="6DC9B21F" w14:textId="77777777" w:rsidR="0040186B" w:rsidRPr="007B04E0" w:rsidRDefault="0040186B" w:rsidP="00C634DC">
      <w:pPr>
        <w:pStyle w:val="Ruller4"/>
        <w:numPr>
          <w:ilvl w:val="0"/>
          <w:numId w:val="0"/>
        </w:numPr>
        <w:rPr>
          <w:rtl/>
        </w:rPr>
      </w:pPr>
    </w:p>
    <w:p w14:paraId="6DC347E5" w14:textId="77777777" w:rsidR="0040186B" w:rsidRPr="007B04E0" w:rsidRDefault="0040186B" w:rsidP="00C634DC">
      <w:pPr>
        <w:pStyle w:val="Ruller4"/>
        <w:spacing w:after="120"/>
        <w:rPr>
          <w:color w:val="000000"/>
          <w:sz w:val="27"/>
          <w:szCs w:val="27"/>
          <w:rtl/>
        </w:rPr>
      </w:pPr>
      <w:r w:rsidRPr="007B04E0">
        <w:rPr>
          <w:rFonts w:hint="cs"/>
          <w:rtl/>
        </w:rPr>
        <w:t>אכן, אין חולק כי ההרשעות בתיק האישי והציבורי הן הרשעות "ישנות". למעשה, כבר במסגרת העתירה שעסקה במינוי דרעי לשר הכלכלה ופיתוח הנגב והגליל טען דרעי כי יש להתחשב בחלוף הזמן מאז הורשע ב</w:t>
      </w:r>
      <w:r>
        <w:rPr>
          <w:rFonts w:hint="cs"/>
          <w:rtl/>
        </w:rPr>
        <w:t>אותן ה</w:t>
      </w:r>
      <w:r w:rsidRPr="007B04E0">
        <w:rPr>
          <w:rFonts w:hint="cs"/>
          <w:rtl/>
        </w:rPr>
        <w:t xml:space="preserve">עבירות. בפרט, עמד דרעי על עקרון "תקנת השבים", המעוגן בחוק המרשם הפלילי ותקנת השבים, </w:t>
      </w:r>
      <w:r w:rsidRPr="007B04E0">
        <w:rPr>
          <w:rFonts w:ascii="FrankRuehl" w:hAnsi="FrankRuehl"/>
          <w:color w:val="000000"/>
          <w:sz w:val="28"/>
          <w:rtl/>
        </w:rPr>
        <w:t>התשמ"א-1981 (להלן: </w:t>
      </w:r>
      <w:r w:rsidRPr="007B04E0">
        <w:rPr>
          <w:rFonts w:ascii="Century" w:hAnsi="Century" w:cs="Miriam"/>
          <w:b/>
          <w:spacing w:val="0"/>
          <w:sz w:val="22"/>
          <w:szCs w:val="24"/>
          <w:rtl/>
        </w:rPr>
        <w:t>חוק המרשם הפלילי</w:t>
      </w:r>
      <w:r w:rsidRPr="007B04E0">
        <w:rPr>
          <w:rFonts w:ascii="FrankRuehl" w:hAnsi="FrankRuehl"/>
          <w:color w:val="000000"/>
          <w:sz w:val="28"/>
          <w:rtl/>
        </w:rPr>
        <w:t xml:space="preserve">), </w:t>
      </w:r>
      <w:r w:rsidRPr="007B04E0">
        <w:rPr>
          <w:rFonts w:ascii="FrankRuehl" w:hAnsi="FrankRuehl" w:hint="cs"/>
          <w:color w:val="000000"/>
          <w:sz w:val="28"/>
          <w:rtl/>
        </w:rPr>
        <w:t>ולפיו יש לאפשר</w:t>
      </w:r>
      <w:r w:rsidRPr="007B04E0">
        <w:rPr>
          <w:rFonts w:ascii="FrankRuehl" w:hAnsi="FrankRuehl"/>
          <w:color w:val="000000"/>
          <w:sz w:val="28"/>
          <w:rtl/>
        </w:rPr>
        <w:t xml:space="preserve"> לאדם בעל עבר פלילי לשקם את חייו</w:t>
      </w:r>
      <w:r w:rsidRPr="007B04E0">
        <w:rPr>
          <w:rFonts w:ascii="FrankRuehl" w:hAnsi="FrankRuehl" w:hint="cs"/>
          <w:color w:val="000000"/>
          <w:sz w:val="28"/>
          <w:rtl/>
        </w:rPr>
        <w:t xml:space="preserve">, </w:t>
      </w:r>
      <w:r>
        <w:rPr>
          <w:rFonts w:ascii="FrankRuehl" w:hAnsi="FrankRuehl" w:hint="cs"/>
          <w:color w:val="000000"/>
          <w:sz w:val="28"/>
          <w:rtl/>
        </w:rPr>
        <w:t xml:space="preserve">בהדגישו כי </w:t>
      </w:r>
      <w:r w:rsidRPr="007B04E0">
        <w:rPr>
          <w:rFonts w:ascii="FrankRuehl" w:hAnsi="FrankRuehl" w:hint="cs"/>
          <w:color w:val="000000"/>
          <w:sz w:val="28"/>
          <w:rtl/>
        </w:rPr>
        <w:t xml:space="preserve">העבירות שבהן הורשע בתיק האישי ובתיק הציבורי התיישנו </w:t>
      </w:r>
      <w:r w:rsidR="00084297">
        <w:rPr>
          <w:rFonts w:ascii="FrankRuehl" w:hAnsi="FrankRuehl" w:hint="cs"/>
          <w:color w:val="000000"/>
          <w:sz w:val="28"/>
          <w:rtl/>
        </w:rPr>
        <w:t>לפי סעיפים 14</w:t>
      </w:r>
      <w:r w:rsidRPr="007B04E0">
        <w:rPr>
          <w:rFonts w:hint="cs"/>
          <w:color w:val="000000"/>
          <w:rtl/>
        </w:rPr>
        <w:t>(א)(1)-(2)</w:t>
      </w:r>
      <w:r w:rsidRPr="007B04E0">
        <w:rPr>
          <w:rFonts w:ascii="FrankRuehl" w:hAnsi="FrankRuehl"/>
          <w:color w:val="000000"/>
          <w:sz w:val="28"/>
          <w:rtl/>
        </w:rPr>
        <w:t> לחוק המרשם הפלילי</w:t>
      </w:r>
      <w:r w:rsidRPr="007B04E0">
        <w:rPr>
          <w:rFonts w:ascii="FrankRuehl" w:hAnsi="FrankRuehl" w:hint="cs"/>
          <w:color w:val="000000"/>
          <w:sz w:val="28"/>
          <w:rtl/>
        </w:rPr>
        <w:t xml:space="preserve">. </w:t>
      </w:r>
      <w:r w:rsidRPr="007B04E0">
        <w:rPr>
          <w:rFonts w:ascii="FrankRuehl" w:hAnsi="FrankRuehl" w:hint="eastAsia"/>
          <w:color w:val="000000"/>
          <w:sz w:val="28"/>
          <w:rtl/>
        </w:rPr>
        <w:t>באותו</w:t>
      </w:r>
      <w:r w:rsidRPr="007B04E0">
        <w:rPr>
          <w:rFonts w:ascii="FrankRuehl" w:hAnsi="FrankRuehl"/>
          <w:color w:val="000000"/>
          <w:sz w:val="28"/>
          <w:rtl/>
        </w:rPr>
        <w:t xml:space="preserve"> </w:t>
      </w:r>
      <w:r w:rsidRPr="007B04E0">
        <w:rPr>
          <w:rFonts w:ascii="FrankRuehl" w:hAnsi="FrankRuehl" w:hint="eastAsia"/>
          <w:color w:val="000000"/>
          <w:sz w:val="28"/>
          <w:rtl/>
        </w:rPr>
        <w:t>עניין</w:t>
      </w:r>
      <w:r w:rsidRPr="007B04E0">
        <w:rPr>
          <w:rFonts w:ascii="FrankRuehl" w:hAnsi="FrankRuehl"/>
          <w:color w:val="000000"/>
          <w:sz w:val="28"/>
          <w:rtl/>
        </w:rPr>
        <w:t xml:space="preserve"> </w:t>
      </w:r>
      <w:r>
        <w:rPr>
          <w:rFonts w:ascii="FrankRuehl" w:hAnsi="FrankRuehl" w:hint="cs"/>
          <w:color w:val="000000"/>
          <w:sz w:val="28"/>
          <w:rtl/>
        </w:rPr>
        <w:t>צוין בפסק הדין</w:t>
      </w:r>
      <w:r w:rsidRPr="007B04E0">
        <w:rPr>
          <w:rFonts w:ascii="FrankRuehl" w:hAnsi="FrankRuehl"/>
          <w:color w:val="000000"/>
          <w:sz w:val="28"/>
          <w:rtl/>
        </w:rPr>
        <w:t xml:space="preserve"> </w:t>
      </w:r>
      <w:r w:rsidRPr="007B04E0">
        <w:rPr>
          <w:rFonts w:ascii="FrankRuehl" w:hAnsi="FrankRuehl" w:hint="eastAsia"/>
          <w:color w:val="000000"/>
          <w:sz w:val="28"/>
          <w:rtl/>
        </w:rPr>
        <w:t>כי</w:t>
      </w:r>
      <w:r w:rsidRPr="007B04E0">
        <w:rPr>
          <w:rFonts w:ascii="FrankRuehl" w:hAnsi="FrankRuehl"/>
          <w:color w:val="000000"/>
          <w:sz w:val="28"/>
          <w:rtl/>
        </w:rPr>
        <w:t xml:space="preserve"> </w:t>
      </w:r>
      <w:r w:rsidRPr="007B04E0">
        <w:rPr>
          <w:rFonts w:ascii="FrankRuehl" w:hAnsi="FrankRuehl" w:hint="eastAsia"/>
          <w:color w:val="000000"/>
          <w:sz w:val="28"/>
          <w:rtl/>
        </w:rPr>
        <w:t>חלוף</w:t>
      </w:r>
      <w:r w:rsidRPr="007B04E0">
        <w:rPr>
          <w:rFonts w:ascii="FrankRuehl" w:hAnsi="FrankRuehl"/>
          <w:color w:val="000000"/>
          <w:sz w:val="28"/>
          <w:rtl/>
        </w:rPr>
        <w:t xml:space="preserve"> </w:t>
      </w:r>
      <w:r w:rsidRPr="007B04E0">
        <w:rPr>
          <w:rFonts w:ascii="FrankRuehl" w:hAnsi="FrankRuehl" w:hint="eastAsia"/>
          <w:color w:val="000000"/>
          <w:sz w:val="28"/>
          <w:rtl/>
        </w:rPr>
        <w:t>הזמן</w:t>
      </w:r>
      <w:r w:rsidRPr="007B04E0">
        <w:rPr>
          <w:rFonts w:ascii="FrankRuehl" w:hAnsi="FrankRuehl"/>
          <w:color w:val="000000"/>
          <w:sz w:val="28"/>
          <w:rtl/>
        </w:rPr>
        <w:t xml:space="preserve"> </w:t>
      </w:r>
      <w:r>
        <w:rPr>
          <w:rFonts w:ascii="FrankRuehl" w:hAnsi="FrankRuehl" w:hint="cs"/>
          <w:color w:val="000000"/>
          <w:sz w:val="28"/>
          <w:rtl/>
        </w:rPr>
        <w:t>הוא אכן</w:t>
      </w:r>
      <w:r w:rsidRPr="007B04E0">
        <w:rPr>
          <w:rFonts w:ascii="FrankRuehl" w:hAnsi="FrankRuehl"/>
          <w:color w:val="000000"/>
          <w:sz w:val="28"/>
          <w:rtl/>
        </w:rPr>
        <w:t xml:space="preserve"> </w:t>
      </w:r>
      <w:r w:rsidRPr="007B04E0">
        <w:rPr>
          <w:rFonts w:ascii="FrankRuehl" w:hAnsi="FrankRuehl" w:hint="eastAsia"/>
          <w:color w:val="000000"/>
          <w:sz w:val="28"/>
          <w:rtl/>
        </w:rPr>
        <w:t>שיקול</w:t>
      </w:r>
      <w:r w:rsidRPr="007B04E0">
        <w:rPr>
          <w:rFonts w:ascii="FrankRuehl" w:hAnsi="FrankRuehl"/>
          <w:color w:val="000000"/>
          <w:sz w:val="28"/>
          <w:rtl/>
        </w:rPr>
        <w:t xml:space="preserve"> </w:t>
      </w:r>
      <w:r w:rsidRPr="007B04E0">
        <w:rPr>
          <w:rFonts w:ascii="FrankRuehl" w:hAnsi="FrankRuehl" w:hint="eastAsia"/>
          <w:color w:val="000000"/>
          <w:sz w:val="28"/>
          <w:rtl/>
        </w:rPr>
        <w:t>רלוונטי</w:t>
      </w:r>
      <w:r w:rsidRPr="007B04E0">
        <w:rPr>
          <w:rFonts w:ascii="FrankRuehl" w:hAnsi="FrankRuehl"/>
          <w:color w:val="000000"/>
          <w:sz w:val="28"/>
          <w:rtl/>
        </w:rPr>
        <w:t xml:space="preserve">, </w:t>
      </w:r>
      <w:r w:rsidRPr="007B04E0">
        <w:rPr>
          <w:rFonts w:ascii="FrankRuehl" w:hAnsi="FrankRuehl" w:hint="eastAsia"/>
          <w:color w:val="000000"/>
          <w:sz w:val="28"/>
          <w:rtl/>
        </w:rPr>
        <w:t>אשר</w:t>
      </w:r>
      <w:r w:rsidRPr="007B04E0">
        <w:rPr>
          <w:rFonts w:ascii="FrankRuehl" w:hAnsi="FrankRuehl"/>
          <w:color w:val="000000"/>
          <w:sz w:val="28"/>
          <w:rtl/>
        </w:rPr>
        <w:t xml:space="preserve"> "יש בו כדי להפחית מן החשש כי מינויו של מועמד שהורשע בפלילים לכהונה ציבורית יפגע באמון הציבור במערכות השלטוניות</w:t>
      </w:r>
      <w:r w:rsidRPr="007B04E0">
        <w:rPr>
          <w:rFonts w:hint="cs"/>
          <w:color w:val="000000"/>
          <w:sz w:val="27"/>
          <w:szCs w:val="27"/>
          <w:rtl/>
        </w:rPr>
        <w:t>" (</w:t>
      </w:r>
      <w:r w:rsidRPr="007B04E0">
        <w:rPr>
          <w:rFonts w:ascii="FrankRuehl" w:hAnsi="FrankRuehl" w:hint="cs"/>
          <w:color w:val="000000"/>
          <w:sz w:val="28"/>
          <w:rtl/>
        </w:rPr>
        <w:t xml:space="preserve">עניין </w:t>
      </w:r>
      <w:r w:rsidRPr="007B04E0">
        <w:rPr>
          <w:rFonts w:ascii="Century" w:hAnsi="Century" w:cs="Miriam" w:hint="cs"/>
          <w:b/>
          <w:spacing w:val="0"/>
          <w:sz w:val="22"/>
          <w:szCs w:val="24"/>
          <w:rtl/>
        </w:rPr>
        <w:t>דרעי השני</w:t>
      </w:r>
      <w:r w:rsidRPr="007B04E0">
        <w:rPr>
          <w:rFonts w:ascii="FrankRuehl" w:hAnsi="FrankRuehl" w:hint="cs"/>
          <w:color w:val="000000"/>
          <w:sz w:val="28"/>
          <w:rtl/>
        </w:rPr>
        <w:t>, בפסקה 18</w:t>
      </w:r>
      <w:r w:rsidRPr="007B04E0">
        <w:rPr>
          <w:rFonts w:hint="cs"/>
          <w:color w:val="000000"/>
          <w:sz w:val="27"/>
          <w:szCs w:val="27"/>
          <w:rtl/>
        </w:rPr>
        <w:t xml:space="preserve">). </w:t>
      </w:r>
      <w:r w:rsidRPr="007B04E0">
        <w:rPr>
          <w:rFonts w:ascii="FrankRuehl" w:hAnsi="FrankRuehl" w:hint="eastAsia"/>
          <w:color w:val="000000"/>
          <w:sz w:val="28"/>
          <w:rtl/>
        </w:rPr>
        <w:t>ואולם</w:t>
      </w:r>
      <w:r w:rsidRPr="007B04E0">
        <w:rPr>
          <w:rFonts w:ascii="FrankRuehl" w:hAnsi="FrankRuehl"/>
          <w:color w:val="000000"/>
          <w:sz w:val="28"/>
          <w:rtl/>
        </w:rPr>
        <w:t xml:space="preserve">, </w:t>
      </w:r>
      <w:r w:rsidRPr="007B04E0">
        <w:rPr>
          <w:rFonts w:ascii="FrankRuehl" w:hAnsi="FrankRuehl" w:hint="eastAsia"/>
          <w:color w:val="000000"/>
          <w:sz w:val="28"/>
          <w:rtl/>
        </w:rPr>
        <w:t>באשר</w:t>
      </w:r>
      <w:r w:rsidRPr="007B04E0">
        <w:rPr>
          <w:rFonts w:ascii="FrankRuehl" w:hAnsi="FrankRuehl"/>
          <w:color w:val="000000"/>
          <w:sz w:val="28"/>
          <w:rtl/>
        </w:rPr>
        <w:t xml:space="preserve"> </w:t>
      </w:r>
      <w:r w:rsidRPr="007B04E0">
        <w:rPr>
          <w:rFonts w:ascii="FrankRuehl" w:hAnsi="FrankRuehl" w:hint="eastAsia"/>
          <w:color w:val="000000"/>
          <w:sz w:val="28"/>
          <w:rtl/>
        </w:rPr>
        <w:t>לחוק</w:t>
      </w:r>
      <w:r w:rsidRPr="007B04E0">
        <w:rPr>
          <w:rFonts w:ascii="FrankRuehl" w:hAnsi="FrankRuehl"/>
          <w:color w:val="000000"/>
          <w:sz w:val="28"/>
          <w:rtl/>
        </w:rPr>
        <w:t xml:space="preserve"> </w:t>
      </w:r>
      <w:r w:rsidRPr="007B04E0">
        <w:rPr>
          <w:rFonts w:ascii="FrankRuehl" w:hAnsi="FrankRuehl" w:hint="eastAsia"/>
          <w:color w:val="000000"/>
          <w:sz w:val="28"/>
          <w:rtl/>
        </w:rPr>
        <w:t>המרשם</w:t>
      </w:r>
      <w:r w:rsidRPr="007B04E0">
        <w:rPr>
          <w:rFonts w:ascii="FrankRuehl" w:hAnsi="FrankRuehl"/>
          <w:color w:val="000000"/>
          <w:sz w:val="28"/>
          <w:rtl/>
        </w:rPr>
        <w:t xml:space="preserve"> </w:t>
      </w:r>
      <w:r w:rsidRPr="007B04E0">
        <w:rPr>
          <w:rFonts w:ascii="FrankRuehl" w:hAnsi="FrankRuehl" w:hint="eastAsia"/>
          <w:color w:val="000000"/>
          <w:sz w:val="28"/>
          <w:rtl/>
        </w:rPr>
        <w:t>הפלילי</w:t>
      </w:r>
      <w:r w:rsidRPr="007B04E0">
        <w:rPr>
          <w:rFonts w:ascii="FrankRuehl" w:hAnsi="FrankRuehl"/>
          <w:color w:val="000000"/>
          <w:sz w:val="28"/>
          <w:rtl/>
        </w:rPr>
        <w:t xml:space="preserve"> </w:t>
      </w:r>
      <w:r w:rsidRPr="007B04E0">
        <w:rPr>
          <w:rFonts w:ascii="FrankRuehl" w:hAnsi="FrankRuehl" w:hint="eastAsia"/>
          <w:color w:val="000000"/>
          <w:sz w:val="28"/>
          <w:rtl/>
        </w:rPr>
        <w:t>צוין</w:t>
      </w:r>
      <w:r w:rsidRPr="007B04E0">
        <w:rPr>
          <w:rFonts w:ascii="FrankRuehl" w:hAnsi="FrankRuehl"/>
          <w:color w:val="000000"/>
          <w:sz w:val="28"/>
          <w:rtl/>
        </w:rPr>
        <w:t xml:space="preserve"> </w:t>
      </w:r>
      <w:r w:rsidRPr="007B04E0">
        <w:rPr>
          <w:rFonts w:ascii="FrankRuehl" w:hAnsi="FrankRuehl" w:hint="cs"/>
          <w:color w:val="000000"/>
          <w:sz w:val="28"/>
          <w:rtl/>
        </w:rPr>
        <w:t xml:space="preserve">בפסק הדין </w:t>
      </w:r>
      <w:r w:rsidRPr="007B04E0">
        <w:rPr>
          <w:rFonts w:ascii="FrankRuehl" w:hAnsi="FrankRuehl" w:hint="eastAsia"/>
          <w:color w:val="000000"/>
          <w:sz w:val="28"/>
          <w:rtl/>
        </w:rPr>
        <w:t>כך</w:t>
      </w:r>
      <w:r w:rsidRPr="007B04E0">
        <w:rPr>
          <w:rFonts w:ascii="FrankRuehl" w:hAnsi="FrankRuehl"/>
          <w:color w:val="000000"/>
          <w:sz w:val="28"/>
          <w:rtl/>
        </w:rPr>
        <w:t>:</w:t>
      </w:r>
    </w:p>
    <w:p w14:paraId="77AA071C" w14:textId="77777777" w:rsidR="0040186B" w:rsidRPr="007B04E0" w:rsidRDefault="0040186B" w:rsidP="00785EE2">
      <w:pPr>
        <w:pStyle w:val="Ruller5"/>
        <w:rPr>
          <w:rtl/>
        </w:rPr>
      </w:pPr>
      <w:r w:rsidRPr="007B04E0">
        <w:rPr>
          <w:rFonts w:hint="cs"/>
          <w:rtl/>
        </w:rPr>
        <w:t>"</w:t>
      </w:r>
      <w:r w:rsidRPr="007B04E0">
        <w:rPr>
          <w:rtl/>
        </w:rPr>
        <w:t>בטיעוניהם התייחסו המשיבים בהקשר זה לעיקרון</w:t>
      </w:r>
      <w:r w:rsidRPr="007B04E0">
        <w:rPr>
          <w:rFonts w:hint="cs"/>
          <w:rtl/>
        </w:rPr>
        <w:t xml:space="preserve"> </w:t>
      </w:r>
      <w:r w:rsidRPr="007B04E0">
        <w:rPr>
          <w:rtl/>
        </w:rPr>
        <w:t xml:space="preserve">המונח ביסוד </w:t>
      </w:r>
      <w:r w:rsidRPr="007B04E0">
        <w:rPr>
          <w:rFonts w:hint="cs"/>
          <w:rtl/>
        </w:rPr>
        <w:t>'</w:t>
      </w:r>
      <w:r w:rsidRPr="007B04E0">
        <w:rPr>
          <w:rtl/>
        </w:rPr>
        <w:t>תקנת השבים</w:t>
      </w:r>
      <w:r w:rsidRPr="007B04E0">
        <w:rPr>
          <w:rFonts w:hint="cs"/>
          <w:rtl/>
        </w:rPr>
        <w:t>'</w:t>
      </w:r>
      <w:r w:rsidRPr="007B04E0">
        <w:rPr>
          <w:rtl/>
        </w:rPr>
        <w:t xml:space="preserve">, המיועד לאפשר לאדם שהורשע בפלילים </w:t>
      </w:r>
      <w:r w:rsidR="00785EE2">
        <w:rPr>
          <w:rFonts w:hint="cs"/>
          <w:rtl/>
        </w:rPr>
        <w:t>'</w:t>
      </w:r>
      <w:r w:rsidRPr="007B04E0">
        <w:rPr>
          <w:rtl/>
        </w:rPr>
        <w:t>לפתוח דף חדש</w:t>
      </w:r>
      <w:r w:rsidR="00785EE2">
        <w:rPr>
          <w:rFonts w:hint="cs"/>
          <w:rtl/>
        </w:rPr>
        <w:t>'</w:t>
      </w:r>
      <w:r w:rsidR="00785EE2" w:rsidRPr="007B04E0">
        <w:rPr>
          <w:rtl/>
        </w:rPr>
        <w:t xml:space="preserve"> </w:t>
      </w:r>
      <w:r w:rsidRPr="007B04E0">
        <w:rPr>
          <w:rtl/>
        </w:rPr>
        <w:t xml:space="preserve">לאחר ששילם את חובו לחברה. עיקרון זה אומץ בדין הישראלי </w:t>
      </w:r>
      <w:r w:rsidRPr="007B04E0">
        <w:rPr>
          <w:rFonts w:hint="cs"/>
          <w:rtl/>
        </w:rPr>
        <w:t xml:space="preserve">[...] </w:t>
      </w:r>
      <w:r w:rsidRPr="007B04E0">
        <w:rPr>
          <w:rtl/>
        </w:rPr>
        <w:t xml:space="preserve">וטעמיו עמו. אך בה במידה יש טעם בטענה כי </w:t>
      </w:r>
      <w:r w:rsidRPr="007B04E0">
        <w:rPr>
          <w:rFonts w:hint="cs"/>
          <w:rtl/>
        </w:rPr>
        <w:t>'</w:t>
      </w:r>
      <w:r w:rsidRPr="007B04E0">
        <w:rPr>
          <w:rtl/>
        </w:rPr>
        <w:t>פתיחת דף חדש</w:t>
      </w:r>
      <w:r w:rsidRPr="007B04E0">
        <w:rPr>
          <w:rFonts w:hint="cs"/>
          <w:rtl/>
        </w:rPr>
        <w:t>'</w:t>
      </w:r>
      <w:r w:rsidRPr="007B04E0">
        <w:rPr>
          <w:rtl/>
        </w:rPr>
        <w:t xml:space="preserve">, כאמור, </w:t>
      </w:r>
      <w:r w:rsidRPr="007B04E0">
        <w:rPr>
          <w:rFonts w:ascii="Century" w:hAnsi="Century" w:cs="Miriam"/>
          <w:b/>
          <w:spacing w:val="0"/>
          <w:szCs w:val="24"/>
          <w:rtl/>
        </w:rPr>
        <w:t>אין משמעה בהכרח מתן אפשרות לאדם שהורשע בפלילים לכהן בתפקידים ציבוריים</w:t>
      </w:r>
      <w:r w:rsidRPr="007B04E0">
        <w:rPr>
          <w:rtl/>
        </w:rPr>
        <w:t>. זאת בייחוד מקום שבו המעשים הפליליים שביצע נעשו תוך ניצול תפקיד ציבורי קודם שאותו מילא, כפי שאירע בענייננו. על כן העיקרון שביסוד תקנת השבים אף שהוא נושא משקל מסוים נוכח הזמן הניכר שחלף מאז ביצוע המעשים, אין לראות בו במקרה דנן שיקול המאפיל על כל יתר השיקולים והמכריע את הכף לטובת המינוי</w:t>
      </w:r>
      <w:r w:rsidR="00785EE2">
        <w:rPr>
          <w:rFonts w:hint="cs"/>
          <w:rtl/>
        </w:rPr>
        <w:t>"</w:t>
      </w:r>
      <w:r w:rsidRPr="007B04E0">
        <w:rPr>
          <w:rFonts w:hint="cs"/>
          <w:rtl/>
        </w:rPr>
        <w:t xml:space="preserve"> (</w:t>
      </w:r>
      <w:r w:rsidRPr="007B04E0">
        <w:rPr>
          <w:rFonts w:ascii="Century" w:hAnsi="Century" w:cs="Miriam" w:hint="cs"/>
          <w:b/>
          <w:spacing w:val="0"/>
          <w:szCs w:val="24"/>
          <w:rtl/>
        </w:rPr>
        <w:t>שם</w:t>
      </w:r>
      <w:r w:rsidRPr="007B04E0">
        <w:rPr>
          <w:rFonts w:hint="cs"/>
          <w:rtl/>
        </w:rPr>
        <w:t>, בפסקה 20)</w:t>
      </w:r>
      <w:r>
        <w:rPr>
          <w:rFonts w:hint="cs"/>
          <w:rtl/>
        </w:rPr>
        <w:t xml:space="preserve"> (ההדגשה הוספה)</w:t>
      </w:r>
      <w:r w:rsidRPr="007B04E0">
        <w:rPr>
          <w:rFonts w:hint="cs"/>
          <w:rtl/>
        </w:rPr>
        <w:t>.</w:t>
      </w:r>
    </w:p>
    <w:p w14:paraId="50DFC52B" w14:textId="77777777" w:rsidR="0040186B" w:rsidRPr="007B04E0" w:rsidRDefault="0040186B" w:rsidP="00C634DC">
      <w:pPr>
        <w:pStyle w:val="Ruller5"/>
        <w:rPr>
          <w:rtl/>
        </w:rPr>
      </w:pPr>
    </w:p>
    <w:p w14:paraId="339BD02C" w14:textId="77777777" w:rsidR="0040186B" w:rsidRPr="007B04E0" w:rsidRDefault="0040186B" w:rsidP="00C634DC">
      <w:pPr>
        <w:pStyle w:val="Ruller4"/>
      </w:pPr>
      <w:r w:rsidRPr="007B04E0">
        <w:rPr>
          <w:rFonts w:hint="cs"/>
          <w:rtl/>
        </w:rPr>
        <w:t>בינתיים, חלפו מספר שנים וחוק המרשם הפלילי הוחלף ב</w:t>
      </w:r>
      <w:r w:rsidRPr="007B04E0">
        <w:rPr>
          <w:rtl/>
        </w:rPr>
        <w:t>חוק המידע הפלילי</w:t>
      </w:r>
      <w:r w:rsidRPr="007B04E0">
        <w:rPr>
          <w:rFonts w:hint="cs"/>
          <w:rtl/>
        </w:rPr>
        <w:t xml:space="preserve">. חוק זה, שנכנס לתוקפו בחודש יולי 2022, קיצר את תקופות ההתיישנות והמחיקה </w:t>
      </w:r>
      <w:r>
        <w:rPr>
          <w:rFonts w:hint="cs"/>
          <w:rtl/>
        </w:rPr>
        <w:t>לעומת</w:t>
      </w:r>
      <w:r w:rsidRPr="007B04E0">
        <w:rPr>
          <w:rFonts w:hint="cs"/>
          <w:rtl/>
        </w:rPr>
        <w:t xml:space="preserve"> </w:t>
      </w:r>
      <w:r>
        <w:rPr>
          <w:rFonts w:hint="cs"/>
          <w:rtl/>
        </w:rPr>
        <w:t>ה</w:t>
      </w:r>
      <w:r w:rsidRPr="007B04E0">
        <w:rPr>
          <w:rFonts w:hint="cs"/>
          <w:rtl/>
        </w:rPr>
        <w:t>הו</w:t>
      </w:r>
      <w:r>
        <w:rPr>
          <w:rFonts w:hint="cs"/>
          <w:rtl/>
        </w:rPr>
        <w:t xml:space="preserve">ראות שנקבעו קודם לכן בחוק המרשם הפלילי. </w:t>
      </w:r>
      <w:r w:rsidRPr="007B04E0">
        <w:rPr>
          <w:rFonts w:hint="cs"/>
          <w:rtl/>
        </w:rPr>
        <w:t xml:space="preserve">כתוצאה מכך, אין חולק כי הרשעותיו של דרעי בתיק האישי ובתיק הציבורי עברו מסטטוס של "התיישנות" לסטטוס של </w:t>
      </w:r>
      <w:r w:rsidRPr="007B04E0">
        <w:rPr>
          <w:rFonts w:hint="cs"/>
          <w:rtl/>
        </w:rPr>
        <w:lastRenderedPageBreak/>
        <w:t xml:space="preserve">"מחיקה". </w:t>
      </w:r>
      <w:r>
        <w:rPr>
          <w:rFonts w:hint="cs"/>
          <w:rtl/>
        </w:rPr>
        <w:t>ראש הממשלה וכמוהו דרעי סבורים</w:t>
      </w:r>
      <w:r w:rsidRPr="007B04E0">
        <w:rPr>
          <w:rFonts w:hint="cs"/>
          <w:rtl/>
        </w:rPr>
        <w:t xml:space="preserve"> כי משמעות הדבר היא </w:t>
      </w:r>
      <w:r>
        <w:rPr>
          <w:rFonts w:hint="cs"/>
          <w:rtl/>
        </w:rPr>
        <w:t>שאין</w:t>
      </w:r>
      <w:r w:rsidRPr="007B04E0">
        <w:rPr>
          <w:rFonts w:hint="cs"/>
          <w:rtl/>
        </w:rPr>
        <w:t xml:space="preserve"> מקום להביא</w:t>
      </w:r>
      <w:r>
        <w:rPr>
          <w:rFonts w:hint="cs"/>
          <w:rtl/>
        </w:rPr>
        <w:t xml:space="preserve"> את ההרשעות הישנות</w:t>
      </w:r>
      <w:r w:rsidRPr="007B04E0">
        <w:rPr>
          <w:rFonts w:hint="cs"/>
          <w:rtl/>
        </w:rPr>
        <w:t xml:space="preserve"> בחשבון במסגרת שיקוליו של ראש הממשלה </w:t>
      </w:r>
      <w:r>
        <w:rPr>
          <w:rFonts w:hint="cs"/>
          <w:rtl/>
        </w:rPr>
        <w:t>לעניין</w:t>
      </w:r>
      <w:r w:rsidRPr="007B04E0">
        <w:rPr>
          <w:rFonts w:hint="cs"/>
          <w:rtl/>
        </w:rPr>
        <w:t xml:space="preserve"> מינויו של דרעי לשר. זאת, על פי הנטען, בהתאם לסעיף 38(א) לחוק המידע הפלילי ("</w:t>
      </w:r>
      <w:r w:rsidRPr="007B04E0">
        <w:rPr>
          <w:rtl/>
        </w:rPr>
        <w:t>מי שאינו זכאי לקבל מידע פלילי מסוים או ככלל, על פי דין, לרבות מידע על פרט רישום שהתיישן או שנמחק</w:t>
      </w:r>
      <w:r w:rsidRPr="007B04E0">
        <w:rPr>
          <w:rFonts w:hint="cs"/>
          <w:rtl/>
        </w:rPr>
        <w:t xml:space="preserve"> [...] </w:t>
      </w:r>
      <w:r w:rsidRPr="007B04E0">
        <w:rPr>
          <w:rtl/>
        </w:rPr>
        <w:t xml:space="preserve">לא יביא אותו בחשבון בין שיקוליו בקבלת החלטה </w:t>
      </w:r>
      <w:r w:rsidRPr="007B04E0">
        <w:rPr>
          <w:rFonts w:hint="cs"/>
          <w:rtl/>
        </w:rPr>
        <w:t xml:space="preserve">[...]"). </w:t>
      </w:r>
    </w:p>
    <w:p w14:paraId="7B8E01BF" w14:textId="77777777" w:rsidR="0040186B" w:rsidRPr="007B04E0" w:rsidRDefault="0040186B" w:rsidP="00C634DC">
      <w:pPr>
        <w:pStyle w:val="Ruller4"/>
        <w:numPr>
          <w:ilvl w:val="0"/>
          <w:numId w:val="0"/>
        </w:numPr>
        <w:rPr>
          <w:rtl/>
        </w:rPr>
      </w:pPr>
    </w:p>
    <w:p w14:paraId="11E5ED75" w14:textId="77777777" w:rsidR="0040186B" w:rsidRPr="007B04E0" w:rsidRDefault="0040186B" w:rsidP="00C634DC">
      <w:pPr>
        <w:pStyle w:val="Ruller4"/>
        <w:numPr>
          <w:ilvl w:val="0"/>
          <w:numId w:val="0"/>
        </w:numPr>
        <w:rPr>
          <w:rtl/>
        </w:rPr>
      </w:pPr>
      <w:r w:rsidRPr="007B04E0">
        <w:rPr>
          <w:rtl/>
        </w:rPr>
        <w:tab/>
      </w:r>
      <w:r w:rsidRPr="007B04E0">
        <w:rPr>
          <w:rFonts w:hint="cs"/>
          <w:rtl/>
        </w:rPr>
        <w:t xml:space="preserve">טענה זו </w:t>
      </w:r>
      <w:r>
        <w:rPr>
          <w:rFonts w:hint="cs"/>
          <w:rtl/>
        </w:rPr>
        <w:t xml:space="preserve">דינה </w:t>
      </w:r>
      <w:r w:rsidRPr="007B04E0">
        <w:rPr>
          <w:rFonts w:hint="cs"/>
          <w:rtl/>
        </w:rPr>
        <w:t xml:space="preserve">להידחות. </w:t>
      </w:r>
    </w:p>
    <w:p w14:paraId="3CD358BA" w14:textId="77777777" w:rsidR="0040186B" w:rsidRPr="007B04E0" w:rsidRDefault="0040186B" w:rsidP="00C634DC">
      <w:pPr>
        <w:pStyle w:val="Ruller4"/>
        <w:numPr>
          <w:ilvl w:val="0"/>
          <w:numId w:val="0"/>
        </w:numPr>
        <w:rPr>
          <w:rtl/>
        </w:rPr>
      </w:pPr>
    </w:p>
    <w:p w14:paraId="12FFAC64" w14:textId="77777777" w:rsidR="0040186B" w:rsidRPr="007B04E0" w:rsidRDefault="0040186B" w:rsidP="005F31D1">
      <w:pPr>
        <w:pStyle w:val="Ruller4"/>
        <w:rPr>
          <w:rtl/>
        </w:rPr>
      </w:pPr>
      <w:r w:rsidRPr="007B04E0">
        <w:rPr>
          <w:rFonts w:hint="cs"/>
          <w:rtl/>
        </w:rPr>
        <w:t>אכן, ביסוד ההסדרים הנוגעים להתיישנות ומחיקה של הרשעות ניצבת תכלית שיקומית ראויה, המשרתת את טובת הכלל</w:t>
      </w:r>
      <w:r>
        <w:rPr>
          <w:rFonts w:hint="cs"/>
          <w:rtl/>
        </w:rPr>
        <w:t xml:space="preserve"> </w:t>
      </w:r>
      <w:r>
        <w:rPr>
          <w:rtl/>
        </w:rPr>
        <w:t>–</w:t>
      </w:r>
      <w:r w:rsidRPr="007B04E0">
        <w:rPr>
          <w:rFonts w:hint="cs"/>
          <w:rtl/>
        </w:rPr>
        <w:t xml:space="preserve"> בכך שהיא מאפשרת לשלב מחדש בחברה עבריין שריצה את עונשו; </w:t>
      </w:r>
      <w:r>
        <w:rPr>
          <w:rFonts w:hint="cs"/>
          <w:rtl/>
        </w:rPr>
        <w:t>וכן</w:t>
      </w:r>
      <w:r w:rsidRPr="007B04E0">
        <w:rPr>
          <w:rFonts w:hint="cs"/>
          <w:rtl/>
        </w:rPr>
        <w:t xml:space="preserve"> את טובתו של הפרט שיכול לפתוח דף חדש בחייו, באופן שמגן, בין היתר, על כבודו, על זכותו לפרטיות ועל חופש העיסוק שלו (</w:t>
      </w:r>
      <w:proofErr w:type="spellStart"/>
      <w:r w:rsidRPr="007B04E0">
        <w:rPr>
          <w:rFonts w:hint="eastAsia"/>
          <w:rtl/>
        </w:rPr>
        <w:t>דנ</w:t>
      </w:r>
      <w:r w:rsidRPr="007B04E0">
        <w:rPr>
          <w:rtl/>
        </w:rPr>
        <w:t>"</w:t>
      </w:r>
      <w:r w:rsidRPr="007B04E0">
        <w:rPr>
          <w:rFonts w:hint="eastAsia"/>
          <w:rtl/>
        </w:rPr>
        <w:t>פ</w:t>
      </w:r>
      <w:proofErr w:type="spellEnd"/>
      <w:r w:rsidRPr="007B04E0">
        <w:rPr>
          <w:rtl/>
        </w:rPr>
        <w:t xml:space="preserve"> 9384/01 </w:t>
      </w:r>
      <w:r w:rsidRPr="007B04E0">
        <w:rPr>
          <w:rFonts w:ascii="Century" w:hAnsi="Century" w:cs="Miriam" w:hint="eastAsia"/>
          <w:b/>
          <w:spacing w:val="0"/>
          <w:sz w:val="22"/>
          <w:szCs w:val="24"/>
          <w:rtl/>
        </w:rPr>
        <w:t>אל</w:t>
      </w:r>
      <w:r w:rsidRPr="007B04E0">
        <w:rPr>
          <w:rFonts w:ascii="Century" w:hAnsi="Century" w:cs="Miriam"/>
          <w:b/>
          <w:spacing w:val="0"/>
          <w:sz w:val="22"/>
          <w:szCs w:val="24"/>
          <w:rtl/>
        </w:rPr>
        <w:t xml:space="preserve"> </w:t>
      </w:r>
      <w:proofErr w:type="spellStart"/>
      <w:r w:rsidRPr="007B04E0">
        <w:rPr>
          <w:rFonts w:ascii="Century" w:hAnsi="Century" w:cs="Miriam" w:hint="eastAsia"/>
          <w:b/>
          <w:spacing w:val="0"/>
          <w:sz w:val="22"/>
          <w:szCs w:val="24"/>
          <w:rtl/>
        </w:rPr>
        <w:t>נסאסרה</w:t>
      </w:r>
      <w:proofErr w:type="spellEnd"/>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נ</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לשכת</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עורכי</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הדין</w:t>
      </w:r>
      <w:r w:rsidRPr="007B04E0">
        <w:rPr>
          <w:rtl/>
        </w:rPr>
        <w:t xml:space="preserve">, </w:t>
      </w:r>
      <w:r w:rsidRPr="007B04E0">
        <w:rPr>
          <w:rFonts w:hint="eastAsia"/>
          <w:rtl/>
        </w:rPr>
        <w:t>פ</w:t>
      </w:r>
      <w:r w:rsidRPr="007B04E0">
        <w:rPr>
          <w:rtl/>
        </w:rPr>
        <w:t>"</w:t>
      </w:r>
      <w:r w:rsidRPr="007B04E0">
        <w:rPr>
          <w:rFonts w:hint="eastAsia"/>
          <w:rtl/>
        </w:rPr>
        <w:t>ד</w:t>
      </w:r>
      <w:r w:rsidRPr="007B04E0">
        <w:rPr>
          <w:rtl/>
        </w:rPr>
        <w:t xml:space="preserve"> </w:t>
      </w:r>
      <w:r w:rsidRPr="007B04E0">
        <w:rPr>
          <w:rFonts w:hint="eastAsia"/>
          <w:rtl/>
        </w:rPr>
        <w:t>נט</w:t>
      </w:r>
      <w:r w:rsidRPr="007B04E0">
        <w:rPr>
          <w:rtl/>
        </w:rPr>
        <w:t>(4) 637, 662 (2004) (</w:t>
      </w:r>
      <w:r w:rsidRPr="007B04E0">
        <w:rPr>
          <w:rFonts w:hint="eastAsia"/>
          <w:rtl/>
        </w:rPr>
        <w:t>להלן</w:t>
      </w:r>
      <w:r w:rsidRPr="007B04E0">
        <w:rPr>
          <w:rtl/>
        </w:rPr>
        <w:t xml:space="preserve">: </w:t>
      </w:r>
      <w:r w:rsidRPr="007B04E0">
        <w:rPr>
          <w:rFonts w:ascii="Century" w:hAnsi="Century" w:cs="Miriam" w:hint="eastAsia"/>
          <w:b/>
          <w:spacing w:val="0"/>
          <w:sz w:val="22"/>
          <w:szCs w:val="24"/>
          <w:rtl/>
        </w:rPr>
        <w:t>עניין</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אל</w:t>
      </w:r>
      <w:r w:rsidRPr="007B04E0">
        <w:rPr>
          <w:rFonts w:ascii="Century" w:hAnsi="Century" w:cs="Miriam"/>
          <w:b/>
          <w:spacing w:val="0"/>
          <w:sz w:val="22"/>
          <w:szCs w:val="24"/>
          <w:rtl/>
        </w:rPr>
        <w:t xml:space="preserve"> </w:t>
      </w:r>
      <w:proofErr w:type="spellStart"/>
      <w:r w:rsidRPr="007B04E0">
        <w:rPr>
          <w:rFonts w:ascii="Century" w:hAnsi="Century" w:cs="Miriam" w:hint="eastAsia"/>
          <w:b/>
          <w:spacing w:val="0"/>
          <w:sz w:val="22"/>
          <w:szCs w:val="24"/>
          <w:rtl/>
        </w:rPr>
        <w:t>נסאסרה</w:t>
      </w:r>
      <w:proofErr w:type="spellEnd"/>
      <w:r w:rsidRPr="007B04E0">
        <w:rPr>
          <w:rFonts w:hint="cs"/>
          <w:rtl/>
        </w:rPr>
        <w:t>)). עם זאת, "כ</w:t>
      </w:r>
      <w:r w:rsidRPr="007B04E0">
        <w:rPr>
          <w:rtl/>
        </w:rPr>
        <w:t xml:space="preserve">כל העקרונות והערכים בשיטתנו המשפטית, אף עקרון הרהביליטציה וזכויות היסוד המונחות </w:t>
      </w:r>
      <w:r w:rsidR="00F51EBE">
        <w:rPr>
          <w:rtl/>
        </w:rPr>
        <w:t>בבסיסו יחסי</w:t>
      </w:r>
      <w:r w:rsidRPr="007B04E0">
        <w:rPr>
          <w:rtl/>
        </w:rPr>
        <w:t>ים הם, ויש שהם נסוגים מפני עקרונות ואינטרסים אחרים שהחברה מוצאת להגן עליהם</w:t>
      </w:r>
      <w:r w:rsidRPr="007B04E0">
        <w:rPr>
          <w:rFonts w:hint="cs"/>
          <w:rtl/>
        </w:rPr>
        <w:t>" (</w:t>
      </w:r>
      <w:r w:rsidRPr="007B04E0">
        <w:rPr>
          <w:rFonts w:ascii="Century" w:hAnsi="Century" w:cs="Miriam" w:hint="cs"/>
          <w:b/>
          <w:spacing w:val="0"/>
          <w:sz w:val="22"/>
          <w:szCs w:val="24"/>
          <w:rtl/>
        </w:rPr>
        <w:t>שם</w:t>
      </w:r>
      <w:r w:rsidRPr="007B04E0">
        <w:rPr>
          <w:rFonts w:hint="cs"/>
          <w:rtl/>
        </w:rPr>
        <w:t xml:space="preserve">, בעמ' 664). כך, בדברי ההסבר להצעת חוק המידע הפלילי ותקנת השבים, התשע"ו-2016 הובהר בהקשר זה כי "[...] </w:t>
      </w:r>
      <w:r w:rsidRPr="007B04E0">
        <w:rPr>
          <w:rtl/>
        </w:rPr>
        <w:t>מחיקה, על פי טיבה, אינה מחיקה פיסית, אלא הגבלה משמעותית ביותר של מסירת המידע הפלילי, שמועבר לרשימה מצומצמת של גורמים המורשים לקבל ולשקול את המידע שנמחק</w:t>
      </w:r>
      <w:r w:rsidRPr="007B04E0">
        <w:rPr>
          <w:rFonts w:hint="cs"/>
          <w:rtl/>
        </w:rPr>
        <w:t xml:space="preserve"> [...]" (דברי הסבר להצעת חוק המידע הפלילי ותקנת השבים, התשע"ו-2016, ה"ח הממשלה 1282, 1300). </w:t>
      </w:r>
      <w:r>
        <w:rPr>
          <w:rFonts w:hint="cs"/>
          <w:rtl/>
        </w:rPr>
        <w:t xml:space="preserve">בהתאם </w:t>
      </w:r>
      <w:r w:rsidR="009B5181">
        <w:rPr>
          <w:rFonts w:hint="cs"/>
          <w:rtl/>
        </w:rPr>
        <w:t xml:space="preserve">לתפיסה </w:t>
      </w:r>
      <w:r>
        <w:rPr>
          <w:rFonts w:hint="cs"/>
          <w:rtl/>
        </w:rPr>
        <w:t xml:space="preserve">זו קובע </w:t>
      </w:r>
      <w:r w:rsidRPr="007B04E0">
        <w:rPr>
          <w:rFonts w:hint="cs"/>
          <w:rtl/>
        </w:rPr>
        <w:t xml:space="preserve">סעיף 21(ב) לחוק המידע הפלילי </w:t>
      </w:r>
      <w:r>
        <w:rPr>
          <w:rFonts w:hint="cs"/>
          <w:rtl/>
        </w:rPr>
        <w:t>כי</w:t>
      </w:r>
      <w:r w:rsidRPr="007B04E0">
        <w:rPr>
          <w:rFonts w:hint="cs"/>
          <w:rtl/>
        </w:rPr>
        <w:t>:</w:t>
      </w:r>
    </w:p>
    <w:p w14:paraId="7585437A" w14:textId="77777777" w:rsidR="0040186B" w:rsidRPr="007B04E0" w:rsidRDefault="0040186B" w:rsidP="00C634DC">
      <w:pPr>
        <w:pStyle w:val="Ruller4"/>
        <w:numPr>
          <w:ilvl w:val="0"/>
          <w:numId w:val="0"/>
        </w:numPr>
        <w:rPr>
          <w:rtl/>
        </w:rPr>
      </w:pPr>
    </w:p>
    <w:p w14:paraId="147AA6A5" w14:textId="77777777" w:rsidR="0040186B" w:rsidRPr="007B04E0" w:rsidRDefault="0040186B" w:rsidP="00C634DC">
      <w:pPr>
        <w:pStyle w:val="Ruller5"/>
      </w:pPr>
      <w:r w:rsidRPr="007B04E0">
        <w:rPr>
          <w:rFonts w:hint="cs"/>
          <w:rtl/>
        </w:rPr>
        <w:t>"</w:t>
      </w:r>
      <w:r w:rsidRPr="007B04E0">
        <w:rPr>
          <w:rtl/>
        </w:rPr>
        <w:t>לא יימסר מידע על פרט רישום שנמחק אלא לגורמים המנויים להלן</w:t>
      </w:r>
      <w:r w:rsidRPr="007B04E0">
        <w:rPr>
          <w:rFonts w:hint="cs"/>
          <w:rtl/>
        </w:rPr>
        <w:t>:</w:t>
      </w:r>
    </w:p>
    <w:p w14:paraId="4057BD37" w14:textId="77777777" w:rsidR="0040186B" w:rsidRPr="007B04E0" w:rsidRDefault="0040186B" w:rsidP="00785EE2">
      <w:pPr>
        <w:pStyle w:val="Ruller5"/>
      </w:pPr>
      <w:r w:rsidRPr="007B04E0">
        <w:rPr>
          <w:rFonts w:hint="cs"/>
          <w:rtl/>
        </w:rPr>
        <w:t xml:space="preserve">(1) </w:t>
      </w:r>
      <w:r w:rsidRPr="007B04E0">
        <w:rPr>
          <w:rtl/>
        </w:rPr>
        <w:t>גופים המנויים בסעיף 10 בהתאם לכללים שנקבעו מכוח סעיף 10(ב)</w:t>
      </w:r>
      <w:r w:rsidR="00785EE2" w:rsidRPr="00785EE2">
        <w:rPr>
          <w:rFonts w:ascii="FrankRuehl" w:hAnsi="FrankRuehl"/>
          <w:sz w:val="28"/>
        </w:rPr>
        <w:t xml:space="preserve"> ;</w:t>
      </w:r>
    </w:p>
    <w:p w14:paraId="0102C671" w14:textId="77777777" w:rsidR="0040186B" w:rsidRPr="007B04E0" w:rsidRDefault="0040186B" w:rsidP="00785EE2">
      <w:pPr>
        <w:pStyle w:val="Ruller5"/>
      </w:pPr>
      <w:r w:rsidRPr="007B04E0">
        <w:rPr>
          <w:rFonts w:hint="cs"/>
          <w:rtl/>
        </w:rPr>
        <w:t xml:space="preserve">(2) </w:t>
      </w:r>
      <w:r w:rsidRPr="007B04E0">
        <w:rPr>
          <w:rtl/>
        </w:rPr>
        <w:t>בעלי התפקידים המנויים בפרט 5(12)(ב) עד (ז) לתוספת הראשונה, והממונה על רישוי אומנה לפי חוק אומנה לילדים, התשע"ו-2016, מטעמים מיוחדים שיירשמו</w:t>
      </w:r>
      <w:r w:rsidR="00785EE2" w:rsidRPr="00785EE2">
        <w:rPr>
          <w:rFonts w:ascii="FrankRuehl" w:hAnsi="FrankRuehl"/>
          <w:sz w:val="28"/>
        </w:rPr>
        <w:t>;</w:t>
      </w:r>
    </w:p>
    <w:p w14:paraId="6283A042" w14:textId="77777777" w:rsidR="0040186B" w:rsidRPr="007B04E0" w:rsidRDefault="0040186B" w:rsidP="00C634DC">
      <w:pPr>
        <w:pStyle w:val="Ruller5"/>
        <w:rPr>
          <w:rtl/>
        </w:rPr>
      </w:pPr>
      <w:r w:rsidRPr="007B04E0">
        <w:rPr>
          <w:rFonts w:hint="cs"/>
          <w:rtl/>
        </w:rPr>
        <w:t xml:space="preserve">(3) </w:t>
      </w:r>
      <w:r w:rsidRPr="007B04E0">
        <w:rPr>
          <w:rtl/>
        </w:rPr>
        <w:t xml:space="preserve">היועץ המשפטי לממשלה, </w:t>
      </w:r>
      <w:r w:rsidRPr="007B04E0">
        <w:rPr>
          <w:rFonts w:ascii="Century" w:hAnsi="Century" w:cs="Miriam"/>
          <w:b/>
          <w:spacing w:val="0"/>
          <w:szCs w:val="24"/>
          <w:rtl/>
        </w:rPr>
        <w:t>הגורמים המנויים בפרט 4(1) עד (5) לתוספת הראשונה</w:t>
      </w:r>
      <w:r w:rsidRPr="007B04E0">
        <w:rPr>
          <w:rtl/>
        </w:rPr>
        <w:t>, וכן – מטעמים מיוחדים שיירשמו – בא כוח היועץ המשפטי לממשלה ובית משפט או בית דין בהליך משפטי שאינו הליך פלילי, אם הגילוי על פרט הרישום שנמחק הוא מהותי לדיון בהליך שיפוטי</w:t>
      </w:r>
      <w:r w:rsidRPr="007B04E0">
        <w:rPr>
          <w:rFonts w:hint="cs"/>
          <w:rtl/>
        </w:rPr>
        <w:t>" (ההדגשה הוספה).</w:t>
      </w:r>
    </w:p>
    <w:p w14:paraId="6EA8018E" w14:textId="77777777" w:rsidR="0040186B" w:rsidRPr="007B04E0" w:rsidRDefault="0040186B" w:rsidP="00C634DC">
      <w:pPr>
        <w:pStyle w:val="Ruller5"/>
        <w:rPr>
          <w:rtl/>
        </w:rPr>
      </w:pPr>
    </w:p>
    <w:p w14:paraId="3E509A60" w14:textId="77777777" w:rsidR="0040186B" w:rsidRPr="007B04E0" w:rsidRDefault="0040186B" w:rsidP="00C634DC">
      <w:pPr>
        <w:pStyle w:val="Ruller4"/>
        <w:numPr>
          <w:ilvl w:val="0"/>
          <w:numId w:val="0"/>
        </w:numPr>
        <w:rPr>
          <w:rtl/>
        </w:rPr>
      </w:pPr>
      <w:r w:rsidRPr="007B04E0">
        <w:rPr>
          <w:rtl/>
        </w:rPr>
        <w:tab/>
      </w:r>
      <w:r w:rsidRPr="007B04E0">
        <w:rPr>
          <w:rFonts w:hint="cs"/>
          <w:rtl/>
        </w:rPr>
        <w:t xml:space="preserve">פרט 4 לתוספת הראשונה </w:t>
      </w:r>
      <w:r w:rsidRPr="007B04E0">
        <w:rPr>
          <w:rtl/>
        </w:rPr>
        <w:t>–</w:t>
      </w:r>
      <w:r w:rsidRPr="007B04E0">
        <w:rPr>
          <w:rFonts w:hint="cs"/>
          <w:rtl/>
        </w:rPr>
        <w:t xml:space="preserve"> שכותרתו היא </w:t>
      </w:r>
      <w:r w:rsidRPr="007B04E0">
        <w:rPr>
          <w:rFonts w:ascii="Century" w:hAnsi="Century" w:cs="Miriam" w:hint="cs"/>
          <w:b/>
          <w:spacing w:val="0"/>
          <w:sz w:val="22"/>
          <w:szCs w:val="24"/>
          <w:rtl/>
        </w:rPr>
        <w:t>"</w:t>
      </w:r>
      <w:r w:rsidRPr="007B04E0">
        <w:rPr>
          <w:rFonts w:ascii="Century" w:hAnsi="Century" w:cs="Miriam"/>
          <w:b/>
          <w:spacing w:val="0"/>
          <w:sz w:val="22"/>
          <w:szCs w:val="24"/>
          <w:rtl/>
        </w:rPr>
        <w:t>גורמים הממנים בעלי תפקידים בשירות הציבורי</w:t>
      </w:r>
      <w:r w:rsidRPr="007B04E0">
        <w:rPr>
          <w:rFonts w:hint="cs"/>
          <w:rtl/>
        </w:rPr>
        <w:t>" מונה, בין היתר, את הגורמים הבאים:</w:t>
      </w:r>
    </w:p>
    <w:p w14:paraId="353F1D08" w14:textId="77777777" w:rsidR="0040186B" w:rsidRPr="007B04E0" w:rsidRDefault="0040186B" w:rsidP="00C634DC">
      <w:pPr>
        <w:pStyle w:val="Ruller5"/>
      </w:pPr>
      <w:r w:rsidRPr="007B04E0">
        <w:rPr>
          <w:rFonts w:hint="cs"/>
          <w:rtl/>
        </w:rPr>
        <w:lastRenderedPageBreak/>
        <w:t xml:space="preserve">"(1) </w:t>
      </w:r>
      <w:r w:rsidRPr="007B04E0">
        <w:rPr>
          <w:rtl/>
        </w:rPr>
        <w:t>יושב ראש הכנסת – לעניין בחירת נשיא המדינה, וועדת הכנסת – לעניין מינוי מבקר המדינה</w:t>
      </w:r>
      <w:r w:rsidRPr="00785EE2">
        <w:rPr>
          <w:rFonts w:ascii="FrankRuehl" w:hAnsi="FrankRuehl"/>
          <w:sz w:val="28"/>
        </w:rPr>
        <w:t>;</w:t>
      </w:r>
    </w:p>
    <w:p w14:paraId="514992AC" w14:textId="77777777" w:rsidR="0040186B" w:rsidRPr="007B04E0" w:rsidRDefault="0040186B" w:rsidP="00C634DC">
      <w:pPr>
        <w:pStyle w:val="Ruller5"/>
      </w:pPr>
      <w:r w:rsidRPr="007B04E0">
        <w:rPr>
          <w:rFonts w:hint="cs"/>
          <w:rtl/>
        </w:rPr>
        <w:t xml:space="preserve">(2) </w:t>
      </w:r>
      <w:r w:rsidRPr="007B04E0">
        <w:rPr>
          <w:rtl/>
        </w:rPr>
        <w:t>הממשלה – לעניין מינוי בעלי תפקידים שמינוים מוטל עליה ולעניין סעיף 8 לחוק בנק ישראל, התש"ע-2010</w:t>
      </w:r>
      <w:r w:rsidRPr="007B04E0">
        <w:rPr>
          <w:rFonts w:hint="cs"/>
          <w:rtl/>
        </w:rPr>
        <w:t>;</w:t>
      </w:r>
    </w:p>
    <w:p w14:paraId="0E8CB75D" w14:textId="77777777" w:rsidR="0040186B" w:rsidRPr="007B04E0" w:rsidRDefault="0040186B" w:rsidP="00C634DC">
      <w:pPr>
        <w:pStyle w:val="Ruller5"/>
      </w:pPr>
      <w:r w:rsidRPr="007B04E0">
        <w:rPr>
          <w:rFonts w:hint="cs"/>
          <w:rtl/>
        </w:rPr>
        <w:t>[...]</w:t>
      </w:r>
    </w:p>
    <w:p w14:paraId="47632D52" w14:textId="77777777" w:rsidR="0040186B" w:rsidRPr="007B04E0" w:rsidRDefault="0040186B" w:rsidP="00C634DC">
      <w:pPr>
        <w:pStyle w:val="Ruller5"/>
        <w:rPr>
          <w:rtl/>
        </w:rPr>
      </w:pPr>
      <w:r w:rsidRPr="007B04E0">
        <w:rPr>
          <w:rFonts w:hint="cs"/>
          <w:rtl/>
        </w:rPr>
        <w:t xml:space="preserve">(5) </w:t>
      </w:r>
      <w:r w:rsidRPr="007B04E0">
        <w:rPr>
          <w:rtl/>
        </w:rPr>
        <w:t>שר, מנהל כללי או יועץ משפטי של משרד ממשלתי – לעניין מינוי לתפקיד שלא בדרך של מכרז שנעשה בידי שר או בידי הממשלה או מינוי הטעון את אישורה של הממשלה, למעט מינויים הנבדקים על ידי הוועדה לבדיקת מינויים</w:t>
      </w:r>
      <w:r w:rsidRPr="007B04E0">
        <w:rPr>
          <w:rFonts w:hint="cs"/>
          <w:rtl/>
        </w:rPr>
        <w:t xml:space="preserve"> [...];</w:t>
      </w:r>
    </w:p>
    <w:p w14:paraId="42CE8804" w14:textId="77777777" w:rsidR="0040186B" w:rsidRPr="007B04E0" w:rsidRDefault="0040186B" w:rsidP="00C634DC">
      <w:pPr>
        <w:pStyle w:val="Ruller5"/>
        <w:rPr>
          <w:rtl/>
        </w:rPr>
      </w:pPr>
      <w:r w:rsidRPr="007B04E0">
        <w:rPr>
          <w:rFonts w:hint="cs"/>
          <w:rtl/>
        </w:rPr>
        <w:t>[...]"</w:t>
      </w:r>
    </w:p>
    <w:p w14:paraId="0844EA82" w14:textId="77777777" w:rsidR="0040186B" w:rsidRPr="007B04E0" w:rsidRDefault="0040186B" w:rsidP="00C634DC">
      <w:pPr>
        <w:pStyle w:val="Ruller5"/>
        <w:rPr>
          <w:rtl/>
        </w:rPr>
      </w:pPr>
    </w:p>
    <w:p w14:paraId="56E523AA" w14:textId="77777777" w:rsidR="0040186B" w:rsidRPr="007B04E0" w:rsidRDefault="0040186B" w:rsidP="00785EE2">
      <w:pPr>
        <w:pStyle w:val="Ruller4"/>
      </w:pPr>
      <w:r w:rsidRPr="007B04E0">
        <w:rPr>
          <w:rFonts w:hint="cs"/>
          <w:rtl/>
        </w:rPr>
        <w:t>פרט</w:t>
      </w:r>
      <w:r>
        <w:rPr>
          <w:rFonts w:hint="cs"/>
          <w:rtl/>
        </w:rPr>
        <w:t xml:space="preserve"> 4</w:t>
      </w:r>
      <w:r w:rsidRPr="007B04E0">
        <w:rPr>
          <w:rFonts w:hint="cs"/>
          <w:rtl/>
        </w:rPr>
        <w:t xml:space="preserve"> אינו מתייחס באופן מפורש למינוי שרים, אך לגישתי ניתן ללמוד מכותרתו ומתוכנו כי הוא נועד להחריג את הכללים הנוגעים למחיקת עבירות מן המרשם</w:t>
      </w:r>
      <w:r>
        <w:rPr>
          <w:rFonts w:hint="cs"/>
          <w:rtl/>
        </w:rPr>
        <w:t>,</w:t>
      </w:r>
      <w:r w:rsidRPr="007B04E0">
        <w:rPr>
          <w:rFonts w:hint="cs"/>
          <w:rtl/>
        </w:rPr>
        <w:t xml:space="preserve"> </w:t>
      </w:r>
      <w:r>
        <w:rPr>
          <w:rFonts w:hint="cs"/>
          <w:rtl/>
        </w:rPr>
        <w:t>מקום שבו</w:t>
      </w:r>
      <w:r w:rsidRPr="007B04E0">
        <w:rPr>
          <w:rFonts w:hint="cs"/>
          <w:rtl/>
        </w:rPr>
        <w:t xml:space="preserve"> עסקינן במינוי </w:t>
      </w:r>
      <w:r>
        <w:rPr>
          <w:rFonts w:hint="cs"/>
          <w:rtl/>
        </w:rPr>
        <w:t xml:space="preserve">של </w:t>
      </w:r>
      <w:r w:rsidRPr="007B04E0">
        <w:rPr>
          <w:rFonts w:hint="cs"/>
          <w:rtl/>
        </w:rPr>
        <w:t>בעלי תפקי</w:t>
      </w:r>
      <w:r>
        <w:rPr>
          <w:rFonts w:hint="cs"/>
          <w:rtl/>
        </w:rPr>
        <w:t>ד</w:t>
      </w:r>
      <w:r w:rsidRPr="007B04E0">
        <w:rPr>
          <w:rFonts w:hint="cs"/>
          <w:rtl/>
        </w:rPr>
        <w:t xml:space="preserve"> בשירות הציבורי. דברים אלה הובהרו גם בדברי ההסבר להצעת חוק המרשם הפלילי</w:t>
      </w:r>
      <w:r>
        <w:rPr>
          <w:rFonts w:hint="cs"/>
          <w:rtl/>
        </w:rPr>
        <w:t>,</w:t>
      </w:r>
      <w:r w:rsidRPr="007B04E0">
        <w:rPr>
          <w:rFonts w:hint="cs"/>
          <w:rtl/>
        </w:rPr>
        <w:t xml:space="preserve"> שכלל</w:t>
      </w:r>
      <w:r w:rsidR="00F54A29">
        <w:rPr>
          <w:rFonts w:hint="cs"/>
          <w:rtl/>
        </w:rPr>
        <w:t>ה</w:t>
      </w:r>
      <w:r w:rsidRPr="007B04E0">
        <w:rPr>
          <w:rFonts w:hint="cs"/>
          <w:rtl/>
        </w:rPr>
        <w:t xml:space="preserve"> הוראה דומה, לגביה צוין כי "</w:t>
      </w:r>
      <w:r w:rsidRPr="007B04E0">
        <w:rPr>
          <w:rtl/>
        </w:rPr>
        <w:t>נקבעו בהצעה מגבלות אחדות על זכותו של העבריין שלא יזכרו חטאיו – בשל חומרת העבירה, בשל משרה שנושאה צריך לשמש דוגמה אישית לציבור, או בשל תפקיד שבו נדרש אמון מממלא התפקיד והאמון הדרוש נפגע כתוצאה מהעבירה״</w:t>
      </w:r>
      <w:r w:rsidRPr="007B04E0">
        <w:rPr>
          <w:rFonts w:hint="cs"/>
          <w:rtl/>
        </w:rPr>
        <w:t xml:space="preserve"> (דברי הסבר ל</w:t>
      </w:r>
      <w:r w:rsidRPr="007B04E0">
        <w:rPr>
          <w:rFonts w:hint="eastAsia"/>
          <w:rtl/>
        </w:rPr>
        <w:t>הצעת</w:t>
      </w:r>
      <w:r w:rsidRPr="007B04E0">
        <w:rPr>
          <w:rtl/>
        </w:rPr>
        <w:t xml:space="preserve"> </w:t>
      </w:r>
      <w:r w:rsidRPr="007B04E0">
        <w:rPr>
          <w:rFonts w:hint="eastAsia"/>
          <w:rtl/>
        </w:rPr>
        <w:t>חוק</w:t>
      </w:r>
      <w:r w:rsidRPr="007B04E0">
        <w:rPr>
          <w:rtl/>
        </w:rPr>
        <w:t xml:space="preserve"> </w:t>
      </w:r>
      <w:r w:rsidRPr="007B04E0">
        <w:rPr>
          <w:rFonts w:hint="eastAsia"/>
          <w:rtl/>
        </w:rPr>
        <w:t>המרשם</w:t>
      </w:r>
      <w:r w:rsidRPr="007B04E0">
        <w:rPr>
          <w:rtl/>
        </w:rPr>
        <w:t xml:space="preserve"> </w:t>
      </w:r>
      <w:r w:rsidRPr="007B04E0">
        <w:rPr>
          <w:rFonts w:hint="eastAsia"/>
          <w:rtl/>
        </w:rPr>
        <w:t>הפלילי</w:t>
      </w:r>
      <w:r w:rsidRPr="007B04E0">
        <w:rPr>
          <w:rtl/>
        </w:rPr>
        <w:t xml:space="preserve"> </w:t>
      </w:r>
      <w:r w:rsidRPr="007B04E0">
        <w:rPr>
          <w:rFonts w:hint="eastAsia"/>
          <w:rtl/>
        </w:rPr>
        <w:t>ותקנת</w:t>
      </w:r>
      <w:r w:rsidRPr="007B04E0">
        <w:rPr>
          <w:rtl/>
        </w:rPr>
        <w:t xml:space="preserve"> </w:t>
      </w:r>
      <w:r w:rsidRPr="007B04E0">
        <w:rPr>
          <w:rFonts w:hint="eastAsia"/>
          <w:rtl/>
        </w:rPr>
        <w:t>השבים</w:t>
      </w:r>
      <w:r w:rsidRPr="007B04E0">
        <w:rPr>
          <w:rtl/>
        </w:rPr>
        <w:t xml:space="preserve">, </w:t>
      </w:r>
      <w:r w:rsidRPr="007B04E0">
        <w:rPr>
          <w:rFonts w:hint="eastAsia"/>
          <w:rtl/>
        </w:rPr>
        <w:t>התשמ</w:t>
      </w:r>
      <w:r w:rsidRPr="007B04E0">
        <w:rPr>
          <w:rtl/>
        </w:rPr>
        <w:t>"</w:t>
      </w:r>
      <w:r w:rsidRPr="007B04E0">
        <w:rPr>
          <w:rFonts w:hint="eastAsia"/>
          <w:rtl/>
        </w:rPr>
        <w:t>א</w:t>
      </w:r>
      <w:r w:rsidRPr="007B04E0">
        <w:rPr>
          <w:rtl/>
        </w:rPr>
        <w:t xml:space="preserve">-1981, </w:t>
      </w:r>
      <w:r w:rsidRPr="007B04E0">
        <w:rPr>
          <w:rFonts w:hint="eastAsia"/>
          <w:rtl/>
        </w:rPr>
        <w:t>ה</w:t>
      </w:r>
      <w:r w:rsidRPr="007B04E0">
        <w:rPr>
          <w:rtl/>
        </w:rPr>
        <w:t>"</w:t>
      </w:r>
      <w:r w:rsidRPr="007B04E0">
        <w:rPr>
          <w:rFonts w:hint="eastAsia"/>
          <w:rtl/>
        </w:rPr>
        <w:t>ח</w:t>
      </w:r>
      <w:r w:rsidRPr="007B04E0">
        <w:rPr>
          <w:rtl/>
        </w:rPr>
        <w:t xml:space="preserve"> 217; </w:t>
      </w:r>
      <w:r w:rsidRPr="007B04E0">
        <w:rPr>
          <w:rFonts w:hint="eastAsia"/>
          <w:rtl/>
        </w:rPr>
        <w:t>ראו</w:t>
      </w:r>
      <w:r w:rsidRPr="007B04E0">
        <w:rPr>
          <w:rtl/>
        </w:rPr>
        <w:t xml:space="preserve"> </w:t>
      </w:r>
      <w:r w:rsidRPr="007B04E0">
        <w:rPr>
          <w:rFonts w:hint="eastAsia"/>
          <w:rtl/>
        </w:rPr>
        <w:t>גם</w:t>
      </w:r>
      <w:r w:rsidRPr="007B04E0">
        <w:rPr>
          <w:rtl/>
        </w:rPr>
        <w:t xml:space="preserve">: </w:t>
      </w:r>
      <w:r w:rsidRPr="007B04E0">
        <w:rPr>
          <w:rFonts w:hint="eastAsia"/>
          <w:rtl/>
        </w:rPr>
        <w:t>עניין</w:t>
      </w:r>
      <w:r w:rsidRPr="007B04E0">
        <w:rPr>
          <w:rtl/>
        </w:rPr>
        <w:t xml:space="preserve"> </w:t>
      </w:r>
      <w:r w:rsidRPr="007B04E0">
        <w:rPr>
          <w:rFonts w:ascii="Century" w:hAnsi="Century" w:cs="Miriam" w:hint="eastAsia"/>
          <w:b/>
          <w:spacing w:val="0"/>
          <w:sz w:val="22"/>
          <w:szCs w:val="24"/>
          <w:rtl/>
        </w:rPr>
        <w:t>אל</w:t>
      </w:r>
      <w:r w:rsidRPr="007B04E0">
        <w:rPr>
          <w:rFonts w:ascii="Century" w:hAnsi="Century" w:cs="Miriam"/>
          <w:b/>
          <w:spacing w:val="0"/>
          <w:sz w:val="22"/>
          <w:szCs w:val="24"/>
          <w:rtl/>
        </w:rPr>
        <w:t xml:space="preserve"> </w:t>
      </w:r>
      <w:proofErr w:type="spellStart"/>
      <w:r w:rsidRPr="007B04E0">
        <w:rPr>
          <w:rFonts w:ascii="Century" w:hAnsi="Century" w:cs="Miriam" w:hint="eastAsia"/>
          <w:b/>
          <w:spacing w:val="0"/>
          <w:sz w:val="22"/>
          <w:szCs w:val="24"/>
          <w:rtl/>
        </w:rPr>
        <w:t>נסאסרה</w:t>
      </w:r>
      <w:proofErr w:type="spellEnd"/>
      <w:r w:rsidRPr="007B04E0">
        <w:rPr>
          <w:rtl/>
        </w:rPr>
        <w:t xml:space="preserve">, </w:t>
      </w:r>
      <w:r w:rsidRPr="007B04E0">
        <w:rPr>
          <w:rFonts w:hint="eastAsia"/>
          <w:rtl/>
        </w:rPr>
        <w:t>בעמ</w:t>
      </w:r>
      <w:r w:rsidRPr="007B04E0">
        <w:rPr>
          <w:rtl/>
        </w:rPr>
        <w:t>' 664</w:t>
      </w:r>
      <w:r w:rsidRPr="007B04E0">
        <w:rPr>
          <w:rFonts w:hint="cs"/>
          <w:rtl/>
        </w:rPr>
        <w:t xml:space="preserve">). אין חולק כי תפקיד שר במשרד ממשלתי הינו תפקיד ציבורי רם דרג, אשר לצד </w:t>
      </w:r>
      <w:r>
        <w:rPr>
          <w:rFonts w:hint="cs"/>
          <w:rtl/>
        </w:rPr>
        <w:t>המעמד השלטוני</w:t>
      </w:r>
      <w:r w:rsidRPr="007B04E0">
        <w:rPr>
          <w:rFonts w:hint="cs"/>
          <w:rtl/>
        </w:rPr>
        <w:t xml:space="preserve"> יש בו </w:t>
      </w:r>
      <w:r>
        <w:rPr>
          <w:rFonts w:hint="cs"/>
          <w:rtl/>
        </w:rPr>
        <w:t xml:space="preserve">גם </w:t>
      </w:r>
      <w:r w:rsidRPr="007B04E0">
        <w:rPr>
          <w:rFonts w:hint="cs"/>
          <w:rtl/>
        </w:rPr>
        <w:t xml:space="preserve">אחריות על מערך לוגיסטי שלם, עובדים רבים ותקציבים </w:t>
      </w:r>
      <w:r>
        <w:rPr>
          <w:rFonts w:hint="cs"/>
          <w:rtl/>
        </w:rPr>
        <w:t xml:space="preserve">ציבוריים </w:t>
      </w:r>
      <w:r w:rsidRPr="007B04E0">
        <w:rPr>
          <w:rFonts w:hint="cs"/>
          <w:rtl/>
        </w:rPr>
        <w:t xml:space="preserve">משמעותיים. </w:t>
      </w:r>
      <w:r>
        <w:rPr>
          <w:rFonts w:hint="cs"/>
          <w:rtl/>
        </w:rPr>
        <w:t xml:space="preserve">חובת </w:t>
      </w:r>
      <w:r w:rsidRPr="007B04E0">
        <w:rPr>
          <w:rFonts w:hint="cs"/>
          <w:rtl/>
        </w:rPr>
        <w:t>האמון והדוגמה האישית</w:t>
      </w:r>
      <w:r>
        <w:rPr>
          <w:rFonts w:hint="cs"/>
          <w:rtl/>
        </w:rPr>
        <w:t xml:space="preserve"> כלפי הציבור </w:t>
      </w:r>
      <w:r w:rsidR="00785EE2">
        <w:rPr>
          <w:rFonts w:hint="cs"/>
          <w:rtl/>
        </w:rPr>
        <w:t xml:space="preserve">טבועות </w:t>
      </w:r>
      <w:r>
        <w:rPr>
          <w:rFonts w:hint="cs"/>
          <w:rtl/>
        </w:rPr>
        <w:t>עמוק באופייה</w:t>
      </w:r>
      <w:r w:rsidRPr="007B04E0">
        <w:rPr>
          <w:rFonts w:hint="cs"/>
          <w:rtl/>
        </w:rPr>
        <w:t xml:space="preserve"> של משרה שלטונית זו, ומשכך יש לאפשר לגורם הממנה אדם למשרה זו לבחון את עברו הפלילי</w:t>
      </w:r>
      <w:r>
        <w:rPr>
          <w:rFonts w:hint="cs"/>
          <w:rtl/>
        </w:rPr>
        <w:t xml:space="preserve"> </w:t>
      </w:r>
      <w:r>
        <w:rPr>
          <w:rtl/>
        </w:rPr>
        <w:t>–</w:t>
      </w:r>
      <w:r>
        <w:rPr>
          <w:rFonts w:hint="cs"/>
          <w:rtl/>
        </w:rPr>
        <w:t xml:space="preserve"> </w:t>
      </w:r>
      <w:r w:rsidRPr="007B04E0">
        <w:rPr>
          <w:rFonts w:hint="cs"/>
          <w:rtl/>
        </w:rPr>
        <w:t>לרבות הרשעות שנמחקו</w:t>
      </w:r>
      <w:r>
        <w:rPr>
          <w:rFonts w:hint="cs"/>
          <w:rtl/>
        </w:rPr>
        <w:t xml:space="preserve"> </w:t>
      </w:r>
      <w:r>
        <w:rPr>
          <w:rtl/>
        </w:rPr>
        <w:t>–</w:t>
      </w:r>
      <w:r>
        <w:rPr>
          <w:rFonts w:hint="cs"/>
          <w:rtl/>
        </w:rPr>
        <w:t xml:space="preserve"> ואף </w:t>
      </w:r>
      <w:r w:rsidRPr="007B04E0">
        <w:rPr>
          <w:rFonts w:hint="cs"/>
          <w:rtl/>
        </w:rPr>
        <w:t xml:space="preserve">מצופה ממנו כי יעשה כן (ראו והשוו: עניין </w:t>
      </w:r>
      <w:r w:rsidRPr="007B04E0">
        <w:rPr>
          <w:rFonts w:ascii="Century" w:hAnsi="Century" w:cs="Miriam" w:hint="cs"/>
          <w:b/>
          <w:spacing w:val="0"/>
          <w:sz w:val="22"/>
          <w:szCs w:val="24"/>
          <w:rtl/>
        </w:rPr>
        <w:t>אייזנברג</w:t>
      </w:r>
      <w:r w:rsidRPr="007B04E0">
        <w:rPr>
          <w:rFonts w:hint="cs"/>
          <w:rtl/>
        </w:rPr>
        <w:t>, בעמ' 269).</w:t>
      </w:r>
    </w:p>
    <w:p w14:paraId="2F961191" w14:textId="77777777" w:rsidR="0040186B" w:rsidRPr="007B04E0" w:rsidRDefault="0040186B" w:rsidP="00C634DC">
      <w:pPr>
        <w:pStyle w:val="Ruller4"/>
        <w:numPr>
          <w:ilvl w:val="0"/>
          <w:numId w:val="0"/>
        </w:numPr>
        <w:rPr>
          <w:rtl/>
        </w:rPr>
      </w:pPr>
    </w:p>
    <w:p w14:paraId="2B2CB53A" w14:textId="77777777" w:rsidR="0040186B" w:rsidRPr="007B04E0" w:rsidRDefault="0040186B" w:rsidP="00705D3F">
      <w:pPr>
        <w:pStyle w:val="Ruller41"/>
        <w:spacing w:after="120"/>
        <w:rPr>
          <w:rtl/>
        </w:rPr>
      </w:pPr>
      <w:r w:rsidRPr="007B04E0">
        <w:rPr>
          <w:rtl/>
        </w:rPr>
        <w:tab/>
      </w:r>
      <w:r w:rsidRPr="007B04E0">
        <w:rPr>
          <w:rFonts w:hint="cs"/>
          <w:rtl/>
        </w:rPr>
        <w:t xml:space="preserve">בהקשר זה </w:t>
      </w:r>
      <w:r>
        <w:rPr>
          <w:rFonts w:hint="cs"/>
          <w:rtl/>
        </w:rPr>
        <w:t>ראוי</w:t>
      </w:r>
      <w:r w:rsidRPr="007B04E0">
        <w:rPr>
          <w:rFonts w:hint="cs"/>
          <w:rtl/>
        </w:rPr>
        <w:t xml:space="preserve"> </w:t>
      </w:r>
      <w:r>
        <w:rPr>
          <w:rFonts w:hint="cs"/>
          <w:rtl/>
        </w:rPr>
        <w:t>לזכור</w:t>
      </w:r>
      <w:r w:rsidRPr="007B04E0">
        <w:rPr>
          <w:rFonts w:hint="cs"/>
          <w:rtl/>
        </w:rPr>
        <w:t xml:space="preserve"> כי הסדרי ההתיישנות והמחיקה של הרשעות בדין הישראלי עוצבו ברוח הכלל ההלכתי של תקנת השבים המבוסס על התפיסה כי "</w:t>
      </w:r>
      <w:r w:rsidRPr="007B04E0">
        <w:rPr>
          <w:rtl/>
        </w:rPr>
        <w:t>אין לפקוד אדם על חטאו עד אין קץ אלא יש לעודדו לתקן את דרכיו ולהקל עליו לשוב בתשובה</w:t>
      </w:r>
      <w:r w:rsidRPr="007B04E0">
        <w:rPr>
          <w:rFonts w:hint="cs"/>
          <w:rtl/>
        </w:rPr>
        <w:t>" (</w:t>
      </w:r>
      <w:r w:rsidRPr="007B04E0">
        <w:rPr>
          <w:rFonts w:hint="eastAsia"/>
          <w:rtl/>
        </w:rPr>
        <w:t>עניין</w:t>
      </w:r>
      <w:r w:rsidRPr="007B04E0">
        <w:rPr>
          <w:rtl/>
        </w:rPr>
        <w:t xml:space="preserve"> </w:t>
      </w:r>
      <w:r w:rsidRPr="007B04E0">
        <w:rPr>
          <w:rFonts w:ascii="Century" w:hAnsi="Century" w:cs="Miriam" w:hint="eastAsia"/>
          <w:b/>
          <w:spacing w:val="0"/>
          <w:szCs w:val="24"/>
          <w:rtl/>
        </w:rPr>
        <w:t>אל</w:t>
      </w:r>
      <w:r w:rsidRPr="007B04E0">
        <w:rPr>
          <w:rFonts w:ascii="Century" w:hAnsi="Century" w:cs="Miriam"/>
          <w:b/>
          <w:spacing w:val="0"/>
          <w:szCs w:val="24"/>
          <w:rtl/>
        </w:rPr>
        <w:t xml:space="preserve"> </w:t>
      </w:r>
      <w:proofErr w:type="spellStart"/>
      <w:r w:rsidRPr="007B04E0">
        <w:rPr>
          <w:rFonts w:ascii="Century" w:hAnsi="Century" w:cs="Miriam" w:hint="eastAsia"/>
          <w:b/>
          <w:spacing w:val="0"/>
          <w:szCs w:val="24"/>
          <w:rtl/>
        </w:rPr>
        <w:t>נסאסרה</w:t>
      </w:r>
      <w:proofErr w:type="spellEnd"/>
      <w:r w:rsidRPr="007B04E0">
        <w:rPr>
          <w:rtl/>
        </w:rPr>
        <w:t xml:space="preserve">, </w:t>
      </w:r>
      <w:r w:rsidRPr="007B04E0">
        <w:rPr>
          <w:rFonts w:hint="eastAsia"/>
          <w:rtl/>
        </w:rPr>
        <w:t>בעמ</w:t>
      </w:r>
      <w:r w:rsidRPr="007B04E0">
        <w:rPr>
          <w:rtl/>
        </w:rPr>
        <w:t>' 6</w:t>
      </w:r>
      <w:r w:rsidRPr="007B04E0">
        <w:rPr>
          <w:rFonts w:hint="cs"/>
          <w:rtl/>
        </w:rPr>
        <w:t>62-661). עם זאת, בכל הנוגע למילוי תפקיד ציבורי</w:t>
      </w:r>
      <w:r w:rsidRPr="007B04E0">
        <w:rPr>
          <w:rtl/>
        </w:rPr>
        <w:t xml:space="preserve">, </w:t>
      </w:r>
      <w:r w:rsidRPr="007B04E0">
        <w:rPr>
          <w:rFonts w:hint="cs"/>
          <w:rtl/>
        </w:rPr>
        <w:t>כבר צוין כי "</w:t>
      </w:r>
      <w:r w:rsidRPr="007B04E0">
        <w:rPr>
          <w:rtl/>
        </w:rPr>
        <w:t>ההלכה אינה מסתפקת בריצוי העונש ודורשת רף גבוה יותר, בהתאם לסוג העבירה ולמהות המשר</w:t>
      </w:r>
      <w:r w:rsidRPr="007B04E0">
        <w:rPr>
          <w:rFonts w:hint="cs"/>
          <w:rtl/>
        </w:rPr>
        <w:t>ה</w:t>
      </w:r>
      <w:r w:rsidRPr="007B04E0">
        <w:rPr>
          <w:rtl/>
        </w:rPr>
        <w:t>"</w:t>
      </w:r>
      <w:r w:rsidRPr="007B04E0">
        <w:rPr>
          <w:rFonts w:hint="cs"/>
          <w:rtl/>
        </w:rPr>
        <w:t xml:space="preserve"> (</w:t>
      </w:r>
      <w:r w:rsidRPr="007B04E0">
        <w:rPr>
          <w:rFonts w:hint="eastAsia"/>
          <w:rtl/>
        </w:rPr>
        <w:t>עניין</w:t>
      </w:r>
      <w:r w:rsidRPr="007B04E0">
        <w:rPr>
          <w:rtl/>
        </w:rPr>
        <w:t xml:space="preserve"> </w:t>
      </w:r>
      <w:r w:rsidRPr="007B04E0">
        <w:rPr>
          <w:rFonts w:ascii="Miriam" w:hAnsi="Miriam" w:cs="Miriam" w:hint="eastAsia"/>
          <w:szCs w:val="24"/>
          <w:rtl/>
        </w:rPr>
        <w:t>דרעי</w:t>
      </w:r>
      <w:r w:rsidRPr="007B04E0">
        <w:rPr>
          <w:rFonts w:ascii="Miriam" w:hAnsi="Miriam" w:cs="Miriam"/>
          <w:b/>
          <w:spacing w:val="0"/>
          <w:szCs w:val="24"/>
          <w:rtl/>
        </w:rPr>
        <w:t xml:space="preserve"> </w:t>
      </w:r>
      <w:r w:rsidRPr="007B04E0">
        <w:rPr>
          <w:rFonts w:ascii="Miriam" w:hAnsi="Miriam" w:cs="Miriam" w:hint="eastAsia"/>
          <w:szCs w:val="24"/>
          <w:rtl/>
        </w:rPr>
        <w:t>השלישי</w:t>
      </w:r>
      <w:r w:rsidRPr="007B04E0">
        <w:rPr>
          <w:rtl/>
        </w:rPr>
        <w:t xml:space="preserve">, </w:t>
      </w:r>
      <w:r w:rsidRPr="007B04E0">
        <w:rPr>
          <w:rFonts w:hint="eastAsia"/>
          <w:rtl/>
        </w:rPr>
        <w:t>בפסקאות</w:t>
      </w:r>
      <w:r w:rsidRPr="007B04E0">
        <w:rPr>
          <w:rtl/>
        </w:rPr>
        <w:t xml:space="preserve"> 16-15 לחוות דעתו של </w:t>
      </w:r>
      <w:r w:rsidRPr="007B04E0">
        <w:rPr>
          <w:rFonts w:hint="eastAsia"/>
          <w:rtl/>
        </w:rPr>
        <w:t>השופט</w:t>
      </w:r>
      <w:r w:rsidRPr="007B04E0">
        <w:rPr>
          <w:rtl/>
        </w:rPr>
        <w:t xml:space="preserve"> </w:t>
      </w:r>
      <w:r w:rsidRPr="007B04E0">
        <w:rPr>
          <w:rFonts w:ascii="Miriam" w:hAnsi="Miriam" w:cs="Miriam" w:hint="eastAsia"/>
          <w:szCs w:val="24"/>
          <w:rtl/>
        </w:rPr>
        <w:t>הנדל</w:t>
      </w:r>
      <w:r w:rsidRPr="007B04E0">
        <w:rPr>
          <w:rtl/>
        </w:rPr>
        <w:t>;</w:t>
      </w:r>
      <w:r w:rsidRPr="007B04E0">
        <w:rPr>
          <w:rFonts w:hint="cs"/>
          <w:rtl/>
        </w:rPr>
        <w:t xml:space="preserve"> וראו גם: </w:t>
      </w:r>
      <w:proofErr w:type="spellStart"/>
      <w:r w:rsidRPr="007B04E0">
        <w:rPr>
          <w:rFonts w:hint="cs"/>
          <w:rtl/>
        </w:rPr>
        <w:t>על"ע</w:t>
      </w:r>
      <w:proofErr w:type="spellEnd"/>
      <w:r w:rsidRPr="007B04E0">
        <w:rPr>
          <w:rFonts w:hint="cs"/>
          <w:rtl/>
        </w:rPr>
        <w:t xml:space="preserve"> 18/84 </w:t>
      </w:r>
      <w:r w:rsidRPr="007B04E0">
        <w:rPr>
          <w:rFonts w:ascii="Miriam" w:hAnsi="Miriam" w:cs="Miriam" w:hint="eastAsia"/>
          <w:szCs w:val="24"/>
          <w:rtl/>
        </w:rPr>
        <w:t>כרמי</w:t>
      </w:r>
      <w:r w:rsidRPr="007B04E0">
        <w:rPr>
          <w:rFonts w:ascii="Miriam" w:hAnsi="Miriam" w:cs="Miriam"/>
          <w:szCs w:val="24"/>
          <w:rtl/>
        </w:rPr>
        <w:t xml:space="preserve"> </w:t>
      </w:r>
      <w:r w:rsidRPr="007B04E0">
        <w:rPr>
          <w:rFonts w:ascii="Miriam" w:hAnsi="Miriam" w:cs="Miriam" w:hint="eastAsia"/>
          <w:szCs w:val="24"/>
          <w:rtl/>
        </w:rPr>
        <w:t>נ</w:t>
      </w:r>
      <w:r w:rsidRPr="007B04E0">
        <w:rPr>
          <w:rFonts w:ascii="Miriam" w:hAnsi="Miriam" w:cs="Miriam"/>
          <w:szCs w:val="24"/>
          <w:rtl/>
        </w:rPr>
        <w:t xml:space="preserve">' </w:t>
      </w:r>
      <w:r w:rsidRPr="007B04E0">
        <w:rPr>
          <w:rFonts w:ascii="Miriam" w:hAnsi="Miriam" w:cs="Miriam" w:hint="eastAsia"/>
          <w:szCs w:val="24"/>
          <w:rtl/>
        </w:rPr>
        <w:t>פרקליט</w:t>
      </w:r>
      <w:r w:rsidRPr="007B04E0">
        <w:rPr>
          <w:rFonts w:ascii="Miriam" w:hAnsi="Miriam" w:cs="Miriam"/>
          <w:szCs w:val="24"/>
          <w:rtl/>
        </w:rPr>
        <w:t xml:space="preserve"> </w:t>
      </w:r>
      <w:r w:rsidRPr="007B04E0">
        <w:rPr>
          <w:rFonts w:ascii="Miriam" w:hAnsi="Miriam" w:cs="Miriam" w:hint="eastAsia"/>
          <w:szCs w:val="24"/>
          <w:rtl/>
        </w:rPr>
        <w:t>המדינה</w:t>
      </w:r>
      <w:r w:rsidRPr="007B04E0">
        <w:rPr>
          <w:rFonts w:hint="cs"/>
          <w:rtl/>
        </w:rPr>
        <w:t xml:space="preserve">, פ"ד מד(1) 353, 376 (1990)). </w:t>
      </w:r>
      <w:r w:rsidR="00705D3F">
        <w:rPr>
          <w:rFonts w:hint="cs"/>
          <w:rtl/>
        </w:rPr>
        <w:t>נחום</w:t>
      </w:r>
      <w:r w:rsidR="00705D3F" w:rsidRPr="007B04E0">
        <w:rPr>
          <w:rFonts w:hint="cs"/>
          <w:rtl/>
        </w:rPr>
        <w:t xml:space="preserve"> </w:t>
      </w:r>
      <w:r w:rsidRPr="007B04E0">
        <w:rPr>
          <w:rFonts w:hint="cs"/>
          <w:rtl/>
        </w:rPr>
        <w:t xml:space="preserve">רקובר בספרו </w:t>
      </w:r>
      <w:r w:rsidRPr="007B04E0">
        <w:rPr>
          <w:rFonts w:ascii="Miriam" w:hAnsi="Miriam" w:cs="Miriam"/>
          <w:sz w:val="24"/>
          <w:szCs w:val="24"/>
          <w:rtl/>
        </w:rPr>
        <w:t>תקנת השבים – מעמדו של עבריין שריצה את עונשו</w:t>
      </w:r>
      <w:r w:rsidRPr="007B04E0">
        <w:rPr>
          <w:rFonts w:hint="cs"/>
          <w:rtl/>
        </w:rPr>
        <w:t xml:space="preserve"> (2007) מסכם את מחקרו על עמדת המשפט העברי בנושא זה כך:</w:t>
      </w:r>
    </w:p>
    <w:p w14:paraId="6D314BD5" w14:textId="77777777" w:rsidR="0040186B" w:rsidRPr="007B04E0" w:rsidRDefault="0040186B" w:rsidP="00C634DC">
      <w:pPr>
        <w:pStyle w:val="Ruller5"/>
        <w:rPr>
          <w:rtl/>
        </w:rPr>
      </w:pPr>
      <w:r w:rsidRPr="007B04E0">
        <w:rPr>
          <w:rFonts w:hint="cs"/>
          <w:rtl/>
        </w:rPr>
        <w:lastRenderedPageBreak/>
        <w:t>"</w:t>
      </w:r>
      <w:r w:rsidRPr="007B04E0">
        <w:rPr>
          <w:rtl/>
        </w:rPr>
        <w:t xml:space="preserve">אשר לחזרתו של העבריין לתפקידו הקודם או למינויו לתפקיד, ראוי לכאורה שתהא התשובה השיקול העיקרי, ויהיה די בה כדי לאפשר לעבריין לשוב לתפקידו או להתמנות לתפקיד חדש. אבל אף שהתשובה היא תנאי הכרחי, אפשר שלא תהיה תנאי מספיק. אמת, לאחר שלקה העבריין, הרי הוא </w:t>
      </w:r>
      <w:r w:rsidRPr="007B04E0">
        <w:rPr>
          <w:rFonts w:hint="cs"/>
          <w:rtl/>
        </w:rPr>
        <w:t>כאחיךָ</w:t>
      </w:r>
      <w:r w:rsidRPr="007B04E0">
        <w:rPr>
          <w:rtl/>
        </w:rPr>
        <w:t>, ואף על פי כן, לעתים נמנעת חזרתו של העבריין ששב בתשובה לתפקיד שמילא קודם לכן, בהתחשב באופי</w:t>
      </w:r>
      <w:r w:rsidRPr="007B04E0">
        <w:rPr>
          <w:rFonts w:hint="cs"/>
          <w:rtl/>
        </w:rPr>
        <w:t>י</w:t>
      </w:r>
      <w:r w:rsidRPr="007B04E0">
        <w:rPr>
          <w:rtl/>
        </w:rPr>
        <w:t>ה של העברה, באופי</w:t>
      </w:r>
      <w:r w:rsidRPr="007B04E0">
        <w:rPr>
          <w:rFonts w:hint="cs"/>
          <w:rtl/>
        </w:rPr>
        <w:t>י</w:t>
      </w:r>
      <w:r w:rsidRPr="007B04E0">
        <w:rPr>
          <w:rtl/>
        </w:rPr>
        <w:t>ה של המשרה ובאמון שהתפקיד דורש</w:t>
      </w:r>
      <w:r w:rsidRPr="007B04E0">
        <w:rPr>
          <w:rFonts w:hint="cs"/>
          <w:rtl/>
        </w:rPr>
        <w:t xml:space="preserve">" </w:t>
      </w:r>
    </w:p>
    <w:p w14:paraId="17371B73" w14:textId="77777777" w:rsidR="0040186B" w:rsidRPr="007B04E0" w:rsidRDefault="0040186B" w:rsidP="00C634DC">
      <w:pPr>
        <w:pStyle w:val="Ruller5"/>
        <w:rPr>
          <w:rtl/>
        </w:rPr>
      </w:pPr>
    </w:p>
    <w:p w14:paraId="3824C200" w14:textId="77777777" w:rsidR="0040186B" w:rsidRPr="007B04E0" w:rsidRDefault="0040186B" w:rsidP="00C634DC">
      <w:pPr>
        <w:pStyle w:val="Ruller5"/>
        <w:rPr>
          <w:rtl/>
        </w:rPr>
      </w:pPr>
      <w:r w:rsidRPr="007B04E0">
        <w:rPr>
          <w:rFonts w:hint="cs"/>
          <w:rtl/>
        </w:rPr>
        <w:t>(</w:t>
      </w:r>
      <w:r w:rsidRPr="007B04E0">
        <w:rPr>
          <w:rFonts w:ascii="Miriam" w:hAnsi="Miriam" w:cs="Miriam" w:hint="cs"/>
          <w:sz w:val="24"/>
          <w:szCs w:val="24"/>
          <w:rtl/>
        </w:rPr>
        <w:t>שם</w:t>
      </w:r>
      <w:r w:rsidRPr="007B04E0">
        <w:rPr>
          <w:rFonts w:hint="cs"/>
          <w:rtl/>
        </w:rPr>
        <w:t xml:space="preserve">, בעמ' 489; בהקשר זה מפנה רקובר בספרו, בין היתר, לתלמוד </w:t>
      </w:r>
      <w:r w:rsidRPr="006031DD">
        <w:rPr>
          <w:rFonts w:ascii="Century" w:hAnsi="Century" w:cs="Miriam" w:hint="cs"/>
          <w:b/>
          <w:spacing w:val="0"/>
          <w:szCs w:val="24"/>
          <w:rtl/>
        </w:rPr>
        <w:t>ירושלמי</w:t>
      </w:r>
      <w:r w:rsidRPr="006031DD">
        <w:rPr>
          <w:rFonts w:hint="cs"/>
          <w:rtl/>
        </w:rPr>
        <w:t xml:space="preserve"> </w:t>
      </w:r>
      <w:r w:rsidRPr="007B04E0">
        <w:rPr>
          <w:rFonts w:hint="cs"/>
          <w:rtl/>
        </w:rPr>
        <w:t xml:space="preserve">סנהדרין פרק ב הלכה א; </w:t>
      </w:r>
      <w:r w:rsidRPr="00D7515D">
        <w:rPr>
          <w:rFonts w:ascii="Miriam" w:hAnsi="Miriam" w:cs="Miriam"/>
          <w:sz w:val="24"/>
          <w:szCs w:val="24"/>
          <w:rtl/>
        </w:rPr>
        <w:t>שו"ת הרמב"ם</w:t>
      </w:r>
      <w:r w:rsidRPr="007B04E0">
        <w:rPr>
          <w:rFonts w:hint="cs"/>
          <w:rtl/>
        </w:rPr>
        <w:t xml:space="preserve"> סימן </w:t>
      </w:r>
      <w:proofErr w:type="spellStart"/>
      <w:r w:rsidRPr="007B04E0">
        <w:rPr>
          <w:rFonts w:hint="cs"/>
          <w:rtl/>
        </w:rPr>
        <w:t>קעג</w:t>
      </w:r>
      <w:proofErr w:type="spellEnd"/>
      <w:r w:rsidRPr="007B04E0">
        <w:rPr>
          <w:rFonts w:hint="cs"/>
          <w:rtl/>
        </w:rPr>
        <w:t xml:space="preserve">; </w:t>
      </w:r>
      <w:r w:rsidRPr="00D7515D">
        <w:rPr>
          <w:rFonts w:ascii="Miriam" w:hAnsi="Miriam" w:cs="Miriam"/>
          <w:sz w:val="24"/>
          <w:szCs w:val="24"/>
          <w:rtl/>
        </w:rPr>
        <w:t xml:space="preserve">שו"ת </w:t>
      </w:r>
      <w:proofErr w:type="spellStart"/>
      <w:r w:rsidRPr="00D7515D">
        <w:rPr>
          <w:rFonts w:ascii="Miriam" w:hAnsi="Miriam" w:cs="Miriam"/>
          <w:sz w:val="24"/>
          <w:szCs w:val="24"/>
          <w:rtl/>
        </w:rPr>
        <w:t>הרדב"ז</w:t>
      </w:r>
      <w:proofErr w:type="spellEnd"/>
      <w:r w:rsidRPr="007B04E0">
        <w:rPr>
          <w:rFonts w:hint="cs"/>
          <w:rtl/>
        </w:rPr>
        <w:t xml:space="preserve">, חלק ו סימן ב אלפים </w:t>
      </w:r>
      <w:proofErr w:type="spellStart"/>
      <w:r w:rsidRPr="007B04E0">
        <w:rPr>
          <w:rFonts w:hint="cs"/>
          <w:rtl/>
        </w:rPr>
        <w:t>עח</w:t>
      </w:r>
      <w:proofErr w:type="spellEnd"/>
      <w:r w:rsidRPr="007B04E0">
        <w:rPr>
          <w:rFonts w:hint="cs"/>
          <w:rtl/>
        </w:rPr>
        <w:t xml:space="preserve">; </w:t>
      </w:r>
      <w:r w:rsidRPr="00FB7A01">
        <w:rPr>
          <w:rtl/>
        </w:rPr>
        <w:t xml:space="preserve">שו"ת </w:t>
      </w:r>
      <w:r w:rsidRPr="00AE796A">
        <w:rPr>
          <w:rFonts w:ascii="Miriam" w:hAnsi="Miriam" w:cs="Miriam"/>
          <w:sz w:val="24"/>
          <w:szCs w:val="24"/>
          <w:rtl/>
        </w:rPr>
        <w:t>חתם סופר</w:t>
      </w:r>
      <w:r w:rsidRPr="00FB7A01">
        <w:rPr>
          <w:rtl/>
        </w:rPr>
        <w:t xml:space="preserve"> חלק ה (חושן משפט) סימן </w:t>
      </w:r>
      <w:proofErr w:type="spellStart"/>
      <w:r w:rsidRPr="00FB7A01">
        <w:rPr>
          <w:rtl/>
        </w:rPr>
        <w:t>קס</w:t>
      </w:r>
      <w:proofErr w:type="spellEnd"/>
      <w:r>
        <w:rPr>
          <w:rFonts w:ascii="FrankRuehl" w:hAnsi="FrankRuehl" w:hint="cs"/>
          <w:sz w:val="28"/>
          <w:rtl/>
        </w:rPr>
        <w:t xml:space="preserve">; </w:t>
      </w:r>
      <w:r w:rsidRPr="00D7515D">
        <w:rPr>
          <w:rFonts w:ascii="FrankRuehl" w:hAnsi="FrankRuehl"/>
          <w:sz w:val="28"/>
          <w:rtl/>
        </w:rPr>
        <w:t>ו</w:t>
      </w:r>
      <w:r w:rsidRPr="00D7515D">
        <w:rPr>
          <w:rFonts w:ascii="Miriam" w:hAnsi="Miriam" w:cs="Miriam"/>
          <w:sz w:val="24"/>
          <w:szCs w:val="24"/>
          <w:rtl/>
        </w:rPr>
        <w:t xml:space="preserve">שו"ת תועפות </w:t>
      </w:r>
      <w:proofErr w:type="spellStart"/>
      <w:r w:rsidRPr="00D7515D">
        <w:rPr>
          <w:rFonts w:ascii="Miriam" w:hAnsi="Miriam" w:cs="Miriam"/>
          <w:sz w:val="24"/>
          <w:szCs w:val="24"/>
          <w:rtl/>
        </w:rPr>
        <w:t>רא"ם</w:t>
      </w:r>
      <w:proofErr w:type="spellEnd"/>
      <w:r w:rsidRPr="007B04E0">
        <w:rPr>
          <w:rFonts w:hint="cs"/>
          <w:rtl/>
        </w:rPr>
        <w:t xml:space="preserve">, א, </w:t>
      </w:r>
      <w:proofErr w:type="spellStart"/>
      <w:r w:rsidRPr="007B04E0">
        <w:rPr>
          <w:rFonts w:hint="cs"/>
          <w:rtl/>
        </w:rPr>
        <w:t>עה</w:t>
      </w:r>
      <w:proofErr w:type="spellEnd"/>
      <w:r w:rsidRPr="007B04E0">
        <w:rPr>
          <w:rFonts w:hint="cs"/>
          <w:rtl/>
        </w:rPr>
        <w:t xml:space="preserve">). </w:t>
      </w:r>
    </w:p>
    <w:p w14:paraId="75334ED1" w14:textId="77777777" w:rsidR="0040186B" w:rsidRPr="007B04E0" w:rsidRDefault="0040186B" w:rsidP="00C634DC">
      <w:pPr>
        <w:pStyle w:val="Ruller4"/>
        <w:numPr>
          <w:ilvl w:val="0"/>
          <w:numId w:val="0"/>
        </w:numPr>
        <w:rPr>
          <w:rtl/>
        </w:rPr>
      </w:pPr>
    </w:p>
    <w:p w14:paraId="4C639971" w14:textId="77777777" w:rsidR="0040186B" w:rsidRPr="007B04E0" w:rsidRDefault="0040186B" w:rsidP="00C634DC">
      <w:pPr>
        <w:pStyle w:val="Ruller4"/>
        <w:rPr>
          <w:rtl/>
        </w:rPr>
      </w:pPr>
      <w:r w:rsidRPr="007B04E0">
        <w:rPr>
          <w:rFonts w:hint="cs"/>
          <w:rtl/>
        </w:rPr>
        <w:t xml:space="preserve">על רקע האמור לעיל אני סבורה כי לנוכח השנים הרבות שחלפו מאז ביצוען של העבירות </w:t>
      </w:r>
      <w:r>
        <w:rPr>
          <w:rFonts w:hint="cs"/>
          <w:rtl/>
        </w:rPr>
        <w:t>שעמדו במוקד</w:t>
      </w:r>
      <w:r w:rsidRPr="007B04E0">
        <w:rPr>
          <w:rFonts w:hint="cs"/>
          <w:rtl/>
        </w:rPr>
        <w:t xml:space="preserve"> </w:t>
      </w:r>
      <w:r>
        <w:rPr>
          <w:rFonts w:hint="cs"/>
          <w:rtl/>
        </w:rPr>
        <w:t>ה</w:t>
      </w:r>
      <w:r w:rsidRPr="007B04E0">
        <w:rPr>
          <w:rFonts w:hint="cs"/>
          <w:rtl/>
        </w:rPr>
        <w:t>תיק האישי ו</w:t>
      </w:r>
      <w:r>
        <w:rPr>
          <w:rFonts w:hint="cs"/>
          <w:rtl/>
        </w:rPr>
        <w:t>ה</w:t>
      </w:r>
      <w:r w:rsidRPr="007B04E0">
        <w:rPr>
          <w:rFonts w:hint="cs"/>
          <w:rtl/>
        </w:rPr>
        <w:t>תיק הציבורי</w:t>
      </w:r>
      <w:r>
        <w:rPr>
          <w:rFonts w:hint="cs"/>
          <w:rtl/>
        </w:rPr>
        <w:t xml:space="preserve"> ומאז הרשעתו של דרעי בהן,</w:t>
      </w:r>
      <w:r w:rsidRPr="007B04E0">
        <w:rPr>
          <w:rFonts w:hint="cs"/>
          <w:rtl/>
        </w:rPr>
        <w:t xml:space="preserve"> </w:t>
      </w:r>
      <w:r>
        <w:rPr>
          <w:rFonts w:hint="cs"/>
          <w:rtl/>
        </w:rPr>
        <w:t>אומנם</w:t>
      </w:r>
      <w:r w:rsidRPr="007B04E0">
        <w:rPr>
          <w:rFonts w:hint="cs"/>
          <w:rtl/>
        </w:rPr>
        <w:t xml:space="preserve"> יש לייחס להן</w:t>
      </w:r>
      <w:r>
        <w:rPr>
          <w:rFonts w:hint="cs"/>
          <w:rtl/>
        </w:rPr>
        <w:t xml:space="preserve"> </w:t>
      </w:r>
      <w:r w:rsidRPr="007B04E0">
        <w:rPr>
          <w:rFonts w:hint="cs"/>
          <w:rtl/>
        </w:rPr>
        <w:t xml:space="preserve">משקל </w:t>
      </w:r>
      <w:r>
        <w:rPr>
          <w:rFonts w:hint="cs"/>
          <w:rtl/>
        </w:rPr>
        <w:t>מופחת. אך</w:t>
      </w:r>
      <w:r w:rsidRPr="007B04E0">
        <w:rPr>
          <w:rFonts w:hint="cs"/>
          <w:rtl/>
        </w:rPr>
        <w:t xml:space="preserve"> בהינתן חומרתן של עבירות אלה וזיקתן ההדוקה לכהונתו של דרעי בתפקידים ציבוריים </w:t>
      </w:r>
      <w:r w:rsidRPr="007B04E0">
        <w:rPr>
          <w:rtl/>
        </w:rPr>
        <w:t>–</w:t>
      </w:r>
      <w:r w:rsidRPr="007B04E0">
        <w:rPr>
          <w:rFonts w:hint="cs"/>
          <w:rtl/>
        </w:rPr>
        <w:t xml:space="preserve"> ראש</w:t>
      </w:r>
      <w:r>
        <w:rPr>
          <w:rFonts w:hint="cs"/>
          <w:rtl/>
        </w:rPr>
        <w:t xml:space="preserve"> הממשלה לא יכול היה להתעלם מהן</w:t>
      </w:r>
      <w:r w:rsidRPr="007B04E0">
        <w:rPr>
          <w:rFonts w:hint="cs"/>
          <w:rtl/>
        </w:rPr>
        <w:t xml:space="preserve">. </w:t>
      </w:r>
    </w:p>
    <w:p w14:paraId="24026516" w14:textId="77777777" w:rsidR="0040186B" w:rsidRPr="007B04E0" w:rsidRDefault="0040186B" w:rsidP="00C634DC"/>
    <w:p w14:paraId="0AECB917" w14:textId="77777777" w:rsidR="0040186B" w:rsidRPr="007B04E0" w:rsidRDefault="0040186B" w:rsidP="005F31D1">
      <w:pPr>
        <w:pStyle w:val="Ruller4"/>
        <w:numPr>
          <w:ilvl w:val="0"/>
          <w:numId w:val="0"/>
        </w:numPr>
        <w:rPr>
          <w:rFonts w:ascii="Century" w:hAnsi="Century"/>
          <w:rtl/>
        </w:rPr>
      </w:pPr>
      <w:r>
        <w:rPr>
          <w:rtl/>
        </w:rPr>
        <w:tab/>
      </w:r>
      <w:r w:rsidRPr="007B04E0">
        <w:rPr>
          <w:rFonts w:hint="cs"/>
          <w:rtl/>
        </w:rPr>
        <w:t xml:space="preserve">לכך יש </w:t>
      </w:r>
      <w:r>
        <w:rPr>
          <w:rFonts w:hint="cs"/>
          <w:rtl/>
        </w:rPr>
        <w:t xml:space="preserve">להוסיף כי אחת מנקודות המוצא </w:t>
      </w:r>
      <w:r w:rsidRPr="007B04E0">
        <w:rPr>
          <w:rFonts w:hint="cs"/>
          <w:rtl/>
        </w:rPr>
        <w:t xml:space="preserve">בעניין </w:t>
      </w:r>
      <w:r w:rsidRPr="007B04E0">
        <w:rPr>
          <w:rFonts w:ascii="Century" w:hAnsi="Century" w:cs="Miriam" w:hint="cs"/>
          <w:b/>
          <w:spacing w:val="0"/>
          <w:sz w:val="22"/>
          <w:szCs w:val="24"/>
          <w:rtl/>
        </w:rPr>
        <w:t>דרעי השני</w:t>
      </w:r>
      <w:r w:rsidRPr="007B04E0">
        <w:rPr>
          <w:rFonts w:hint="cs"/>
          <w:rtl/>
        </w:rPr>
        <w:t xml:space="preserve"> </w:t>
      </w:r>
      <w:r w:rsidRPr="007B04E0">
        <w:rPr>
          <w:rtl/>
        </w:rPr>
        <w:t>–</w:t>
      </w:r>
      <w:r w:rsidRPr="007B04E0">
        <w:rPr>
          <w:rFonts w:hint="cs"/>
          <w:rtl/>
        </w:rPr>
        <w:t xml:space="preserve"> </w:t>
      </w:r>
      <w:r>
        <w:rPr>
          <w:rFonts w:hint="cs"/>
          <w:rtl/>
        </w:rPr>
        <w:t>שם פסקנו</w:t>
      </w:r>
      <w:r w:rsidRPr="007B04E0">
        <w:rPr>
          <w:rFonts w:hint="cs"/>
          <w:rtl/>
        </w:rPr>
        <w:t xml:space="preserve"> כי מינויו של דרעי מצוי על "סף מתחם הסבירות" </w:t>
      </w:r>
      <w:r w:rsidRPr="007B04E0">
        <w:rPr>
          <w:rtl/>
        </w:rPr>
        <w:t>–</w:t>
      </w:r>
      <w:r w:rsidRPr="007B04E0">
        <w:rPr>
          <w:rFonts w:hint="cs"/>
          <w:rtl/>
        </w:rPr>
        <w:t xml:space="preserve"> הייתה כי מאז מעורבותו בפרשות אלה "</w:t>
      </w:r>
      <w:r w:rsidRPr="007B04E0">
        <w:rPr>
          <w:rFonts w:ascii="FrankRuehl" w:hAnsi="FrankRuehl"/>
          <w:color w:val="000000"/>
          <w:sz w:val="28"/>
          <w:rtl/>
        </w:rPr>
        <w:t>לא נזקפה לחובתו של דרעי מעורבות פלילית נוספת</w:t>
      </w:r>
      <w:r w:rsidRPr="007B04E0">
        <w:rPr>
          <w:rFonts w:ascii="FrankRuehl" w:hAnsi="FrankRuehl" w:hint="cs"/>
          <w:color w:val="000000"/>
          <w:sz w:val="28"/>
          <w:rtl/>
        </w:rPr>
        <w:t>" (</w:t>
      </w:r>
      <w:r w:rsidRPr="007B04E0">
        <w:rPr>
          <w:rFonts w:ascii="Century" w:hAnsi="Century" w:cs="Miriam" w:hint="eastAsia"/>
          <w:b/>
          <w:spacing w:val="0"/>
          <w:sz w:val="22"/>
          <w:szCs w:val="24"/>
          <w:rtl/>
        </w:rPr>
        <w:t>שם</w:t>
      </w:r>
      <w:r w:rsidRPr="007B04E0">
        <w:rPr>
          <w:rtl/>
        </w:rPr>
        <w:t xml:space="preserve">, </w:t>
      </w:r>
      <w:r w:rsidRPr="007B04E0">
        <w:rPr>
          <w:rFonts w:hint="eastAsia"/>
          <w:rtl/>
        </w:rPr>
        <w:t>בפסקה</w:t>
      </w:r>
      <w:r w:rsidRPr="007B04E0">
        <w:rPr>
          <w:rtl/>
        </w:rPr>
        <w:t xml:space="preserve"> 6</w:t>
      </w:r>
      <w:r w:rsidRPr="007B04E0">
        <w:rPr>
          <w:rFonts w:hint="cs"/>
          <w:rtl/>
        </w:rPr>
        <w:t xml:space="preserve">). נקודת מוצא זו אינה רלוונטית עוד, שכן </w:t>
      </w:r>
      <w:r w:rsidRPr="007B04E0">
        <w:rPr>
          <w:rFonts w:ascii="Century" w:hAnsi="Century" w:hint="cs"/>
          <w:rtl/>
        </w:rPr>
        <w:t xml:space="preserve">דרעי הורשע ביום 25.1.2022, על פי הודאתו, </w:t>
      </w:r>
      <w:r w:rsidRPr="007B04E0">
        <w:rPr>
          <w:rFonts w:ascii="Century" w:hAnsi="Century"/>
          <w:rtl/>
        </w:rPr>
        <w:t>בעבירת סיוע לעריכת הצהרה שאינה נכונה לפי סעיף 98(ג1) לחוק מיסוי</w:t>
      </w:r>
      <w:r w:rsidRPr="007B04E0">
        <w:rPr>
          <w:rFonts w:ascii="Century" w:hAnsi="Century" w:hint="cs"/>
          <w:rtl/>
        </w:rPr>
        <w:t xml:space="preserve"> </w:t>
      </w:r>
      <w:r w:rsidRPr="007B04E0">
        <w:rPr>
          <w:rFonts w:ascii="Century" w:hAnsi="Century"/>
          <w:rtl/>
        </w:rPr>
        <w:t>מקרקעין ו</w:t>
      </w:r>
      <w:r>
        <w:rPr>
          <w:rFonts w:ascii="Century" w:hAnsi="Century" w:hint="cs"/>
          <w:rtl/>
        </w:rPr>
        <w:t>ב</w:t>
      </w:r>
      <w:r w:rsidRPr="007B04E0">
        <w:rPr>
          <w:rFonts w:ascii="Century" w:hAnsi="Century"/>
          <w:rtl/>
        </w:rPr>
        <w:t>עבירות של הגשת דו"ח וידיעות לא נכונות, אי-הגשת דו"ח למס הכנסה, ואי-ניהול פנקסי חשבונות לפי סעיפים 216(4), 216(5) ו-217 לפקודת מס הכנסה</w:t>
      </w:r>
      <w:r w:rsidRPr="007B04E0">
        <w:rPr>
          <w:rFonts w:ascii="Century" w:hAnsi="Century" w:hint="cs"/>
          <w:rtl/>
        </w:rPr>
        <w:t>. ב</w:t>
      </w:r>
      <w:r>
        <w:rPr>
          <w:rFonts w:ascii="Century" w:hAnsi="Century" w:hint="cs"/>
          <w:rtl/>
        </w:rPr>
        <w:t>גין עבירות אלה נגזר על דרעי, כאמור, עונש של</w:t>
      </w:r>
      <w:r w:rsidRPr="007B04E0">
        <w:rPr>
          <w:rFonts w:ascii="Century" w:hAnsi="Century" w:hint="cs"/>
          <w:rtl/>
        </w:rPr>
        <w:t xml:space="preserve"> 12 חודשי מאסר על תנאי לפרק זמן של </w:t>
      </w:r>
      <w:r w:rsidR="006206A6">
        <w:rPr>
          <w:rFonts w:ascii="Century" w:hAnsi="Century" w:hint="cs"/>
          <w:rtl/>
        </w:rPr>
        <w:t>שלוש</w:t>
      </w:r>
      <w:r w:rsidR="006206A6" w:rsidRPr="007B04E0">
        <w:rPr>
          <w:rFonts w:ascii="Century" w:hAnsi="Century" w:hint="cs"/>
          <w:rtl/>
        </w:rPr>
        <w:t xml:space="preserve"> </w:t>
      </w:r>
      <w:r w:rsidRPr="007B04E0">
        <w:rPr>
          <w:rFonts w:ascii="Century" w:hAnsi="Century" w:hint="cs"/>
          <w:rtl/>
        </w:rPr>
        <w:t>שנים; וקנס בסכום 180,000 ש"ח. כלומר,</w:t>
      </w:r>
      <w:r w:rsidRPr="00066AB3">
        <w:rPr>
          <w:rFonts w:ascii="Century" w:hAnsi="Century" w:hint="cs"/>
          <w:rtl/>
        </w:rPr>
        <w:t xml:space="preserve"> </w:t>
      </w:r>
      <w:r w:rsidRPr="007B04E0">
        <w:rPr>
          <w:rFonts w:ascii="Century" w:hAnsi="Century" w:hint="cs"/>
          <w:rtl/>
        </w:rPr>
        <w:t>מדובר ב</w:t>
      </w:r>
      <w:r w:rsidRPr="007B04E0">
        <w:rPr>
          <w:rFonts w:ascii="Century" w:hAnsi="Century" w:cs="Miriam" w:hint="eastAsia"/>
          <w:b/>
          <w:spacing w:val="0"/>
          <w:sz w:val="22"/>
          <w:szCs w:val="24"/>
          <w:rtl/>
        </w:rPr>
        <w:t>הרשעה</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חלוטה</w:t>
      </w:r>
      <w:r w:rsidRPr="007B04E0">
        <w:rPr>
          <w:rFonts w:ascii="Century" w:hAnsi="Century" w:cs="Miriam"/>
          <w:b/>
          <w:spacing w:val="0"/>
          <w:sz w:val="22"/>
          <w:szCs w:val="24"/>
          <w:rtl/>
        </w:rPr>
        <w:t xml:space="preserve"> </w:t>
      </w:r>
      <w:r w:rsidRPr="007B04E0">
        <w:rPr>
          <w:rFonts w:ascii="Century" w:hAnsi="Century" w:hint="cs"/>
          <w:rtl/>
        </w:rPr>
        <w:t>נוספת</w:t>
      </w:r>
      <w:r>
        <w:rPr>
          <w:rFonts w:ascii="Century" w:hAnsi="Century" w:hint="cs"/>
          <w:rtl/>
        </w:rPr>
        <w:t>, אשר משקלה גבוה מזה של</w:t>
      </w:r>
      <w:r w:rsidRPr="007B04E0">
        <w:rPr>
          <w:rFonts w:ascii="Century" w:hAnsi="Century" w:hint="cs"/>
          <w:rtl/>
        </w:rPr>
        <w:t xml:space="preserve"> </w:t>
      </w:r>
      <w:r w:rsidRPr="007B04E0">
        <w:rPr>
          <w:rFonts w:ascii="Century" w:hAnsi="Century" w:cs="Miriam" w:hint="eastAsia"/>
          <w:b/>
          <w:spacing w:val="0"/>
          <w:sz w:val="22"/>
          <w:szCs w:val="24"/>
          <w:rtl/>
        </w:rPr>
        <w:t>חשדות</w:t>
      </w:r>
      <w:r w:rsidRPr="007B04E0">
        <w:rPr>
          <w:rFonts w:ascii="Century" w:hAnsi="Century" w:hint="cs"/>
          <w:rtl/>
        </w:rPr>
        <w:t xml:space="preserve"> או </w:t>
      </w:r>
      <w:r w:rsidRPr="007B04E0">
        <w:rPr>
          <w:rFonts w:ascii="Century" w:hAnsi="Century" w:cs="Miriam" w:hint="eastAsia"/>
          <w:b/>
          <w:spacing w:val="0"/>
          <w:sz w:val="22"/>
          <w:szCs w:val="24"/>
          <w:rtl/>
        </w:rPr>
        <w:t>כתב</w:t>
      </w:r>
      <w:r w:rsidRPr="007B04E0">
        <w:rPr>
          <w:rFonts w:ascii="Century" w:hAnsi="Century" w:cs="Miriam"/>
          <w:b/>
          <w:spacing w:val="0"/>
          <w:sz w:val="22"/>
          <w:szCs w:val="24"/>
          <w:rtl/>
        </w:rPr>
        <w:t xml:space="preserve"> </w:t>
      </w:r>
      <w:r w:rsidRPr="007B04E0">
        <w:rPr>
          <w:rFonts w:ascii="Century" w:hAnsi="Century" w:cs="Miriam" w:hint="eastAsia"/>
          <w:b/>
          <w:spacing w:val="0"/>
          <w:sz w:val="22"/>
          <w:szCs w:val="24"/>
          <w:rtl/>
        </w:rPr>
        <w:t>אישום</w:t>
      </w:r>
      <w:r w:rsidRPr="007B04E0">
        <w:rPr>
          <w:rFonts w:ascii="Century" w:hAnsi="Century" w:hint="cs"/>
          <w:rtl/>
        </w:rPr>
        <w:t xml:space="preserve"> נוסף</w:t>
      </w:r>
      <w:r>
        <w:rPr>
          <w:rFonts w:ascii="Century" w:hAnsi="Century" w:hint="cs"/>
          <w:rtl/>
        </w:rPr>
        <w:t xml:space="preserve"> (שאף הם נושאים משקל כראיה מנהלית לעניין בחינת מועמדותו של אדם לכהונה בתפקיד ציבורי; ראו:</w:t>
      </w:r>
      <w:r>
        <w:rPr>
          <w:rFonts w:ascii="Century" w:hAnsi="Century" w:hint="cs"/>
        </w:rPr>
        <w:t xml:space="preserve"> </w:t>
      </w:r>
      <w:r w:rsidRPr="00C25339">
        <w:rPr>
          <w:rFonts w:ascii="Century" w:hAnsi="Century"/>
          <w:rtl/>
        </w:rPr>
        <w:t xml:space="preserve">בג"ץ 4921/13 </w:t>
      </w:r>
      <w:r w:rsidRPr="00066AB3">
        <w:rPr>
          <w:rFonts w:ascii="Century" w:hAnsi="Century" w:cs="Miriam" w:hint="eastAsia"/>
          <w:b/>
          <w:spacing w:val="0"/>
          <w:sz w:val="22"/>
          <w:szCs w:val="24"/>
          <w:rtl/>
        </w:rPr>
        <w:t>אומ</w:t>
      </w:r>
      <w:r w:rsidRPr="00066AB3">
        <w:rPr>
          <w:rFonts w:ascii="Century" w:hAnsi="Century" w:cs="Miriam"/>
          <w:b/>
          <w:spacing w:val="0"/>
          <w:sz w:val="22"/>
          <w:szCs w:val="24"/>
          <w:rtl/>
        </w:rPr>
        <w:t>"</w:t>
      </w:r>
      <w:r w:rsidRPr="00066AB3">
        <w:rPr>
          <w:rFonts w:ascii="Century" w:hAnsi="Century" w:cs="Miriam" w:hint="eastAsia"/>
          <w:b/>
          <w:spacing w:val="0"/>
          <w:sz w:val="22"/>
          <w:szCs w:val="24"/>
          <w:rtl/>
        </w:rPr>
        <w:t>ץ</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אזרחים</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למען</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מנהל</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תקין</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וצדק</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חברתי</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נ</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ראש</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עיריית</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רמת</w:t>
      </w:r>
      <w:r w:rsidRPr="00066AB3">
        <w:rPr>
          <w:rFonts w:ascii="Century" w:hAnsi="Century" w:cs="Miriam"/>
          <w:b/>
          <w:spacing w:val="0"/>
          <w:sz w:val="22"/>
          <w:szCs w:val="24"/>
          <w:rtl/>
        </w:rPr>
        <w:t xml:space="preserve"> </w:t>
      </w:r>
      <w:r w:rsidRPr="00066AB3">
        <w:rPr>
          <w:rFonts w:ascii="Century" w:hAnsi="Century" w:cs="Miriam" w:hint="eastAsia"/>
          <w:b/>
          <w:spacing w:val="0"/>
          <w:sz w:val="22"/>
          <w:szCs w:val="24"/>
          <w:rtl/>
        </w:rPr>
        <w:t>השרון</w:t>
      </w:r>
      <w:r w:rsidRPr="00C25339">
        <w:rPr>
          <w:rFonts w:ascii="Century" w:hAnsi="Century"/>
          <w:rtl/>
        </w:rPr>
        <w:t xml:space="preserve">, </w:t>
      </w:r>
      <w:r w:rsidR="00C85B53" w:rsidRPr="00C25339">
        <w:rPr>
          <w:rFonts w:ascii="Century" w:hAnsi="Century"/>
          <w:rtl/>
        </w:rPr>
        <w:t>פ</w:t>
      </w:r>
      <w:r w:rsidR="00C85B53">
        <w:rPr>
          <w:rFonts w:ascii="Century" w:hAnsi="Century" w:hint="cs"/>
          <w:rtl/>
        </w:rPr>
        <w:t>"</w:t>
      </w:r>
      <w:r w:rsidR="00C85B53" w:rsidRPr="00C25339">
        <w:rPr>
          <w:rFonts w:ascii="Century" w:hAnsi="Century"/>
          <w:rtl/>
        </w:rPr>
        <w:t xml:space="preserve">ד </w:t>
      </w:r>
      <w:r w:rsidRPr="00C25339">
        <w:rPr>
          <w:rFonts w:ascii="Century" w:hAnsi="Century"/>
          <w:rtl/>
        </w:rPr>
        <w:t>סו(3) 135</w:t>
      </w:r>
      <w:r>
        <w:rPr>
          <w:rFonts w:ascii="Century" w:hAnsi="Century" w:hint="cs"/>
          <w:rtl/>
        </w:rPr>
        <w:t>, 188-186</w:t>
      </w:r>
      <w:r w:rsidRPr="00C25339">
        <w:rPr>
          <w:rFonts w:ascii="Century" w:hAnsi="Century"/>
          <w:rtl/>
        </w:rPr>
        <w:t xml:space="preserve"> </w:t>
      </w:r>
      <w:r>
        <w:rPr>
          <w:rFonts w:ascii="Century" w:hAnsi="Century" w:hint="cs"/>
          <w:rtl/>
        </w:rPr>
        <w:t xml:space="preserve">(2013) (להלן: </w:t>
      </w:r>
      <w:r w:rsidRPr="00066AB3">
        <w:rPr>
          <w:rFonts w:ascii="Century" w:hAnsi="Century" w:cs="Miriam" w:hint="cs"/>
          <w:b/>
          <w:spacing w:val="0"/>
          <w:sz w:val="22"/>
          <w:szCs w:val="24"/>
          <w:rtl/>
        </w:rPr>
        <w:t>עניי</w:t>
      </w:r>
      <w:r>
        <w:rPr>
          <w:rFonts w:ascii="Century" w:hAnsi="Century" w:cs="Miriam" w:hint="cs"/>
          <w:b/>
          <w:spacing w:val="0"/>
          <w:sz w:val="22"/>
          <w:szCs w:val="24"/>
          <w:rtl/>
        </w:rPr>
        <w:t>ן</w:t>
      </w:r>
      <w:r w:rsidRPr="00066AB3">
        <w:rPr>
          <w:rFonts w:ascii="Century" w:hAnsi="Century" w:cs="Miriam" w:hint="cs"/>
          <w:b/>
          <w:spacing w:val="0"/>
          <w:sz w:val="22"/>
          <w:szCs w:val="24"/>
          <w:rtl/>
        </w:rPr>
        <w:t xml:space="preserve"> ראשי הערים</w:t>
      </w:r>
      <w:r>
        <w:rPr>
          <w:rFonts w:ascii="Century" w:hAnsi="Century" w:hint="cs"/>
          <w:rtl/>
        </w:rPr>
        <w:t>))</w:t>
      </w:r>
      <w:r w:rsidRPr="007B04E0">
        <w:rPr>
          <w:rFonts w:ascii="Century" w:hAnsi="Century" w:hint="cs"/>
          <w:rtl/>
        </w:rPr>
        <w:t xml:space="preserve">. </w:t>
      </w:r>
      <w:r>
        <w:rPr>
          <w:rFonts w:ascii="Century" w:hAnsi="Century" w:hint="cs"/>
          <w:rtl/>
        </w:rPr>
        <w:t xml:space="preserve">העובדה שמדובר בהרשעה מן העת האחרונה נושאת אף היא משקל משמעותי. ולכך אוסיף כי תקופת התנאי שנקבעה בגזר הדין עומדת בתוקפה עד </w:t>
      </w:r>
      <w:r w:rsidRPr="007B04E0">
        <w:rPr>
          <w:rFonts w:ascii="Century" w:hAnsi="Century" w:hint="cs"/>
          <w:rtl/>
        </w:rPr>
        <w:t>שנת 2025</w:t>
      </w:r>
      <w:r>
        <w:rPr>
          <w:rFonts w:ascii="Century" w:hAnsi="Century" w:hint="cs"/>
          <w:rtl/>
        </w:rPr>
        <w:t>, ו</w:t>
      </w:r>
      <w:r w:rsidRPr="007B04E0">
        <w:rPr>
          <w:rFonts w:ascii="Century" w:hAnsi="Century" w:hint="cs"/>
          <w:rtl/>
        </w:rPr>
        <w:t xml:space="preserve">עצם </w:t>
      </w:r>
      <w:r>
        <w:rPr>
          <w:rFonts w:ascii="Century" w:hAnsi="Century" w:hint="cs"/>
          <w:rtl/>
        </w:rPr>
        <w:t>ה</w:t>
      </w:r>
      <w:r w:rsidRPr="007B04E0">
        <w:rPr>
          <w:rFonts w:ascii="Century" w:hAnsi="Century" w:hint="cs"/>
          <w:rtl/>
        </w:rPr>
        <w:t xml:space="preserve">כהונה של שר </w:t>
      </w:r>
      <w:r>
        <w:rPr>
          <w:rFonts w:ascii="Century" w:hAnsi="Century" w:hint="cs"/>
          <w:rtl/>
        </w:rPr>
        <w:t>בעת ש</w:t>
      </w:r>
      <w:r w:rsidRPr="007B04E0">
        <w:rPr>
          <w:rFonts w:ascii="Century" w:hAnsi="Century" w:hint="cs"/>
          <w:rtl/>
        </w:rPr>
        <w:t>תלוי ועומד נגדו עונש מאסר על תנאי</w:t>
      </w:r>
      <w:r>
        <w:rPr>
          <w:rFonts w:ascii="Century" w:hAnsi="Century" w:hint="cs"/>
          <w:rtl/>
        </w:rPr>
        <w:t>,</w:t>
      </w:r>
      <w:r w:rsidRPr="007B04E0">
        <w:rPr>
          <w:rFonts w:ascii="Century" w:hAnsi="Century" w:hint="cs"/>
          <w:rtl/>
        </w:rPr>
        <w:t xml:space="preserve"> מעוררת כשלעצמה קשיים לא מבוטלים. </w:t>
      </w:r>
    </w:p>
    <w:p w14:paraId="36854E65" w14:textId="77777777" w:rsidR="0040186B" w:rsidRPr="007B04E0" w:rsidRDefault="0040186B" w:rsidP="00C634DC"/>
    <w:p w14:paraId="331D4485" w14:textId="77777777" w:rsidR="0040186B" w:rsidRPr="007B04E0" w:rsidRDefault="0040186B" w:rsidP="00C634DC">
      <w:pPr>
        <w:pStyle w:val="af0"/>
        <w:numPr>
          <w:ilvl w:val="0"/>
          <w:numId w:val="11"/>
        </w:numPr>
        <w:spacing w:line="360" w:lineRule="auto"/>
        <w:contextualSpacing w:val="0"/>
        <w:jc w:val="both"/>
        <w:rPr>
          <w:rFonts w:ascii="Century" w:eastAsia="Times New Roman" w:hAnsi="Century" w:cs="FrankRuehl"/>
          <w:spacing w:val="10"/>
          <w:szCs w:val="28"/>
        </w:rPr>
      </w:pPr>
      <w:r w:rsidRPr="007B04E0">
        <w:rPr>
          <w:rFonts w:ascii="Century" w:eastAsia="Times New Roman" w:hAnsi="Century" w:cs="FrankRuehl" w:hint="eastAsia"/>
          <w:spacing w:val="10"/>
          <w:szCs w:val="28"/>
          <w:rtl/>
        </w:rPr>
        <w:lastRenderedPageBreak/>
        <w:t>דרעי</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סבור</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כי</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יש</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לייחס</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משקל</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נמוך</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להרשעתו</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בעבירות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המס</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וזאת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בין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היתר</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בשים</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לב</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לכך</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שמדובר</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בעבירות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מינוריות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המצויות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ברף</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התחתון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של</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עבירות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המיסים</w:t>
      </w:r>
      <w:r w:rsidRPr="007B04E0">
        <w:rPr>
          <w:rFonts w:ascii="Century" w:eastAsia="Times New Roman" w:hAnsi="Century" w:cs="FrankRuehl"/>
          <w:spacing w:val="10"/>
          <w:szCs w:val="28"/>
          <w:rtl/>
        </w:rPr>
        <w:t xml:space="preserve">, </w:t>
      </w:r>
      <w:r w:rsidRPr="007B04E0">
        <w:rPr>
          <w:rFonts w:ascii="Century" w:eastAsia="Times New Roman" w:hAnsi="Century" w:cs="FrankRuehl" w:hint="cs"/>
          <w:spacing w:val="10"/>
          <w:szCs w:val="28"/>
          <w:rtl/>
        </w:rPr>
        <w:t>ו</w:t>
      </w:r>
      <w:r>
        <w:rPr>
          <w:rFonts w:ascii="Century" w:eastAsia="Times New Roman" w:hAnsi="Century" w:cs="FrankRuehl" w:hint="cs"/>
          <w:spacing w:val="10"/>
          <w:szCs w:val="28"/>
          <w:rtl/>
        </w:rPr>
        <w:t xml:space="preserve">כן </w:t>
      </w:r>
      <w:r w:rsidRPr="007B04E0">
        <w:rPr>
          <w:rFonts w:ascii="Century" w:eastAsia="Times New Roman" w:hAnsi="Century" w:cs="FrankRuehl" w:hint="cs"/>
          <w:spacing w:val="10"/>
          <w:szCs w:val="28"/>
          <w:rtl/>
        </w:rPr>
        <w:t>בהינתן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שבתחילת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החקירה</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יוחסו</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לו</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עבירות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חמורות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בהרבה</w:t>
      </w:r>
      <w:r>
        <w:rPr>
          <w:rFonts w:ascii="Century" w:eastAsia="Times New Roman" w:hAnsi="Century" w:cs="FrankRuehl" w:hint="cs"/>
          <w:spacing w:val="10"/>
          <w:szCs w:val="28"/>
          <w:rtl/>
        </w:rPr>
        <w:t>. עוד מציין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דרעי</w:t>
      </w:r>
      <w:r>
        <w:rPr>
          <w:rFonts w:ascii="Century" w:eastAsia="Times New Roman" w:hAnsi="Century" w:cs="FrankRuehl" w:hint="cs"/>
          <w:spacing w:val="10"/>
          <w:szCs w:val="28"/>
          <w:rtl/>
        </w:rPr>
        <w:t xml:space="preserve"> כי הוא</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היה</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גורם</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פאסיבי</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בביצוע</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העביר</w:t>
      </w:r>
      <w:r w:rsidRPr="007B04E0">
        <w:rPr>
          <w:rFonts w:ascii="Century" w:eastAsia="Times New Roman" w:hAnsi="Century" w:cs="FrankRuehl" w:hint="cs"/>
          <w:spacing w:val="10"/>
          <w:szCs w:val="28"/>
          <w:rtl/>
        </w:rPr>
        <w:t>ו</w:t>
      </w:r>
      <w:r>
        <w:rPr>
          <w:rFonts w:ascii="Century" w:eastAsia="Times New Roman" w:hAnsi="Century" w:cs="FrankRuehl" w:hint="cs"/>
          <w:spacing w:val="10"/>
          <w:szCs w:val="28"/>
          <w:rtl/>
        </w:rPr>
        <w:t>ת, לא הפיק מהן טובת הנאה אישית, נטל עליהן אחריות מלאה ומשרתו</w:t>
      </w:r>
      <w:r w:rsidRPr="007B04E0">
        <w:rPr>
          <w:rFonts w:ascii="Century" w:eastAsia="Times New Roman" w:hAnsi="Century" w:cs="FrankRuehl" w:hint="cs"/>
          <w:spacing w:val="10"/>
          <w:szCs w:val="28"/>
          <w:rtl/>
        </w:rPr>
        <w:t xml:space="preserve"> הציבורית לא שימשה כלי לביצוע העבירות. </w:t>
      </w:r>
    </w:p>
    <w:p w14:paraId="04DA7544" w14:textId="77777777" w:rsidR="0040186B" w:rsidRPr="007B04E0" w:rsidRDefault="0040186B" w:rsidP="00C634DC">
      <w:pPr>
        <w:pStyle w:val="af0"/>
        <w:contextualSpacing w:val="0"/>
        <w:rPr>
          <w:rFonts w:ascii="Century" w:eastAsia="Times New Roman" w:hAnsi="Century" w:cs="FrankRuehl"/>
          <w:spacing w:val="10"/>
          <w:szCs w:val="28"/>
          <w:rtl/>
        </w:rPr>
      </w:pPr>
    </w:p>
    <w:p w14:paraId="4BD1681A" w14:textId="77777777" w:rsidR="0040186B" w:rsidRPr="007B04E0" w:rsidRDefault="0040186B" w:rsidP="00FB2A23">
      <w:pPr>
        <w:spacing w:line="360" w:lineRule="auto"/>
        <w:ind w:firstLine="720"/>
        <w:jc w:val="both"/>
        <w:rPr>
          <w:rFonts w:ascii="Century" w:hAnsi="Century" w:cs="FrankRuehl"/>
          <w:spacing w:val="10"/>
          <w:szCs w:val="28"/>
          <w:rtl/>
        </w:rPr>
      </w:pPr>
      <w:r w:rsidRPr="007B04E0">
        <w:rPr>
          <w:rFonts w:ascii="Century" w:hAnsi="Century" w:cs="FrankRuehl" w:hint="cs"/>
          <w:spacing w:val="10"/>
          <w:szCs w:val="28"/>
          <w:rtl/>
        </w:rPr>
        <w:t>בהקשר זה יש לשוב ולהזכיר כי "חומרתן הרבה של עבירות המס, נובעת בין היתר מפגיעתן הקשה בקופה הציבורית והקושי הרב שבחשיפתן</w:t>
      </w:r>
      <w:r w:rsidR="001E1337">
        <w:rPr>
          <w:rFonts w:ascii="Century" w:hAnsi="Century" w:cs="FrankRuehl" w:hint="cs"/>
          <w:spacing w:val="10"/>
          <w:szCs w:val="28"/>
          <w:rtl/>
        </w:rPr>
        <w:t xml:space="preserve"> [...]</w:t>
      </w:r>
      <w:r w:rsidRPr="007B04E0">
        <w:rPr>
          <w:rFonts w:ascii="Century" w:hAnsi="Century" w:cs="FrankRuehl" w:hint="cs"/>
          <w:spacing w:val="10"/>
          <w:szCs w:val="28"/>
          <w:rtl/>
        </w:rPr>
        <w:t>" (</w:t>
      </w:r>
      <w:r w:rsidRPr="007B04E0">
        <w:rPr>
          <w:rFonts w:ascii="Century" w:hAnsi="Century" w:cs="FrankRuehl" w:hint="eastAsia"/>
          <w:spacing w:val="10"/>
          <w:szCs w:val="28"/>
          <w:rtl/>
        </w:rPr>
        <w:t>רע</w:t>
      </w:r>
      <w:r w:rsidRPr="007B04E0">
        <w:rPr>
          <w:rFonts w:ascii="Century" w:hAnsi="Century" w:cs="FrankRuehl"/>
          <w:spacing w:val="10"/>
          <w:szCs w:val="28"/>
          <w:rtl/>
        </w:rPr>
        <w:t>"</w:t>
      </w:r>
      <w:r w:rsidRPr="007B04E0">
        <w:rPr>
          <w:rFonts w:ascii="Century" w:hAnsi="Century" w:cs="FrankRuehl" w:hint="eastAsia"/>
          <w:spacing w:val="10"/>
          <w:szCs w:val="28"/>
          <w:rtl/>
        </w:rPr>
        <w:t>פ</w:t>
      </w:r>
      <w:r w:rsidRPr="007B04E0">
        <w:rPr>
          <w:rFonts w:ascii="Century" w:hAnsi="Century" w:cs="FrankRuehl"/>
          <w:spacing w:val="10"/>
          <w:szCs w:val="28"/>
          <w:rtl/>
        </w:rPr>
        <w:t xml:space="preserve"> 5052/21 </w:t>
      </w:r>
      <w:r w:rsidRPr="007B04E0">
        <w:rPr>
          <w:rFonts w:ascii="Century" w:hAnsi="Century" w:cs="Miriam" w:hint="eastAsia"/>
          <w:b/>
          <w:rtl/>
        </w:rPr>
        <w:t>שלמה</w:t>
      </w:r>
      <w:r w:rsidRPr="007B04E0">
        <w:rPr>
          <w:rFonts w:ascii="Century" w:hAnsi="Century" w:cs="Miriam"/>
          <w:b/>
          <w:rtl/>
        </w:rPr>
        <w:t xml:space="preserve"> </w:t>
      </w:r>
      <w:r w:rsidRPr="007B04E0">
        <w:rPr>
          <w:rFonts w:ascii="Century" w:hAnsi="Century" w:cs="Miriam" w:hint="eastAsia"/>
          <w:b/>
          <w:rtl/>
        </w:rPr>
        <w:t>נ</w:t>
      </w:r>
      <w:r w:rsidRPr="007B04E0">
        <w:rPr>
          <w:rFonts w:ascii="Century" w:hAnsi="Century" w:cs="Miriam"/>
          <w:b/>
          <w:rtl/>
        </w:rPr>
        <w:t xml:space="preserve">' </w:t>
      </w:r>
      <w:r w:rsidRPr="007B04E0">
        <w:rPr>
          <w:rFonts w:ascii="Century" w:hAnsi="Century" w:cs="Miriam" w:hint="eastAsia"/>
          <w:b/>
          <w:rtl/>
        </w:rPr>
        <w:t>מדינת</w:t>
      </w:r>
      <w:r w:rsidRPr="007B04E0">
        <w:rPr>
          <w:rFonts w:ascii="Century" w:hAnsi="Century" w:cs="Miriam"/>
          <w:b/>
          <w:rtl/>
        </w:rPr>
        <w:t xml:space="preserve"> </w:t>
      </w:r>
      <w:r w:rsidRPr="007B04E0">
        <w:rPr>
          <w:rFonts w:ascii="Century" w:hAnsi="Century" w:cs="Miriam" w:hint="eastAsia"/>
          <w:b/>
          <w:rtl/>
        </w:rPr>
        <w:t>ישראל</w:t>
      </w:r>
      <w:r w:rsidRPr="007B04E0">
        <w:rPr>
          <w:rFonts w:ascii="Century" w:hAnsi="Century" w:cs="FrankRuehl" w:hint="cs"/>
          <w:spacing w:val="10"/>
          <w:szCs w:val="28"/>
          <w:rtl/>
        </w:rPr>
        <w:t>, פסקה 9</w:t>
      </w:r>
      <w:r w:rsidRPr="007B04E0">
        <w:rPr>
          <w:rFonts w:ascii="Century" w:hAnsi="Century" w:cs="FrankRuehl"/>
          <w:spacing w:val="10"/>
          <w:szCs w:val="28"/>
          <w:rtl/>
        </w:rPr>
        <w:t xml:space="preserve"> (11.8.2021)</w:t>
      </w:r>
      <w:r>
        <w:rPr>
          <w:rFonts w:ascii="Century" w:hAnsi="Century" w:cs="FrankRuehl" w:hint="cs"/>
          <w:spacing w:val="10"/>
          <w:szCs w:val="28"/>
          <w:rtl/>
        </w:rPr>
        <w:t xml:space="preserve">). זאת, </w:t>
      </w:r>
      <w:r w:rsidRPr="007B04E0">
        <w:rPr>
          <w:rFonts w:ascii="Century" w:hAnsi="Century" w:cs="FrankRuehl" w:hint="cs"/>
          <w:spacing w:val="10"/>
          <w:szCs w:val="28"/>
          <w:rtl/>
        </w:rPr>
        <w:t>לצד פגי</w:t>
      </w:r>
      <w:r>
        <w:rPr>
          <w:rFonts w:ascii="Century" w:hAnsi="Century" w:cs="FrankRuehl" w:hint="cs"/>
          <w:spacing w:val="10"/>
          <w:szCs w:val="28"/>
          <w:rtl/>
        </w:rPr>
        <w:t xml:space="preserve">עתן במשק, בכלכלה ובערך השוויון של </w:t>
      </w:r>
      <w:r w:rsidRPr="007B04E0">
        <w:rPr>
          <w:rFonts w:ascii="Century" w:hAnsi="Century" w:cs="FrankRuehl" w:hint="cs"/>
          <w:spacing w:val="10"/>
          <w:szCs w:val="28"/>
          <w:rtl/>
        </w:rPr>
        <w:t xml:space="preserve">נטל המיסים </w:t>
      </w:r>
      <w:r>
        <w:rPr>
          <w:rFonts w:ascii="Century" w:hAnsi="Century" w:cs="FrankRuehl" w:hint="cs"/>
          <w:spacing w:val="10"/>
          <w:szCs w:val="28"/>
          <w:rtl/>
        </w:rPr>
        <w:t>החל על</w:t>
      </w:r>
      <w:r w:rsidRPr="007B04E0">
        <w:rPr>
          <w:rFonts w:ascii="Century" w:hAnsi="Century" w:cs="FrankRuehl" w:hint="cs"/>
          <w:spacing w:val="10"/>
          <w:szCs w:val="28"/>
          <w:rtl/>
        </w:rPr>
        <w:t xml:space="preserve"> אזרחי המדינה (רע"פ 8038/22 </w:t>
      </w:r>
      <w:r w:rsidRPr="007B04E0">
        <w:rPr>
          <w:rFonts w:ascii="Century" w:hAnsi="Century" w:cs="Miriam" w:hint="cs"/>
          <w:b/>
          <w:rtl/>
        </w:rPr>
        <w:t>שילון נ' מדינת ישראל</w:t>
      </w:r>
      <w:r w:rsidRPr="007B04E0">
        <w:rPr>
          <w:rFonts w:ascii="Century" w:hAnsi="Century" w:cs="FrankRuehl" w:hint="cs"/>
          <w:spacing w:val="10"/>
          <w:szCs w:val="28"/>
          <w:rtl/>
        </w:rPr>
        <w:t>, פסקה 8 (29.11.2022)). העבירות הספציפיות שבהן הורשע דרעי אכן אינן נמנות עם עבירות המס החמורות ביותר, אך העבירה שבסעיף 98(ג1) לחוק מיסוי מקרקעין כוללת רכיב של ידיעה; ובגין כלל העבירות</w:t>
      </w:r>
      <w:r>
        <w:rPr>
          <w:rFonts w:ascii="Century" w:hAnsi="Century" w:cs="FrankRuehl" w:hint="cs"/>
          <w:spacing w:val="10"/>
          <w:szCs w:val="28"/>
          <w:rtl/>
        </w:rPr>
        <w:t xml:space="preserve"> שבהן הורשע דרעי</w:t>
      </w:r>
      <w:r w:rsidRPr="007B04E0">
        <w:rPr>
          <w:rFonts w:ascii="Century" w:hAnsi="Century" w:cs="FrankRuehl" w:hint="cs"/>
          <w:spacing w:val="10"/>
          <w:szCs w:val="28"/>
          <w:rtl/>
        </w:rPr>
        <w:t xml:space="preserve"> העונש המקסימאלי כולל גם עונש מאסר (בין שנה לשנתיים). </w:t>
      </w:r>
    </w:p>
    <w:p w14:paraId="3B938257" w14:textId="77777777" w:rsidR="0040186B" w:rsidRPr="007B04E0" w:rsidRDefault="0040186B" w:rsidP="00C634DC">
      <w:pPr>
        <w:spacing w:line="360" w:lineRule="auto"/>
        <w:jc w:val="both"/>
        <w:rPr>
          <w:rFonts w:ascii="Century" w:hAnsi="Century" w:cs="FrankRuehl"/>
          <w:spacing w:val="10"/>
          <w:szCs w:val="28"/>
          <w:rtl/>
        </w:rPr>
      </w:pPr>
    </w:p>
    <w:p w14:paraId="24FC15BB" w14:textId="77777777" w:rsidR="0040186B" w:rsidRPr="007B04E0" w:rsidRDefault="0040186B" w:rsidP="00C634DC">
      <w:pPr>
        <w:pStyle w:val="af0"/>
        <w:numPr>
          <w:ilvl w:val="0"/>
          <w:numId w:val="11"/>
        </w:numPr>
        <w:spacing w:after="120" w:line="360" w:lineRule="auto"/>
        <w:contextualSpacing w:val="0"/>
        <w:jc w:val="both"/>
        <w:rPr>
          <w:rFonts w:ascii="Century" w:eastAsia="Times New Roman" w:hAnsi="Century" w:cs="FrankRuehl"/>
          <w:spacing w:val="10"/>
          <w:szCs w:val="28"/>
          <w:rtl/>
        </w:rPr>
      </w:pPr>
      <w:r w:rsidRPr="007B04E0">
        <w:rPr>
          <w:rFonts w:ascii="Century" w:eastAsia="Times New Roman" w:hAnsi="Century" w:cs="FrankRuehl" w:hint="eastAsia"/>
          <w:spacing w:val="10"/>
          <w:szCs w:val="28"/>
          <w:rtl/>
        </w:rPr>
        <w:t>אשר</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לנסיבות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ביצוע</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העבירות</w:t>
      </w:r>
      <w:r>
        <w:rPr>
          <w:rFonts w:ascii="Century" w:eastAsia="Times New Roman" w:hAnsi="Century" w:cs="FrankRuehl"/>
          <w:spacing w:val="10"/>
          <w:szCs w:val="28"/>
          <w:rtl/>
        </w:rPr>
        <w:t xml:space="preserve"> על ידי דרעי</w:t>
      </w:r>
      <w:r>
        <w:rPr>
          <w:rFonts w:ascii="Century" w:eastAsia="Times New Roman" w:hAnsi="Century" w:cs="FrankRuehl" w:hint="cs"/>
          <w:spacing w:val="10"/>
          <w:szCs w:val="28"/>
          <w:rtl/>
        </w:rPr>
        <w:t xml:space="preserve"> </w:t>
      </w:r>
      <w:r>
        <w:rPr>
          <w:rFonts w:ascii="Century" w:eastAsia="Times New Roman" w:hAnsi="Century" w:cs="FrankRuehl"/>
          <w:spacing w:val="10"/>
          <w:szCs w:val="28"/>
          <w:rtl/>
        </w:rPr>
        <w:t>–</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בגזר</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הדין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צוין</w:t>
      </w:r>
      <w:r w:rsidRPr="007B04E0">
        <w:rPr>
          <w:rFonts w:ascii="Century" w:eastAsia="Times New Roman" w:hAnsi="Century" w:cs="FrankRuehl"/>
          <w:spacing w:val="10"/>
          <w:szCs w:val="28"/>
          <w:rtl/>
        </w:rPr>
        <w:t xml:space="preserve"> </w:t>
      </w:r>
      <w:r w:rsidRPr="007B04E0">
        <w:rPr>
          <w:rFonts w:ascii="Century" w:eastAsia="Times New Roman" w:hAnsi="Century" w:cs="FrankRuehl" w:hint="cs"/>
          <w:spacing w:val="10"/>
          <w:szCs w:val="28"/>
          <w:rtl/>
        </w:rPr>
        <w:t xml:space="preserve">אומנם </w:t>
      </w:r>
      <w:r w:rsidRPr="007B04E0">
        <w:rPr>
          <w:rFonts w:ascii="Century" w:eastAsia="Times New Roman" w:hAnsi="Century" w:cs="FrankRuehl" w:hint="eastAsia"/>
          <w:spacing w:val="10"/>
          <w:szCs w:val="28"/>
          <w:rtl/>
        </w:rPr>
        <w:t>כי</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חלקו</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בביצוע</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העבירות</w:t>
      </w:r>
      <w:r w:rsidRPr="007B04E0">
        <w:rPr>
          <w:rFonts w:ascii="Century" w:eastAsia="Times New Roman" w:hAnsi="Century" w:cs="FrankRuehl"/>
          <w:spacing w:val="10"/>
          <w:szCs w:val="28"/>
          <w:rtl/>
        </w:rPr>
        <w:t xml:space="preserve"> </w:t>
      </w:r>
      <w:r>
        <w:rPr>
          <w:rFonts w:ascii="Century" w:eastAsia="Times New Roman" w:hAnsi="Century" w:cs="FrankRuehl" w:hint="cs"/>
          <w:spacing w:val="10"/>
          <w:szCs w:val="28"/>
          <w:rtl/>
        </w:rPr>
        <w:t>היה</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פאסיבי</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וכי</w:t>
      </w:r>
      <w:r w:rsidRPr="007B04E0">
        <w:rPr>
          <w:rFonts w:ascii="Century" w:eastAsia="Times New Roman" w:hAnsi="Century" w:cs="FrankRuehl"/>
          <w:spacing w:val="10"/>
          <w:szCs w:val="28"/>
          <w:rtl/>
        </w:rPr>
        <w:t xml:space="preserve"> </w:t>
      </w:r>
      <w:r>
        <w:rPr>
          <w:rFonts w:ascii="Century" w:eastAsia="Times New Roman" w:hAnsi="Century" w:cs="FrankRuehl" w:hint="cs"/>
          <w:spacing w:val="10"/>
          <w:szCs w:val="28"/>
          <w:rtl/>
        </w:rPr>
        <w:t>אין מיוחסים</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לו</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זדון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או</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כוונה</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להונות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את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שלטונות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המס</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אך</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לצד</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זאת</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צוין</w:t>
      </w:r>
      <w:r w:rsidRPr="007B04E0">
        <w:rPr>
          <w:rFonts w:ascii="Century" w:eastAsia="Times New Roman" w:hAnsi="Century" w:cs="FrankRuehl"/>
          <w:spacing w:val="10"/>
          <w:szCs w:val="28"/>
          <w:rtl/>
        </w:rPr>
        <w:t xml:space="preserve"> </w:t>
      </w:r>
      <w:r w:rsidRPr="007B04E0">
        <w:rPr>
          <w:rFonts w:ascii="Century" w:eastAsia="Times New Roman" w:hAnsi="Century" w:cs="FrankRuehl" w:hint="eastAsia"/>
          <w:spacing w:val="10"/>
          <w:szCs w:val="28"/>
          <w:rtl/>
        </w:rPr>
        <w:t>כי</w:t>
      </w:r>
      <w:r w:rsidRPr="007B04E0">
        <w:rPr>
          <w:rFonts w:ascii="Century" w:eastAsia="Times New Roman" w:hAnsi="Century" w:cs="FrankRuehl"/>
          <w:spacing w:val="10"/>
          <w:szCs w:val="28"/>
          <w:rtl/>
        </w:rPr>
        <w:t>:</w:t>
      </w:r>
    </w:p>
    <w:p w14:paraId="75DA5D67" w14:textId="77777777" w:rsidR="0040186B" w:rsidRPr="007B04E0" w:rsidRDefault="0040186B" w:rsidP="00C634DC">
      <w:pPr>
        <w:pStyle w:val="Ruller5"/>
        <w:rPr>
          <w:rtl/>
        </w:rPr>
      </w:pPr>
      <w:r w:rsidRPr="007B04E0">
        <w:rPr>
          <w:rFonts w:hint="cs"/>
          <w:rtl/>
        </w:rPr>
        <w:t>"</w:t>
      </w:r>
      <w:r w:rsidRPr="007B04E0">
        <w:rPr>
          <w:rtl/>
        </w:rPr>
        <w:t xml:space="preserve">מעשיו של הנאשם יצרו חלון מעוות דרכו נאלצו שלטונות המס להביט על קיומה של העסקה המופיעה </w:t>
      </w:r>
      <w:r w:rsidRPr="007B04E0">
        <w:rPr>
          <w:rFonts w:ascii="Century" w:hAnsi="Century" w:cs="Miriam"/>
          <w:b/>
          <w:spacing w:val="0"/>
          <w:szCs w:val="24"/>
          <w:rtl/>
        </w:rPr>
        <w:t>באישום הראשון</w:t>
      </w:r>
      <w:r w:rsidRPr="007B04E0">
        <w:rPr>
          <w:rtl/>
        </w:rPr>
        <w:t xml:space="preserve"> וממנה גזרו את סכום המס המתבקש, ובעניינו של </w:t>
      </w:r>
      <w:r w:rsidRPr="007B04E0">
        <w:rPr>
          <w:rFonts w:ascii="Century" w:hAnsi="Century" w:cs="Miriam"/>
          <w:b/>
          <w:spacing w:val="0"/>
          <w:szCs w:val="24"/>
          <w:rtl/>
        </w:rPr>
        <w:t>האישום השני</w:t>
      </w:r>
      <w:r w:rsidRPr="007B04E0">
        <w:rPr>
          <w:rtl/>
        </w:rPr>
        <w:t xml:space="preserve"> – הוריד הנאשם תריס אטום על חברת '</w:t>
      </w:r>
      <w:proofErr w:type="spellStart"/>
      <w:r w:rsidRPr="007B04E0">
        <w:rPr>
          <w:rtl/>
        </w:rPr>
        <w:t>ד.ר.א.ר</w:t>
      </w:r>
      <w:proofErr w:type="spellEnd"/>
      <w:r w:rsidRPr="007B04E0">
        <w:rPr>
          <w:rtl/>
        </w:rPr>
        <w:t xml:space="preserve"> שירותי ייעוץ בע"מ' בעת שהעבירה לאחיו, שלמה דרעי, ובכך הותיר את הצוהר דרכו מביטים שלטונות המס ופקידי השומה לתוך החברה וספריה – סגור וחשוך. </w:t>
      </w:r>
    </w:p>
    <w:p w14:paraId="553E3AA4" w14:textId="77777777" w:rsidR="0040186B" w:rsidRPr="007B04E0" w:rsidRDefault="0040186B" w:rsidP="00C634DC">
      <w:pPr>
        <w:pStyle w:val="Ruller5"/>
        <w:rPr>
          <w:rtl/>
        </w:rPr>
      </w:pPr>
    </w:p>
    <w:p w14:paraId="4F5C9A17" w14:textId="77777777" w:rsidR="0040186B" w:rsidRPr="007B04E0" w:rsidRDefault="0040186B" w:rsidP="00C634DC">
      <w:pPr>
        <w:pStyle w:val="Ruller5"/>
        <w:rPr>
          <w:rtl/>
        </w:rPr>
      </w:pPr>
      <w:r w:rsidRPr="007B04E0">
        <w:rPr>
          <w:rtl/>
        </w:rPr>
        <w:t>מעשים אלו מנעו משלטונות המס לגזור את סך המיסים הנכון אותו יש להשית על הנאשם ועל החברה</w:t>
      </w:r>
      <w:r w:rsidRPr="007B04E0">
        <w:rPr>
          <w:rFonts w:hint="cs"/>
          <w:rtl/>
        </w:rPr>
        <w:t xml:space="preserve"> </w:t>
      </w:r>
      <w:r w:rsidRPr="007B04E0">
        <w:rPr>
          <w:rtl/>
        </w:rPr>
        <w:t>– ובכך נוצר פוטנציאל לפגיעה בקופה הציבורית, אם כי לא הוכחה פגיעה שכזו</w:t>
      </w:r>
      <w:r w:rsidRPr="007B04E0">
        <w:rPr>
          <w:rFonts w:hint="cs"/>
          <w:rtl/>
        </w:rPr>
        <w:t>" (ההדגשות במקור).</w:t>
      </w:r>
    </w:p>
    <w:p w14:paraId="2E904F81" w14:textId="77777777" w:rsidR="0040186B" w:rsidRPr="007B04E0" w:rsidRDefault="0040186B" w:rsidP="00C634DC">
      <w:pPr>
        <w:pStyle w:val="af0"/>
        <w:spacing w:line="360" w:lineRule="auto"/>
        <w:ind w:left="0"/>
        <w:contextualSpacing w:val="0"/>
        <w:jc w:val="both"/>
        <w:rPr>
          <w:rFonts w:ascii="Century" w:eastAsia="Times New Roman" w:hAnsi="Century" w:cs="FrankRuehl"/>
          <w:spacing w:val="10"/>
          <w:szCs w:val="28"/>
          <w:rtl/>
        </w:rPr>
      </w:pPr>
    </w:p>
    <w:p w14:paraId="7146D7F5" w14:textId="77777777" w:rsidR="0040186B" w:rsidRDefault="0040186B" w:rsidP="00C634DC">
      <w:pPr>
        <w:spacing w:line="360" w:lineRule="auto"/>
        <w:ind w:firstLine="720"/>
        <w:jc w:val="both"/>
        <w:rPr>
          <w:rFonts w:ascii="Century" w:hAnsi="Century" w:cs="FrankRuehl"/>
          <w:spacing w:val="10"/>
          <w:szCs w:val="28"/>
          <w:rtl/>
        </w:rPr>
      </w:pPr>
      <w:r w:rsidRPr="007B04E0">
        <w:rPr>
          <w:rFonts w:ascii="Century" w:hAnsi="Century" w:cs="FrankRuehl" w:hint="cs"/>
          <w:spacing w:val="10"/>
          <w:szCs w:val="28"/>
          <w:rtl/>
        </w:rPr>
        <w:t xml:space="preserve">לכך יש להוסיף כי מדובר בהרשעה בגין שני אירועים נפרדים, אשר באחד מהם איפשר דרעי </w:t>
      </w:r>
      <w:r w:rsidRPr="007B04E0">
        <w:rPr>
          <w:rFonts w:ascii="Century" w:hAnsi="Century" w:cs="FrankRuehl"/>
          <w:spacing w:val="10"/>
          <w:szCs w:val="28"/>
          <w:rtl/>
        </w:rPr>
        <w:t>–</w:t>
      </w:r>
      <w:r w:rsidRPr="007B04E0">
        <w:rPr>
          <w:rFonts w:ascii="Century" w:hAnsi="Century" w:cs="FrankRuehl" w:hint="cs"/>
          <w:spacing w:val="10"/>
          <w:szCs w:val="28"/>
          <w:rtl/>
        </w:rPr>
        <w:t xml:space="preserve"> שכיהן באותה עת כחבר כנסת </w:t>
      </w:r>
      <w:r w:rsidRPr="007B04E0">
        <w:rPr>
          <w:rFonts w:ascii="Century" w:hAnsi="Century" w:cs="FrankRuehl"/>
          <w:spacing w:val="10"/>
          <w:szCs w:val="28"/>
          <w:rtl/>
        </w:rPr>
        <w:t>–</w:t>
      </w:r>
      <w:r w:rsidRPr="007B04E0">
        <w:rPr>
          <w:rFonts w:ascii="Century" w:hAnsi="Century" w:cs="FrankRuehl" w:hint="cs"/>
          <w:spacing w:val="10"/>
          <w:szCs w:val="28"/>
          <w:rtl/>
        </w:rPr>
        <w:t xml:space="preserve"> הצגתו של מצג כוזב לרשויות המס, </w:t>
      </w:r>
      <w:r>
        <w:rPr>
          <w:rFonts w:ascii="Century" w:hAnsi="Century" w:cs="FrankRuehl" w:hint="cs"/>
          <w:spacing w:val="10"/>
          <w:szCs w:val="28"/>
          <w:rtl/>
        </w:rPr>
        <w:t xml:space="preserve">באופן שעל פני הדברים </w:t>
      </w:r>
      <w:r w:rsidRPr="007B04E0">
        <w:rPr>
          <w:rFonts w:ascii="Century" w:hAnsi="Century" w:cs="FrankRuehl" w:hint="cs"/>
          <w:spacing w:val="10"/>
          <w:szCs w:val="28"/>
          <w:rtl/>
        </w:rPr>
        <w:t xml:space="preserve">סייע לאחיו </w:t>
      </w:r>
      <w:r>
        <w:rPr>
          <w:rFonts w:ascii="Century" w:hAnsi="Century" w:cs="FrankRuehl" w:hint="cs"/>
          <w:spacing w:val="10"/>
          <w:szCs w:val="28"/>
          <w:rtl/>
        </w:rPr>
        <w:t>"</w:t>
      </w:r>
      <w:r w:rsidRPr="007B04E0">
        <w:rPr>
          <w:rFonts w:ascii="Century" w:hAnsi="Century" w:cs="FrankRuehl" w:hint="cs"/>
          <w:spacing w:val="10"/>
          <w:szCs w:val="28"/>
          <w:rtl/>
        </w:rPr>
        <w:t>לחסוך</w:t>
      </w:r>
      <w:r>
        <w:rPr>
          <w:rFonts w:ascii="Century" w:hAnsi="Century" w:cs="FrankRuehl" w:hint="cs"/>
          <w:spacing w:val="10"/>
          <w:szCs w:val="28"/>
          <w:rtl/>
        </w:rPr>
        <w:t>"</w:t>
      </w:r>
      <w:r w:rsidRPr="007B04E0">
        <w:rPr>
          <w:rFonts w:ascii="Century" w:hAnsi="Century" w:cs="FrankRuehl" w:hint="cs"/>
          <w:spacing w:val="10"/>
          <w:szCs w:val="28"/>
          <w:rtl/>
        </w:rPr>
        <w:t xml:space="preserve"> תשלום מס בשווי ניכר. בחינת מכלול הדברים מלמדת, אפוא, כי לא ניתן לקבל את טענתו של דרעי לפיה יש לייחס להרשעה זו משקל נמוך.</w:t>
      </w:r>
    </w:p>
    <w:p w14:paraId="45D7D8E0" w14:textId="77777777" w:rsidR="0040186B" w:rsidRPr="007B04E0" w:rsidRDefault="0040186B" w:rsidP="00C634DC">
      <w:pPr>
        <w:spacing w:line="360" w:lineRule="auto"/>
        <w:ind w:firstLine="720"/>
        <w:jc w:val="both"/>
        <w:rPr>
          <w:rFonts w:ascii="Century" w:hAnsi="Century" w:cs="FrankRuehl"/>
          <w:spacing w:val="10"/>
          <w:szCs w:val="28"/>
          <w:rtl/>
        </w:rPr>
      </w:pPr>
    </w:p>
    <w:p w14:paraId="04A7E16B" w14:textId="77777777" w:rsidR="0040186B" w:rsidRDefault="0040186B" w:rsidP="005F31D1">
      <w:pPr>
        <w:pStyle w:val="Ruller4"/>
        <w:rPr>
          <w:rtl/>
        </w:rPr>
      </w:pPr>
      <w:r w:rsidRPr="007B04E0">
        <w:rPr>
          <w:rFonts w:hint="cs"/>
          <w:rtl/>
        </w:rPr>
        <w:lastRenderedPageBreak/>
        <w:t xml:space="preserve">טענה נוספת שהועלתה </w:t>
      </w:r>
      <w:r>
        <w:rPr>
          <w:rFonts w:hint="cs"/>
          <w:rtl/>
        </w:rPr>
        <w:t>על ידי</w:t>
      </w:r>
      <w:r w:rsidRPr="007B04E0">
        <w:rPr>
          <w:rFonts w:hint="cs"/>
          <w:rtl/>
        </w:rPr>
        <w:t xml:space="preserve"> חלק מן המשיבים היא שבענייננו יש להתחשב בקביעת הפסיקה לפיה </w:t>
      </w:r>
      <w:r w:rsidRPr="00DB0602">
        <w:rPr>
          <w:rFonts w:eastAsia="Calibri" w:hint="cs"/>
          <w:rtl/>
        </w:rPr>
        <w:t>"</w:t>
      </w:r>
      <w:r w:rsidRPr="00DB0602">
        <w:rPr>
          <w:rFonts w:eastAsia="Calibri"/>
          <w:rtl/>
        </w:rPr>
        <w:t>ככל שמתרחקים אנו מן הגבולות הסטטוטוריים, כך נתקשה למצוא טעם וצידוק להתערב בשיקול-דעתו של ראש-הממשלה במסגרת סמכותו</w:t>
      </w:r>
      <w:r w:rsidRPr="00DB0602">
        <w:rPr>
          <w:rFonts w:eastAsia="Calibri" w:hint="cs"/>
          <w:rtl/>
        </w:rPr>
        <w:t>" (</w:t>
      </w:r>
      <w:r w:rsidRPr="00DB0602">
        <w:rPr>
          <w:rFonts w:eastAsia="Calibri" w:hint="eastAsia"/>
          <w:rtl/>
        </w:rPr>
        <w:t>עניין</w:t>
      </w:r>
      <w:r w:rsidRPr="00DB0602">
        <w:rPr>
          <w:rFonts w:eastAsia="Calibri"/>
          <w:rtl/>
        </w:rPr>
        <w:t xml:space="preserve"> </w:t>
      </w:r>
      <w:r w:rsidRPr="00DB0602">
        <w:rPr>
          <w:rFonts w:ascii="Century" w:hAnsi="Century" w:cs="Miriam" w:hint="eastAsia"/>
          <w:b/>
          <w:spacing w:val="0"/>
          <w:sz w:val="22"/>
          <w:szCs w:val="24"/>
          <w:rtl/>
        </w:rPr>
        <w:t>הנגבי</w:t>
      </w:r>
      <w:r w:rsidRPr="00DB0602">
        <w:rPr>
          <w:rFonts w:ascii="Century" w:hAnsi="Century" w:cs="Miriam"/>
          <w:b/>
          <w:spacing w:val="0"/>
          <w:sz w:val="22"/>
          <w:szCs w:val="24"/>
          <w:rtl/>
        </w:rPr>
        <w:t xml:space="preserve"> 2003</w:t>
      </w:r>
      <w:r w:rsidRPr="00DB0602">
        <w:rPr>
          <w:rFonts w:eastAsia="Calibri"/>
          <w:rtl/>
        </w:rPr>
        <w:t xml:space="preserve">, </w:t>
      </w:r>
      <w:r w:rsidRPr="00DB0602">
        <w:rPr>
          <w:rFonts w:eastAsia="Calibri" w:hint="eastAsia"/>
          <w:rtl/>
        </w:rPr>
        <w:t>בעמ</w:t>
      </w:r>
      <w:r w:rsidRPr="00DB0602">
        <w:rPr>
          <w:rFonts w:eastAsia="Calibri"/>
          <w:rtl/>
        </w:rPr>
        <w:t>' 834</w:t>
      </w:r>
      <w:r w:rsidRPr="00DB0602">
        <w:rPr>
          <w:rFonts w:eastAsia="Calibri" w:hint="cs"/>
          <w:rtl/>
        </w:rPr>
        <w:t>)).</w:t>
      </w:r>
      <w:r w:rsidRPr="007B04E0">
        <w:rPr>
          <w:rFonts w:hint="cs"/>
          <w:rtl/>
        </w:rPr>
        <w:t xml:space="preserve"> </w:t>
      </w:r>
      <w:r>
        <w:rPr>
          <w:rFonts w:hint="cs"/>
          <w:rtl/>
        </w:rPr>
        <w:t xml:space="preserve">כאמור, אין חולק שדרעי עומד בתנאי הכשירות על פי נוסחו של חוק היסוד לאחר תיקון מס' 11. אך </w:t>
      </w:r>
      <w:r w:rsidRPr="007B04E0">
        <w:rPr>
          <w:rFonts w:hint="cs"/>
          <w:rtl/>
        </w:rPr>
        <w:t xml:space="preserve">בענייננו "המרחק" בין תנאי הכשירות בנוסחו העדכני ובין הרשעתו של דרעי בעבירות המס אינו כה משמעותי. </w:t>
      </w:r>
      <w:r>
        <w:rPr>
          <w:rFonts w:hint="cs"/>
          <w:rtl/>
        </w:rPr>
        <w:t xml:space="preserve">ראשית, </w:t>
      </w:r>
      <w:r w:rsidRPr="007B04E0">
        <w:rPr>
          <w:rFonts w:hint="cs"/>
          <w:rtl/>
        </w:rPr>
        <w:t xml:space="preserve">מדובר במצב שבו אדם </w:t>
      </w:r>
      <w:r w:rsidRPr="00DB0602">
        <w:rPr>
          <w:rFonts w:ascii="Century" w:hAnsi="Century" w:cs="Miriam" w:hint="cs"/>
          <w:b/>
          <w:spacing w:val="0"/>
          <w:szCs w:val="24"/>
          <w:rtl/>
        </w:rPr>
        <w:t>הורשע</w:t>
      </w:r>
      <w:r>
        <w:rPr>
          <w:rFonts w:hint="cs"/>
          <w:rtl/>
        </w:rPr>
        <w:t xml:space="preserve"> בדין. </w:t>
      </w:r>
      <w:r w:rsidRPr="00DB0602">
        <w:rPr>
          <w:rFonts w:ascii="Century" w:hAnsi="Century" w:hint="cs"/>
          <w:rtl/>
        </w:rPr>
        <w:t xml:space="preserve">שנית, </w:t>
      </w:r>
      <w:r>
        <w:rPr>
          <w:rFonts w:ascii="Century" w:hAnsi="Century" w:hint="cs"/>
          <w:rtl/>
        </w:rPr>
        <w:t>בעניינ</w:t>
      </w:r>
      <w:r w:rsidR="005D07D4">
        <w:rPr>
          <w:rFonts w:ascii="Century" w:hAnsi="Century" w:hint="cs"/>
          <w:rtl/>
        </w:rPr>
        <w:t>נ</w:t>
      </w:r>
      <w:r>
        <w:rPr>
          <w:rFonts w:ascii="Century" w:hAnsi="Century" w:hint="cs"/>
          <w:rtl/>
        </w:rPr>
        <w:t>ו חלפה כזכור כשנה בלבד מאז הרשעתו של דרעי בעבירות המס, ולא</w:t>
      </w:r>
      <w:r>
        <w:rPr>
          <w:rFonts w:hint="cs"/>
          <w:rtl/>
        </w:rPr>
        <w:t xml:space="preserve"> במצב שבו חלף פרק זמן ניכר מעבר לתקופת </w:t>
      </w:r>
      <w:r w:rsidR="006206A6">
        <w:rPr>
          <w:rFonts w:hint="cs"/>
          <w:rtl/>
        </w:rPr>
        <w:t xml:space="preserve">שבע </w:t>
      </w:r>
      <w:r>
        <w:rPr>
          <w:rFonts w:hint="cs"/>
          <w:rtl/>
        </w:rPr>
        <w:t xml:space="preserve">השנים המנויה בסעיף 6(ג) לחוק היסוד (והשוו: </w:t>
      </w:r>
      <w:r w:rsidRPr="00DB0602">
        <w:rPr>
          <w:rFonts w:ascii="Century" w:hAnsi="Century" w:hint="cs"/>
          <w:rtl/>
        </w:rPr>
        <w:t xml:space="preserve">עניין </w:t>
      </w:r>
      <w:r w:rsidRPr="00DB0602">
        <w:rPr>
          <w:rFonts w:ascii="Century" w:hAnsi="Century" w:cs="Miriam" w:hint="eastAsia"/>
          <w:b/>
          <w:spacing w:val="0"/>
          <w:szCs w:val="24"/>
          <w:rtl/>
        </w:rPr>
        <w:t>דרעי</w:t>
      </w:r>
      <w:r w:rsidRPr="00DB0602">
        <w:rPr>
          <w:rFonts w:ascii="Century" w:hAnsi="Century" w:cs="Miriam"/>
          <w:b/>
          <w:spacing w:val="0"/>
          <w:szCs w:val="24"/>
          <w:rtl/>
        </w:rPr>
        <w:t xml:space="preserve"> </w:t>
      </w:r>
      <w:r w:rsidRPr="00DB0602">
        <w:rPr>
          <w:rFonts w:ascii="Century" w:hAnsi="Century" w:cs="Miriam" w:hint="eastAsia"/>
          <w:b/>
          <w:spacing w:val="0"/>
          <w:szCs w:val="24"/>
          <w:rtl/>
        </w:rPr>
        <w:t>השני</w:t>
      </w:r>
      <w:r w:rsidRPr="00DB0602">
        <w:rPr>
          <w:rFonts w:ascii="Century" w:hAnsi="Century" w:hint="cs"/>
          <w:rtl/>
        </w:rPr>
        <w:t xml:space="preserve">, בפסקה 19 לחוות דעתי). </w:t>
      </w:r>
    </w:p>
    <w:p w14:paraId="377F89C2" w14:textId="77777777" w:rsidR="0040186B" w:rsidRPr="00DB0602" w:rsidRDefault="0040186B" w:rsidP="00C634DC">
      <w:pPr>
        <w:rPr>
          <w:rtl/>
        </w:rPr>
      </w:pPr>
    </w:p>
    <w:p w14:paraId="32D4A0AF" w14:textId="77777777" w:rsidR="0040186B" w:rsidRPr="007B04E0" w:rsidRDefault="0040186B" w:rsidP="00C634DC">
      <w:pPr>
        <w:pStyle w:val="Ruller4"/>
        <w:numPr>
          <w:ilvl w:val="0"/>
          <w:numId w:val="0"/>
        </w:numPr>
        <w:rPr>
          <w:rtl/>
        </w:rPr>
      </w:pPr>
      <w:r>
        <w:rPr>
          <w:rtl/>
        </w:rPr>
        <w:tab/>
      </w:r>
      <w:r>
        <w:rPr>
          <w:rFonts w:hint="cs"/>
          <w:rtl/>
        </w:rPr>
        <w:t>ניתן אפוא לומר כי "</w:t>
      </w:r>
      <w:r w:rsidRPr="007B04E0">
        <w:rPr>
          <w:rFonts w:hint="cs"/>
          <w:rtl/>
        </w:rPr>
        <w:t>הפערים</w:t>
      </w:r>
      <w:r>
        <w:rPr>
          <w:rFonts w:hint="cs"/>
          <w:rtl/>
        </w:rPr>
        <w:t>"</w:t>
      </w:r>
      <w:r w:rsidRPr="007B04E0">
        <w:rPr>
          <w:rFonts w:hint="cs"/>
          <w:rtl/>
        </w:rPr>
        <w:t xml:space="preserve"> העיקריים ביחס לתנאי הכשירות הקבועים כיום בסעיף 6(ג) לחוק היסוד הם שניים: העובדה שדרעי נידון למאסר על תנאי ולא למאסר בפועל; והיעדר קביעה בעניין קיומו של קלון בעבירות שבהן הוא הורשע. העובדה </w:t>
      </w:r>
      <w:r>
        <w:rPr>
          <w:rFonts w:hint="cs"/>
          <w:rtl/>
        </w:rPr>
        <w:t>שאין בענייננו</w:t>
      </w:r>
      <w:r w:rsidRPr="007B04E0">
        <w:rPr>
          <w:rFonts w:hint="cs"/>
          <w:rtl/>
        </w:rPr>
        <w:t xml:space="preserve"> כל קביעה לעניין הקלון, נובעת מהשתלשלות העניינים </w:t>
      </w:r>
      <w:r>
        <w:rPr>
          <w:rFonts w:hint="cs"/>
          <w:rtl/>
        </w:rPr>
        <w:t>החריגה שהתרחשה</w:t>
      </w:r>
      <w:r w:rsidRPr="007B04E0">
        <w:rPr>
          <w:rFonts w:hint="cs"/>
          <w:rtl/>
        </w:rPr>
        <w:t xml:space="preserve"> במקרה דנן: הערכאה הפלילית לא הכריעה בנושא בשל התפטרותו של דרעי מהכנסת ולאחר מכן</w:t>
      </w:r>
      <w:r w:rsidR="00103E30">
        <w:rPr>
          <w:rFonts w:hint="cs"/>
          <w:rtl/>
        </w:rPr>
        <w:t xml:space="preserve"> </w:t>
      </w:r>
      <w:r w:rsidR="00103E30">
        <w:rPr>
          <w:rtl/>
        </w:rPr>
        <w:t>–</w:t>
      </w:r>
      <w:r w:rsidRPr="007B04E0">
        <w:rPr>
          <w:rFonts w:hint="cs"/>
          <w:rtl/>
        </w:rPr>
        <w:t xml:space="preserve"> </w:t>
      </w:r>
      <w:r>
        <w:rPr>
          <w:rFonts w:hint="cs"/>
          <w:rtl/>
        </w:rPr>
        <w:t>בעקבות</w:t>
      </w:r>
      <w:r w:rsidRPr="007B04E0">
        <w:rPr>
          <w:rFonts w:hint="cs"/>
          <w:rtl/>
        </w:rPr>
        <w:t xml:space="preserve"> שינוי נוסח הסעיף</w:t>
      </w:r>
      <w:r>
        <w:rPr>
          <w:rFonts w:hint="cs"/>
          <w:rtl/>
        </w:rPr>
        <w:t xml:space="preserve"> בחוק היסוד</w:t>
      </w:r>
      <w:r w:rsidRPr="007B04E0">
        <w:rPr>
          <w:rFonts w:hint="cs"/>
          <w:rtl/>
        </w:rPr>
        <w:t xml:space="preserve"> </w:t>
      </w:r>
      <w:r w:rsidRPr="007B04E0">
        <w:rPr>
          <w:rtl/>
        </w:rPr>
        <w:t>–</w:t>
      </w:r>
      <w:r w:rsidRPr="007B04E0">
        <w:rPr>
          <w:rFonts w:hint="cs"/>
          <w:rtl/>
        </w:rPr>
        <w:t xml:space="preserve"> לא נעשתה פנייה ליו"ר ועדת הבחירות. זאת, אף ש</w:t>
      </w:r>
      <w:r w:rsidR="00103E30">
        <w:rPr>
          <w:rFonts w:hint="cs"/>
          <w:rtl/>
        </w:rPr>
        <w:t xml:space="preserve">"בזמן </w:t>
      </w:r>
      <w:r w:rsidRPr="007B04E0">
        <w:rPr>
          <w:rFonts w:hint="cs"/>
          <w:rtl/>
        </w:rPr>
        <w:t xml:space="preserve">אמת" סבר היועץ המשפטי לממשלה כי יש בעבירות משום קלון, וזו גם עמדת היועצת המשפטית לממשלה כעת (פסקה 40 לכתב התשובה מטעמה). </w:t>
      </w:r>
    </w:p>
    <w:p w14:paraId="22251ECF" w14:textId="77777777" w:rsidR="0040186B" w:rsidRPr="007B04E0" w:rsidRDefault="0040186B" w:rsidP="00C634DC">
      <w:pPr>
        <w:pStyle w:val="af0"/>
        <w:spacing w:line="360" w:lineRule="auto"/>
        <w:ind w:left="0"/>
        <w:contextualSpacing w:val="0"/>
        <w:jc w:val="both"/>
        <w:rPr>
          <w:rFonts w:ascii="Century" w:hAnsi="Century" w:cs="FrankRuehl"/>
          <w:spacing w:val="10"/>
          <w:szCs w:val="28"/>
          <w:rtl/>
        </w:rPr>
      </w:pPr>
    </w:p>
    <w:p w14:paraId="051BBEC0" w14:textId="77777777" w:rsidR="0040186B" w:rsidRPr="007B04E0" w:rsidRDefault="0040186B" w:rsidP="005D07D4">
      <w:pPr>
        <w:pStyle w:val="af0"/>
        <w:numPr>
          <w:ilvl w:val="0"/>
          <w:numId w:val="11"/>
        </w:numPr>
        <w:spacing w:line="360" w:lineRule="auto"/>
        <w:contextualSpacing w:val="0"/>
        <w:jc w:val="both"/>
        <w:rPr>
          <w:rFonts w:ascii="Century" w:hAnsi="Century" w:cs="FrankRuehl"/>
          <w:spacing w:val="10"/>
          <w:szCs w:val="28"/>
        </w:rPr>
      </w:pPr>
      <w:r>
        <w:rPr>
          <w:rFonts w:ascii="Century" w:hAnsi="Century" w:cs="FrankRuehl" w:hint="cs"/>
          <w:spacing w:val="10"/>
          <w:szCs w:val="28"/>
          <w:rtl/>
        </w:rPr>
        <w:t>לכל האמור יש להוסיף כי בבואנו לבחון את העבר הפלילי של דרעי, יש להתייחס גם להצטברותן של ההרשעות ולא רק לכל הרשעה בנפרד</w:t>
      </w:r>
      <w:r w:rsidRPr="007B04E0">
        <w:rPr>
          <w:rFonts w:ascii="Century" w:hAnsi="Century" w:cs="FrankRuehl" w:hint="cs"/>
          <w:spacing w:val="10"/>
          <w:szCs w:val="28"/>
          <w:rtl/>
        </w:rPr>
        <w:t xml:space="preserve">. </w:t>
      </w:r>
      <w:r>
        <w:rPr>
          <w:rFonts w:ascii="Century" w:hAnsi="Century" w:cs="FrankRuehl" w:hint="cs"/>
          <w:spacing w:val="10"/>
          <w:szCs w:val="28"/>
          <w:rtl/>
        </w:rPr>
        <w:t xml:space="preserve">עמד על כך </w:t>
      </w:r>
      <w:r w:rsidR="005D07D4">
        <w:rPr>
          <w:rFonts w:ascii="Century" w:hAnsi="Century" w:cs="FrankRuehl" w:hint="cs"/>
          <w:spacing w:val="10"/>
          <w:szCs w:val="28"/>
          <w:rtl/>
        </w:rPr>
        <w:t xml:space="preserve">המשנה לנשיא </w:t>
      </w:r>
      <w:r w:rsidR="005D07D4" w:rsidRPr="005D07D4">
        <w:rPr>
          <w:rFonts w:ascii="Century" w:hAnsi="Century" w:cs="Miriam" w:hint="cs"/>
          <w:b/>
          <w:rtl/>
        </w:rPr>
        <w:t>ת' אור</w:t>
      </w:r>
      <w:r w:rsidRPr="007B04E0">
        <w:rPr>
          <w:rFonts w:ascii="Century" w:hAnsi="Century" w:cs="FrankRuehl" w:hint="cs"/>
          <w:spacing w:val="10"/>
          <w:szCs w:val="28"/>
          <w:rtl/>
        </w:rPr>
        <w:t xml:space="preserve"> בעניין </w:t>
      </w:r>
      <w:r w:rsidRPr="007B04E0">
        <w:rPr>
          <w:rFonts w:ascii="Century" w:hAnsi="Century" w:cs="Miriam" w:hint="cs"/>
          <w:b/>
          <w:rtl/>
        </w:rPr>
        <w:t>הנגבי 2003</w:t>
      </w:r>
      <w:r>
        <w:rPr>
          <w:rFonts w:ascii="Century" w:hAnsi="Century" w:cs="Miriam" w:hint="cs"/>
          <w:b/>
          <w:rtl/>
        </w:rPr>
        <w:t xml:space="preserve"> </w:t>
      </w:r>
      <w:r w:rsidRPr="00341616">
        <w:rPr>
          <w:rFonts w:ascii="Century" w:hAnsi="Century" w:cs="FrankRuehl" w:hint="cs"/>
          <w:spacing w:val="10"/>
          <w:szCs w:val="28"/>
          <w:rtl/>
        </w:rPr>
        <w:t>בקובעו</w:t>
      </w:r>
      <w:r w:rsidRPr="007B04E0">
        <w:rPr>
          <w:rFonts w:ascii="Century" w:hAnsi="Century" w:cs="FrankRuehl" w:hint="cs"/>
          <w:spacing w:val="10"/>
          <w:szCs w:val="28"/>
          <w:rtl/>
        </w:rPr>
        <w:t>:</w:t>
      </w:r>
    </w:p>
    <w:p w14:paraId="14716D2C" w14:textId="77777777" w:rsidR="0040186B" w:rsidRPr="007B04E0" w:rsidRDefault="0040186B" w:rsidP="00C634DC">
      <w:pPr>
        <w:pStyle w:val="af0"/>
        <w:contextualSpacing w:val="0"/>
        <w:jc w:val="both"/>
        <w:rPr>
          <w:rFonts w:ascii="Century" w:hAnsi="Century" w:cs="FrankRuehl"/>
          <w:spacing w:val="10"/>
          <w:szCs w:val="28"/>
        </w:rPr>
      </w:pPr>
    </w:p>
    <w:p w14:paraId="5E75E4E8" w14:textId="77777777" w:rsidR="0040186B" w:rsidRPr="007B04E0" w:rsidRDefault="0040186B" w:rsidP="00C634DC">
      <w:pPr>
        <w:pStyle w:val="Ruller5"/>
        <w:rPr>
          <w:rtl/>
        </w:rPr>
      </w:pPr>
      <w:r w:rsidRPr="007B04E0">
        <w:rPr>
          <w:rFonts w:hint="cs"/>
          <w:rtl/>
        </w:rPr>
        <w:t>"</w:t>
      </w:r>
      <w:r w:rsidRPr="007B04E0">
        <w:rPr>
          <w:rFonts w:hint="eastAsia"/>
          <w:rtl/>
        </w:rPr>
        <w:t>אכן</w:t>
      </w:r>
      <w:r w:rsidRPr="007B04E0">
        <w:rPr>
          <w:rtl/>
        </w:rPr>
        <w:t xml:space="preserve">, </w:t>
      </w:r>
      <w:r w:rsidRPr="007B04E0">
        <w:rPr>
          <w:rFonts w:hint="eastAsia"/>
          <w:rtl/>
        </w:rPr>
        <w:t>בעת</w:t>
      </w:r>
      <w:r w:rsidRPr="007B04E0">
        <w:rPr>
          <w:rtl/>
        </w:rPr>
        <w:t xml:space="preserve"> </w:t>
      </w:r>
      <w:r w:rsidRPr="007B04E0">
        <w:rPr>
          <w:rFonts w:hint="eastAsia"/>
          <w:rtl/>
        </w:rPr>
        <w:t>שרשות</w:t>
      </w:r>
      <w:r w:rsidRPr="007B04E0">
        <w:rPr>
          <w:rtl/>
        </w:rPr>
        <w:t xml:space="preserve"> </w:t>
      </w:r>
      <w:r w:rsidRPr="007B04E0">
        <w:rPr>
          <w:rFonts w:hint="eastAsia"/>
          <w:rtl/>
        </w:rPr>
        <w:t>מינהלית</w:t>
      </w:r>
      <w:r w:rsidRPr="007B04E0">
        <w:rPr>
          <w:rtl/>
        </w:rPr>
        <w:t xml:space="preserve"> </w:t>
      </w:r>
      <w:r w:rsidRPr="007B04E0">
        <w:rPr>
          <w:rFonts w:hint="eastAsia"/>
          <w:rtl/>
        </w:rPr>
        <w:t>מחליטה</w:t>
      </w:r>
      <w:r w:rsidRPr="007B04E0">
        <w:rPr>
          <w:rtl/>
        </w:rPr>
        <w:t xml:space="preserve"> </w:t>
      </w:r>
      <w:r w:rsidRPr="007B04E0">
        <w:rPr>
          <w:rFonts w:hint="eastAsia"/>
          <w:rtl/>
        </w:rPr>
        <w:t>על</w:t>
      </w:r>
      <w:r w:rsidRPr="007B04E0">
        <w:rPr>
          <w:rtl/>
        </w:rPr>
        <w:t xml:space="preserve"> </w:t>
      </w:r>
      <w:r w:rsidRPr="007B04E0">
        <w:rPr>
          <w:rFonts w:hint="eastAsia"/>
          <w:rtl/>
        </w:rPr>
        <w:t>מינוי</w:t>
      </w:r>
      <w:r w:rsidRPr="007B04E0">
        <w:rPr>
          <w:rtl/>
        </w:rPr>
        <w:t xml:space="preserve"> </w:t>
      </w:r>
      <w:r w:rsidRPr="007B04E0">
        <w:rPr>
          <w:rFonts w:hint="eastAsia"/>
          <w:rtl/>
        </w:rPr>
        <w:t>אדם</w:t>
      </w:r>
      <w:r w:rsidRPr="007B04E0">
        <w:rPr>
          <w:rtl/>
        </w:rPr>
        <w:t xml:space="preserve"> </w:t>
      </w:r>
      <w:r w:rsidRPr="007B04E0">
        <w:rPr>
          <w:rFonts w:hint="eastAsia"/>
          <w:rtl/>
        </w:rPr>
        <w:t>למשרה</w:t>
      </w:r>
      <w:r w:rsidRPr="007B04E0">
        <w:rPr>
          <w:rtl/>
        </w:rPr>
        <w:t xml:space="preserve"> </w:t>
      </w:r>
      <w:r w:rsidRPr="007B04E0">
        <w:rPr>
          <w:rFonts w:hint="eastAsia"/>
          <w:rtl/>
        </w:rPr>
        <w:t>ציבורית</w:t>
      </w:r>
      <w:r w:rsidRPr="007B04E0">
        <w:rPr>
          <w:rtl/>
        </w:rPr>
        <w:t xml:space="preserve">, </w:t>
      </w:r>
      <w:r w:rsidRPr="007B04E0">
        <w:rPr>
          <w:rFonts w:hint="eastAsia"/>
          <w:rtl/>
        </w:rPr>
        <w:t>עליה</w:t>
      </w:r>
      <w:r w:rsidRPr="007B04E0">
        <w:rPr>
          <w:rtl/>
        </w:rPr>
        <w:t xml:space="preserve"> </w:t>
      </w:r>
      <w:r w:rsidRPr="007B04E0">
        <w:rPr>
          <w:rFonts w:hint="eastAsia"/>
          <w:rtl/>
        </w:rPr>
        <w:t>להביא</w:t>
      </w:r>
      <w:r w:rsidRPr="007B04E0">
        <w:rPr>
          <w:rtl/>
        </w:rPr>
        <w:t xml:space="preserve"> </w:t>
      </w:r>
      <w:r w:rsidRPr="007B04E0">
        <w:rPr>
          <w:rFonts w:hint="eastAsia"/>
          <w:rtl/>
        </w:rPr>
        <w:t>בחשבון</w:t>
      </w:r>
      <w:r w:rsidRPr="007B04E0">
        <w:rPr>
          <w:rtl/>
        </w:rPr>
        <w:t xml:space="preserve"> </w:t>
      </w:r>
      <w:r w:rsidRPr="007B04E0">
        <w:rPr>
          <w:rFonts w:hint="eastAsia"/>
          <w:rtl/>
        </w:rPr>
        <w:t>לא</w:t>
      </w:r>
      <w:r w:rsidRPr="007B04E0">
        <w:rPr>
          <w:rtl/>
        </w:rPr>
        <w:t xml:space="preserve"> </w:t>
      </w:r>
      <w:r w:rsidRPr="007B04E0">
        <w:rPr>
          <w:rFonts w:hint="eastAsia"/>
          <w:rtl/>
        </w:rPr>
        <w:t>רק</w:t>
      </w:r>
      <w:r w:rsidRPr="007B04E0">
        <w:rPr>
          <w:rtl/>
        </w:rPr>
        <w:t xml:space="preserve"> </w:t>
      </w:r>
      <w:r w:rsidRPr="007B04E0">
        <w:rPr>
          <w:rFonts w:hint="eastAsia"/>
          <w:rtl/>
        </w:rPr>
        <w:t>את</w:t>
      </w:r>
      <w:r w:rsidRPr="007B04E0">
        <w:rPr>
          <w:rtl/>
        </w:rPr>
        <w:t xml:space="preserve"> </w:t>
      </w:r>
      <w:r w:rsidRPr="007B04E0">
        <w:rPr>
          <w:rFonts w:hint="eastAsia"/>
          <w:rtl/>
        </w:rPr>
        <w:t>ערכה</w:t>
      </w:r>
      <w:r w:rsidRPr="007B04E0">
        <w:rPr>
          <w:rtl/>
        </w:rPr>
        <w:t xml:space="preserve"> </w:t>
      </w:r>
      <w:r w:rsidRPr="007B04E0">
        <w:rPr>
          <w:rFonts w:hint="eastAsia"/>
          <w:rtl/>
        </w:rPr>
        <w:t>של</w:t>
      </w:r>
      <w:r w:rsidRPr="007B04E0">
        <w:rPr>
          <w:rtl/>
        </w:rPr>
        <w:t xml:space="preserve"> </w:t>
      </w:r>
      <w:r w:rsidRPr="007B04E0">
        <w:rPr>
          <w:rFonts w:hint="eastAsia"/>
          <w:rtl/>
        </w:rPr>
        <w:t>כל</w:t>
      </w:r>
      <w:r w:rsidRPr="007B04E0">
        <w:rPr>
          <w:rtl/>
        </w:rPr>
        <w:t xml:space="preserve"> </w:t>
      </w:r>
      <w:r w:rsidRPr="007B04E0">
        <w:rPr>
          <w:rFonts w:hint="eastAsia"/>
          <w:rtl/>
        </w:rPr>
        <w:t>ראיה</w:t>
      </w:r>
      <w:r w:rsidRPr="007B04E0">
        <w:rPr>
          <w:rtl/>
        </w:rPr>
        <w:t xml:space="preserve"> </w:t>
      </w:r>
      <w:r w:rsidRPr="007B04E0">
        <w:rPr>
          <w:rFonts w:hint="eastAsia"/>
          <w:rtl/>
        </w:rPr>
        <w:t>מינהלית</w:t>
      </w:r>
      <w:r w:rsidRPr="007B04E0">
        <w:rPr>
          <w:rtl/>
        </w:rPr>
        <w:t xml:space="preserve"> </w:t>
      </w:r>
      <w:r w:rsidRPr="007B04E0">
        <w:rPr>
          <w:rFonts w:hint="eastAsia"/>
          <w:rtl/>
        </w:rPr>
        <w:t>לקיומה</w:t>
      </w:r>
      <w:r w:rsidRPr="007B04E0">
        <w:rPr>
          <w:rtl/>
        </w:rPr>
        <w:t xml:space="preserve"> </w:t>
      </w:r>
      <w:r w:rsidRPr="007B04E0">
        <w:rPr>
          <w:rFonts w:hint="eastAsia"/>
          <w:rtl/>
        </w:rPr>
        <w:t>של</w:t>
      </w:r>
      <w:r w:rsidRPr="007B04E0">
        <w:rPr>
          <w:rtl/>
        </w:rPr>
        <w:t xml:space="preserve"> </w:t>
      </w:r>
      <w:r w:rsidRPr="007B04E0">
        <w:rPr>
          <w:rFonts w:hint="eastAsia"/>
          <w:rtl/>
        </w:rPr>
        <w:t>עבירה</w:t>
      </w:r>
      <w:r w:rsidRPr="007B04E0">
        <w:rPr>
          <w:rtl/>
        </w:rPr>
        <w:t xml:space="preserve"> </w:t>
      </w:r>
      <w:r w:rsidRPr="007B04E0">
        <w:rPr>
          <w:rFonts w:hint="eastAsia"/>
          <w:rtl/>
        </w:rPr>
        <w:t>פלילית</w:t>
      </w:r>
      <w:r w:rsidRPr="007B04E0">
        <w:rPr>
          <w:rtl/>
        </w:rPr>
        <w:t xml:space="preserve"> </w:t>
      </w:r>
      <w:r w:rsidRPr="007B04E0">
        <w:rPr>
          <w:rFonts w:hint="eastAsia"/>
          <w:rtl/>
        </w:rPr>
        <w:t>כשלעצמה</w:t>
      </w:r>
      <w:r w:rsidRPr="007B04E0">
        <w:rPr>
          <w:rtl/>
        </w:rPr>
        <w:t>,</w:t>
      </w:r>
      <w:r w:rsidRPr="007B04E0">
        <w:rPr>
          <w:rFonts w:hint="cs"/>
          <w:rtl/>
        </w:rPr>
        <w:t xml:space="preserve"> </w:t>
      </w:r>
      <w:r w:rsidRPr="007B04E0">
        <w:rPr>
          <w:rFonts w:hint="eastAsia"/>
          <w:rtl/>
        </w:rPr>
        <w:t>אלא</w:t>
      </w:r>
      <w:r w:rsidRPr="007B04E0">
        <w:rPr>
          <w:rtl/>
        </w:rPr>
        <w:t xml:space="preserve"> </w:t>
      </w:r>
      <w:r w:rsidRPr="007B04E0">
        <w:rPr>
          <w:rFonts w:hint="eastAsia"/>
          <w:rtl/>
        </w:rPr>
        <w:t>גם</w:t>
      </w:r>
      <w:r w:rsidRPr="007B04E0">
        <w:rPr>
          <w:rtl/>
        </w:rPr>
        <w:t xml:space="preserve"> </w:t>
      </w:r>
      <w:r w:rsidRPr="007B04E0">
        <w:rPr>
          <w:rFonts w:hint="eastAsia"/>
          <w:rtl/>
        </w:rPr>
        <w:t>את</w:t>
      </w:r>
      <w:r w:rsidRPr="007B04E0">
        <w:rPr>
          <w:rtl/>
        </w:rPr>
        <w:t xml:space="preserve"> </w:t>
      </w:r>
      <w:r w:rsidRPr="007B04E0">
        <w:rPr>
          <w:rFonts w:hint="eastAsia"/>
          <w:rtl/>
        </w:rPr>
        <w:t>משקלן</w:t>
      </w:r>
      <w:r w:rsidRPr="007B04E0">
        <w:rPr>
          <w:rtl/>
        </w:rPr>
        <w:t xml:space="preserve"> </w:t>
      </w:r>
      <w:r w:rsidRPr="007B04E0">
        <w:rPr>
          <w:rFonts w:hint="eastAsia"/>
          <w:rtl/>
        </w:rPr>
        <w:t>המצטבר</w:t>
      </w:r>
      <w:r w:rsidRPr="007B04E0">
        <w:rPr>
          <w:rtl/>
        </w:rPr>
        <w:t xml:space="preserve"> </w:t>
      </w:r>
      <w:r w:rsidRPr="007B04E0">
        <w:rPr>
          <w:rFonts w:hint="eastAsia"/>
          <w:rtl/>
        </w:rPr>
        <w:t>של</w:t>
      </w:r>
      <w:r w:rsidRPr="007B04E0">
        <w:rPr>
          <w:rtl/>
        </w:rPr>
        <w:t xml:space="preserve"> </w:t>
      </w:r>
      <w:r w:rsidRPr="007B04E0">
        <w:rPr>
          <w:rFonts w:hint="eastAsia"/>
          <w:rtl/>
        </w:rPr>
        <w:t>הראיות</w:t>
      </w:r>
      <w:r w:rsidRPr="007B04E0">
        <w:rPr>
          <w:rtl/>
        </w:rPr>
        <w:t xml:space="preserve">. </w:t>
      </w:r>
      <w:r w:rsidRPr="007B04E0">
        <w:rPr>
          <w:rFonts w:hint="eastAsia"/>
          <w:rtl/>
        </w:rPr>
        <w:t>ייתכן</w:t>
      </w:r>
      <w:r w:rsidRPr="007B04E0">
        <w:rPr>
          <w:rtl/>
        </w:rPr>
        <w:t xml:space="preserve"> </w:t>
      </w:r>
      <w:r w:rsidRPr="007B04E0">
        <w:rPr>
          <w:rFonts w:hint="eastAsia"/>
          <w:rtl/>
        </w:rPr>
        <w:t>כי</w:t>
      </w:r>
      <w:r w:rsidRPr="007B04E0">
        <w:rPr>
          <w:rtl/>
        </w:rPr>
        <w:t xml:space="preserve"> </w:t>
      </w:r>
      <w:r w:rsidRPr="007B04E0">
        <w:rPr>
          <w:rFonts w:hint="eastAsia"/>
          <w:rtl/>
        </w:rPr>
        <w:t>בנסיבותיו</w:t>
      </w:r>
      <w:r w:rsidRPr="007B04E0">
        <w:rPr>
          <w:rtl/>
        </w:rPr>
        <w:t xml:space="preserve"> </w:t>
      </w:r>
      <w:r w:rsidRPr="007B04E0">
        <w:rPr>
          <w:rFonts w:hint="eastAsia"/>
          <w:rtl/>
        </w:rPr>
        <w:t>המיוחדות</w:t>
      </w:r>
      <w:r w:rsidRPr="007B04E0">
        <w:rPr>
          <w:rtl/>
        </w:rPr>
        <w:t xml:space="preserve"> </w:t>
      </w:r>
      <w:r w:rsidRPr="007B04E0">
        <w:rPr>
          <w:rFonts w:hint="eastAsia"/>
          <w:rtl/>
        </w:rPr>
        <w:t>של</w:t>
      </w:r>
      <w:r w:rsidRPr="007B04E0">
        <w:rPr>
          <w:rtl/>
        </w:rPr>
        <w:t xml:space="preserve"> </w:t>
      </w:r>
      <w:r w:rsidRPr="007B04E0">
        <w:rPr>
          <w:rFonts w:hint="eastAsia"/>
          <w:rtl/>
        </w:rPr>
        <w:t>מקרה</w:t>
      </w:r>
      <w:r w:rsidRPr="007B04E0">
        <w:rPr>
          <w:rtl/>
        </w:rPr>
        <w:t xml:space="preserve"> </w:t>
      </w:r>
      <w:r w:rsidRPr="007B04E0">
        <w:rPr>
          <w:rFonts w:hint="eastAsia"/>
          <w:rtl/>
        </w:rPr>
        <w:t>ספציפי</w:t>
      </w:r>
      <w:r w:rsidRPr="007B04E0">
        <w:rPr>
          <w:rtl/>
        </w:rPr>
        <w:t xml:space="preserve"> </w:t>
      </w:r>
      <w:r w:rsidRPr="007B04E0">
        <w:rPr>
          <w:rFonts w:hint="eastAsia"/>
          <w:rtl/>
        </w:rPr>
        <w:t>הראיות</w:t>
      </w:r>
      <w:r w:rsidRPr="007B04E0">
        <w:rPr>
          <w:rtl/>
        </w:rPr>
        <w:t xml:space="preserve"> </w:t>
      </w:r>
      <w:r w:rsidRPr="007B04E0">
        <w:rPr>
          <w:rFonts w:hint="eastAsia"/>
          <w:rtl/>
        </w:rPr>
        <w:t>ישתלבו</w:t>
      </w:r>
      <w:r w:rsidRPr="007B04E0">
        <w:rPr>
          <w:rtl/>
        </w:rPr>
        <w:t xml:space="preserve"> </w:t>
      </w:r>
      <w:r w:rsidRPr="007B04E0">
        <w:rPr>
          <w:rFonts w:hint="eastAsia"/>
          <w:rtl/>
        </w:rPr>
        <w:t>זו</w:t>
      </w:r>
      <w:r w:rsidRPr="007B04E0">
        <w:rPr>
          <w:rtl/>
        </w:rPr>
        <w:t xml:space="preserve"> </w:t>
      </w:r>
      <w:r w:rsidRPr="007B04E0">
        <w:rPr>
          <w:rFonts w:hint="eastAsia"/>
          <w:rtl/>
        </w:rPr>
        <w:t>בזו</w:t>
      </w:r>
      <w:r w:rsidRPr="007B04E0">
        <w:rPr>
          <w:rtl/>
        </w:rPr>
        <w:t xml:space="preserve"> </w:t>
      </w:r>
      <w:r w:rsidRPr="007B04E0">
        <w:rPr>
          <w:rFonts w:hint="eastAsia"/>
          <w:rtl/>
        </w:rPr>
        <w:t>באופן</w:t>
      </w:r>
      <w:r w:rsidRPr="007B04E0">
        <w:rPr>
          <w:rtl/>
        </w:rPr>
        <w:t xml:space="preserve"> </w:t>
      </w:r>
      <w:r w:rsidRPr="007B04E0">
        <w:rPr>
          <w:rFonts w:hint="eastAsia"/>
          <w:rtl/>
        </w:rPr>
        <w:t>המקנה</w:t>
      </w:r>
      <w:r w:rsidRPr="007B04E0">
        <w:rPr>
          <w:rtl/>
        </w:rPr>
        <w:t xml:space="preserve"> </w:t>
      </w:r>
      <w:r w:rsidRPr="007B04E0">
        <w:rPr>
          <w:rFonts w:hint="eastAsia"/>
          <w:rtl/>
        </w:rPr>
        <w:t>למכלול</w:t>
      </w:r>
      <w:r w:rsidRPr="007B04E0">
        <w:rPr>
          <w:rtl/>
        </w:rPr>
        <w:t xml:space="preserve"> </w:t>
      </w:r>
      <w:r w:rsidRPr="007B04E0">
        <w:rPr>
          <w:rFonts w:hint="eastAsia"/>
          <w:rtl/>
        </w:rPr>
        <w:t>הראיות</w:t>
      </w:r>
      <w:r w:rsidRPr="007B04E0">
        <w:rPr>
          <w:rtl/>
        </w:rPr>
        <w:t xml:space="preserve"> </w:t>
      </w:r>
      <w:r w:rsidRPr="007B04E0">
        <w:rPr>
          <w:rFonts w:hint="eastAsia"/>
          <w:rtl/>
        </w:rPr>
        <w:t>תרומה</w:t>
      </w:r>
      <w:r w:rsidRPr="007B04E0">
        <w:rPr>
          <w:rtl/>
        </w:rPr>
        <w:t xml:space="preserve"> </w:t>
      </w:r>
      <w:r w:rsidRPr="007B04E0">
        <w:rPr>
          <w:rFonts w:hint="eastAsia"/>
          <w:rtl/>
        </w:rPr>
        <w:t>מצטברת</w:t>
      </w:r>
      <w:r w:rsidRPr="007B04E0">
        <w:rPr>
          <w:rtl/>
        </w:rPr>
        <w:t xml:space="preserve"> </w:t>
      </w:r>
      <w:r w:rsidRPr="007B04E0">
        <w:rPr>
          <w:rFonts w:hint="eastAsia"/>
          <w:rtl/>
        </w:rPr>
        <w:t>שהיא</w:t>
      </w:r>
      <w:r w:rsidRPr="007B04E0">
        <w:rPr>
          <w:rtl/>
        </w:rPr>
        <w:t xml:space="preserve"> </w:t>
      </w:r>
      <w:r w:rsidRPr="007B04E0">
        <w:rPr>
          <w:rFonts w:hint="eastAsia"/>
          <w:rtl/>
        </w:rPr>
        <w:t>מעבר</w:t>
      </w:r>
      <w:r w:rsidRPr="007B04E0">
        <w:rPr>
          <w:rtl/>
        </w:rPr>
        <w:t xml:space="preserve"> </w:t>
      </w:r>
      <w:r w:rsidRPr="007B04E0">
        <w:rPr>
          <w:rFonts w:hint="eastAsia"/>
          <w:rtl/>
        </w:rPr>
        <w:t>לערכה</w:t>
      </w:r>
      <w:r w:rsidRPr="007B04E0">
        <w:rPr>
          <w:rtl/>
        </w:rPr>
        <w:t xml:space="preserve"> </w:t>
      </w:r>
      <w:r w:rsidRPr="007B04E0">
        <w:rPr>
          <w:rFonts w:hint="eastAsia"/>
          <w:rtl/>
        </w:rPr>
        <w:t>של</w:t>
      </w:r>
      <w:r w:rsidRPr="007B04E0">
        <w:rPr>
          <w:rtl/>
        </w:rPr>
        <w:t xml:space="preserve"> </w:t>
      </w:r>
      <w:r w:rsidRPr="007B04E0">
        <w:rPr>
          <w:rFonts w:hint="eastAsia"/>
          <w:rtl/>
        </w:rPr>
        <w:t>כל</w:t>
      </w:r>
      <w:r w:rsidRPr="007B04E0">
        <w:rPr>
          <w:rtl/>
        </w:rPr>
        <w:t xml:space="preserve"> </w:t>
      </w:r>
      <w:r w:rsidRPr="007B04E0">
        <w:rPr>
          <w:rFonts w:hint="eastAsia"/>
          <w:rtl/>
        </w:rPr>
        <w:t>ראיה</w:t>
      </w:r>
      <w:r w:rsidRPr="007B04E0">
        <w:rPr>
          <w:rtl/>
        </w:rPr>
        <w:t xml:space="preserve"> </w:t>
      </w:r>
      <w:r w:rsidRPr="007B04E0">
        <w:rPr>
          <w:rFonts w:hint="eastAsia"/>
          <w:rtl/>
        </w:rPr>
        <w:t>וראיה</w:t>
      </w:r>
      <w:r w:rsidRPr="007B04E0">
        <w:rPr>
          <w:rtl/>
        </w:rPr>
        <w:t xml:space="preserve"> </w:t>
      </w:r>
      <w:r w:rsidRPr="007B04E0">
        <w:rPr>
          <w:rFonts w:hint="eastAsia"/>
          <w:rtl/>
        </w:rPr>
        <w:t>בנפרד</w:t>
      </w:r>
      <w:r w:rsidRPr="007B04E0">
        <w:rPr>
          <w:rtl/>
        </w:rPr>
        <w:t xml:space="preserve">. </w:t>
      </w:r>
      <w:r w:rsidRPr="007B04E0">
        <w:rPr>
          <w:rFonts w:hint="eastAsia"/>
          <w:rtl/>
        </w:rPr>
        <w:t>על</w:t>
      </w:r>
      <w:r w:rsidRPr="007B04E0">
        <w:rPr>
          <w:rtl/>
        </w:rPr>
        <w:t xml:space="preserve"> </w:t>
      </w:r>
      <w:r w:rsidRPr="007B04E0">
        <w:rPr>
          <w:rFonts w:hint="eastAsia"/>
          <w:rtl/>
        </w:rPr>
        <w:t>הרשות</w:t>
      </w:r>
      <w:r w:rsidRPr="007B04E0">
        <w:rPr>
          <w:rtl/>
        </w:rPr>
        <w:t xml:space="preserve"> </w:t>
      </w:r>
      <w:r w:rsidRPr="007B04E0">
        <w:rPr>
          <w:rFonts w:hint="eastAsia"/>
          <w:rtl/>
        </w:rPr>
        <w:t>המוסמכת</w:t>
      </w:r>
      <w:r w:rsidRPr="007B04E0">
        <w:rPr>
          <w:rtl/>
        </w:rPr>
        <w:t xml:space="preserve"> </w:t>
      </w:r>
      <w:r w:rsidRPr="007B04E0">
        <w:rPr>
          <w:rFonts w:hint="eastAsia"/>
          <w:rtl/>
        </w:rPr>
        <w:t>להביא</w:t>
      </w:r>
      <w:r w:rsidRPr="007B04E0">
        <w:rPr>
          <w:rtl/>
        </w:rPr>
        <w:t xml:space="preserve"> </w:t>
      </w:r>
      <w:r w:rsidRPr="007B04E0">
        <w:rPr>
          <w:rFonts w:hint="eastAsia"/>
          <w:rtl/>
        </w:rPr>
        <w:t>ערך</w:t>
      </w:r>
      <w:r w:rsidRPr="007B04E0">
        <w:rPr>
          <w:rtl/>
        </w:rPr>
        <w:t xml:space="preserve"> </w:t>
      </w:r>
      <w:r w:rsidRPr="007B04E0">
        <w:rPr>
          <w:rFonts w:hint="eastAsia"/>
          <w:rtl/>
        </w:rPr>
        <w:t>מוסף</w:t>
      </w:r>
      <w:r w:rsidRPr="007B04E0">
        <w:rPr>
          <w:rtl/>
        </w:rPr>
        <w:t xml:space="preserve"> </w:t>
      </w:r>
      <w:r w:rsidRPr="007B04E0">
        <w:rPr>
          <w:rFonts w:hint="eastAsia"/>
          <w:rtl/>
        </w:rPr>
        <w:t>זה</w:t>
      </w:r>
      <w:r w:rsidRPr="007B04E0">
        <w:rPr>
          <w:rtl/>
        </w:rPr>
        <w:t xml:space="preserve"> </w:t>
      </w:r>
      <w:r w:rsidRPr="007B04E0">
        <w:rPr>
          <w:rFonts w:hint="eastAsia"/>
          <w:rtl/>
        </w:rPr>
        <w:t>בגדר</w:t>
      </w:r>
      <w:r w:rsidRPr="007B04E0">
        <w:rPr>
          <w:rtl/>
        </w:rPr>
        <w:t xml:space="preserve"> </w:t>
      </w:r>
      <w:r w:rsidRPr="007B04E0">
        <w:rPr>
          <w:rFonts w:hint="eastAsia"/>
          <w:rtl/>
        </w:rPr>
        <w:t>שיקוליה</w:t>
      </w:r>
      <w:r w:rsidRPr="007B04E0">
        <w:rPr>
          <w:rtl/>
        </w:rPr>
        <w:t xml:space="preserve">. </w:t>
      </w:r>
      <w:r w:rsidRPr="007B04E0">
        <w:rPr>
          <w:rFonts w:hint="eastAsia"/>
          <w:rtl/>
        </w:rPr>
        <w:t>בית</w:t>
      </w:r>
      <w:r w:rsidRPr="007B04E0">
        <w:rPr>
          <w:rtl/>
        </w:rPr>
        <w:t>-</w:t>
      </w:r>
      <w:r w:rsidRPr="007B04E0">
        <w:rPr>
          <w:rFonts w:hint="eastAsia"/>
          <w:rtl/>
        </w:rPr>
        <w:t>המשפט</w:t>
      </w:r>
      <w:r w:rsidRPr="007B04E0">
        <w:rPr>
          <w:rtl/>
        </w:rPr>
        <w:t xml:space="preserve"> </w:t>
      </w:r>
      <w:r w:rsidRPr="007B04E0">
        <w:rPr>
          <w:rFonts w:hint="eastAsia"/>
          <w:rtl/>
        </w:rPr>
        <w:t>יתערב</w:t>
      </w:r>
      <w:r w:rsidRPr="007B04E0">
        <w:rPr>
          <w:rtl/>
        </w:rPr>
        <w:t xml:space="preserve"> </w:t>
      </w:r>
      <w:r w:rsidRPr="007B04E0">
        <w:rPr>
          <w:rFonts w:hint="eastAsia"/>
          <w:rtl/>
        </w:rPr>
        <w:t>בהחלטה</w:t>
      </w:r>
      <w:r w:rsidRPr="007B04E0">
        <w:rPr>
          <w:rtl/>
        </w:rPr>
        <w:t xml:space="preserve"> </w:t>
      </w:r>
      <w:r w:rsidRPr="007B04E0">
        <w:rPr>
          <w:rFonts w:hint="eastAsia"/>
          <w:rtl/>
        </w:rPr>
        <w:t>של</w:t>
      </w:r>
      <w:r w:rsidRPr="007B04E0">
        <w:rPr>
          <w:rtl/>
        </w:rPr>
        <w:t xml:space="preserve"> </w:t>
      </w:r>
      <w:r w:rsidRPr="007B04E0">
        <w:rPr>
          <w:rFonts w:hint="eastAsia"/>
          <w:rtl/>
        </w:rPr>
        <w:t>הרשות</w:t>
      </w:r>
      <w:r w:rsidRPr="007B04E0">
        <w:rPr>
          <w:rtl/>
        </w:rPr>
        <w:t xml:space="preserve"> </w:t>
      </w:r>
      <w:r w:rsidRPr="007B04E0">
        <w:rPr>
          <w:rFonts w:hint="eastAsia"/>
          <w:rtl/>
        </w:rPr>
        <w:t>רק</w:t>
      </w:r>
      <w:r w:rsidRPr="007B04E0">
        <w:rPr>
          <w:rtl/>
        </w:rPr>
        <w:t xml:space="preserve"> </w:t>
      </w:r>
      <w:r w:rsidRPr="007B04E0">
        <w:rPr>
          <w:rFonts w:hint="eastAsia"/>
          <w:rtl/>
        </w:rPr>
        <w:t>כאשר</w:t>
      </w:r>
      <w:r w:rsidRPr="007B04E0">
        <w:rPr>
          <w:rtl/>
        </w:rPr>
        <w:t xml:space="preserve"> </w:t>
      </w:r>
      <w:r w:rsidRPr="007B04E0">
        <w:rPr>
          <w:rFonts w:hint="eastAsia"/>
          <w:rtl/>
        </w:rPr>
        <w:t>משקלן</w:t>
      </w:r>
      <w:r w:rsidRPr="007B04E0">
        <w:rPr>
          <w:rtl/>
        </w:rPr>
        <w:t xml:space="preserve"> </w:t>
      </w:r>
      <w:r w:rsidRPr="007B04E0">
        <w:rPr>
          <w:rFonts w:hint="eastAsia"/>
          <w:rtl/>
        </w:rPr>
        <w:t>המצטבר</w:t>
      </w:r>
      <w:r w:rsidRPr="007B04E0">
        <w:rPr>
          <w:rtl/>
        </w:rPr>
        <w:t xml:space="preserve"> </w:t>
      </w:r>
      <w:r w:rsidRPr="007B04E0">
        <w:rPr>
          <w:rFonts w:hint="eastAsia"/>
          <w:rtl/>
        </w:rPr>
        <w:t>של</w:t>
      </w:r>
      <w:r w:rsidRPr="007B04E0">
        <w:rPr>
          <w:rtl/>
        </w:rPr>
        <w:t xml:space="preserve"> </w:t>
      </w:r>
      <w:r w:rsidRPr="007B04E0">
        <w:rPr>
          <w:rFonts w:hint="eastAsia"/>
          <w:rtl/>
        </w:rPr>
        <w:t>הראיות</w:t>
      </w:r>
      <w:r w:rsidRPr="007B04E0">
        <w:rPr>
          <w:rtl/>
        </w:rPr>
        <w:t xml:space="preserve"> </w:t>
      </w:r>
      <w:r w:rsidRPr="007B04E0">
        <w:rPr>
          <w:rFonts w:hint="eastAsia"/>
          <w:rtl/>
        </w:rPr>
        <w:t>מעיד</w:t>
      </w:r>
      <w:r w:rsidRPr="007B04E0">
        <w:rPr>
          <w:rtl/>
        </w:rPr>
        <w:t xml:space="preserve"> </w:t>
      </w:r>
      <w:r w:rsidRPr="007B04E0">
        <w:rPr>
          <w:rFonts w:hint="eastAsia"/>
          <w:rtl/>
        </w:rPr>
        <w:t>על</w:t>
      </w:r>
      <w:r w:rsidRPr="007B04E0">
        <w:rPr>
          <w:rtl/>
        </w:rPr>
        <w:t xml:space="preserve"> </w:t>
      </w:r>
      <w:r w:rsidRPr="007B04E0">
        <w:rPr>
          <w:rFonts w:hint="eastAsia"/>
          <w:rtl/>
        </w:rPr>
        <w:t>ערך</w:t>
      </w:r>
      <w:r w:rsidRPr="007B04E0">
        <w:rPr>
          <w:rtl/>
        </w:rPr>
        <w:t xml:space="preserve"> </w:t>
      </w:r>
      <w:r w:rsidRPr="007B04E0">
        <w:rPr>
          <w:rFonts w:hint="eastAsia"/>
          <w:rtl/>
        </w:rPr>
        <w:t>מוסף</w:t>
      </w:r>
      <w:r w:rsidRPr="007B04E0">
        <w:rPr>
          <w:rtl/>
        </w:rPr>
        <w:t xml:space="preserve"> </w:t>
      </w:r>
      <w:r w:rsidRPr="007B04E0">
        <w:rPr>
          <w:rFonts w:hint="eastAsia"/>
          <w:rtl/>
        </w:rPr>
        <w:t>מיוחד</w:t>
      </w:r>
      <w:r w:rsidRPr="007B04E0">
        <w:rPr>
          <w:rtl/>
        </w:rPr>
        <w:t xml:space="preserve"> </w:t>
      </w:r>
      <w:r w:rsidRPr="007B04E0">
        <w:rPr>
          <w:rFonts w:hint="eastAsia"/>
          <w:rtl/>
        </w:rPr>
        <w:t>אשר</w:t>
      </w:r>
      <w:r w:rsidRPr="007B04E0">
        <w:rPr>
          <w:rtl/>
        </w:rPr>
        <w:t xml:space="preserve"> </w:t>
      </w:r>
      <w:r w:rsidRPr="007B04E0">
        <w:rPr>
          <w:rFonts w:hint="eastAsia"/>
          <w:rtl/>
        </w:rPr>
        <w:t>התעלמות</w:t>
      </w:r>
      <w:r w:rsidRPr="007B04E0">
        <w:rPr>
          <w:rtl/>
        </w:rPr>
        <w:t xml:space="preserve"> </w:t>
      </w:r>
      <w:r w:rsidRPr="007B04E0">
        <w:rPr>
          <w:rFonts w:hint="eastAsia"/>
          <w:rtl/>
        </w:rPr>
        <w:t>ממנו</w:t>
      </w:r>
      <w:r w:rsidRPr="007B04E0">
        <w:rPr>
          <w:rtl/>
        </w:rPr>
        <w:t xml:space="preserve"> </w:t>
      </w:r>
      <w:r w:rsidRPr="007B04E0">
        <w:rPr>
          <w:rFonts w:hint="eastAsia"/>
          <w:rtl/>
        </w:rPr>
        <w:t>הופכת</w:t>
      </w:r>
      <w:r w:rsidRPr="007B04E0">
        <w:rPr>
          <w:rtl/>
        </w:rPr>
        <w:t xml:space="preserve"> </w:t>
      </w:r>
      <w:r w:rsidRPr="007B04E0">
        <w:rPr>
          <w:rFonts w:hint="eastAsia"/>
          <w:rtl/>
        </w:rPr>
        <w:t>את</w:t>
      </w:r>
      <w:r w:rsidRPr="007B04E0">
        <w:rPr>
          <w:rtl/>
        </w:rPr>
        <w:t xml:space="preserve"> </w:t>
      </w:r>
      <w:r w:rsidRPr="007B04E0">
        <w:rPr>
          <w:rFonts w:hint="eastAsia"/>
          <w:rtl/>
        </w:rPr>
        <w:t>החלטתה</w:t>
      </w:r>
      <w:r w:rsidRPr="007B04E0">
        <w:rPr>
          <w:rtl/>
        </w:rPr>
        <w:t xml:space="preserve"> </w:t>
      </w:r>
      <w:r w:rsidRPr="007B04E0">
        <w:rPr>
          <w:rFonts w:hint="eastAsia"/>
          <w:rtl/>
        </w:rPr>
        <w:t>לבלתי</w:t>
      </w:r>
      <w:r w:rsidRPr="007B04E0">
        <w:rPr>
          <w:rtl/>
        </w:rPr>
        <w:t xml:space="preserve"> </w:t>
      </w:r>
      <w:r w:rsidRPr="007B04E0">
        <w:rPr>
          <w:rFonts w:hint="eastAsia"/>
          <w:rtl/>
        </w:rPr>
        <w:t>סבירה</w:t>
      </w:r>
      <w:r w:rsidRPr="007B04E0">
        <w:rPr>
          <w:rtl/>
        </w:rPr>
        <w:t xml:space="preserve"> </w:t>
      </w:r>
      <w:r w:rsidRPr="007B04E0">
        <w:rPr>
          <w:rFonts w:hint="eastAsia"/>
          <w:rtl/>
        </w:rPr>
        <w:t>באופן</w:t>
      </w:r>
      <w:r w:rsidRPr="007B04E0">
        <w:rPr>
          <w:rtl/>
        </w:rPr>
        <w:t xml:space="preserve"> </w:t>
      </w:r>
      <w:r w:rsidRPr="007B04E0">
        <w:rPr>
          <w:rFonts w:hint="eastAsia"/>
          <w:rtl/>
        </w:rPr>
        <w:t>קיצוני</w:t>
      </w:r>
      <w:r w:rsidRPr="007B04E0">
        <w:rPr>
          <w:rFonts w:hint="cs"/>
          <w:rtl/>
        </w:rPr>
        <w:t>" (</w:t>
      </w:r>
      <w:r w:rsidRPr="007B04E0">
        <w:rPr>
          <w:rFonts w:ascii="Century" w:eastAsiaTheme="minorHAnsi" w:hAnsi="Century" w:cs="Miriam" w:hint="eastAsia"/>
          <w:b/>
          <w:spacing w:val="0"/>
          <w:sz w:val="24"/>
          <w:szCs w:val="24"/>
          <w:rtl/>
        </w:rPr>
        <w:t>שם</w:t>
      </w:r>
      <w:r w:rsidRPr="007B04E0">
        <w:rPr>
          <w:rFonts w:ascii="FrankRuehl" w:hAnsi="FrankRuehl"/>
          <w:b/>
          <w:sz w:val="24"/>
          <w:rtl/>
        </w:rPr>
        <w:t xml:space="preserve">, </w:t>
      </w:r>
      <w:r w:rsidRPr="007B04E0">
        <w:rPr>
          <w:rFonts w:ascii="FrankRuehl" w:hAnsi="FrankRuehl" w:hint="eastAsia"/>
          <w:b/>
          <w:sz w:val="24"/>
          <w:rtl/>
        </w:rPr>
        <w:t>בעמ</w:t>
      </w:r>
      <w:r w:rsidRPr="007B04E0">
        <w:rPr>
          <w:rFonts w:ascii="FrankRuehl" w:hAnsi="FrankRuehl"/>
          <w:b/>
          <w:sz w:val="24"/>
          <w:rtl/>
        </w:rPr>
        <w:t>' 878-877</w:t>
      </w:r>
      <w:r w:rsidR="00D91EBE">
        <w:rPr>
          <w:rFonts w:hint="cs"/>
          <w:rtl/>
        </w:rPr>
        <w:t xml:space="preserve">; השוו לדבריו של השופט </w:t>
      </w:r>
      <w:r w:rsidR="00D91EBE" w:rsidRPr="00D91EBE">
        <w:rPr>
          <w:rFonts w:ascii="Century" w:eastAsiaTheme="minorHAnsi" w:hAnsi="Century" w:cs="Miriam" w:hint="cs"/>
          <w:b/>
          <w:spacing w:val="0"/>
          <w:sz w:val="24"/>
          <w:szCs w:val="24"/>
          <w:rtl/>
        </w:rPr>
        <w:t>א' ריבלין</w:t>
      </w:r>
      <w:r w:rsidR="00D91EBE">
        <w:rPr>
          <w:rFonts w:hint="cs"/>
          <w:rtl/>
        </w:rPr>
        <w:t xml:space="preserve">, </w:t>
      </w:r>
      <w:r w:rsidR="00D91EBE" w:rsidRPr="00A20D97">
        <w:rPr>
          <w:rFonts w:ascii="Century" w:eastAsiaTheme="minorHAnsi" w:hAnsi="Century" w:cs="Miriam" w:hint="cs"/>
          <w:b/>
          <w:spacing w:val="0"/>
          <w:sz w:val="24"/>
          <w:szCs w:val="24"/>
          <w:rtl/>
        </w:rPr>
        <w:t>שם</w:t>
      </w:r>
      <w:r w:rsidR="00D91EBE">
        <w:rPr>
          <w:rFonts w:hint="cs"/>
          <w:rtl/>
        </w:rPr>
        <w:t>, בעמ' 858-857</w:t>
      </w:r>
      <w:r w:rsidRPr="007B04E0">
        <w:rPr>
          <w:rFonts w:hint="cs"/>
          <w:rtl/>
        </w:rPr>
        <w:t>)</w:t>
      </w:r>
      <w:r w:rsidRPr="007B04E0">
        <w:rPr>
          <w:rtl/>
        </w:rPr>
        <w:t>.</w:t>
      </w:r>
    </w:p>
    <w:p w14:paraId="6BDB93C3" w14:textId="77777777" w:rsidR="0040186B" w:rsidRPr="007B04E0" w:rsidRDefault="0040186B" w:rsidP="00C634DC">
      <w:pPr>
        <w:pStyle w:val="af0"/>
        <w:contextualSpacing w:val="0"/>
        <w:rPr>
          <w:rFonts w:ascii="Century" w:hAnsi="Century" w:cs="FrankRuehl"/>
          <w:spacing w:val="10"/>
          <w:szCs w:val="28"/>
          <w:rtl/>
        </w:rPr>
      </w:pPr>
    </w:p>
    <w:p w14:paraId="61C086DD" w14:textId="77777777" w:rsidR="0040186B" w:rsidRDefault="0040186B" w:rsidP="005700E8">
      <w:pPr>
        <w:spacing w:line="360" w:lineRule="auto"/>
        <w:ind w:firstLine="720"/>
        <w:jc w:val="both"/>
        <w:rPr>
          <w:rFonts w:ascii="Century" w:hAnsi="Century" w:cs="FrankRuehl"/>
          <w:spacing w:val="10"/>
          <w:szCs w:val="28"/>
          <w:rtl/>
        </w:rPr>
      </w:pPr>
      <w:r>
        <w:rPr>
          <w:rFonts w:ascii="Century" w:hAnsi="Century" w:cs="FrankRuehl" w:hint="cs"/>
          <w:spacing w:val="10"/>
          <w:szCs w:val="28"/>
          <w:rtl/>
        </w:rPr>
        <w:lastRenderedPageBreak/>
        <w:t>עניינו</w:t>
      </w:r>
      <w:r w:rsidRPr="007B04E0">
        <w:rPr>
          <w:rFonts w:ascii="Century" w:hAnsi="Century" w:cs="FrankRuehl" w:hint="cs"/>
          <w:spacing w:val="10"/>
          <w:szCs w:val="28"/>
          <w:rtl/>
        </w:rPr>
        <w:t xml:space="preserve"> של דרעי </w:t>
      </w:r>
      <w:r>
        <w:rPr>
          <w:rFonts w:ascii="Century" w:hAnsi="Century" w:cs="FrankRuehl" w:hint="cs"/>
          <w:spacing w:val="10"/>
          <w:szCs w:val="28"/>
          <w:rtl/>
        </w:rPr>
        <w:t xml:space="preserve">מהווה, לדעתי, מקרה </w:t>
      </w:r>
      <w:r w:rsidR="005700E8">
        <w:rPr>
          <w:rFonts w:ascii="Century" w:hAnsi="Century" w:cs="FrankRuehl" w:hint="cs"/>
          <w:spacing w:val="10"/>
          <w:szCs w:val="28"/>
          <w:rtl/>
        </w:rPr>
        <w:t>מובהק</w:t>
      </w:r>
      <w:r>
        <w:rPr>
          <w:rFonts w:ascii="Century" w:hAnsi="Century" w:cs="FrankRuehl" w:hint="cs"/>
          <w:spacing w:val="10"/>
          <w:szCs w:val="28"/>
          <w:rtl/>
        </w:rPr>
        <w:t xml:space="preserve"> שבו</w:t>
      </w:r>
      <w:r w:rsidRPr="007B04E0">
        <w:rPr>
          <w:rFonts w:ascii="Century" w:hAnsi="Century" w:cs="FrankRuehl" w:hint="cs"/>
          <w:spacing w:val="10"/>
          <w:szCs w:val="28"/>
          <w:rtl/>
        </w:rPr>
        <w:t xml:space="preserve"> </w:t>
      </w:r>
      <w:r>
        <w:rPr>
          <w:rFonts w:ascii="Century" w:hAnsi="Century" w:cs="FrankRuehl" w:hint="cs"/>
          <w:spacing w:val="10"/>
          <w:szCs w:val="28"/>
          <w:rtl/>
        </w:rPr>
        <w:t>המשקל</w:t>
      </w:r>
      <w:r w:rsidRPr="007B04E0">
        <w:rPr>
          <w:rFonts w:ascii="Century" w:hAnsi="Century" w:cs="FrankRuehl" w:hint="cs"/>
          <w:spacing w:val="10"/>
          <w:szCs w:val="28"/>
          <w:rtl/>
        </w:rPr>
        <w:t xml:space="preserve"> המצטבר של הרשעותיו </w:t>
      </w:r>
      <w:r>
        <w:rPr>
          <w:rFonts w:ascii="Century" w:hAnsi="Century" w:cs="FrankRuehl" w:hint="cs"/>
          <w:spacing w:val="10"/>
          <w:szCs w:val="28"/>
          <w:rtl/>
        </w:rPr>
        <w:t>הוא משמעותי ביותר ויש בו כדי להכריע את הכף</w:t>
      </w:r>
      <w:r w:rsidRPr="007B04E0">
        <w:rPr>
          <w:rFonts w:ascii="Century" w:hAnsi="Century" w:cs="FrankRuehl" w:hint="cs"/>
          <w:spacing w:val="10"/>
          <w:szCs w:val="28"/>
          <w:rtl/>
        </w:rPr>
        <w:t xml:space="preserve"> </w:t>
      </w:r>
      <w:r>
        <w:rPr>
          <w:rFonts w:ascii="Century" w:hAnsi="Century" w:cs="FrankRuehl" w:hint="cs"/>
          <w:spacing w:val="10"/>
          <w:szCs w:val="28"/>
          <w:rtl/>
        </w:rPr>
        <w:t>אל עבר ה</w:t>
      </w:r>
      <w:r w:rsidRPr="007B04E0">
        <w:rPr>
          <w:rFonts w:ascii="Century" w:hAnsi="Century" w:cs="FrankRuehl" w:hint="cs"/>
          <w:spacing w:val="10"/>
          <w:szCs w:val="28"/>
          <w:rtl/>
        </w:rPr>
        <w:t>מסקנה כי</w:t>
      </w:r>
      <w:r>
        <w:rPr>
          <w:rFonts w:ascii="Century" w:hAnsi="Century" w:cs="FrankRuehl" w:hint="cs"/>
          <w:spacing w:val="10"/>
          <w:szCs w:val="28"/>
          <w:rtl/>
        </w:rPr>
        <w:t xml:space="preserve"> ההחלטה למנותו לשר</w:t>
      </w:r>
      <w:r w:rsidRPr="007B04E0">
        <w:rPr>
          <w:rFonts w:ascii="Century" w:hAnsi="Century" w:cs="FrankRuehl" w:hint="cs"/>
          <w:spacing w:val="10"/>
          <w:szCs w:val="28"/>
          <w:rtl/>
        </w:rPr>
        <w:t xml:space="preserve"> </w:t>
      </w:r>
      <w:r>
        <w:rPr>
          <w:rFonts w:ascii="Century" w:hAnsi="Century" w:cs="FrankRuehl" w:hint="cs"/>
          <w:spacing w:val="10"/>
          <w:szCs w:val="28"/>
          <w:rtl/>
        </w:rPr>
        <w:t>היא</w:t>
      </w:r>
      <w:r w:rsidRPr="007B04E0">
        <w:rPr>
          <w:rFonts w:ascii="Century" w:hAnsi="Century" w:cs="FrankRuehl" w:hint="cs"/>
          <w:spacing w:val="10"/>
          <w:szCs w:val="28"/>
          <w:rtl/>
        </w:rPr>
        <w:t xml:space="preserve"> החלטה</w:t>
      </w:r>
      <w:r>
        <w:rPr>
          <w:rFonts w:ascii="Century" w:hAnsi="Century" w:cs="FrankRuehl" w:hint="cs"/>
          <w:spacing w:val="10"/>
          <w:szCs w:val="28"/>
          <w:rtl/>
        </w:rPr>
        <w:t xml:space="preserve"> הלוקה בחוסר סבירות קיצוני</w:t>
      </w:r>
      <w:r w:rsidRPr="007B04E0">
        <w:rPr>
          <w:rFonts w:ascii="Century" w:hAnsi="Century" w:cs="FrankRuehl" w:hint="cs"/>
          <w:spacing w:val="10"/>
          <w:szCs w:val="28"/>
          <w:rtl/>
        </w:rPr>
        <w:t>.</w:t>
      </w:r>
      <w:r>
        <w:rPr>
          <w:rFonts w:ascii="Century" w:hAnsi="Century" w:cs="FrankRuehl" w:hint="cs"/>
          <w:spacing w:val="10"/>
          <w:szCs w:val="28"/>
          <w:rtl/>
        </w:rPr>
        <w:t xml:space="preserve"> </w:t>
      </w:r>
    </w:p>
    <w:p w14:paraId="3202C333" w14:textId="77777777" w:rsidR="0040186B" w:rsidRDefault="0040186B" w:rsidP="00C634DC">
      <w:pPr>
        <w:spacing w:line="360" w:lineRule="auto"/>
        <w:jc w:val="both"/>
        <w:rPr>
          <w:rFonts w:ascii="Century" w:hAnsi="Century" w:cs="FrankRuehl"/>
          <w:spacing w:val="10"/>
          <w:szCs w:val="28"/>
          <w:rtl/>
        </w:rPr>
      </w:pPr>
    </w:p>
    <w:p w14:paraId="2F07391F" w14:textId="77777777" w:rsidR="0040186B" w:rsidRPr="005574ED" w:rsidRDefault="0040186B" w:rsidP="00C634DC">
      <w:pPr>
        <w:pStyle w:val="Ruller4"/>
        <w:rPr>
          <w:rtl/>
        </w:rPr>
      </w:pPr>
      <w:r>
        <w:rPr>
          <w:rFonts w:hint="cs"/>
          <w:rtl/>
        </w:rPr>
        <w:t>אכן, השיקולים הפוליטיים שעמדו לנגד עיניו של ראש הממשלה בהחליטו למנות את דרעי לשר בממשלתו נושאים משקל לא מבוטל, בפרט בהינתן העובדה כי דרעי ורשימתו זכו לאמון הבוחרים שלהם בבחירות האחרונות. אך כפי שכבר נפסק "</w:t>
      </w:r>
      <w:r w:rsidRPr="005574ED">
        <w:rPr>
          <w:rFonts w:hint="cs"/>
          <w:rtl/>
        </w:rPr>
        <w:t>דין הבוחר, שעל חשיבותו אין חולק, אינו חלופי לדין המשפט</w:t>
      </w:r>
      <w:r>
        <w:rPr>
          <w:rFonts w:hint="cs"/>
          <w:rtl/>
        </w:rPr>
        <w:t xml:space="preserve"> [...]" (עניין </w:t>
      </w:r>
      <w:r w:rsidRPr="00950C40">
        <w:rPr>
          <w:rFonts w:cs="Miriam" w:hint="cs"/>
          <w:b/>
          <w:spacing w:val="0"/>
          <w:szCs w:val="24"/>
          <w:rtl/>
        </w:rPr>
        <w:t>ראשי הערים</w:t>
      </w:r>
      <w:r>
        <w:rPr>
          <w:rFonts w:hint="cs"/>
          <w:rtl/>
        </w:rPr>
        <w:t xml:space="preserve">, בעמ' 242). </w:t>
      </w:r>
      <w:r w:rsidRPr="005574ED">
        <w:rPr>
          <w:rFonts w:ascii="Century" w:hAnsi="Century" w:hint="cs"/>
          <w:rtl/>
        </w:rPr>
        <w:t xml:space="preserve">בענייננו מדובר באדם שהורשע שלוש פעמים בעבירות שבוצעו </w:t>
      </w:r>
      <w:r>
        <w:rPr>
          <w:rFonts w:ascii="Century" w:hAnsi="Century" w:hint="cs"/>
          <w:rtl/>
        </w:rPr>
        <w:t xml:space="preserve">לאורך </w:t>
      </w:r>
      <w:r w:rsidRPr="005574ED">
        <w:rPr>
          <w:rFonts w:ascii="Century" w:hAnsi="Century" w:hint="cs"/>
          <w:rtl/>
        </w:rPr>
        <w:t>תקופות שונות</w:t>
      </w:r>
      <w:r>
        <w:rPr>
          <w:rFonts w:ascii="Century" w:hAnsi="Century" w:hint="cs"/>
          <w:rtl/>
        </w:rPr>
        <w:t xml:space="preserve"> בחייו</w:t>
      </w:r>
      <w:r w:rsidRPr="005574ED">
        <w:rPr>
          <w:rFonts w:ascii="Century" w:hAnsi="Century" w:hint="cs"/>
          <w:rtl/>
        </w:rPr>
        <w:t xml:space="preserve"> </w:t>
      </w:r>
      <w:r>
        <w:rPr>
          <w:rFonts w:ascii="Century" w:hAnsi="Century" w:hint="cs"/>
          <w:rtl/>
        </w:rPr>
        <w:t>ו</w:t>
      </w:r>
      <w:r w:rsidRPr="005574ED">
        <w:rPr>
          <w:rFonts w:ascii="Century" w:hAnsi="Century" w:hint="cs"/>
          <w:rtl/>
        </w:rPr>
        <w:t xml:space="preserve">במעשים </w:t>
      </w:r>
      <w:r>
        <w:rPr>
          <w:rFonts w:ascii="Century" w:hAnsi="Century" w:hint="cs"/>
          <w:rtl/>
        </w:rPr>
        <w:t>שאותם ביצע</w:t>
      </w:r>
      <w:r w:rsidRPr="005574ED">
        <w:rPr>
          <w:rFonts w:ascii="Century" w:hAnsi="Century" w:hint="cs"/>
          <w:rtl/>
        </w:rPr>
        <w:t xml:space="preserve"> </w:t>
      </w:r>
      <w:r>
        <w:rPr>
          <w:rFonts w:ascii="Century" w:hAnsi="Century" w:hint="cs"/>
          <w:rtl/>
        </w:rPr>
        <w:t>בעת שכיהן</w:t>
      </w:r>
      <w:r w:rsidRPr="005574ED">
        <w:rPr>
          <w:rFonts w:ascii="Century" w:hAnsi="Century" w:hint="cs"/>
          <w:rtl/>
        </w:rPr>
        <w:t xml:space="preserve"> בתפקידים ציבוריים בכירים, </w:t>
      </w:r>
      <w:r>
        <w:rPr>
          <w:rFonts w:ascii="Century" w:hAnsi="Century" w:hint="cs"/>
          <w:rtl/>
        </w:rPr>
        <w:t xml:space="preserve">תוך הפרת חובתו </w:t>
      </w:r>
      <w:r w:rsidRPr="005574ED">
        <w:rPr>
          <w:rFonts w:ascii="Century" w:hAnsi="Century" w:hint="cs"/>
          <w:rtl/>
        </w:rPr>
        <w:t xml:space="preserve">לשרת </w:t>
      </w:r>
      <w:r>
        <w:rPr>
          <w:rFonts w:ascii="Century" w:hAnsi="Century" w:hint="cs"/>
          <w:rtl/>
        </w:rPr>
        <w:t>את הציבור בנאמנות ובניקיון כפיים ולשמש לו דוגמה אישית</w:t>
      </w:r>
      <w:r w:rsidRPr="005574ED">
        <w:rPr>
          <w:rFonts w:ascii="Century" w:hAnsi="Century" w:hint="cs"/>
          <w:rtl/>
        </w:rPr>
        <w:t>. בכל אחת מהרשעותיו פגעו מעשיו, בפועל או בכוח, בקופה הציבורית והוא נידון לעונש מאסר (בין בפועל ובין על תנאי). ניתן, אפוא, להצביע על "דפוס חוזר ונשנה של פגיעה בשלטון החוק" בהתנהלותו של דרעי (סעיף</w:t>
      </w:r>
      <w:r w:rsidRPr="005574ED">
        <w:rPr>
          <w:rFonts w:ascii="Century" w:hAnsi="Century"/>
          <w:rtl/>
        </w:rPr>
        <w:t xml:space="preserve"> 7 </w:t>
      </w:r>
      <w:r w:rsidRPr="005574ED">
        <w:rPr>
          <w:rFonts w:ascii="Century" w:hAnsi="Century" w:hint="eastAsia"/>
          <w:rtl/>
        </w:rPr>
        <w:t>לכתב</w:t>
      </w:r>
      <w:r w:rsidRPr="005574ED">
        <w:rPr>
          <w:rFonts w:ascii="Century" w:hAnsi="Century"/>
          <w:rtl/>
        </w:rPr>
        <w:t xml:space="preserve"> </w:t>
      </w:r>
      <w:r w:rsidRPr="005574ED">
        <w:rPr>
          <w:rFonts w:ascii="Century" w:hAnsi="Century" w:hint="eastAsia"/>
          <w:rtl/>
        </w:rPr>
        <w:t>התשובה</w:t>
      </w:r>
      <w:r w:rsidRPr="005574ED">
        <w:rPr>
          <w:rFonts w:ascii="Century" w:hAnsi="Century"/>
          <w:rtl/>
        </w:rPr>
        <w:t xml:space="preserve"> </w:t>
      </w:r>
      <w:r w:rsidRPr="005574ED">
        <w:rPr>
          <w:rFonts w:ascii="Century" w:hAnsi="Century" w:hint="cs"/>
          <w:rtl/>
        </w:rPr>
        <w:t xml:space="preserve">מטעם היועצת המשפטית לממשלה). </w:t>
      </w:r>
      <w:r>
        <w:rPr>
          <w:rFonts w:ascii="Century" w:hAnsi="Century" w:hint="cs"/>
          <w:rtl/>
        </w:rPr>
        <w:t>הצטברות</w:t>
      </w:r>
      <w:r w:rsidRPr="005574ED">
        <w:rPr>
          <w:rFonts w:ascii="Century" w:hAnsi="Century" w:hint="cs"/>
          <w:rtl/>
        </w:rPr>
        <w:t xml:space="preserve"> </w:t>
      </w:r>
      <w:r>
        <w:rPr>
          <w:rFonts w:ascii="Century" w:hAnsi="Century" w:hint="cs"/>
          <w:rtl/>
        </w:rPr>
        <w:t>עבירות השחיתות החמורות</w:t>
      </w:r>
      <w:r w:rsidRPr="005574ED">
        <w:rPr>
          <w:rFonts w:ascii="Century" w:hAnsi="Century" w:hint="cs"/>
          <w:rtl/>
        </w:rPr>
        <w:t xml:space="preserve"> </w:t>
      </w:r>
      <w:r w:rsidRPr="005574ED">
        <w:rPr>
          <w:rFonts w:ascii="Century" w:hAnsi="Century"/>
          <w:rtl/>
        </w:rPr>
        <w:t>–</w:t>
      </w:r>
      <w:r>
        <w:rPr>
          <w:rFonts w:ascii="Century" w:hAnsi="Century" w:hint="cs"/>
          <w:rtl/>
        </w:rPr>
        <w:t xml:space="preserve"> </w:t>
      </w:r>
      <w:r w:rsidRPr="005574ED">
        <w:rPr>
          <w:rFonts w:ascii="Century" w:hAnsi="Century" w:hint="cs"/>
          <w:rtl/>
        </w:rPr>
        <w:t>שמשקלן פחת</w:t>
      </w:r>
      <w:r>
        <w:rPr>
          <w:rFonts w:ascii="Century" w:hAnsi="Century" w:hint="cs"/>
          <w:rtl/>
        </w:rPr>
        <w:t xml:space="preserve"> אומנם בשל</w:t>
      </w:r>
      <w:r w:rsidRPr="005574ED">
        <w:rPr>
          <w:rFonts w:ascii="Century" w:hAnsi="Century" w:hint="cs"/>
          <w:rtl/>
        </w:rPr>
        <w:t xml:space="preserve"> חלוף הזמן</w:t>
      </w:r>
      <w:r>
        <w:rPr>
          <w:rFonts w:ascii="Century" w:hAnsi="Century" w:hint="cs"/>
          <w:rtl/>
        </w:rPr>
        <w:t xml:space="preserve"> </w:t>
      </w:r>
      <w:r>
        <w:rPr>
          <w:rFonts w:ascii="Century" w:hAnsi="Century"/>
          <w:rtl/>
        </w:rPr>
        <w:t>–</w:t>
      </w:r>
      <w:r w:rsidRPr="005574ED">
        <w:rPr>
          <w:rFonts w:ascii="Century" w:hAnsi="Century" w:hint="cs"/>
          <w:rtl/>
        </w:rPr>
        <w:t xml:space="preserve"> </w:t>
      </w:r>
      <w:r>
        <w:rPr>
          <w:rFonts w:ascii="Century" w:hAnsi="Century" w:hint="cs"/>
          <w:rtl/>
        </w:rPr>
        <w:t>עם</w:t>
      </w:r>
      <w:r w:rsidRPr="005574ED">
        <w:rPr>
          <w:rFonts w:ascii="Century" w:hAnsi="Century" w:hint="cs"/>
          <w:rtl/>
        </w:rPr>
        <w:t xml:space="preserve"> עבירות המס שבהן הורשע דרעי אך לאחרונה, </w:t>
      </w:r>
      <w:r>
        <w:rPr>
          <w:rFonts w:ascii="Century" w:hAnsi="Century" w:hint="cs"/>
          <w:rtl/>
        </w:rPr>
        <w:t>היא נתון שראש הממשלה לא רשאי היה להתעלם ממנו, והוא מחייב אותו</w:t>
      </w:r>
      <w:r w:rsidRPr="005574ED">
        <w:rPr>
          <w:rFonts w:ascii="Century" w:hAnsi="Century" w:hint="cs"/>
          <w:rtl/>
        </w:rPr>
        <w:t xml:space="preserve">, לגישתי, </w:t>
      </w:r>
      <w:r>
        <w:rPr>
          <w:rFonts w:ascii="Century" w:hAnsi="Century" w:hint="cs"/>
          <w:rtl/>
        </w:rPr>
        <w:t>להפעיל עתה את</w:t>
      </w:r>
      <w:r w:rsidRPr="005574ED">
        <w:rPr>
          <w:rFonts w:ascii="Century" w:hAnsi="Century" w:hint="cs"/>
          <w:rtl/>
        </w:rPr>
        <w:t xml:space="preserve"> הסמכות להעביר</w:t>
      </w:r>
      <w:r>
        <w:rPr>
          <w:rFonts w:ascii="Century" w:hAnsi="Century" w:hint="cs"/>
          <w:rtl/>
        </w:rPr>
        <w:t xml:space="preserve"> את דרעי</w:t>
      </w:r>
      <w:r w:rsidRPr="005574ED">
        <w:rPr>
          <w:rFonts w:ascii="Century" w:hAnsi="Century" w:hint="cs"/>
          <w:rtl/>
        </w:rPr>
        <w:t xml:space="preserve"> מתפקידו. </w:t>
      </w:r>
      <w:r>
        <w:rPr>
          <w:rFonts w:ascii="Century" w:hAnsi="Century" w:hint="cs"/>
          <w:rtl/>
        </w:rPr>
        <w:t xml:space="preserve">זאת, שכן </w:t>
      </w:r>
      <w:r w:rsidRPr="005574ED">
        <w:rPr>
          <w:rFonts w:ascii="Century" w:hAnsi="Century" w:hint="cs"/>
          <w:rtl/>
        </w:rPr>
        <w:t xml:space="preserve">המשך כהונתו של דרעי כשר האחראי על שניים מהמשרדים החשובים בממשלה, </w:t>
      </w:r>
      <w:r>
        <w:rPr>
          <w:rFonts w:ascii="Century" w:hAnsi="Century" w:hint="cs"/>
          <w:rtl/>
        </w:rPr>
        <w:t>פוגע</w:t>
      </w:r>
      <w:r w:rsidRPr="005574ED">
        <w:rPr>
          <w:rFonts w:ascii="Century" w:hAnsi="Century" w:hint="cs"/>
          <w:rtl/>
        </w:rPr>
        <w:t xml:space="preserve"> פגיעה קשה בתדמיתן ו</w:t>
      </w:r>
      <w:r>
        <w:rPr>
          <w:rFonts w:ascii="Century" w:hAnsi="Century" w:hint="cs"/>
          <w:rtl/>
        </w:rPr>
        <w:t>ב</w:t>
      </w:r>
      <w:r w:rsidRPr="005574ED">
        <w:rPr>
          <w:rFonts w:ascii="Century" w:hAnsi="Century" w:hint="cs"/>
          <w:rtl/>
        </w:rPr>
        <w:t xml:space="preserve">מעמדן של רשויות השלטון </w:t>
      </w:r>
      <w:r>
        <w:rPr>
          <w:rFonts w:ascii="Century" w:hAnsi="Century" w:hint="cs"/>
          <w:rtl/>
        </w:rPr>
        <w:t>במדינה</w:t>
      </w:r>
      <w:r w:rsidRPr="005574ED">
        <w:rPr>
          <w:rFonts w:ascii="Century" w:hAnsi="Century" w:hint="cs"/>
          <w:rtl/>
        </w:rPr>
        <w:t xml:space="preserve"> </w:t>
      </w:r>
      <w:r>
        <w:rPr>
          <w:rFonts w:ascii="Century" w:hAnsi="Century" w:hint="cs"/>
          <w:rtl/>
        </w:rPr>
        <w:t>וסותר</w:t>
      </w:r>
      <w:r w:rsidRPr="005574ED">
        <w:rPr>
          <w:rFonts w:ascii="Century" w:hAnsi="Century" w:hint="cs"/>
          <w:rtl/>
        </w:rPr>
        <w:t xml:space="preserve"> </w:t>
      </w:r>
      <w:r>
        <w:rPr>
          <w:rFonts w:ascii="Century" w:hAnsi="Century" w:hint="cs"/>
          <w:rtl/>
        </w:rPr>
        <w:t xml:space="preserve">באופן מובהק </w:t>
      </w:r>
      <w:r w:rsidRPr="005574ED">
        <w:rPr>
          <w:rFonts w:ascii="Century" w:hAnsi="Century" w:hint="cs"/>
          <w:rtl/>
        </w:rPr>
        <w:t xml:space="preserve">עקרונות של טוהר מידות </w:t>
      </w:r>
      <w:proofErr w:type="spellStart"/>
      <w:r w:rsidRPr="005574ED">
        <w:rPr>
          <w:rFonts w:ascii="Century" w:hAnsi="Century" w:hint="cs"/>
          <w:rtl/>
        </w:rPr>
        <w:t>ונקיון</w:t>
      </w:r>
      <w:proofErr w:type="spellEnd"/>
      <w:r w:rsidRPr="005574ED">
        <w:rPr>
          <w:rFonts w:ascii="Century" w:hAnsi="Century" w:hint="cs"/>
          <w:rtl/>
        </w:rPr>
        <w:t xml:space="preserve"> כפיים </w:t>
      </w:r>
      <w:r>
        <w:rPr>
          <w:rFonts w:ascii="Century" w:hAnsi="Century" w:hint="cs"/>
          <w:rtl/>
        </w:rPr>
        <w:t>שלהם מחויבים</w:t>
      </w:r>
      <w:r w:rsidRPr="005574ED">
        <w:rPr>
          <w:rFonts w:ascii="Century" w:hAnsi="Century" w:hint="cs"/>
          <w:rtl/>
        </w:rPr>
        <w:t xml:space="preserve"> נבחרי הציבור. </w:t>
      </w:r>
    </w:p>
    <w:p w14:paraId="43271994" w14:textId="77777777" w:rsidR="0040186B" w:rsidRPr="007B04E0" w:rsidRDefault="0040186B" w:rsidP="00C634DC">
      <w:pPr>
        <w:pStyle w:val="af0"/>
        <w:spacing w:line="360" w:lineRule="auto"/>
        <w:ind w:left="0"/>
        <w:contextualSpacing w:val="0"/>
        <w:jc w:val="both"/>
        <w:rPr>
          <w:rFonts w:ascii="Century" w:hAnsi="Century" w:cs="FrankRuehl"/>
          <w:spacing w:val="10"/>
          <w:szCs w:val="28"/>
          <w:rtl/>
        </w:rPr>
      </w:pPr>
    </w:p>
    <w:p w14:paraId="4E0D08E6" w14:textId="77777777" w:rsidR="0040186B" w:rsidRPr="007B04E0" w:rsidRDefault="0040186B" w:rsidP="00C634DC">
      <w:pPr>
        <w:pStyle w:val="ruller44"/>
        <w:numPr>
          <w:ilvl w:val="0"/>
          <w:numId w:val="19"/>
        </w:numPr>
        <w:bidi/>
        <w:spacing w:before="0" w:beforeAutospacing="0" w:after="0" w:afterAutospacing="0"/>
        <w:rPr>
          <w:rFonts w:ascii="Century" w:hAnsi="Century" w:cs="Miriam"/>
          <w:b/>
          <w:sz w:val="22"/>
        </w:rPr>
      </w:pPr>
      <w:r w:rsidRPr="007B04E0">
        <w:rPr>
          <w:rFonts w:ascii="Century" w:hAnsi="Century" w:cs="Miriam" w:hint="eastAsia"/>
          <w:b/>
          <w:sz w:val="22"/>
          <w:rtl/>
        </w:rPr>
        <w:t>המצג</w:t>
      </w:r>
      <w:r w:rsidRPr="007B04E0">
        <w:rPr>
          <w:rFonts w:ascii="Century" w:hAnsi="Century" w:cs="Miriam"/>
          <w:b/>
          <w:sz w:val="22"/>
          <w:rtl/>
        </w:rPr>
        <w:t xml:space="preserve"> </w:t>
      </w:r>
      <w:r w:rsidRPr="007B04E0">
        <w:rPr>
          <w:rFonts w:ascii="Century" w:hAnsi="Century" w:cs="Miriam" w:hint="eastAsia"/>
          <w:b/>
          <w:sz w:val="22"/>
          <w:rtl/>
        </w:rPr>
        <w:t>שהוצג</w:t>
      </w:r>
      <w:r w:rsidRPr="007B04E0">
        <w:rPr>
          <w:rFonts w:ascii="Century" w:hAnsi="Century" w:cs="Miriam"/>
          <w:b/>
          <w:sz w:val="22"/>
          <w:rtl/>
        </w:rPr>
        <w:t xml:space="preserve"> </w:t>
      </w:r>
      <w:r w:rsidRPr="007B04E0">
        <w:rPr>
          <w:rFonts w:ascii="Century" w:hAnsi="Century" w:cs="Miriam" w:hint="eastAsia"/>
          <w:b/>
          <w:sz w:val="22"/>
          <w:rtl/>
        </w:rPr>
        <w:t>לבית</w:t>
      </w:r>
      <w:r w:rsidRPr="007B04E0">
        <w:rPr>
          <w:rFonts w:ascii="Century" w:hAnsi="Century" w:cs="Miriam"/>
          <w:b/>
          <w:sz w:val="22"/>
          <w:rtl/>
        </w:rPr>
        <w:t xml:space="preserve"> </w:t>
      </w:r>
      <w:r w:rsidRPr="007B04E0">
        <w:rPr>
          <w:rFonts w:ascii="Century" w:hAnsi="Century" w:cs="Miriam" w:hint="eastAsia"/>
          <w:b/>
          <w:sz w:val="22"/>
          <w:rtl/>
        </w:rPr>
        <w:t>המשפט</w:t>
      </w:r>
      <w:r w:rsidRPr="007B04E0">
        <w:rPr>
          <w:rFonts w:ascii="Century" w:hAnsi="Century" w:cs="Miriam"/>
          <w:b/>
          <w:sz w:val="22"/>
          <w:rtl/>
        </w:rPr>
        <w:t xml:space="preserve"> </w:t>
      </w:r>
      <w:r w:rsidRPr="007B04E0">
        <w:rPr>
          <w:rFonts w:ascii="Century" w:hAnsi="Century" w:cs="Miriam" w:hint="eastAsia"/>
          <w:b/>
          <w:sz w:val="22"/>
          <w:rtl/>
        </w:rPr>
        <w:t>אשר</w:t>
      </w:r>
      <w:r w:rsidRPr="007B04E0">
        <w:rPr>
          <w:rFonts w:ascii="Century" w:hAnsi="Century" w:cs="Miriam"/>
          <w:b/>
          <w:sz w:val="22"/>
          <w:rtl/>
        </w:rPr>
        <w:t xml:space="preserve"> </w:t>
      </w:r>
      <w:r w:rsidRPr="007B04E0">
        <w:rPr>
          <w:rFonts w:ascii="Century" w:hAnsi="Century" w:cs="Miriam" w:hint="eastAsia"/>
          <w:b/>
          <w:sz w:val="22"/>
          <w:rtl/>
        </w:rPr>
        <w:t>הרשיע</w:t>
      </w:r>
      <w:r w:rsidRPr="007B04E0">
        <w:rPr>
          <w:rFonts w:ascii="Century" w:hAnsi="Century" w:cs="Miriam"/>
          <w:b/>
          <w:sz w:val="22"/>
          <w:rtl/>
        </w:rPr>
        <w:t xml:space="preserve"> </w:t>
      </w:r>
      <w:r w:rsidRPr="007B04E0">
        <w:rPr>
          <w:rFonts w:ascii="Century" w:hAnsi="Century" w:cs="Miriam" w:hint="eastAsia"/>
          <w:b/>
          <w:sz w:val="22"/>
          <w:rtl/>
        </w:rPr>
        <w:t>את</w:t>
      </w:r>
      <w:r w:rsidRPr="007B04E0">
        <w:rPr>
          <w:rFonts w:ascii="Century" w:hAnsi="Century" w:cs="Miriam"/>
          <w:b/>
          <w:sz w:val="22"/>
          <w:rtl/>
        </w:rPr>
        <w:t xml:space="preserve"> </w:t>
      </w:r>
      <w:r w:rsidRPr="007B04E0">
        <w:rPr>
          <w:rFonts w:ascii="Century" w:hAnsi="Century" w:cs="Miriam" w:hint="eastAsia"/>
          <w:b/>
          <w:sz w:val="22"/>
          <w:rtl/>
        </w:rPr>
        <w:t>דרעי</w:t>
      </w:r>
      <w:r w:rsidRPr="007B04E0">
        <w:rPr>
          <w:rFonts w:ascii="Century" w:hAnsi="Century" w:cs="Miriam"/>
          <w:b/>
          <w:sz w:val="22"/>
          <w:rtl/>
        </w:rPr>
        <w:t xml:space="preserve"> </w:t>
      </w:r>
      <w:r w:rsidRPr="007B04E0">
        <w:rPr>
          <w:rFonts w:ascii="Century" w:hAnsi="Century" w:cs="Miriam" w:hint="eastAsia"/>
          <w:b/>
          <w:sz w:val="22"/>
          <w:rtl/>
        </w:rPr>
        <w:t>בעבירות</w:t>
      </w:r>
      <w:r w:rsidRPr="007B04E0">
        <w:rPr>
          <w:rFonts w:ascii="Century" w:hAnsi="Century" w:cs="Miriam"/>
          <w:b/>
          <w:sz w:val="22"/>
          <w:rtl/>
        </w:rPr>
        <w:t xml:space="preserve"> </w:t>
      </w:r>
      <w:r w:rsidRPr="007B04E0">
        <w:rPr>
          <w:rFonts w:ascii="Century" w:hAnsi="Century" w:cs="Miriam" w:hint="eastAsia"/>
          <w:b/>
          <w:sz w:val="22"/>
          <w:rtl/>
        </w:rPr>
        <w:t>המס</w:t>
      </w:r>
    </w:p>
    <w:p w14:paraId="651B39FE" w14:textId="77777777" w:rsidR="0040186B" w:rsidRPr="007B04E0" w:rsidRDefault="0040186B" w:rsidP="00C634DC">
      <w:pPr>
        <w:pStyle w:val="ruller44"/>
        <w:bidi/>
        <w:spacing w:before="0" w:beforeAutospacing="0" w:after="0" w:afterAutospacing="0"/>
        <w:ind w:left="720"/>
        <w:rPr>
          <w:rFonts w:ascii="Century" w:hAnsi="Century" w:cs="FrankRuehl"/>
          <w:spacing w:val="10"/>
          <w:sz w:val="22"/>
          <w:szCs w:val="28"/>
          <w:rtl/>
        </w:rPr>
      </w:pPr>
    </w:p>
    <w:p w14:paraId="608CA854" w14:textId="77777777" w:rsidR="0040186B" w:rsidRPr="007B04E0" w:rsidRDefault="0040186B" w:rsidP="00C634DC">
      <w:pPr>
        <w:pStyle w:val="Ruller4"/>
        <w:rPr>
          <w:rFonts w:ascii="Century" w:hAnsi="Century"/>
          <w:sz w:val="22"/>
          <w:rtl/>
        </w:rPr>
      </w:pPr>
      <w:r w:rsidRPr="007B04E0">
        <w:rPr>
          <w:rFonts w:ascii="Century" w:hAnsi="Century" w:hint="cs"/>
          <w:sz w:val="22"/>
          <w:rtl/>
        </w:rPr>
        <w:t xml:space="preserve">אף שלגישתי די בדברים שעליהם עמדתי לעיל כדי </w:t>
      </w:r>
      <w:r>
        <w:rPr>
          <w:rFonts w:ascii="Century" w:hAnsi="Century" w:hint="cs"/>
          <w:sz w:val="22"/>
          <w:rtl/>
        </w:rPr>
        <w:t>להתכנס אל</w:t>
      </w:r>
      <w:r w:rsidRPr="007B04E0">
        <w:rPr>
          <w:rFonts w:ascii="Century" w:hAnsi="Century" w:hint="cs"/>
          <w:sz w:val="22"/>
          <w:rtl/>
        </w:rPr>
        <w:t xml:space="preserve"> </w:t>
      </w:r>
      <w:r>
        <w:rPr>
          <w:rFonts w:ascii="Century" w:hAnsi="Century" w:hint="cs"/>
          <w:sz w:val="22"/>
          <w:rtl/>
        </w:rPr>
        <w:t>ה</w:t>
      </w:r>
      <w:r w:rsidRPr="007B04E0">
        <w:rPr>
          <w:rFonts w:ascii="Century" w:hAnsi="Century" w:hint="cs"/>
          <w:sz w:val="22"/>
          <w:rtl/>
        </w:rPr>
        <w:t xml:space="preserve">מסקנה </w:t>
      </w:r>
      <w:r>
        <w:rPr>
          <w:rFonts w:ascii="Century" w:hAnsi="Century" w:hint="cs"/>
          <w:sz w:val="22"/>
          <w:rtl/>
        </w:rPr>
        <w:t>לפיה</w:t>
      </w:r>
      <w:r w:rsidRPr="007B04E0">
        <w:rPr>
          <w:rFonts w:ascii="Century" w:hAnsi="Century" w:hint="cs"/>
          <w:sz w:val="22"/>
          <w:rtl/>
        </w:rPr>
        <w:t xml:space="preserve"> מינויו של דרעי לתפקיד שר הפנים ושר הבריאות אינו יכול לעמוד, בענייננו קיים טעם נוסף המחזק מסקנה זו, </w:t>
      </w:r>
      <w:r>
        <w:rPr>
          <w:rFonts w:ascii="Century" w:hAnsi="Century" w:hint="cs"/>
          <w:sz w:val="22"/>
          <w:rtl/>
        </w:rPr>
        <w:t>וכוונתי</w:t>
      </w:r>
      <w:r w:rsidRPr="007B04E0">
        <w:rPr>
          <w:rFonts w:ascii="Century" w:hAnsi="Century" w:hint="cs"/>
          <w:sz w:val="22"/>
          <w:rtl/>
        </w:rPr>
        <w:t xml:space="preserve"> לדברים </w:t>
      </w:r>
      <w:r>
        <w:rPr>
          <w:rFonts w:ascii="Century" w:hAnsi="Century" w:hint="cs"/>
          <w:sz w:val="22"/>
          <w:rtl/>
        </w:rPr>
        <w:t>שהציג דרעי</w:t>
      </w:r>
      <w:r w:rsidRPr="007B04E0">
        <w:rPr>
          <w:rFonts w:ascii="Century" w:hAnsi="Century" w:hint="cs"/>
          <w:sz w:val="22"/>
          <w:rtl/>
        </w:rPr>
        <w:t xml:space="preserve"> בפני בית משפט השלום בירושלים שהרשיע</w:t>
      </w:r>
      <w:r>
        <w:rPr>
          <w:rFonts w:ascii="Century" w:hAnsi="Century" w:hint="cs"/>
          <w:sz w:val="22"/>
          <w:rtl/>
        </w:rPr>
        <w:t xml:space="preserve">ו </w:t>
      </w:r>
      <w:r w:rsidRPr="007B04E0">
        <w:rPr>
          <w:rFonts w:ascii="Century" w:hAnsi="Century" w:hint="cs"/>
          <w:sz w:val="22"/>
          <w:rtl/>
        </w:rPr>
        <w:t>בעבירות המס</w:t>
      </w:r>
      <w:r>
        <w:rPr>
          <w:rFonts w:ascii="Century" w:hAnsi="Century" w:hint="cs"/>
          <w:sz w:val="22"/>
          <w:rtl/>
        </w:rPr>
        <w:t xml:space="preserve"> ולהתנהלותו לאחר שנגזר דינו</w:t>
      </w:r>
      <w:r w:rsidRPr="007B04E0">
        <w:rPr>
          <w:rFonts w:ascii="Century" w:hAnsi="Century" w:hint="cs"/>
          <w:sz w:val="22"/>
          <w:rtl/>
        </w:rPr>
        <w:t>.</w:t>
      </w:r>
    </w:p>
    <w:p w14:paraId="0F227D4E" w14:textId="77777777" w:rsidR="0040186B" w:rsidRPr="007B04E0" w:rsidRDefault="0040186B" w:rsidP="00C634DC">
      <w:pPr>
        <w:pStyle w:val="ruller44"/>
        <w:bidi/>
        <w:spacing w:before="0" w:beforeAutospacing="0" w:after="0" w:afterAutospacing="0" w:line="360" w:lineRule="auto"/>
      </w:pPr>
    </w:p>
    <w:p w14:paraId="392DC432" w14:textId="77777777" w:rsidR="0040186B" w:rsidRDefault="0040186B" w:rsidP="00C634DC">
      <w:pPr>
        <w:pStyle w:val="Ruller4"/>
        <w:rPr>
          <w:rFonts w:ascii="Century" w:hAnsi="Century"/>
          <w:sz w:val="22"/>
        </w:rPr>
      </w:pPr>
      <w:r w:rsidRPr="007B04E0">
        <w:rPr>
          <w:rFonts w:ascii="Century" w:hAnsi="Century" w:hint="cs"/>
          <w:sz w:val="22"/>
          <w:rtl/>
        </w:rPr>
        <w:t xml:space="preserve">כזכור, סעיף 4 להסדר הטיעון בעבירות המס </w:t>
      </w:r>
      <w:r w:rsidRPr="007B04E0">
        <w:rPr>
          <w:rFonts w:ascii="Century" w:hAnsi="Century" w:hint="eastAsia"/>
          <w:sz w:val="22"/>
          <w:rtl/>
        </w:rPr>
        <w:t>כלל</w:t>
      </w:r>
      <w:r w:rsidRPr="007B04E0">
        <w:rPr>
          <w:rFonts w:ascii="Century" w:hAnsi="Century"/>
          <w:sz w:val="22"/>
          <w:rtl/>
        </w:rPr>
        <w:t xml:space="preserve"> </w:t>
      </w:r>
      <w:r w:rsidRPr="007B04E0">
        <w:rPr>
          <w:rFonts w:ascii="Century" w:hAnsi="Century" w:hint="eastAsia"/>
          <w:sz w:val="22"/>
          <w:rtl/>
        </w:rPr>
        <w:t>את</w:t>
      </w:r>
      <w:r w:rsidRPr="007B04E0">
        <w:rPr>
          <w:rFonts w:ascii="Century" w:hAnsi="Century"/>
          <w:sz w:val="22"/>
          <w:rtl/>
        </w:rPr>
        <w:t xml:space="preserve"> </w:t>
      </w:r>
      <w:r w:rsidRPr="007B04E0">
        <w:rPr>
          <w:rFonts w:ascii="Century" w:hAnsi="Century" w:hint="eastAsia"/>
          <w:sz w:val="22"/>
          <w:rtl/>
        </w:rPr>
        <w:t>ההבהרה</w:t>
      </w:r>
      <w:r w:rsidRPr="007B04E0">
        <w:rPr>
          <w:rFonts w:ascii="Century" w:hAnsi="Century"/>
          <w:sz w:val="22"/>
          <w:rtl/>
        </w:rPr>
        <w:t xml:space="preserve"> </w:t>
      </w:r>
      <w:r w:rsidRPr="007B04E0">
        <w:rPr>
          <w:rFonts w:ascii="Century" w:hAnsi="Century" w:hint="eastAsia"/>
          <w:sz w:val="22"/>
          <w:rtl/>
        </w:rPr>
        <w:t>הבאה</w:t>
      </w:r>
      <w:r w:rsidRPr="007B04E0">
        <w:rPr>
          <w:rFonts w:ascii="Century" w:hAnsi="Century" w:hint="cs"/>
          <w:sz w:val="22"/>
          <w:rtl/>
        </w:rPr>
        <w:t>:</w:t>
      </w:r>
      <w:r w:rsidRPr="007B04E0">
        <w:rPr>
          <w:rFonts w:ascii="Century" w:hAnsi="Century"/>
          <w:sz w:val="22"/>
          <w:rtl/>
        </w:rPr>
        <w:t xml:space="preserve"> "</w:t>
      </w:r>
      <w:r w:rsidRPr="007B04E0">
        <w:rPr>
          <w:rFonts w:ascii="Century" w:hAnsi="Century" w:hint="eastAsia"/>
          <w:sz w:val="22"/>
          <w:rtl/>
        </w:rPr>
        <w:t>רשמנו</w:t>
      </w:r>
      <w:r w:rsidRPr="007B04E0">
        <w:rPr>
          <w:rFonts w:ascii="Century" w:hAnsi="Century"/>
          <w:sz w:val="22"/>
          <w:rtl/>
        </w:rPr>
        <w:t xml:space="preserve"> </w:t>
      </w:r>
      <w:r w:rsidRPr="007B04E0">
        <w:rPr>
          <w:rFonts w:ascii="Century" w:hAnsi="Century" w:hint="eastAsia"/>
          <w:sz w:val="22"/>
          <w:rtl/>
        </w:rPr>
        <w:t>בפנינו</w:t>
      </w:r>
      <w:r w:rsidRPr="007B04E0">
        <w:rPr>
          <w:rFonts w:ascii="Century" w:hAnsi="Century"/>
          <w:sz w:val="22"/>
          <w:rtl/>
        </w:rPr>
        <w:t xml:space="preserve"> </w:t>
      </w:r>
      <w:r w:rsidRPr="007B04E0">
        <w:rPr>
          <w:rFonts w:ascii="Century" w:hAnsi="Century" w:hint="eastAsia"/>
          <w:sz w:val="22"/>
          <w:rtl/>
        </w:rPr>
        <w:t>את</w:t>
      </w:r>
      <w:r w:rsidRPr="007B04E0">
        <w:rPr>
          <w:rFonts w:ascii="Century" w:hAnsi="Century"/>
          <w:sz w:val="22"/>
          <w:rtl/>
        </w:rPr>
        <w:t xml:space="preserve"> </w:t>
      </w:r>
      <w:r w:rsidRPr="007B04E0">
        <w:rPr>
          <w:rFonts w:ascii="Century" w:hAnsi="Century" w:hint="eastAsia"/>
          <w:sz w:val="22"/>
          <w:rtl/>
        </w:rPr>
        <w:t>הודעת</w:t>
      </w:r>
      <w:r w:rsidRPr="007B04E0">
        <w:rPr>
          <w:rFonts w:ascii="Century" w:hAnsi="Century"/>
          <w:sz w:val="22"/>
          <w:rtl/>
        </w:rPr>
        <w:t xml:space="preserve"> [</w:t>
      </w:r>
      <w:r w:rsidRPr="007B04E0">
        <w:rPr>
          <w:rFonts w:ascii="Century" w:hAnsi="Century" w:hint="eastAsia"/>
          <w:sz w:val="22"/>
          <w:rtl/>
        </w:rPr>
        <w:t>דרעי</w:t>
      </w:r>
      <w:r w:rsidRPr="007B04E0">
        <w:rPr>
          <w:rFonts w:ascii="Century" w:hAnsi="Century"/>
          <w:sz w:val="22"/>
          <w:rtl/>
        </w:rPr>
        <w:t xml:space="preserve">] </w:t>
      </w:r>
      <w:r w:rsidRPr="007B04E0">
        <w:rPr>
          <w:rFonts w:ascii="Century" w:hAnsi="Century" w:hint="eastAsia"/>
          <w:sz w:val="22"/>
          <w:rtl/>
        </w:rPr>
        <w:t>בדבר</w:t>
      </w:r>
      <w:r w:rsidRPr="007B04E0">
        <w:rPr>
          <w:rFonts w:ascii="Century" w:hAnsi="Century"/>
          <w:sz w:val="22"/>
          <w:rtl/>
        </w:rPr>
        <w:t xml:space="preserve"> </w:t>
      </w:r>
      <w:r w:rsidRPr="007B04E0">
        <w:rPr>
          <w:rFonts w:ascii="Century" w:hAnsi="Century" w:hint="eastAsia"/>
          <w:sz w:val="22"/>
          <w:rtl/>
        </w:rPr>
        <w:t>החלטתו</w:t>
      </w:r>
      <w:r w:rsidRPr="007B04E0">
        <w:rPr>
          <w:rFonts w:ascii="Century" w:hAnsi="Century"/>
          <w:sz w:val="22"/>
          <w:rtl/>
        </w:rPr>
        <w:t xml:space="preserve"> </w:t>
      </w:r>
      <w:r w:rsidRPr="007B04E0">
        <w:rPr>
          <w:rFonts w:ascii="Century" w:hAnsi="Century" w:hint="eastAsia"/>
          <w:sz w:val="22"/>
          <w:rtl/>
        </w:rPr>
        <w:t>להתפטר</w:t>
      </w:r>
      <w:r w:rsidRPr="007B04E0">
        <w:rPr>
          <w:rFonts w:ascii="Century" w:hAnsi="Century"/>
          <w:sz w:val="22"/>
          <w:rtl/>
        </w:rPr>
        <w:t xml:space="preserve"> </w:t>
      </w:r>
      <w:r w:rsidRPr="007B04E0">
        <w:rPr>
          <w:rFonts w:ascii="Century" w:hAnsi="Century" w:hint="eastAsia"/>
          <w:sz w:val="22"/>
          <w:rtl/>
        </w:rPr>
        <w:t>מהכנסת</w:t>
      </w:r>
      <w:r w:rsidRPr="007B04E0">
        <w:rPr>
          <w:rFonts w:ascii="Century" w:hAnsi="Century"/>
          <w:sz w:val="22"/>
          <w:rtl/>
        </w:rPr>
        <w:t xml:space="preserve"> </w:t>
      </w:r>
      <w:r w:rsidRPr="007B04E0">
        <w:rPr>
          <w:rFonts w:ascii="Century" w:hAnsi="Century" w:hint="eastAsia"/>
          <w:sz w:val="22"/>
          <w:rtl/>
        </w:rPr>
        <w:t>ועל</w:t>
      </w:r>
      <w:r w:rsidRPr="007B04E0">
        <w:rPr>
          <w:rFonts w:ascii="Century" w:hAnsi="Century"/>
          <w:sz w:val="22"/>
          <w:rtl/>
        </w:rPr>
        <w:t xml:space="preserve"> </w:t>
      </w:r>
      <w:r w:rsidRPr="007B04E0">
        <w:rPr>
          <w:rFonts w:ascii="Century" w:hAnsi="Century" w:hint="eastAsia"/>
          <w:sz w:val="22"/>
          <w:rtl/>
        </w:rPr>
        <w:t>כן</w:t>
      </w:r>
      <w:r w:rsidRPr="007B04E0">
        <w:rPr>
          <w:rFonts w:ascii="Century" w:hAnsi="Century"/>
          <w:sz w:val="22"/>
          <w:rtl/>
        </w:rPr>
        <w:t xml:space="preserve"> </w:t>
      </w:r>
      <w:r w:rsidRPr="007B04E0">
        <w:rPr>
          <w:rFonts w:ascii="Century" w:hAnsi="Century" w:hint="eastAsia"/>
          <w:sz w:val="22"/>
          <w:rtl/>
        </w:rPr>
        <w:t>היועץ</w:t>
      </w:r>
      <w:r w:rsidRPr="007B04E0">
        <w:rPr>
          <w:rFonts w:ascii="Century" w:hAnsi="Century"/>
          <w:sz w:val="22"/>
          <w:rtl/>
        </w:rPr>
        <w:t xml:space="preserve"> </w:t>
      </w:r>
      <w:r w:rsidRPr="007B04E0">
        <w:rPr>
          <w:rFonts w:ascii="Century" w:hAnsi="Century" w:hint="eastAsia"/>
          <w:sz w:val="22"/>
          <w:rtl/>
        </w:rPr>
        <w:t>המשפטי</w:t>
      </w:r>
      <w:r w:rsidRPr="007B04E0">
        <w:rPr>
          <w:rFonts w:ascii="Century" w:hAnsi="Century"/>
          <w:sz w:val="22"/>
          <w:rtl/>
        </w:rPr>
        <w:t xml:space="preserve"> </w:t>
      </w:r>
      <w:r w:rsidRPr="007B04E0">
        <w:rPr>
          <w:rFonts w:ascii="Century" w:hAnsi="Century" w:hint="eastAsia"/>
          <w:sz w:val="22"/>
          <w:rtl/>
        </w:rPr>
        <w:t>לממשלה</w:t>
      </w:r>
      <w:r w:rsidRPr="007B04E0">
        <w:rPr>
          <w:rFonts w:ascii="Century" w:hAnsi="Century"/>
          <w:sz w:val="22"/>
          <w:rtl/>
        </w:rPr>
        <w:t xml:space="preserve"> </w:t>
      </w:r>
      <w:r w:rsidRPr="007B04E0">
        <w:rPr>
          <w:rFonts w:ascii="Century" w:hAnsi="Century" w:hint="eastAsia"/>
          <w:sz w:val="22"/>
          <w:rtl/>
        </w:rPr>
        <w:t>לא</w:t>
      </w:r>
      <w:r w:rsidRPr="007B04E0">
        <w:rPr>
          <w:rFonts w:ascii="Century" w:hAnsi="Century"/>
          <w:sz w:val="22"/>
          <w:rtl/>
        </w:rPr>
        <w:t xml:space="preserve"> </w:t>
      </w:r>
      <w:r w:rsidRPr="007B04E0">
        <w:rPr>
          <w:rFonts w:ascii="Century" w:hAnsi="Century" w:hint="eastAsia"/>
          <w:sz w:val="22"/>
          <w:rtl/>
        </w:rPr>
        <w:t>טוען</w:t>
      </w:r>
      <w:r w:rsidRPr="007B04E0">
        <w:rPr>
          <w:rFonts w:ascii="Century" w:hAnsi="Century"/>
          <w:sz w:val="22"/>
          <w:rtl/>
        </w:rPr>
        <w:t xml:space="preserve"> </w:t>
      </w:r>
      <w:r w:rsidRPr="007B04E0">
        <w:rPr>
          <w:rFonts w:ascii="Century" w:hAnsi="Century" w:hint="eastAsia"/>
          <w:sz w:val="22"/>
          <w:rtl/>
        </w:rPr>
        <w:t>בעניין</w:t>
      </w:r>
      <w:r w:rsidRPr="007B04E0">
        <w:rPr>
          <w:rFonts w:ascii="Century" w:hAnsi="Century"/>
          <w:sz w:val="22"/>
          <w:rtl/>
        </w:rPr>
        <w:t xml:space="preserve"> </w:t>
      </w:r>
      <w:r w:rsidRPr="007B04E0">
        <w:rPr>
          <w:rFonts w:ascii="Century" w:hAnsi="Century" w:hint="eastAsia"/>
          <w:sz w:val="22"/>
          <w:rtl/>
        </w:rPr>
        <w:t>הקלון</w:t>
      </w:r>
      <w:r w:rsidRPr="007B04E0">
        <w:rPr>
          <w:rFonts w:ascii="Century" w:hAnsi="Century"/>
          <w:sz w:val="22"/>
          <w:rtl/>
        </w:rPr>
        <w:t xml:space="preserve"> </w:t>
      </w:r>
      <w:r w:rsidRPr="007B04E0">
        <w:rPr>
          <w:rFonts w:ascii="Century" w:hAnsi="Century" w:hint="eastAsia"/>
          <w:sz w:val="22"/>
          <w:rtl/>
        </w:rPr>
        <w:t>בפני</w:t>
      </w:r>
      <w:r w:rsidRPr="007B04E0">
        <w:rPr>
          <w:rFonts w:ascii="Century" w:hAnsi="Century"/>
          <w:sz w:val="22"/>
          <w:rtl/>
        </w:rPr>
        <w:t xml:space="preserve"> </w:t>
      </w:r>
      <w:r w:rsidRPr="007B04E0">
        <w:rPr>
          <w:rFonts w:ascii="Century" w:hAnsi="Century" w:hint="eastAsia"/>
          <w:sz w:val="22"/>
          <w:rtl/>
        </w:rPr>
        <w:t>הערכאה</w:t>
      </w:r>
      <w:r w:rsidRPr="007B04E0">
        <w:rPr>
          <w:rFonts w:ascii="Century" w:hAnsi="Century"/>
          <w:sz w:val="22"/>
          <w:rtl/>
        </w:rPr>
        <w:t xml:space="preserve"> </w:t>
      </w:r>
      <w:r w:rsidRPr="007B04E0">
        <w:rPr>
          <w:rFonts w:ascii="Century" w:hAnsi="Century" w:hint="eastAsia"/>
          <w:sz w:val="22"/>
          <w:rtl/>
        </w:rPr>
        <w:t>הדיונית</w:t>
      </w:r>
      <w:r w:rsidRPr="007B04E0">
        <w:rPr>
          <w:rFonts w:ascii="Century" w:hAnsi="Century"/>
          <w:sz w:val="22"/>
          <w:rtl/>
        </w:rPr>
        <w:t>"</w:t>
      </w:r>
      <w:r w:rsidRPr="007B04E0">
        <w:rPr>
          <w:rFonts w:ascii="Century" w:hAnsi="Century" w:hint="cs"/>
          <w:sz w:val="22"/>
          <w:rtl/>
        </w:rPr>
        <w:t>. התפטרות זו ייתרה למעשה את הצורך בהכרע</w:t>
      </w:r>
      <w:r>
        <w:rPr>
          <w:rFonts w:ascii="Century" w:hAnsi="Century" w:hint="cs"/>
          <w:sz w:val="22"/>
          <w:rtl/>
        </w:rPr>
        <w:t xml:space="preserve">תו של </w:t>
      </w:r>
      <w:r w:rsidRPr="007B04E0">
        <w:rPr>
          <w:rFonts w:ascii="Century" w:hAnsi="Century" w:hint="cs"/>
          <w:sz w:val="22"/>
          <w:rtl/>
        </w:rPr>
        <w:t xml:space="preserve">בית המשפט </w:t>
      </w:r>
      <w:r>
        <w:rPr>
          <w:rFonts w:ascii="Century" w:hAnsi="Century" w:hint="cs"/>
          <w:sz w:val="22"/>
          <w:rtl/>
        </w:rPr>
        <w:t>בסוגיית</w:t>
      </w:r>
      <w:r w:rsidRPr="007B04E0">
        <w:rPr>
          <w:rFonts w:ascii="Century" w:hAnsi="Century" w:hint="cs"/>
          <w:sz w:val="22"/>
          <w:rtl/>
        </w:rPr>
        <w:t xml:space="preserve"> הקלון</w:t>
      </w:r>
      <w:r>
        <w:rPr>
          <w:rFonts w:ascii="Century" w:hAnsi="Century" w:hint="cs"/>
          <w:sz w:val="22"/>
          <w:rtl/>
        </w:rPr>
        <w:t>,</w:t>
      </w:r>
      <w:r w:rsidRPr="007B04E0">
        <w:rPr>
          <w:rFonts w:ascii="Century" w:hAnsi="Century" w:hint="cs"/>
          <w:sz w:val="22"/>
          <w:rtl/>
        </w:rPr>
        <w:t xml:space="preserve"> בהתאם לסעיף 42א לחוק-יסוד: הכנסת. דרעי </w:t>
      </w:r>
      <w:r>
        <w:rPr>
          <w:rFonts w:ascii="Century" w:hAnsi="Century" w:hint="cs"/>
          <w:sz w:val="22"/>
          <w:rtl/>
        </w:rPr>
        <w:t xml:space="preserve">טוען </w:t>
      </w:r>
      <w:r w:rsidRPr="007B04E0">
        <w:rPr>
          <w:rFonts w:ascii="Century" w:hAnsi="Century" w:hint="cs"/>
          <w:sz w:val="22"/>
          <w:rtl/>
        </w:rPr>
        <w:t xml:space="preserve">כי </w:t>
      </w:r>
      <w:r>
        <w:rPr>
          <w:rFonts w:ascii="Century" w:hAnsi="Century" w:hint="cs"/>
          <w:sz w:val="22"/>
          <w:rtl/>
        </w:rPr>
        <w:t>במסגרת</w:t>
      </w:r>
      <w:r w:rsidR="00DE18BC">
        <w:rPr>
          <w:rFonts w:ascii="Century" w:hAnsi="Century" w:hint="cs"/>
          <w:sz w:val="22"/>
          <w:rtl/>
        </w:rPr>
        <w:t xml:space="preserve"> הסדר</w:t>
      </w:r>
      <w:r>
        <w:rPr>
          <w:rFonts w:ascii="Century" w:hAnsi="Century" w:hint="cs"/>
          <w:sz w:val="22"/>
          <w:rtl/>
        </w:rPr>
        <w:t xml:space="preserve"> הטיעון הוא </w:t>
      </w:r>
      <w:r w:rsidRPr="007B04E0">
        <w:rPr>
          <w:rFonts w:ascii="Century" w:hAnsi="Century" w:hint="cs"/>
          <w:sz w:val="22"/>
          <w:rtl/>
        </w:rPr>
        <w:t xml:space="preserve">לא התבקש להתחייב, ולא התחייב, </w:t>
      </w:r>
      <w:r w:rsidRPr="007B04E0">
        <w:rPr>
          <w:rFonts w:ascii="Century" w:hAnsi="Century" w:hint="cs"/>
          <w:sz w:val="22"/>
          <w:rtl/>
        </w:rPr>
        <w:lastRenderedPageBreak/>
        <w:t>לפרוש</w:t>
      </w:r>
      <w:r>
        <w:rPr>
          <w:rFonts w:ascii="Century" w:hAnsi="Century" w:hint="cs"/>
          <w:sz w:val="22"/>
          <w:rtl/>
        </w:rPr>
        <w:t xml:space="preserve"> לצמיתות</w:t>
      </w:r>
      <w:r w:rsidRPr="007B04E0">
        <w:rPr>
          <w:rFonts w:ascii="Century" w:hAnsi="Century" w:hint="cs"/>
          <w:sz w:val="22"/>
          <w:rtl/>
        </w:rPr>
        <w:t xml:space="preserve"> מהחיים הפוליטיים.</w:t>
      </w:r>
      <w:r>
        <w:rPr>
          <w:rFonts w:ascii="Century" w:hAnsi="Century" w:hint="cs"/>
          <w:sz w:val="22"/>
          <w:rtl/>
        </w:rPr>
        <w:t xml:space="preserve"> ו</w:t>
      </w:r>
      <w:r w:rsidRPr="007B04E0">
        <w:rPr>
          <w:rFonts w:ascii="Century" w:hAnsi="Century" w:hint="cs"/>
          <w:sz w:val="22"/>
          <w:rtl/>
        </w:rPr>
        <w:t xml:space="preserve">היועצת המשפטית לממשלה </w:t>
      </w:r>
      <w:r>
        <w:rPr>
          <w:rFonts w:ascii="Century" w:hAnsi="Century" w:hint="cs"/>
          <w:sz w:val="22"/>
          <w:rtl/>
        </w:rPr>
        <w:t>מאשרת</w:t>
      </w:r>
      <w:r w:rsidRPr="007B04E0">
        <w:rPr>
          <w:rFonts w:ascii="Century" w:hAnsi="Century" w:hint="cs"/>
          <w:sz w:val="22"/>
          <w:rtl/>
        </w:rPr>
        <w:t xml:space="preserve"> אף היא כי "הסדר הטיעון לא כלל התחייבות מצידו של דרעי לפרישה מהחיים הפוליטיים" (סעיף 205 לכתב התשובה מטעמה). </w:t>
      </w:r>
    </w:p>
    <w:p w14:paraId="2BCC881C" w14:textId="77777777" w:rsidR="0040186B" w:rsidRDefault="0040186B" w:rsidP="00C634DC">
      <w:pPr>
        <w:pStyle w:val="Ruller4"/>
        <w:numPr>
          <w:ilvl w:val="0"/>
          <w:numId w:val="0"/>
        </w:numPr>
        <w:rPr>
          <w:rFonts w:ascii="Century" w:hAnsi="Century"/>
          <w:sz w:val="22"/>
          <w:rtl/>
        </w:rPr>
      </w:pPr>
    </w:p>
    <w:p w14:paraId="608E5AC2" w14:textId="77777777" w:rsidR="0040186B" w:rsidRDefault="0040186B" w:rsidP="00C634DC">
      <w:pPr>
        <w:pStyle w:val="Ruller4"/>
        <w:rPr>
          <w:rtl/>
        </w:rPr>
      </w:pPr>
      <w:r w:rsidRPr="007B04E0">
        <w:rPr>
          <w:rFonts w:hint="cs"/>
          <w:rtl/>
        </w:rPr>
        <w:t>במהלך הדיון בבג"ץ 8954/21, שהתקיים</w:t>
      </w:r>
      <w:r>
        <w:rPr>
          <w:rFonts w:hint="cs"/>
          <w:rtl/>
        </w:rPr>
        <w:t xml:space="preserve"> כזכור</w:t>
      </w:r>
      <w:r w:rsidRPr="007B04E0">
        <w:rPr>
          <w:rFonts w:hint="cs"/>
          <w:rtl/>
        </w:rPr>
        <w:t xml:space="preserve"> </w:t>
      </w:r>
      <w:r>
        <w:rPr>
          <w:rFonts w:hint="cs"/>
          <w:rtl/>
        </w:rPr>
        <w:t>טרם הדיון בהליך הפלילי שבו אושר הסדר הטיעון</w:t>
      </w:r>
      <w:r w:rsidRPr="007B04E0">
        <w:rPr>
          <w:rFonts w:hint="cs"/>
          <w:rtl/>
        </w:rPr>
        <w:t>, ציין בא כוחו</w:t>
      </w:r>
      <w:r>
        <w:rPr>
          <w:rFonts w:hint="cs"/>
          <w:rtl/>
        </w:rPr>
        <w:t xml:space="preserve"> של דרעי</w:t>
      </w:r>
      <w:r w:rsidRPr="007B04E0">
        <w:rPr>
          <w:rFonts w:hint="cs"/>
          <w:rtl/>
        </w:rPr>
        <w:t xml:space="preserve"> כי "נכון, היום הוא חבר אופוזיציה, איננו יודעים כמה האופוזיציה הזאת היתה שורדת, הוא מוותר מיד על 40,000 ש"ח שכר לחודש לתקופה לא ידועה, יש לזה משקל ומסר וצריך לברך על זה" (</w:t>
      </w:r>
      <w:r w:rsidRPr="007B04E0">
        <w:rPr>
          <w:rFonts w:hint="eastAsia"/>
          <w:rtl/>
        </w:rPr>
        <w:t>עמ</w:t>
      </w:r>
      <w:r w:rsidRPr="007B04E0">
        <w:rPr>
          <w:rtl/>
        </w:rPr>
        <w:t xml:space="preserve">' 12 </w:t>
      </w:r>
      <w:r w:rsidRPr="007B04E0">
        <w:rPr>
          <w:rFonts w:hint="eastAsia"/>
          <w:rtl/>
        </w:rPr>
        <w:t>שורות</w:t>
      </w:r>
      <w:r w:rsidRPr="007B04E0">
        <w:rPr>
          <w:rtl/>
        </w:rPr>
        <w:t xml:space="preserve"> 3-1 </w:t>
      </w:r>
      <w:r w:rsidRPr="007B04E0">
        <w:rPr>
          <w:rFonts w:hint="eastAsia"/>
          <w:rtl/>
        </w:rPr>
        <w:t>לפרוטוקול</w:t>
      </w:r>
      <w:r w:rsidRPr="007B04E0">
        <w:rPr>
          <w:rtl/>
        </w:rPr>
        <w:t xml:space="preserve"> </w:t>
      </w:r>
      <w:r w:rsidRPr="007B04E0">
        <w:rPr>
          <w:rFonts w:hint="eastAsia"/>
          <w:rtl/>
        </w:rPr>
        <w:t>הדיון</w:t>
      </w:r>
      <w:r w:rsidRPr="007B04E0">
        <w:rPr>
          <w:rtl/>
        </w:rPr>
        <w:t xml:space="preserve"> </w:t>
      </w:r>
      <w:r w:rsidRPr="007B04E0">
        <w:rPr>
          <w:rFonts w:hint="eastAsia"/>
          <w:rtl/>
        </w:rPr>
        <w:t>מיום</w:t>
      </w:r>
      <w:r w:rsidRPr="007B04E0">
        <w:rPr>
          <w:rtl/>
        </w:rPr>
        <w:t xml:space="preserve"> 16.1.2022</w:t>
      </w:r>
      <w:r w:rsidRPr="007B04E0">
        <w:rPr>
          <w:rFonts w:hint="cs"/>
          <w:rtl/>
        </w:rPr>
        <w:t xml:space="preserve">). מדברים אלה </w:t>
      </w:r>
      <w:r>
        <w:rPr>
          <w:rFonts w:hint="cs"/>
          <w:rtl/>
        </w:rPr>
        <w:t>יש מי שמבקש להסיק</w:t>
      </w:r>
      <w:r w:rsidRPr="007B04E0">
        <w:rPr>
          <w:rFonts w:hint="cs"/>
          <w:rtl/>
        </w:rPr>
        <w:t xml:space="preserve"> </w:t>
      </w:r>
      <w:r w:rsidRPr="007B04E0">
        <w:rPr>
          <w:rtl/>
        </w:rPr>
        <w:t>–</w:t>
      </w:r>
      <w:r w:rsidRPr="007B04E0">
        <w:rPr>
          <w:rFonts w:hint="cs"/>
          <w:rtl/>
        </w:rPr>
        <w:t xml:space="preserve"> אף שהדבר לא נאמר במפורש </w:t>
      </w:r>
      <w:r w:rsidRPr="007B04E0">
        <w:rPr>
          <w:rtl/>
        </w:rPr>
        <w:t>–</w:t>
      </w:r>
      <w:r w:rsidRPr="007B04E0">
        <w:rPr>
          <w:rFonts w:hint="cs"/>
          <w:rtl/>
        </w:rPr>
        <w:t xml:space="preserve"> כי התפטרותו של דרעי </w:t>
      </w:r>
      <w:r>
        <w:rPr>
          <w:rFonts w:hint="cs"/>
          <w:rtl/>
        </w:rPr>
        <w:t>נוגעת לכהונתו כחבר</w:t>
      </w:r>
      <w:r w:rsidRPr="007B04E0">
        <w:rPr>
          <w:rFonts w:hint="cs"/>
          <w:rtl/>
        </w:rPr>
        <w:t xml:space="preserve"> </w:t>
      </w:r>
      <w:r>
        <w:rPr>
          <w:rFonts w:hint="cs"/>
          <w:rtl/>
        </w:rPr>
        <w:t>ב</w:t>
      </w:r>
      <w:r w:rsidRPr="007B04E0">
        <w:rPr>
          <w:rFonts w:hint="cs"/>
          <w:rtl/>
        </w:rPr>
        <w:t xml:space="preserve">כנסת ה-24 בלבד </w:t>
      </w:r>
      <w:r>
        <w:rPr>
          <w:rFonts w:hint="cs"/>
          <w:rtl/>
        </w:rPr>
        <w:t>וכי הוא</w:t>
      </w:r>
      <w:r w:rsidRPr="007B04E0">
        <w:rPr>
          <w:rFonts w:hint="cs"/>
          <w:rtl/>
        </w:rPr>
        <w:t xml:space="preserve"> </w:t>
      </w:r>
      <w:r>
        <w:rPr>
          <w:rFonts w:hint="cs"/>
          <w:rtl/>
        </w:rPr>
        <w:t>לא</w:t>
      </w:r>
      <w:r w:rsidRPr="007B04E0">
        <w:rPr>
          <w:rFonts w:hint="cs"/>
          <w:rtl/>
        </w:rPr>
        <w:t xml:space="preserve"> </w:t>
      </w:r>
      <w:r>
        <w:rPr>
          <w:rFonts w:hint="cs"/>
          <w:rtl/>
        </w:rPr>
        <w:t>ה</w:t>
      </w:r>
      <w:r w:rsidRPr="007B04E0">
        <w:rPr>
          <w:rFonts w:hint="cs"/>
          <w:rtl/>
        </w:rPr>
        <w:t xml:space="preserve">תחייב </w:t>
      </w:r>
      <w:r>
        <w:rPr>
          <w:rFonts w:hint="cs"/>
          <w:rtl/>
        </w:rPr>
        <w:t>ש</w:t>
      </w:r>
      <w:r w:rsidRPr="007B04E0">
        <w:rPr>
          <w:rFonts w:hint="cs"/>
          <w:rtl/>
        </w:rPr>
        <w:t>לא ישוב לחיים הפוליטיים ל</w:t>
      </w:r>
      <w:r>
        <w:rPr>
          <w:rFonts w:hint="cs"/>
          <w:rtl/>
        </w:rPr>
        <w:t>צמיתות</w:t>
      </w:r>
      <w:r w:rsidRPr="007B04E0">
        <w:rPr>
          <w:rFonts w:hint="cs"/>
          <w:rtl/>
        </w:rPr>
        <w:t>.</w:t>
      </w:r>
      <w:r>
        <w:rPr>
          <w:rFonts w:hint="cs"/>
          <w:rtl/>
        </w:rPr>
        <w:t xml:space="preserve"> </w:t>
      </w:r>
    </w:p>
    <w:p w14:paraId="503CB458" w14:textId="77777777" w:rsidR="0040186B" w:rsidRDefault="0040186B" w:rsidP="00C634DC">
      <w:pPr>
        <w:rPr>
          <w:rtl/>
        </w:rPr>
      </w:pPr>
    </w:p>
    <w:p w14:paraId="43DF7513" w14:textId="77777777" w:rsidR="0040186B" w:rsidRPr="004F48D4" w:rsidRDefault="0040186B" w:rsidP="00C634DC">
      <w:pPr>
        <w:ind w:left="720"/>
        <w:rPr>
          <w:rFonts w:ascii="Garamond" w:hAnsi="Garamond" w:cs="FrankRuehl"/>
          <w:spacing w:val="10"/>
          <w:szCs w:val="28"/>
          <w:rtl/>
        </w:rPr>
      </w:pPr>
      <w:r w:rsidRPr="004F48D4">
        <w:rPr>
          <w:rFonts w:ascii="Garamond" w:hAnsi="Garamond" w:cs="FrankRuehl" w:hint="cs"/>
          <w:spacing w:val="10"/>
          <w:szCs w:val="28"/>
          <w:rtl/>
        </w:rPr>
        <w:t>האומנם?</w:t>
      </w:r>
    </w:p>
    <w:p w14:paraId="6E9B4353" w14:textId="77777777" w:rsidR="0040186B" w:rsidRPr="004F48D4" w:rsidRDefault="0040186B" w:rsidP="00C634DC">
      <w:pPr>
        <w:pStyle w:val="Ruller4"/>
        <w:numPr>
          <w:ilvl w:val="0"/>
          <w:numId w:val="0"/>
        </w:numPr>
        <w:rPr>
          <w:rFonts w:ascii="Century" w:hAnsi="Century"/>
          <w:sz w:val="22"/>
          <w:rtl/>
        </w:rPr>
      </w:pPr>
    </w:p>
    <w:p w14:paraId="5572B6CB" w14:textId="77777777" w:rsidR="0040186B" w:rsidRPr="007B04E0" w:rsidRDefault="0040186B" w:rsidP="00C634DC">
      <w:pPr>
        <w:pStyle w:val="ruller44"/>
        <w:bidi/>
        <w:spacing w:before="0" w:beforeAutospacing="0" w:after="120" w:afterAutospacing="0" w:line="360" w:lineRule="auto"/>
        <w:ind w:firstLine="720"/>
        <w:jc w:val="both"/>
        <w:rPr>
          <w:rFonts w:ascii="Century" w:hAnsi="Century" w:cs="FrankRuehl"/>
          <w:spacing w:val="10"/>
          <w:sz w:val="22"/>
          <w:szCs w:val="28"/>
          <w:rtl/>
        </w:rPr>
      </w:pPr>
      <w:r>
        <w:rPr>
          <w:rFonts w:ascii="Century" w:hAnsi="Century" w:cs="FrankRuehl" w:hint="cs"/>
          <w:spacing w:val="10"/>
          <w:sz w:val="22"/>
          <w:szCs w:val="28"/>
          <w:rtl/>
        </w:rPr>
        <w:t xml:space="preserve">על מנת להשיב על שאלה זו יש לבחון את האופן שבו הוצגה התחייבותו של דרעי בפני בית משפט השלום </w:t>
      </w:r>
      <w:r w:rsidRPr="007B04E0">
        <w:rPr>
          <w:rFonts w:ascii="Century" w:hAnsi="Century" w:cs="FrankRuehl" w:hint="cs"/>
          <w:spacing w:val="10"/>
          <w:sz w:val="22"/>
          <w:szCs w:val="28"/>
          <w:rtl/>
        </w:rPr>
        <w:t>ביום 25.1.2022</w:t>
      </w:r>
      <w:r>
        <w:rPr>
          <w:rFonts w:ascii="Century" w:hAnsi="Century" w:cs="FrankRuehl" w:hint="cs"/>
          <w:spacing w:val="10"/>
          <w:sz w:val="22"/>
          <w:szCs w:val="28"/>
          <w:rtl/>
        </w:rPr>
        <w:t>, במהלך</w:t>
      </w:r>
      <w:r w:rsidRPr="007B04E0">
        <w:rPr>
          <w:rFonts w:ascii="Century" w:hAnsi="Century" w:cs="FrankRuehl" w:hint="cs"/>
          <w:spacing w:val="10"/>
          <w:sz w:val="22"/>
          <w:szCs w:val="28"/>
          <w:rtl/>
        </w:rPr>
        <w:t xml:space="preserve"> הטיעונים לעונש</w:t>
      </w:r>
      <w:r>
        <w:rPr>
          <w:rFonts w:ascii="Century" w:hAnsi="Century" w:cs="FrankRuehl" w:hint="cs"/>
          <w:spacing w:val="10"/>
          <w:sz w:val="22"/>
          <w:szCs w:val="28"/>
          <w:rtl/>
        </w:rPr>
        <w:t>.</w:t>
      </w:r>
      <w:r w:rsidRPr="007B04E0">
        <w:rPr>
          <w:rFonts w:ascii="Century" w:hAnsi="Century" w:cs="FrankRuehl" w:hint="cs"/>
          <w:spacing w:val="10"/>
          <w:sz w:val="22"/>
          <w:szCs w:val="28"/>
          <w:rtl/>
        </w:rPr>
        <w:t xml:space="preserve"> במעמד זה התייחס בא כוח המדינה להתחייבות דרעי כשיקול לקולא המצדיק עונש מופחת, בציינו "</w:t>
      </w:r>
      <w:r w:rsidRPr="007B04E0">
        <w:rPr>
          <w:rFonts w:ascii="Century" w:hAnsi="Century" w:cs="FrankRuehl"/>
          <w:spacing w:val="10"/>
          <w:sz w:val="22"/>
          <w:szCs w:val="28"/>
          <w:rtl/>
        </w:rPr>
        <w:t xml:space="preserve">אמירתו הציבורית של הנאשם </w:t>
      </w:r>
      <w:r w:rsidRPr="007B04E0">
        <w:rPr>
          <w:rFonts w:ascii="Century" w:hAnsi="Century" w:cs="Miriam"/>
          <w:b/>
          <w:sz w:val="22"/>
          <w:rtl/>
        </w:rPr>
        <w:t>ופרישתו מחייו הפוליטיים</w:t>
      </w:r>
      <w:r w:rsidRPr="007B04E0">
        <w:rPr>
          <w:rFonts w:ascii="Century" w:hAnsi="Century" w:cs="FrankRuehl"/>
          <w:spacing w:val="10"/>
          <w:sz w:val="22"/>
          <w:szCs w:val="28"/>
          <w:rtl/>
        </w:rPr>
        <w:t xml:space="preserve"> משקפים כי פיו וליבו שווים</w:t>
      </w:r>
      <w:r w:rsidRPr="007B04E0">
        <w:rPr>
          <w:rFonts w:ascii="Century" w:hAnsi="Century" w:cs="FrankRuehl" w:hint="cs"/>
          <w:spacing w:val="10"/>
          <w:sz w:val="22"/>
          <w:szCs w:val="28"/>
          <w:rtl/>
        </w:rPr>
        <w:t xml:space="preserve">" (עמ' 6 לפרוטוקול הדיון; ההדגשה הוספה). </w:t>
      </w:r>
      <w:r>
        <w:rPr>
          <w:rFonts w:ascii="Century" w:hAnsi="Century" w:cs="FrankRuehl" w:hint="cs"/>
          <w:spacing w:val="10"/>
          <w:sz w:val="22"/>
          <w:szCs w:val="28"/>
          <w:rtl/>
        </w:rPr>
        <w:t>דברים אלה</w:t>
      </w:r>
      <w:r w:rsidRPr="007B04E0">
        <w:rPr>
          <w:rFonts w:ascii="Century" w:hAnsi="Century" w:cs="FrankRuehl" w:hint="cs"/>
          <w:spacing w:val="10"/>
          <w:sz w:val="22"/>
          <w:szCs w:val="28"/>
          <w:rtl/>
        </w:rPr>
        <w:t xml:space="preserve"> נאמרו בנוכחות דרעי ובא כוחו, </w:t>
      </w:r>
      <w:r>
        <w:rPr>
          <w:rFonts w:ascii="Century" w:hAnsi="Century" w:cs="FrankRuehl" w:hint="cs"/>
          <w:spacing w:val="10"/>
          <w:sz w:val="22"/>
          <w:szCs w:val="28"/>
          <w:rtl/>
        </w:rPr>
        <w:t>והם לא ראו לנכון להבהיר</w:t>
      </w:r>
      <w:r w:rsidRPr="007B04E0">
        <w:rPr>
          <w:rFonts w:ascii="Century" w:hAnsi="Century" w:cs="FrankRuehl" w:hint="cs"/>
          <w:spacing w:val="10"/>
          <w:sz w:val="22"/>
          <w:szCs w:val="28"/>
          <w:rtl/>
        </w:rPr>
        <w:t xml:space="preserve"> </w:t>
      </w:r>
      <w:r>
        <w:rPr>
          <w:rFonts w:ascii="Century" w:hAnsi="Century" w:cs="FrankRuehl" w:hint="cs"/>
          <w:spacing w:val="10"/>
          <w:sz w:val="22"/>
          <w:szCs w:val="28"/>
          <w:rtl/>
        </w:rPr>
        <w:t>"</w:t>
      </w:r>
      <w:r w:rsidRPr="007B04E0">
        <w:rPr>
          <w:rFonts w:ascii="Century" w:hAnsi="Century" w:cs="FrankRuehl" w:hint="cs"/>
          <w:spacing w:val="10"/>
          <w:sz w:val="22"/>
          <w:szCs w:val="28"/>
          <w:rtl/>
        </w:rPr>
        <w:t>בזמן אמת</w:t>
      </w:r>
      <w:r>
        <w:rPr>
          <w:rFonts w:ascii="Century" w:hAnsi="Century" w:cs="FrankRuehl" w:hint="cs"/>
          <w:spacing w:val="10"/>
          <w:sz w:val="22"/>
          <w:szCs w:val="28"/>
          <w:rtl/>
        </w:rPr>
        <w:t>"</w:t>
      </w:r>
      <w:r w:rsidRPr="007B04E0">
        <w:rPr>
          <w:rFonts w:ascii="Century" w:hAnsi="Century" w:cs="FrankRuehl" w:hint="cs"/>
          <w:spacing w:val="10"/>
          <w:sz w:val="22"/>
          <w:szCs w:val="28"/>
          <w:rtl/>
        </w:rPr>
        <w:t xml:space="preserve"> כי </w:t>
      </w:r>
      <w:r>
        <w:rPr>
          <w:rFonts w:ascii="Century" w:hAnsi="Century" w:cs="FrankRuehl" w:hint="cs"/>
          <w:spacing w:val="10"/>
          <w:sz w:val="22"/>
          <w:szCs w:val="28"/>
          <w:rtl/>
        </w:rPr>
        <w:t>אין מדובר בפרישה לצמיתות מן החיים הפוליטיים אלא בהתפטרות מוגבלת בזמן מן הכנסת ה-24 בלבד</w:t>
      </w:r>
      <w:r w:rsidRPr="007B04E0">
        <w:rPr>
          <w:rFonts w:ascii="Century" w:hAnsi="Century" w:cs="FrankRuehl" w:hint="cs"/>
          <w:spacing w:val="10"/>
          <w:sz w:val="22"/>
          <w:szCs w:val="28"/>
          <w:rtl/>
        </w:rPr>
        <w:t>. בהמשך אותו דיון, ציין בא כוחו של דרעי</w:t>
      </w:r>
      <w:r w:rsidR="005D07D4">
        <w:rPr>
          <w:rFonts w:ascii="Century" w:hAnsi="Century" w:cs="FrankRuehl" w:hint="cs"/>
          <w:spacing w:val="10"/>
          <w:sz w:val="22"/>
          <w:szCs w:val="28"/>
          <w:rtl/>
        </w:rPr>
        <w:t>:</w:t>
      </w:r>
      <w:r w:rsidRPr="007B04E0">
        <w:rPr>
          <w:rFonts w:ascii="Century" w:hAnsi="Century" w:cs="FrankRuehl" w:hint="cs"/>
          <w:spacing w:val="10"/>
          <w:sz w:val="22"/>
          <w:szCs w:val="28"/>
          <w:rtl/>
        </w:rPr>
        <w:t xml:space="preserve"> "</w:t>
      </w:r>
      <w:r w:rsidRPr="007B04E0">
        <w:rPr>
          <w:rFonts w:ascii="Century" w:hAnsi="Century" w:cs="FrankRuehl"/>
          <w:spacing w:val="10"/>
          <w:sz w:val="22"/>
          <w:szCs w:val="28"/>
          <w:rtl/>
        </w:rPr>
        <w:t>האיש התפטר מהכנסת וזה מטה לחמו לאחר 9 שנים כח"כ וכשר, הוויתור שלו יכול להיות במיליוני שקלים צריך לחפש מאיפה להביא פרנסה עכשיו</w:t>
      </w:r>
      <w:r w:rsidRPr="007B04E0">
        <w:rPr>
          <w:rFonts w:ascii="Century" w:hAnsi="Century" w:cs="FrankRuehl" w:hint="cs"/>
          <w:spacing w:val="10"/>
          <w:sz w:val="22"/>
          <w:szCs w:val="28"/>
          <w:rtl/>
        </w:rPr>
        <w:t xml:space="preserve">" (עמ' 11 לפרוטוקול הדיון). ולאחר </w:t>
      </w:r>
      <w:r>
        <w:rPr>
          <w:rFonts w:ascii="Century" w:hAnsi="Century" w:cs="FrankRuehl" w:hint="cs"/>
          <w:spacing w:val="10"/>
          <w:sz w:val="22"/>
          <w:szCs w:val="28"/>
          <w:rtl/>
        </w:rPr>
        <w:t>כל אלה</w:t>
      </w:r>
      <w:r w:rsidRPr="007B04E0">
        <w:rPr>
          <w:rFonts w:ascii="Century" w:hAnsi="Century" w:cs="FrankRuehl" w:hint="cs"/>
          <w:spacing w:val="10"/>
          <w:sz w:val="22"/>
          <w:szCs w:val="28"/>
          <w:rtl/>
        </w:rPr>
        <w:t xml:space="preserve"> אמר דרעי עצמו את הדברים הבאים:</w:t>
      </w:r>
    </w:p>
    <w:p w14:paraId="2CDB7C76" w14:textId="77777777" w:rsidR="0040186B" w:rsidRPr="007B04E0" w:rsidRDefault="0040186B" w:rsidP="00C634DC">
      <w:pPr>
        <w:pStyle w:val="Ruller5"/>
        <w:rPr>
          <w:rFonts w:ascii="Century" w:hAnsi="Century"/>
          <w:rtl/>
        </w:rPr>
      </w:pPr>
      <w:r w:rsidRPr="007B04E0">
        <w:rPr>
          <w:rFonts w:hint="cs"/>
          <w:rtl/>
        </w:rPr>
        <w:t>"</w:t>
      </w:r>
      <w:r w:rsidRPr="007B04E0">
        <w:rPr>
          <w:rtl/>
        </w:rPr>
        <w:t>הבנתי שמגישים כתב אישום ועורך הדין שלי הסביר לי את האפשרויות, נטיית ליבי הייתה לא להסכים, חשבתי שאני בכל זאת איש ציבור, יש ציבור גדול שאני מייצג, שנתן לי אמון ב-4 מערכות בחירות האחרונות למרות כל החשדות בכל זאת האמינו בי והתייעצתי עם רבותיי אם מותר לי על פי דין לעשות מה שאני עושה ולהתפטר מהכנסת ולהגיד לציבור שבחר בי אני בוחר בחיים הקלים ועוזב את הכנסת, הייתה לי התלבטות קשה מאוד</w:t>
      </w:r>
      <w:r w:rsidRPr="007B04E0">
        <w:rPr>
          <w:rFonts w:hint="cs"/>
          <w:rtl/>
        </w:rPr>
        <w:t xml:space="preserve"> [...] </w:t>
      </w:r>
      <w:r w:rsidRPr="007B04E0">
        <w:rPr>
          <w:rFonts w:ascii="Century" w:hAnsi="Century" w:hint="eastAsia"/>
          <w:rtl/>
        </w:rPr>
        <w:t>החלטתי</w:t>
      </w:r>
      <w:r w:rsidRPr="007B04E0">
        <w:rPr>
          <w:rFonts w:ascii="Century" w:hAnsi="Century"/>
          <w:rtl/>
        </w:rPr>
        <w:t xml:space="preserve"> </w:t>
      </w:r>
      <w:r w:rsidRPr="007B04E0">
        <w:rPr>
          <w:rFonts w:ascii="Century" w:hAnsi="Century" w:hint="eastAsia"/>
          <w:rtl/>
        </w:rPr>
        <w:t>שאני</w:t>
      </w:r>
      <w:r w:rsidRPr="007B04E0">
        <w:rPr>
          <w:rFonts w:ascii="Century" w:hAnsi="Century"/>
          <w:rtl/>
        </w:rPr>
        <w:t xml:space="preserve"> </w:t>
      </w:r>
      <w:r w:rsidRPr="007B04E0">
        <w:rPr>
          <w:rFonts w:ascii="Century" w:hAnsi="Century" w:hint="eastAsia"/>
          <w:rtl/>
        </w:rPr>
        <w:t>לא</w:t>
      </w:r>
      <w:r w:rsidRPr="007B04E0">
        <w:rPr>
          <w:rFonts w:ascii="Century" w:hAnsi="Century"/>
          <w:rtl/>
        </w:rPr>
        <w:t xml:space="preserve"> </w:t>
      </w:r>
      <w:r w:rsidRPr="007B04E0">
        <w:rPr>
          <w:rFonts w:ascii="Century" w:hAnsi="Century" w:hint="eastAsia"/>
          <w:rtl/>
        </w:rPr>
        <w:t>רוצה</w:t>
      </w:r>
      <w:r w:rsidRPr="007B04E0">
        <w:rPr>
          <w:rFonts w:ascii="Century" w:hAnsi="Century"/>
          <w:rtl/>
        </w:rPr>
        <w:t xml:space="preserve"> </w:t>
      </w:r>
      <w:r w:rsidRPr="007B04E0">
        <w:rPr>
          <w:rFonts w:ascii="Century" w:hAnsi="Century" w:hint="eastAsia"/>
          <w:rtl/>
        </w:rPr>
        <w:t>לחזור</w:t>
      </w:r>
      <w:r w:rsidRPr="007B04E0">
        <w:rPr>
          <w:rFonts w:ascii="Century" w:hAnsi="Century"/>
          <w:rtl/>
        </w:rPr>
        <w:t xml:space="preserve"> </w:t>
      </w:r>
      <w:r w:rsidRPr="007B04E0">
        <w:rPr>
          <w:rFonts w:ascii="Century" w:hAnsi="Century" w:hint="eastAsia"/>
          <w:rtl/>
        </w:rPr>
        <w:t>למה</w:t>
      </w:r>
      <w:r w:rsidRPr="007B04E0">
        <w:rPr>
          <w:rFonts w:ascii="Century" w:hAnsi="Century"/>
          <w:rtl/>
        </w:rPr>
        <w:t xml:space="preserve"> </w:t>
      </w:r>
      <w:r w:rsidRPr="007B04E0">
        <w:rPr>
          <w:rFonts w:ascii="Century" w:hAnsi="Century" w:hint="eastAsia"/>
          <w:rtl/>
        </w:rPr>
        <w:t>שהיה</w:t>
      </w:r>
      <w:r w:rsidRPr="007B04E0">
        <w:rPr>
          <w:rFonts w:ascii="Century" w:hAnsi="Century"/>
          <w:rtl/>
        </w:rPr>
        <w:t xml:space="preserve"> </w:t>
      </w:r>
      <w:r w:rsidRPr="007B04E0">
        <w:rPr>
          <w:rFonts w:ascii="Century" w:hAnsi="Century" w:hint="eastAsia"/>
          <w:rtl/>
        </w:rPr>
        <w:t>לפני</w:t>
      </w:r>
      <w:r w:rsidRPr="007B04E0">
        <w:rPr>
          <w:rFonts w:ascii="Century" w:hAnsi="Century"/>
          <w:rtl/>
        </w:rPr>
        <w:t xml:space="preserve"> 20 </w:t>
      </w:r>
      <w:r w:rsidRPr="007B04E0">
        <w:rPr>
          <w:rFonts w:ascii="Century" w:hAnsi="Century" w:hint="eastAsia"/>
          <w:rtl/>
        </w:rPr>
        <w:t>ו</w:t>
      </w:r>
      <w:r w:rsidRPr="007B04E0">
        <w:rPr>
          <w:rFonts w:ascii="Century" w:hAnsi="Century"/>
          <w:rtl/>
        </w:rPr>
        <w:t xml:space="preserve">-30 </w:t>
      </w:r>
      <w:r w:rsidRPr="007B04E0">
        <w:rPr>
          <w:rFonts w:ascii="Century" w:hAnsi="Century" w:hint="eastAsia"/>
          <w:rtl/>
        </w:rPr>
        <w:t>שנה</w:t>
      </w:r>
      <w:r w:rsidRPr="007B04E0">
        <w:rPr>
          <w:rFonts w:ascii="Century" w:hAnsi="Century"/>
          <w:rtl/>
        </w:rPr>
        <w:t xml:space="preserve"> </w:t>
      </w:r>
      <w:r w:rsidRPr="007B04E0">
        <w:rPr>
          <w:rFonts w:ascii="Century" w:hAnsi="Century" w:cs="Miriam" w:hint="eastAsia"/>
          <w:b/>
          <w:spacing w:val="0"/>
          <w:szCs w:val="24"/>
          <w:rtl/>
        </w:rPr>
        <w:t>ורוצה</w:t>
      </w:r>
      <w:r w:rsidRPr="007B04E0">
        <w:rPr>
          <w:rFonts w:ascii="Century" w:hAnsi="Century" w:cs="Miriam"/>
          <w:b/>
          <w:spacing w:val="0"/>
          <w:szCs w:val="24"/>
          <w:rtl/>
        </w:rPr>
        <w:t xml:space="preserve"> </w:t>
      </w:r>
      <w:r w:rsidRPr="007B04E0">
        <w:rPr>
          <w:rFonts w:ascii="Century" w:hAnsi="Century" w:cs="Miriam" w:hint="eastAsia"/>
          <w:b/>
          <w:spacing w:val="0"/>
          <w:szCs w:val="24"/>
          <w:rtl/>
        </w:rPr>
        <w:t>להמשיך</w:t>
      </w:r>
      <w:r w:rsidRPr="007B04E0">
        <w:rPr>
          <w:rFonts w:ascii="Century" w:hAnsi="Century" w:cs="Miriam"/>
          <w:b/>
          <w:spacing w:val="0"/>
          <w:szCs w:val="24"/>
          <w:rtl/>
        </w:rPr>
        <w:t xml:space="preserve"> </w:t>
      </w:r>
      <w:r w:rsidRPr="007B04E0">
        <w:rPr>
          <w:rFonts w:ascii="Century" w:hAnsi="Century" w:cs="Miriam" w:hint="eastAsia"/>
          <w:b/>
          <w:spacing w:val="0"/>
          <w:szCs w:val="24"/>
          <w:rtl/>
        </w:rPr>
        <w:t>עם</w:t>
      </w:r>
      <w:r w:rsidRPr="007B04E0">
        <w:rPr>
          <w:rFonts w:ascii="Century" w:hAnsi="Century" w:cs="Miriam"/>
          <w:b/>
          <w:spacing w:val="0"/>
          <w:szCs w:val="24"/>
          <w:rtl/>
        </w:rPr>
        <w:t xml:space="preserve"> </w:t>
      </w:r>
      <w:r w:rsidRPr="007B04E0">
        <w:rPr>
          <w:rFonts w:ascii="Century" w:hAnsi="Century" w:cs="Miriam" w:hint="eastAsia"/>
          <w:b/>
          <w:spacing w:val="0"/>
          <w:szCs w:val="24"/>
          <w:rtl/>
        </w:rPr>
        <w:t>הזמן</w:t>
      </w:r>
      <w:r w:rsidRPr="007B04E0">
        <w:rPr>
          <w:rFonts w:ascii="Century" w:hAnsi="Century" w:cs="Miriam"/>
          <w:b/>
          <w:spacing w:val="0"/>
          <w:szCs w:val="24"/>
          <w:rtl/>
        </w:rPr>
        <w:t xml:space="preserve"> </w:t>
      </w:r>
      <w:r w:rsidRPr="007B04E0">
        <w:rPr>
          <w:rFonts w:ascii="Century" w:hAnsi="Century" w:cs="Miriam" w:hint="eastAsia"/>
          <w:b/>
          <w:spacing w:val="0"/>
          <w:szCs w:val="24"/>
          <w:rtl/>
        </w:rPr>
        <w:t>שנשאר</w:t>
      </w:r>
      <w:r w:rsidRPr="007B04E0">
        <w:rPr>
          <w:rFonts w:ascii="Century" w:hAnsi="Century" w:cs="Miriam"/>
          <w:b/>
          <w:spacing w:val="0"/>
          <w:szCs w:val="24"/>
          <w:rtl/>
        </w:rPr>
        <w:t xml:space="preserve"> </w:t>
      </w:r>
      <w:r w:rsidRPr="007B04E0">
        <w:rPr>
          <w:rFonts w:ascii="Century" w:hAnsi="Century" w:cs="Miriam" w:hint="eastAsia"/>
          <w:b/>
          <w:spacing w:val="0"/>
          <w:szCs w:val="24"/>
          <w:rtl/>
        </w:rPr>
        <w:t>לי</w:t>
      </w:r>
      <w:r w:rsidRPr="007B04E0">
        <w:rPr>
          <w:rFonts w:ascii="Century" w:hAnsi="Century" w:cs="Miriam"/>
          <w:b/>
          <w:spacing w:val="0"/>
          <w:szCs w:val="24"/>
          <w:rtl/>
        </w:rPr>
        <w:t xml:space="preserve"> </w:t>
      </w:r>
      <w:r w:rsidRPr="007B04E0">
        <w:rPr>
          <w:rFonts w:ascii="Century" w:hAnsi="Century" w:cs="Miriam" w:hint="eastAsia"/>
          <w:b/>
          <w:spacing w:val="0"/>
          <w:szCs w:val="24"/>
          <w:rtl/>
        </w:rPr>
        <w:t>להשקיע</w:t>
      </w:r>
      <w:r w:rsidRPr="007B04E0">
        <w:rPr>
          <w:rFonts w:ascii="Century" w:hAnsi="Century" w:cs="Miriam"/>
          <w:b/>
          <w:spacing w:val="0"/>
          <w:szCs w:val="24"/>
          <w:rtl/>
        </w:rPr>
        <w:t xml:space="preserve"> </w:t>
      </w:r>
      <w:r w:rsidRPr="007B04E0">
        <w:rPr>
          <w:rFonts w:ascii="Century" w:hAnsi="Century" w:cs="Miriam" w:hint="eastAsia"/>
          <w:b/>
          <w:spacing w:val="0"/>
          <w:szCs w:val="24"/>
          <w:rtl/>
        </w:rPr>
        <w:t>בצרכי</w:t>
      </w:r>
      <w:r w:rsidRPr="007B04E0">
        <w:rPr>
          <w:rFonts w:ascii="Century" w:hAnsi="Century" w:cs="Miriam"/>
          <w:b/>
          <w:spacing w:val="0"/>
          <w:szCs w:val="24"/>
          <w:rtl/>
        </w:rPr>
        <w:t xml:space="preserve"> </w:t>
      </w:r>
      <w:r w:rsidRPr="007B04E0">
        <w:rPr>
          <w:rFonts w:ascii="Century" w:hAnsi="Century" w:cs="Miriam" w:hint="eastAsia"/>
          <w:b/>
          <w:spacing w:val="0"/>
          <w:szCs w:val="24"/>
          <w:rtl/>
        </w:rPr>
        <w:t>ציבור</w:t>
      </w:r>
      <w:r w:rsidRPr="007B04E0">
        <w:rPr>
          <w:rFonts w:ascii="Century" w:hAnsi="Century" w:cs="Miriam"/>
          <w:b/>
          <w:spacing w:val="0"/>
          <w:szCs w:val="24"/>
          <w:rtl/>
        </w:rPr>
        <w:t xml:space="preserve"> </w:t>
      </w:r>
      <w:r w:rsidRPr="007B04E0">
        <w:rPr>
          <w:rFonts w:ascii="Century" w:hAnsi="Century" w:cs="Miriam" w:hint="eastAsia"/>
          <w:b/>
          <w:spacing w:val="0"/>
          <w:szCs w:val="24"/>
          <w:rtl/>
        </w:rPr>
        <w:t>בלי</w:t>
      </w:r>
      <w:r w:rsidRPr="007B04E0">
        <w:rPr>
          <w:rFonts w:ascii="Century" w:hAnsi="Century" w:cs="Miriam"/>
          <w:b/>
          <w:spacing w:val="0"/>
          <w:szCs w:val="24"/>
          <w:rtl/>
        </w:rPr>
        <w:t xml:space="preserve"> </w:t>
      </w:r>
      <w:r w:rsidRPr="007B04E0">
        <w:rPr>
          <w:rFonts w:ascii="Century" w:hAnsi="Century" w:cs="Miriam" w:hint="eastAsia"/>
          <w:b/>
          <w:spacing w:val="0"/>
          <w:szCs w:val="24"/>
          <w:rtl/>
        </w:rPr>
        <w:t>לערב</w:t>
      </w:r>
      <w:r w:rsidRPr="007B04E0">
        <w:rPr>
          <w:rFonts w:ascii="Century" w:hAnsi="Century" w:cs="Miriam"/>
          <w:b/>
          <w:spacing w:val="0"/>
          <w:szCs w:val="24"/>
          <w:rtl/>
        </w:rPr>
        <w:t xml:space="preserve"> </w:t>
      </w:r>
      <w:r w:rsidRPr="007B04E0">
        <w:rPr>
          <w:rFonts w:ascii="Century" w:hAnsi="Century" w:cs="Miriam" w:hint="eastAsia"/>
          <w:b/>
          <w:spacing w:val="0"/>
          <w:szCs w:val="24"/>
          <w:rtl/>
        </w:rPr>
        <w:t>את</w:t>
      </w:r>
      <w:r w:rsidRPr="007B04E0">
        <w:rPr>
          <w:rFonts w:ascii="Century" w:hAnsi="Century" w:cs="Miriam"/>
          <w:b/>
          <w:spacing w:val="0"/>
          <w:szCs w:val="24"/>
          <w:rtl/>
        </w:rPr>
        <w:t xml:space="preserve"> </w:t>
      </w:r>
      <w:r w:rsidRPr="007B04E0">
        <w:rPr>
          <w:rFonts w:ascii="Century" w:hAnsi="Century" w:cs="Miriam" w:hint="eastAsia"/>
          <w:b/>
          <w:spacing w:val="0"/>
          <w:szCs w:val="24"/>
          <w:rtl/>
        </w:rPr>
        <w:t>המלחמות</w:t>
      </w:r>
      <w:r w:rsidRPr="007B04E0">
        <w:rPr>
          <w:rFonts w:ascii="Century" w:hAnsi="Century" w:cs="Miriam"/>
          <w:b/>
          <w:spacing w:val="0"/>
          <w:szCs w:val="24"/>
          <w:rtl/>
        </w:rPr>
        <w:t xml:space="preserve"> </w:t>
      </w:r>
      <w:r w:rsidRPr="007B04E0">
        <w:rPr>
          <w:rFonts w:ascii="Century" w:hAnsi="Century" w:cs="Miriam" w:hint="eastAsia"/>
          <w:b/>
          <w:spacing w:val="0"/>
          <w:szCs w:val="24"/>
          <w:rtl/>
        </w:rPr>
        <w:t>הללו</w:t>
      </w:r>
      <w:r w:rsidRPr="007B04E0">
        <w:rPr>
          <w:rFonts w:ascii="Century" w:hAnsi="Century" w:cs="Miriam"/>
          <w:b/>
          <w:spacing w:val="0"/>
          <w:szCs w:val="24"/>
          <w:rtl/>
        </w:rPr>
        <w:t xml:space="preserve"> </w:t>
      </w:r>
      <w:r w:rsidRPr="007B04E0">
        <w:rPr>
          <w:rFonts w:ascii="Century" w:hAnsi="Century" w:cs="Miriam" w:hint="eastAsia"/>
          <w:b/>
          <w:spacing w:val="0"/>
          <w:szCs w:val="24"/>
          <w:rtl/>
        </w:rPr>
        <w:t>ולהמשיך</w:t>
      </w:r>
      <w:r w:rsidRPr="007B04E0">
        <w:rPr>
          <w:rFonts w:ascii="Century" w:hAnsi="Century" w:cs="Miriam"/>
          <w:b/>
          <w:spacing w:val="0"/>
          <w:szCs w:val="24"/>
          <w:rtl/>
        </w:rPr>
        <w:t xml:space="preserve"> </w:t>
      </w:r>
      <w:r w:rsidRPr="007B04E0">
        <w:rPr>
          <w:rFonts w:ascii="Century" w:hAnsi="Century" w:cs="Miriam" w:hint="eastAsia"/>
          <w:b/>
          <w:spacing w:val="0"/>
          <w:szCs w:val="24"/>
          <w:rtl/>
        </w:rPr>
        <w:t>לייצג</w:t>
      </w:r>
      <w:r w:rsidRPr="007B04E0">
        <w:rPr>
          <w:rFonts w:ascii="Century" w:hAnsi="Century" w:cs="Miriam"/>
          <w:b/>
          <w:spacing w:val="0"/>
          <w:szCs w:val="24"/>
          <w:rtl/>
        </w:rPr>
        <w:t xml:space="preserve"> </w:t>
      </w:r>
      <w:r w:rsidRPr="007B04E0">
        <w:rPr>
          <w:rFonts w:ascii="Century" w:hAnsi="Century" w:cs="Miriam" w:hint="eastAsia"/>
          <w:b/>
          <w:spacing w:val="0"/>
          <w:szCs w:val="24"/>
          <w:rtl/>
        </w:rPr>
        <w:t>את</w:t>
      </w:r>
      <w:r w:rsidRPr="007B04E0">
        <w:rPr>
          <w:rFonts w:ascii="Century" w:hAnsi="Century" w:cs="Miriam"/>
          <w:b/>
          <w:spacing w:val="0"/>
          <w:szCs w:val="24"/>
          <w:rtl/>
        </w:rPr>
        <w:t xml:space="preserve"> </w:t>
      </w:r>
      <w:r w:rsidRPr="007B04E0">
        <w:rPr>
          <w:rFonts w:ascii="Century" w:hAnsi="Century" w:cs="Miriam" w:hint="eastAsia"/>
          <w:b/>
          <w:spacing w:val="0"/>
          <w:szCs w:val="24"/>
          <w:rtl/>
        </w:rPr>
        <w:t>השכבות</w:t>
      </w:r>
      <w:r w:rsidRPr="007B04E0">
        <w:rPr>
          <w:rFonts w:ascii="Century" w:hAnsi="Century" w:cs="Miriam"/>
          <w:b/>
          <w:spacing w:val="0"/>
          <w:szCs w:val="24"/>
          <w:rtl/>
        </w:rPr>
        <w:t xml:space="preserve"> </w:t>
      </w:r>
      <w:r w:rsidRPr="007B04E0">
        <w:rPr>
          <w:rFonts w:ascii="Century" w:hAnsi="Century" w:cs="Miriam" w:hint="eastAsia"/>
          <w:b/>
          <w:spacing w:val="0"/>
          <w:szCs w:val="24"/>
          <w:rtl/>
        </w:rPr>
        <w:t>והציבור</w:t>
      </w:r>
      <w:r w:rsidRPr="007B04E0">
        <w:rPr>
          <w:rFonts w:ascii="Century" w:hAnsi="Century" w:cs="Miriam"/>
          <w:b/>
          <w:spacing w:val="0"/>
          <w:szCs w:val="24"/>
          <w:rtl/>
        </w:rPr>
        <w:t xml:space="preserve"> </w:t>
      </w:r>
      <w:r w:rsidRPr="007B04E0">
        <w:rPr>
          <w:rFonts w:ascii="Century" w:hAnsi="Century" w:cs="Miriam" w:hint="eastAsia"/>
          <w:b/>
          <w:spacing w:val="0"/>
          <w:szCs w:val="24"/>
          <w:rtl/>
        </w:rPr>
        <w:t>שאני</w:t>
      </w:r>
      <w:r w:rsidRPr="007B04E0">
        <w:rPr>
          <w:rFonts w:ascii="Century" w:hAnsi="Century" w:cs="Miriam"/>
          <w:b/>
          <w:spacing w:val="0"/>
          <w:szCs w:val="24"/>
          <w:rtl/>
        </w:rPr>
        <w:t xml:space="preserve"> </w:t>
      </w:r>
      <w:r w:rsidRPr="007B04E0">
        <w:rPr>
          <w:rFonts w:ascii="Century" w:hAnsi="Century" w:cs="Miriam" w:hint="eastAsia"/>
          <w:b/>
          <w:spacing w:val="0"/>
          <w:szCs w:val="24"/>
          <w:rtl/>
        </w:rPr>
        <w:t>מייצג</w:t>
      </w:r>
      <w:r w:rsidRPr="007B04E0">
        <w:rPr>
          <w:rFonts w:ascii="Century" w:hAnsi="Century" w:cs="Miriam"/>
          <w:b/>
          <w:spacing w:val="0"/>
          <w:szCs w:val="24"/>
          <w:rtl/>
        </w:rPr>
        <w:t xml:space="preserve"> </w:t>
      </w:r>
      <w:r w:rsidRPr="007B04E0">
        <w:rPr>
          <w:rFonts w:ascii="Century" w:hAnsi="Century" w:cs="Miriam" w:hint="eastAsia"/>
          <w:b/>
          <w:spacing w:val="0"/>
          <w:szCs w:val="24"/>
          <w:rtl/>
        </w:rPr>
        <w:t>בצורה</w:t>
      </w:r>
      <w:r w:rsidRPr="007B04E0">
        <w:rPr>
          <w:rFonts w:ascii="Century" w:hAnsi="Century" w:cs="Miriam"/>
          <w:b/>
          <w:spacing w:val="0"/>
          <w:szCs w:val="24"/>
          <w:rtl/>
        </w:rPr>
        <w:t xml:space="preserve"> </w:t>
      </w:r>
      <w:r w:rsidRPr="007B04E0">
        <w:rPr>
          <w:rFonts w:ascii="Century" w:hAnsi="Century" w:cs="Miriam" w:hint="eastAsia"/>
          <w:b/>
          <w:spacing w:val="0"/>
          <w:szCs w:val="24"/>
          <w:rtl/>
        </w:rPr>
        <w:t>אחרת</w:t>
      </w:r>
      <w:r w:rsidRPr="007B04E0">
        <w:rPr>
          <w:rFonts w:ascii="Century" w:hAnsi="Century" w:cs="Miriam"/>
          <w:b/>
          <w:spacing w:val="0"/>
          <w:szCs w:val="24"/>
          <w:rtl/>
        </w:rPr>
        <w:t xml:space="preserve"> </w:t>
      </w:r>
      <w:r w:rsidRPr="007B04E0">
        <w:rPr>
          <w:rFonts w:ascii="Century" w:hAnsi="Century" w:cs="Miriam" w:hint="eastAsia"/>
          <w:b/>
          <w:spacing w:val="0"/>
          <w:szCs w:val="24"/>
          <w:rtl/>
        </w:rPr>
        <w:t>גם</w:t>
      </w:r>
      <w:r w:rsidRPr="007B04E0">
        <w:rPr>
          <w:rFonts w:ascii="Century" w:hAnsi="Century" w:cs="Miriam"/>
          <w:b/>
          <w:spacing w:val="0"/>
          <w:szCs w:val="24"/>
          <w:rtl/>
        </w:rPr>
        <w:t xml:space="preserve"> </w:t>
      </w:r>
      <w:r w:rsidRPr="007B04E0">
        <w:rPr>
          <w:rFonts w:ascii="Century" w:hAnsi="Century" w:cs="Miriam" w:hint="eastAsia"/>
          <w:b/>
          <w:spacing w:val="0"/>
          <w:szCs w:val="24"/>
          <w:rtl/>
        </w:rPr>
        <w:t>אם</w:t>
      </w:r>
      <w:r w:rsidRPr="007B04E0">
        <w:rPr>
          <w:rFonts w:ascii="Century" w:hAnsi="Century" w:cs="Miriam"/>
          <w:b/>
          <w:spacing w:val="0"/>
          <w:szCs w:val="24"/>
          <w:rtl/>
        </w:rPr>
        <w:t xml:space="preserve"> </w:t>
      </w:r>
      <w:r w:rsidRPr="007B04E0">
        <w:rPr>
          <w:rFonts w:ascii="Century" w:hAnsi="Century" w:cs="Miriam" w:hint="eastAsia"/>
          <w:b/>
          <w:spacing w:val="0"/>
          <w:szCs w:val="24"/>
          <w:rtl/>
        </w:rPr>
        <w:t>לא</w:t>
      </w:r>
      <w:r w:rsidRPr="007B04E0">
        <w:rPr>
          <w:rFonts w:ascii="Century" w:hAnsi="Century" w:cs="Miriam"/>
          <w:b/>
          <w:spacing w:val="0"/>
          <w:szCs w:val="24"/>
          <w:rtl/>
        </w:rPr>
        <w:t xml:space="preserve"> </w:t>
      </w:r>
      <w:r w:rsidRPr="007B04E0">
        <w:rPr>
          <w:rFonts w:ascii="Century" w:hAnsi="Century" w:cs="Miriam" w:hint="eastAsia"/>
          <w:b/>
          <w:spacing w:val="0"/>
          <w:szCs w:val="24"/>
          <w:rtl/>
        </w:rPr>
        <w:t>מהכנסת</w:t>
      </w:r>
      <w:r w:rsidRPr="007B04E0">
        <w:rPr>
          <w:rFonts w:ascii="Century" w:hAnsi="Century" w:hint="cs"/>
          <w:rtl/>
        </w:rPr>
        <w:t xml:space="preserve">. </w:t>
      </w:r>
      <w:r w:rsidRPr="007B04E0">
        <w:rPr>
          <w:rFonts w:ascii="Century" w:hAnsi="Century" w:hint="eastAsia"/>
          <w:rtl/>
        </w:rPr>
        <w:t>החלטתי</w:t>
      </w:r>
      <w:r w:rsidRPr="007B04E0">
        <w:rPr>
          <w:rFonts w:ascii="Century" w:hAnsi="Century"/>
          <w:rtl/>
        </w:rPr>
        <w:t xml:space="preserve"> </w:t>
      </w:r>
      <w:r w:rsidRPr="007B04E0">
        <w:rPr>
          <w:rFonts w:ascii="Century" w:hAnsi="Century" w:hint="eastAsia"/>
          <w:rtl/>
        </w:rPr>
        <w:t>בלב</w:t>
      </w:r>
      <w:r w:rsidRPr="007B04E0">
        <w:rPr>
          <w:rFonts w:ascii="Century" w:hAnsi="Century"/>
          <w:rtl/>
        </w:rPr>
        <w:t xml:space="preserve"> </w:t>
      </w:r>
      <w:r w:rsidRPr="007B04E0">
        <w:rPr>
          <w:rFonts w:ascii="Century" w:hAnsi="Century" w:hint="eastAsia"/>
          <w:rtl/>
        </w:rPr>
        <w:t>לא</w:t>
      </w:r>
      <w:r w:rsidRPr="007B04E0">
        <w:rPr>
          <w:rFonts w:ascii="Century" w:hAnsi="Century"/>
          <w:rtl/>
        </w:rPr>
        <w:t xml:space="preserve"> </w:t>
      </w:r>
      <w:r w:rsidRPr="007B04E0">
        <w:rPr>
          <w:rFonts w:ascii="Century" w:hAnsi="Century" w:hint="eastAsia"/>
          <w:rtl/>
        </w:rPr>
        <w:t>קל</w:t>
      </w:r>
      <w:r w:rsidRPr="007B04E0">
        <w:rPr>
          <w:rFonts w:ascii="Century" w:hAnsi="Century"/>
          <w:rtl/>
        </w:rPr>
        <w:t xml:space="preserve"> </w:t>
      </w:r>
      <w:r w:rsidRPr="007B04E0">
        <w:rPr>
          <w:rFonts w:ascii="Century" w:hAnsi="Century" w:hint="eastAsia"/>
          <w:rtl/>
        </w:rPr>
        <w:t>אבל</w:t>
      </w:r>
      <w:r w:rsidRPr="007B04E0">
        <w:rPr>
          <w:rFonts w:ascii="Century" w:hAnsi="Century"/>
          <w:rtl/>
        </w:rPr>
        <w:t xml:space="preserve"> </w:t>
      </w:r>
      <w:r w:rsidRPr="007B04E0">
        <w:rPr>
          <w:rFonts w:ascii="Century" w:hAnsi="Century" w:hint="eastAsia"/>
          <w:rtl/>
        </w:rPr>
        <w:t>בעצתם</w:t>
      </w:r>
      <w:r w:rsidRPr="007B04E0">
        <w:rPr>
          <w:rFonts w:ascii="Century" w:hAnsi="Century"/>
          <w:rtl/>
        </w:rPr>
        <w:t xml:space="preserve"> </w:t>
      </w:r>
      <w:r w:rsidRPr="007B04E0">
        <w:rPr>
          <w:rFonts w:ascii="Century" w:hAnsi="Century" w:hint="eastAsia"/>
          <w:rtl/>
        </w:rPr>
        <w:t>ובהוראתם</w:t>
      </w:r>
      <w:r w:rsidRPr="007B04E0">
        <w:rPr>
          <w:rFonts w:ascii="Century" w:hAnsi="Century"/>
          <w:rtl/>
        </w:rPr>
        <w:t xml:space="preserve"> </w:t>
      </w:r>
      <w:r w:rsidRPr="007B04E0">
        <w:rPr>
          <w:rFonts w:ascii="Century" w:hAnsi="Century" w:hint="eastAsia"/>
          <w:rtl/>
        </w:rPr>
        <w:t>של</w:t>
      </w:r>
      <w:r w:rsidRPr="007B04E0">
        <w:rPr>
          <w:rFonts w:ascii="Century" w:hAnsi="Century"/>
          <w:rtl/>
        </w:rPr>
        <w:t xml:space="preserve"> </w:t>
      </w:r>
      <w:r w:rsidRPr="007B04E0">
        <w:rPr>
          <w:rFonts w:ascii="Century" w:hAnsi="Century" w:hint="eastAsia"/>
          <w:rtl/>
        </w:rPr>
        <w:t>הרבנים</w:t>
      </w:r>
      <w:r w:rsidRPr="007B04E0">
        <w:rPr>
          <w:rFonts w:ascii="Century" w:hAnsi="Century"/>
          <w:rtl/>
        </w:rPr>
        <w:t xml:space="preserve"> </w:t>
      </w:r>
      <w:r w:rsidRPr="007B04E0">
        <w:rPr>
          <w:rFonts w:ascii="Century" w:hAnsi="Century" w:hint="eastAsia"/>
          <w:rtl/>
        </w:rPr>
        <w:t>שאני</w:t>
      </w:r>
      <w:r w:rsidRPr="007B04E0">
        <w:rPr>
          <w:rFonts w:ascii="Century" w:hAnsi="Century"/>
          <w:rtl/>
        </w:rPr>
        <w:t xml:space="preserve"> </w:t>
      </w:r>
      <w:r w:rsidRPr="007B04E0">
        <w:rPr>
          <w:rFonts w:ascii="Century" w:hAnsi="Century" w:hint="eastAsia"/>
          <w:rtl/>
        </w:rPr>
        <w:t>מתייעץ</w:t>
      </w:r>
      <w:r w:rsidRPr="007B04E0">
        <w:rPr>
          <w:rFonts w:ascii="Century" w:hAnsi="Century"/>
          <w:rtl/>
        </w:rPr>
        <w:t xml:space="preserve"> </w:t>
      </w:r>
      <w:r w:rsidRPr="007B04E0">
        <w:rPr>
          <w:rFonts w:ascii="Century" w:hAnsi="Century" w:hint="eastAsia"/>
          <w:rtl/>
        </w:rPr>
        <w:t>איתם</w:t>
      </w:r>
      <w:r w:rsidRPr="007B04E0">
        <w:rPr>
          <w:rFonts w:ascii="Century" w:hAnsi="Century"/>
          <w:rtl/>
        </w:rPr>
        <w:t xml:space="preserve">, </w:t>
      </w:r>
      <w:r w:rsidRPr="007B04E0">
        <w:rPr>
          <w:rFonts w:ascii="Century" w:hAnsi="Century" w:hint="eastAsia"/>
          <w:rtl/>
        </w:rPr>
        <w:t>היה</w:t>
      </w:r>
      <w:r w:rsidRPr="007B04E0">
        <w:rPr>
          <w:rFonts w:ascii="Century" w:hAnsi="Century"/>
          <w:rtl/>
        </w:rPr>
        <w:t xml:space="preserve"> </w:t>
      </w:r>
      <w:r w:rsidRPr="007B04E0">
        <w:rPr>
          <w:rFonts w:ascii="Century" w:hAnsi="Century" w:hint="eastAsia"/>
          <w:rtl/>
        </w:rPr>
        <w:t>חשוב</w:t>
      </w:r>
      <w:r w:rsidRPr="007B04E0">
        <w:rPr>
          <w:rFonts w:ascii="Century" w:hAnsi="Century"/>
          <w:rtl/>
        </w:rPr>
        <w:t xml:space="preserve"> </w:t>
      </w:r>
      <w:r w:rsidRPr="007B04E0">
        <w:rPr>
          <w:rFonts w:ascii="Century" w:hAnsi="Century" w:hint="eastAsia"/>
          <w:rtl/>
        </w:rPr>
        <w:t>לי</w:t>
      </w:r>
      <w:r w:rsidRPr="007B04E0">
        <w:rPr>
          <w:rFonts w:ascii="Century" w:hAnsi="Century"/>
          <w:rtl/>
        </w:rPr>
        <w:t xml:space="preserve"> </w:t>
      </w:r>
      <w:r w:rsidRPr="007B04E0">
        <w:rPr>
          <w:rFonts w:ascii="Century" w:hAnsi="Century" w:hint="eastAsia"/>
          <w:rtl/>
        </w:rPr>
        <w:t>להדגיש</w:t>
      </w:r>
      <w:r w:rsidRPr="007B04E0">
        <w:rPr>
          <w:rFonts w:ascii="Century" w:hAnsi="Century"/>
          <w:rtl/>
        </w:rPr>
        <w:t xml:space="preserve">. </w:t>
      </w:r>
      <w:r w:rsidRPr="007B04E0">
        <w:rPr>
          <w:rFonts w:ascii="Century" w:hAnsi="Century" w:hint="eastAsia"/>
          <w:rtl/>
        </w:rPr>
        <w:t>אני</w:t>
      </w:r>
      <w:r w:rsidRPr="007B04E0">
        <w:rPr>
          <w:rFonts w:ascii="Century" w:hAnsi="Century"/>
          <w:rtl/>
        </w:rPr>
        <w:t xml:space="preserve"> </w:t>
      </w:r>
      <w:r w:rsidRPr="007B04E0">
        <w:rPr>
          <w:rFonts w:ascii="Century" w:hAnsi="Century" w:hint="eastAsia"/>
          <w:rtl/>
        </w:rPr>
        <w:t>לוקח</w:t>
      </w:r>
      <w:r w:rsidRPr="007B04E0">
        <w:rPr>
          <w:rFonts w:ascii="Century" w:hAnsi="Century"/>
          <w:rtl/>
        </w:rPr>
        <w:t xml:space="preserve"> </w:t>
      </w:r>
      <w:r w:rsidRPr="007B04E0">
        <w:rPr>
          <w:rFonts w:ascii="Century" w:hAnsi="Century" w:hint="eastAsia"/>
          <w:rtl/>
        </w:rPr>
        <w:t>אחריות</w:t>
      </w:r>
      <w:r w:rsidRPr="007B04E0">
        <w:rPr>
          <w:rFonts w:ascii="Century" w:hAnsi="Century"/>
          <w:rtl/>
        </w:rPr>
        <w:t xml:space="preserve">, </w:t>
      </w:r>
      <w:r w:rsidRPr="007B04E0">
        <w:rPr>
          <w:rFonts w:ascii="Century" w:hAnsi="Century" w:hint="eastAsia"/>
          <w:rtl/>
        </w:rPr>
        <w:t>מצטרף</w:t>
      </w:r>
      <w:r w:rsidRPr="007B04E0">
        <w:rPr>
          <w:rFonts w:ascii="Century" w:hAnsi="Century"/>
          <w:rtl/>
        </w:rPr>
        <w:t xml:space="preserve"> </w:t>
      </w:r>
      <w:r w:rsidRPr="007B04E0">
        <w:rPr>
          <w:rFonts w:ascii="Century" w:hAnsi="Century" w:hint="eastAsia"/>
          <w:rtl/>
        </w:rPr>
        <w:t>לבקשה</w:t>
      </w:r>
      <w:r w:rsidRPr="007B04E0">
        <w:rPr>
          <w:rFonts w:ascii="Century" w:hAnsi="Century"/>
          <w:rtl/>
        </w:rPr>
        <w:t xml:space="preserve"> </w:t>
      </w:r>
      <w:r w:rsidRPr="007B04E0">
        <w:rPr>
          <w:rFonts w:ascii="Century" w:hAnsi="Century" w:hint="eastAsia"/>
          <w:rtl/>
        </w:rPr>
        <w:t>של</w:t>
      </w:r>
      <w:r w:rsidRPr="007B04E0">
        <w:rPr>
          <w:rFonts w:ascii="Century" w:hAnsi="Century"/>
          <w:rtl/>
        </w:rPr>
        <w:t xml:space="preserve"> </w:t>
      </w:r>
      <w:r w:rsidRPr="007B04E0">
        <w:rPr>
          <w:rFonts w:ascii="Century" w:hAnsi="Century" w:hint="eastAsia"/>
          <w:rtl/>
        </w:rPr>
        <w:t>המדינה</w:t>
      </w:r>
      <w:r w:rsidRPr="007B04E0">
        <w:rPr>
          <w:rFonts w:ascii="Century" w:hAnsi="Century"/>
          <w:rtl/>
        </w:rPr>
        <w:t xml:space="preserve"> </w:t>
      </w:r>
      <w:r w:rsidRPr="007B04E0">
        <w:rPr>
          <w:rFonts w:ascii="Century" w:hAnsi="Century" w:hint="eastAsia"/>
          <w:rtl/>
        </w:rPr>
        <w:t>ושל</w:t>
      </w:r>
      <w:r w:rsidRPr="007B04E0">
        <w:rPr>
          <w:rFonts w:ascii="Century" w:hAnsi="Century"/>
          <w:rtl/>
        </w:rPr>
        <w:t xml:space="preserve"> </w:t>
      </w:r>
      <w:r w:rsidRPr="007B04E0">
        <w:rPr>
          <w:rFonts w:ascii="Century" w:hAnsi="Century" w:hint="eastAsia"/>
          <w:rtl/>
        </w:rPr>
        <w:t>עורך</w:t>
      </w:r>
      <w:r w:rsidRPr="007B04E0">
        <w:rPr>
          <w:rFonts w:ascii="Century" w:hAnsi="Century"/>
          <w:rtl/>
        </w:rPr>
        <w:t xml:space="preserve"> </w:t>
      </w:r>
      <w:r w:rsidRPr="007B04E0">
        <w:rPr>
          <w:rFonts w:ascii="Century" w:hAnsi="Century" w:hint="eastAsia"/>
          <w:rtl/>
        </w:rPr>
        <w:lastRenderedPageBreak/>
        <w:t>דיני</w:t>
      </w:r>
      <w:r w:rsidRPr="007B04E0">
        <w:rPr>
          <w:rFonts w:ascii="Century" w:hAnsi="Century"/>
          <w:rtl/>
        </w:rPr>
        <w:t xml:space="preserve">, </w:t>
      </w:r>
      <w:r w:rsidRPr="007B04E0">
        <w:rPr>
          <w:rFonts w:ascii="Century" w:hAnsi="Century" w:hint="eastAsia"/>
          <w:rtl/>
        </w:rPr>
        <w:t>ומבקש</w:t>
      </w:r>
      <w:r w:rsidRPr="007B04E0">
        <w:rPr>
          <w:rFonts w:ascii="Century" w:hAnsi="Century"/>
          <w:rtl/>
        </w:rPr>
        <w:t xml:space="preserve"> </w:t>
      </w:r>
      <w:r w:rsidRPr="007B04E0">
        <w:rPr>
          <w:rFonts w:ascii="Century" w:hAnsi="Century" w:hint="eastAsia"/>
          <w:rtl/>
        </w:rPr>
        <w:t>מכב</w:t>
      </w:r>
      <w:r w:rsidRPr="007B04E0">
        <w:rPr>
          <w:rFonts w:ascii="Century" w:hAnsi="Century"/>
          <w:rtl/>
        </w:rPr>
        <w:t xml:space="preserve">' </w:t>
      </w:r>
      <w:r w:rsidRPr="007B04E0">
        <w:rPr>
          <w:rFonts w:ascii="Century" w:hAnsi="Century" w:hint="eastAsia"/>
          <w:rtl/>
        </w:rPr>
        <w:t>השופט</w:t>
      </w:r>
      <w:r w:rsidRPr="007B04E0">
        <w:rPr>
          <w:rFonts w:ascii="Century" w:hAnsi="Century"/>
          <w:rtl/>
        </w:rPr>
        <w:t xml:space="preserve"> </w:t>
      </w:r>
      <w:r w:rsidRPr="007B04E0">
        <w:rPr>
          <w:rFonts w:ascii="Century" w:hAnsi="Century" w:hint="eastAsia"/>
          <w:rtl/>
        </w:rPr>
        <w:t>הנכבד</w:t>
      </w:r>
      <w:r w:rsidRPr="007B04E0">
        <w:rPr>
          <w:rFonts w:ascii="Century" w:hAnsi="Century"/>
          <w:rtl/>
        </w:rPr>
        <w:t xml:space="preserve">, </w:t>
      </w:r>
      <w:r w:rsidRPr="007B04E0">
        <w:rPr>
          <w:rFonts w:ascii="Century" w:hAnsi="Century" w:hint="eastAsia"/>
          <w:rtl/>
        </w:rPr>
        <w:t>אני</w:t>
      </w:r>
      <w:r w:rsidRPr="007B04E0">
        <w:rPr>
          <w:rFonts w:ascii="Century" w:hAnsi="Century"/>
          <w:rtl/>
        </w:rPr>
        <w:t xml:space="preserve"> </w:t>
      </w:r>
      <w:r w:rsidRPr="007B04E0">
        <w:rPr>
          <w:rFonts w:ascii="Century" w:hAnsi="Century" w:hint="eastAsia"/>
          <w:rtl/>
        </w:rPr>
        <w:t>גם</w:t>
      </w:r>
      <w:r w:rsidRPr="007B04E0">
        <w:rPr>
          <w:rFonts w:ascii="Century" w:hAnsi="Century"/>
          <w:rtl/>
        </w:rPr>
        <w:t xml:space="preserve"> </w:t>
      </w:r>
      <w:r w:rsidRPr="007B04E0">
        <w:rPr>
          <w:rFonts w:ascii="Century" w:hAnsi="Century" w:hint="eastAsia"/>
          <w:rtl/>
        </w:rPr>
        <w:t>מודה</w:t>
      </w:r>
      <w:r w:rsidRPr="007B04E0">
        <w:rPr>
          <w:rFonts w:ascii="Century" w:hAnsi="Century"/>
          <w:rtl/>
        </w:rPr>
        <w:t xml:space="preserve"> </w:t>
      </w:r>
      <w:r w:rsidRPr="007B04E0">
        <w:rPr>
          <w:rFonts w:ascii="Century" w:hAnsi="Century" w:hint="eastAsia"/>
          <w:rtl/>
        </w:rPr>
        <w:t>לכם</w:t>
      </w:r>
      <w:r w:rsidRPr="007B04E0">
        <w:rPr>
          <w:rFonts w:ascii="Century" w:hAnsi="Century"/>
          <w:rtl/>
        </w:rPr>
        <w:t xml:space="preserve"> </w:t>
      </w:r>
      <w:r w:rsidRPr="007B04E0">
        <w:rPr>
          <w:rFonts w:ascii="Century" w:hAnsi="Century" w:hint="eastAsia"/>
          <w:rtl/>
        </w:rPr>
        <w:t>שהקלתם</w:t>
      </w:r>
      <w:r w:rsidRPr="007B04E0">
        <w:rPr>
          <w:rFonts w:ascii="Century" w:hAnsi="Century"/>
          <w:rtl/>
        </w:rPr>
        <w:t xml:space="preserve"> </w:t>
      </w:r>
      <w:r w:rsidRPr="007B04E0">
        <w:rPr>
          <w:rFonts w:ascii="Century" w:hAnsi="Century" w:hint="eastAsia"/>
          <w:rtl/>
        </w:rPr>
        <w:t>עלינו</w:t>
      </w:r>
      <w:r w:rsidRPr="007B04E0">
        <w:rPr>
          <w:rFonts w:ascii="Century" w:hAnsi="Century"/>
          <w:rtl/>
        </w:rPr>
        <w:t xml:space="preserve"> </w:t>
      </w:r>
      <w:r w:rsidRPr="007B04E0">
        <w:rPr>
          <w:rFonts w:ascii="Century" w:hAnsi="Century" w:hint="eastAsia"/>
          <w:rtl/>
        </w:rPr>
        <w:t>בצורה</w:t>
      </w:r>
      <w:r w:rsidRPr="007B04E0">
        <w:rPr>
          <w:rFonts w:ascii="Century" w:hAnsi="Century"/>
          <w:rtl/>
        </w:rPr>
        <w:t xml:space="preserve"> </w:t>
      </w:r>
      <w:r w:rsidRPr="007B04E0">
        <w:rPr>
          <w:rFonts w:ascii="Century" w:hAnsi="Century" w:hint="eastAsia"/>
          <w:rtl/>
        </w:rPr>
        <w:t>שעשיתם</w:t>
      </w:r>
      <w:r w:rsidRPr="007B04E0">
        <w:rPr>
          <w:rFonts w:ascii="Century" w:hAnsi="Century"/>
          <w:rtl/>
        </w:rPr>
        <w:t xml:space="preserve"> </w:t>
      </w:r>
      <w:r w:rsidRPr="007B04E0">
        <w:rPr>
          <w:rFonts w:ascii="Century" w:hAnsi="Century" w:hint="eastAsia"/>
          <w:rtl/>
        </w:rPr>
        <w:t>את</w:t>
      </w:r>
      <w:r w:rsidRPr="007B04E0">
        <w:rPr>
          <w:rFonts w:ascii="Century" w:hAnsi="Century"/>
          <w:rtl/>
        </w:rPr>
        <w:t xml:space="preserve"> </w:t>
      </w:r>
      <w:r w:rsidRPr="007B04E0">
        <w:rPr>
          <w:rFonts w:ascii="Century" w:hAnsi="Century" w:hint="eastAsia"/>
          <w:rtl/>
        </w:rPr>
        <w:t>הדיון</w:t>
      </w:r>
      <w:r w:rsidRPr="007B04E0">
        <w:rPr>
          <w:rFonts w:ascii="Century" w:hAnsi="Century"/>
          <w:rtl/>
        </w:rPr>
        <w:t xml:space="preserve">, </w:t>
      </w:r>
      <w:r w:rsidRPr="007B04E0">
        <w:rPr>
          <w:rFonts w:ascii="Century" w:hAnsi="Century" w:hint="eastAsia"/>
          <w:rtl/>
        </w:rPr>
        <w:t>אני</w:t>
      </w:r>
      <w:r w:rsidRPr="007B04E0">
        <w:rPr>
          <w:rFonts w:ascii="Century" w:hAnsi="Century"/>
          <w:rtl/>
        </w:rPr>
        <w:t xml:space="preserve"> </w:t>
      </w:r>
      <w:r w:rsidRPr="007B04E0">
        <w:rPr>
          <w:rFonts w:ascii="Century" w:hAnsi="Century" w:hint="eastAsia"/>
          <w:rtl/>
        </w:rPr>
        <w:t>מבקש</w:t>
      </w:r>
      <w:r w:rsidRPr="007B04E0">
        <w:rPr>
          <w:rFonts w:ascii="Century" w:hAnsi="Century"/>
          <w:rtl/>
        </w:rPr>
        <w:t xml:space="preserve"> </w:t>
      </w:r>
      <w:r w:rsidRPr="007B04E0">
        <w:rPr>
          <w:rFonts w:ascii="Century" w:hAnsi="Century" w:hint="eastAsia"/>
          <w:rtl/>
        </w:rPr>
        <w:t>לאמץ</w:t>
      </w:r>
      <w:r w:rsidRPr="007B04E0">
        <w:rPr>
          <w:rFonts w:ascii="Century" w:hAnsi="Century"/>
          <w:rtl/>
        </w:rPr>
        <w:t xml:space="preserve"> </w:t>
      </w:r>
      <w:r w:rsidRPr="007B04E0">
        <w:rPr>
          <w:rFonts w:ascii="Century" w:hAnsi="Century" w:hint="eastAsia"/>
          <w:rtl/>
        </w:rPr>
        <w:t>את</w:t>
      </w:r>
      <w:r w:rsidRPr="007B04E0">
        <w:rPr>
          <w:rFonts w:ascii="Century" w:hAnsi="Century"/>
          <w:rtl/>
        </w:rPr>
        <w:t xml:space="preserve"> </w:t>
      </w:r>
      <w:r w:rsidRPr="007B04E0">
        <w:rPr>
          <w:rFonts w:ascii="Century" w:hAnsi="Century" w:hint="eastAsia"/>
          <w:rtl/>
        </w:rPr>
        <w:t>ההסדר</w:t>
      </w:r>
      <w:r w:rsidRPr="007B04E0">
        <w:rPr>
          <w:rFonts w:ascii="Century" w:hAnsi="Century"/>
          <w:rtl/>
        </w:rPr>
        <w:t xml:space="preserve"> </w:t>
      </w:r>
      <w:r w:rsidRPr="007B04E0">
        <w:rPr>
          <w:rFonts w:ascii="Century" w:hAnsi="Century" w:hint="eastAsia"/>
          <w:rtl/>
        </w:rPr>
        <w:t>והבקשה</w:t>
      </w:r>
      <w:r w:rsidRPr="007B04E0">
        <w:rPr>
          <w:rFonts w:ascii="Century" w:hAnsi="Century"/>
          <w:rtl/>
        </w:rPr>
        <w:t xml:space="preserve"> </w:t>
      </w:r>
      <w:r w:rsidRPr="007B04E0">
        <w:rPr>
          <w:rFonts w:ascii="Century" w:hAnsi="Century" w:hint="eastAsia"/>
          <w:rtl/>
        </w:rPr>
        <w:t>שלי</w:t>
      </w:r>
      <w:r w:rsidRPr="007B04E0">
        <w:rPr>
          <w:rFonts w:ascii="Century" w:hAnsi="Century"/>
          <w:rtl/>
        </w:rPr>
        <w:t xml:space="preserve"> </w:t>
      </w:r>
      <w:r w:rsidRPr="007B04E0">
        <w:rPr>
          <w:rFonts w:ascii="Century" w:hAnsi="Century" w:hint="eastAsia"/>
          <w:rtl/>
        </w:rPr>
        <w:t>לעשות</w:t>
      </w:r>
      <w:r w:rsidRPr="007B04E0">
        <w:rPr>
          <w:rFonts w:ascii="Century" w:hAnsi="Century"/>
          <w:rtl/>
        </w:rPr>
        <w:t xml:space="preserve"> </w:t>
      </w:r>
      <w:r w:rsidRPr="007B04E0">
        <w:rPr>
          <w:rFonts w:ascii="Century" w:hAnsi="Century" w:hint="eastAsia"/>
          <w:rtl/>
        </w:rPr>
        <w:t>את</w:t>
      </w:r>
      <w:r w:rsidRPr="007B04E0">
        <w:rPr>
          <w:rFonts w:ascii="Century" w:hAnsi="Century"/>
          <w:rtl/>
        </w:rPr>
        <w:t xml:space="preserve"> </w:t>
      </w:r>
      <w:r w:rsidRPr="007B04E0">
        <w:rPr>
          <w:rFonts w:ascii="Century" w:hAnsi="Century" w:hint="eastAsia"/>
          <w:rtl/>
        </w:rPr>
        <w:t>זה</w:t>
      </w:r>
      <w:r w:rsidRPr="007B04E0">
        <w:rPr>
          <w:rFonts w:ascii="Century" w:hAnsi="Century"/>
          <w:rtl/>
        </w:rPr>
        <w:t xml:space="preserve"> </w:t>
      </w:r>
      <w:r w:rsidRPr="007B04E0">
        <w:rPr>
          <w:rFonts w:ascii="Century" w:hAnsi="Century" w:hint="eastAsia"/>
          <w:rtl/>
        </w:rPr>
        <w:t>במהרה</w:t>
      </w:r>
      <w:r w:rsidRPr="007B04E0">
        <w:rPr>
          <w:rFonts w:ascii="Century" w:hAnsi="Century" w:hint="cs"/>
          <w:rtl/>
        </w:rPr>
        <w:t>" (</w:t>
      </w:r>
      <w:r w:rsidRPr="007B04E0">
        <w:rPr>
          <w:rFonts w:ascii="Miriam" w:hAnsi="Miriam" w:cs="Miriam" w:hint="eastAsia"/>
          <w:sz w:val="21"/>
          <w:szCs w:val="24"/>
          <w:rtl/>
        </w:rPr>
        <w:t>שם</w:t>
      </w:r>
      <w:r w:rsidRPr="007B04E0">
        <w:rPr>
          <w:rFonts w:ascii="Century" w:hAnsi="Century" w:hint="cs"/>
          <w:rtl/>
        </w:rPr>
        <w:t>, בעמ' 13; ההדגשות הוספו).</w:t>
      </w:r>
    </w:p>
    <w:p w14:paraId="7B429839" w14:textId="77777777" w:rsidR="0040186B" w:rsidRPr="007B04E0" w:rsidRDefault="0040186B" w:rsidP="00C634DC">
      <w:pPr>
        <w:pStyle w:val="Ruller5"/>
        <w:rPr>
          <w:rFonts w:ascii="Century" w:hAnsi="Century"/>
          <w:rtl/>
        </w:rPr>
      </w:pPr>
    </w:p>
    <w:p w14:paraId="44D6CF59" w14:textId="77777777" w:rsidR="0040186B" w:rsidRPr="007B04E0" w:rsidRDefault="0040186B" w:rsidP="00C634DC">
      <w:pPr>
        <w:pStyle w:val="ruller44"/>
        <w:numPr>
          <w:ilvl w:val="0"/>
          <w:numId w:val="11"/>
        </w:numPr>
        <w:bidi/>
        <w:spacing w:before="0" w:beforeAutospacing="0" w:after="0" w:afterAutospacing="0" w:line="360" w:lineRule="auto"/>
        <w:jc w:val="both"/>
        <w:rPr>
          <w:rFonts w:ascii="Century" w:hAnsi="Century" w:cs="FrankRuehl"/>
          <w:spacing w:val="10"/>
          <w:sz w:val="22"/>
          <w:szCs w:val="28"/>
        </w:rPr>
      </w:pPr>
      <w:r>
        <w:rPr>
          <w:rFonts w:ascii="Century" w:hAnsi="Century" w:cs="FrankRuehl" w:hint="cs"/>
          <w:spacing w:val="10"/>
          <w:sz w:val="22"/>
          <w:szCs w:val="28"/>
          <w:rtl/>
        </w:rPr>
        <w:t>בגזר דינו התייחס בית משפט השלום להתחייבותו של דרעי בהקשר זה וציין</w:t>
      </w:r>
      <w:r w:rsidRPr="007B04E0">
        <w:rPr>
          <w:rFonts w:ascii="Century" w:hAnsi="Century" w:cs="FrankRuehl" w:hint="cs"/>
          <w:spacing w:val="10"/>
          <w:sz w:val="22"/>
          <w:szCs w:val="28"/>
          <w:rtl/>
        </w:rPr>
        <w:t>:</w:t>
      </w:r>
    </w:p>
    <w:p w14:paraId="7FDD60EB" w14:textId="77777777" w:rsidR="0040186B" w:rsidRPr="007B04E0" w:rsidRDefault="0040186B" w:rsidP="00C634DC">
      <w:pPr>
        <w:pStyle w:val="Ruller5"/>
        <w:rPr>
          <w:rtl/>
        </w:rPr>
      </w:pPr>
      <w:r w:rsidRPr="007B04E0">
        <w:rPr>
          <w:rFonts w:hint="cs"/>
          <w:rtl/>
        </w:rPr>
        <w:t>"</w:t>
      </w:r>
      <w:r w:rsidRPr="007B04E0">
        <w:rPr>
          <w:rtl/>
        </w:rPr>
        <w:t>הודעת ההסדר מלמדת כי הנאשם החליט להתפטר מכנסת ישראל. על פניו, מדובר בהודעה אשר אינה קשורה להליך הפלילי, אין בה כדי ללמד על סנקציה פלילית כזו או אחרת המהווה חלק מהסדר הטיעון ועניין זה מעלה תמיהה – מדוע אם כן, נכתב סעיף זה ומה הוא בא ללמדנו?</w:t>
      </w:r>
    </w:p>
    <w:p w14:paraId="6ADC2489" w14:textId="77777777" w:rsidR="0040186B" w:rsidRPr="007B04E0" w:rsidRDefault="0040186B" w:rsidP="00C634DC">
      <w:pPr>
        <w:pStyle w:val="Ruller5"/>
        <w:rPr>
          <w:rtl/>
        </w:rPr>
      </w:pPr>
    </w:p>
    <w:p w14:paraId="1A727DB4" w14:textId="77777777" w:rsidR="0040186B" w:rsidRPr="007B04E0" w:rsidRDefault="0040186B" w:rsidP="00C634DC">
      <w:pPr>
        <w:pStyle w:val="Ruller5"/>
        <w:rPr>
          <w:rtl/>
        </w:rPr>
      </w:pPr>
      <w:r w:rsidRPr="007B04E0">
        <w:rPr>
          <w:rtl/>
        </w:rPr>
        <w:t>אלא, שמדובר בנסיבה חשובה הבאה ללמד שתי נקודות חשובות אודות הנאשם.</w:t>
      </w:r>
    </w:p>
    <w:p w14:paraId="354D2574" w14:textId="77777777" w:rsidR="0040186B" w:rsidRPr="007B04E0" w:rsidRDefault="0040186B" w:rsidP="00C634DC">
      <w:pPr>
        <w:pStyle w:val="Ruller5"/>
        <w:rPr>
          <w:rtl/>
        </w:rPr>
      </w:pPr>
      <w:r w:rsidRPr="007B04E0">
        <w:rPr>
          <w:rtl/>
        </w:rPr>
        <w:t xml:space="preserve"> </w:t>
      </w:r>
    </w:p>
    <w:p w14:paraId="6BA29C6B" w14:textId="77777777" w:rsidR="0040186B" w:rsidRPr="007B04E0" w:rsidRDefault="0040186B" w:rsidP="00C634DC">
      <w:pPr>
        <w:pStyle w:val="Ruller5"/>
        <w:rPr>
          <w:rtl/>
        </w:rPr>
      </w:pPr>
      <w:r w:rsidRPr="007B04E0">
        <w:rPr>
          <w:rtl/>
        </w:rPr>
        <w:t xml:space="preserve">הראשונה, הנאשם, איש ציבור מזה כשנים רבות, </w:t>
      </w:r>
      <w:r w:rsidRPr="007B04E0">
        <w:rPr>
          <w:rFonts w:ascii="Century" w:hAnsi="Century" w:cs="Miriam"/>
          <w:b/>
          <w:spacing w:val="0"/>
          <w:szCs w:val="24"/>
          <w:rtl/>
        </w:rPr>
        <w:t>מדיר עצמו מעתה מרצון מעיסוק בצרכי ציבור</w:t>
      </w:r>
      <w:r w:rsidRPr="007B04E0">
        <w:rPr>
          <w:rtl/>
        </w:rPr>
        <w:t>. שיקוליו הרחבים אינם פרושים בפניי, אך נדמה כי תולדות חייו מלמדים כי הוא ראה בהיותו נבחר ציבור ייעוד ודרך חיים, וכעת נוכח התיק דנן ואישומיו – הרי שהוא מוותר על כך, וזאת מרצונו.</w:t>
      </w:r>
      <w:r w:rsidRPr="007B04E0">
        <w:rPr>
          <w:rFonts w:hint="cs"/>
          <w:rtl/>
        </w:rPr>
        <w:t xml:space="preserve"> </w:t>
      </w:r>
      <w:r w:rsidRPr="007B04E0">
        <w:rPr>
          <w:rtl/>
        </w:rPr>
        <w:t xml:space="preserve">אין זה קורבן קל למי שמיצב עצמו כשליח ציבור בעשורים האחרונים ונדמה כי המאשימה עצמה רומזת על כי היא רואה בכך חלק מן העונש אשר אותו הטיל הנאשם על עצמו. </w:t>
      </w:r>
    </w:p>
    <w:p w14:paraId="5857A76F" w14:textId="77777777" w:rsidR="0040186B" w:rsidRPr="007B04E0" w:rsidRDefault="0040186B" w:rsidP="00C634DC">
      <w:pPr>
        <w:pStyle w:val="Ruller5"/>
        <w:rPr>
          <w:rtl/>
        </w:rPr>
      </w:pPr>
    </w:p>
    <w:p w14:paraId="35BF4330" w14:textId="77777777" w:rsidR="0040186B" w:rsidRPr="007B04E0" w:rsidRDefault="0040186B" w:rsidP="00C634DC">
      <w:pPr>
        <w:pStyle w:val="Ruller5"/>
        <w:rPr>
          <w:rtl/>
        </w:rPr>
      </w:pPr>
      <w:r w:rsidRPr="007B04E0">
        <w:rPr>
          <w:rtl/>
        </w:rPr>
        <w:t xml:space="preserve">הנקודה השנייה, הינה מניעתית בטיבה. כל החושש מן הנאשם ומפגיעתו בקופה הציבורית ויטען כי קיימת בו מסוכנות בכל הכרוך במשאו ובמתנו בענייני ממון הרבים או היחיד - יוכל למצוא מנוח לחשש זה </w:t>
      </w:r>
      <w:r w:rsidRPr="007B04E0">
        <w:rPr>
          <w:rFonts w:ascii="Century" w:hAnsi="Century" w:cs="Miriam"/>
          <w:b/>
          <w:spacing w:val="0"/>
          <w:szCs w:val="24"/>
          <w:rtl/>
        </w:rPr>
        <w:t>ולומר בוודאות כי הנאשם לא ייגע עוד בצרכי ציבור הכורכים בתוכם עיסוק כלכלי, וזאת בשל התרחקותו מהזירה הציבורית</w:t>
      </w:r>
      <w:r w:rsidRPr="007B04E0">
        <w:rPr>
          <w:rFonts w:hint="cs"/>
          <w:rtl/>
        </w:rPr>
        <w:t>"</w:t>
      </w:r>
      <w:r w:rsidRPr="007B04E0">
        <w:rPr>
          <w:rtl/>
        </w:rPr>
        <w:t xml:space="preserve">. </w:t>
      </w:r>
      <w:r w:rsidRPr="007B04E0">
        <w:rPr>
          <w:rFonts w:hint="cs"/>
          <w:rtl/>
        </w:rPr>
        <w:t>(ההדגשות הוספו).</w:t>
      </w:r>
    </w:p>
    <w:p w14:paraId="05815791" w14:textId="77777777" w:rsidR="0040186B" w:rsidRPr="007B04E0" w:rsidRDefault="0040186B" w:rsidP="00C634DC">
      <w:pPr>
        <w:pStyle w:val="ruller44"/>
        <w:bidi/>
        <w:spacing w:before="0" w:beforeAutospacing="0" w:after="0" w:afterAutospacing="0" w:line="360" w:lineRule="auto"/>
        <w:jc w:val="both"/>
        <w:rPr>
          <w:rFonts w:ascii="Century" w:hAnsi="Century" w:cs="FrankRuehl"/>
          <w:spacing w:val="10"/>
          <w:sz w:val="22"/>
          <w:szCs w:val="28"/>
          <w:rtl/>
        </w:rPr>
      </w:pPr>
      <w:r w:rsidRPr="007B04E0">
        <w:rPr>
          <w:rFonts w:ascii="Century" w:hAnsi="Century" w:cs="FrankRuehl"/>
          <w:spacing w:val="10"/>
          <w:sz w:val="22"/>
          <w:szCs w:val="28"/>
          <w:rtl/>
        </w:rPr>
        <w:tab/>
      </w:r>
    </w:p>
    <w:p w14:paraId="4E0901F5" w14:textId="77777777" w:rsidR="0040186B" w:rsidRPr="007B04E0" w:rsidRDefault="0040186B" w:rsidP="00491822">
      <w:pPr>
        <w:pStyle w:val="ruller44"/>
        <w:bidi/>
        <w:spacing w:before="0" w:beforeAutospacing="0" w:after="0" w:afterAutospacing="0" w:line="360" w:lineRule="auto"/>
        <w:ind w:firstLine="720"/>
        <w:jc w:val="both"/>
        <w:rPr>
          <w:rFonts w:ascii="Century" w:hAnsi="Century" w:cs="FrankRuehl"/>
          <w:spacing w:val="10"/>
          <w:sz w:val="22"/>
          <w:szCs w:val="28"/>
          <w:rtl/>
        </w:rPr>
      </w:pPr>
      <w:r w:rsidRPr="007B04E0">
        <w:rPr>
          <w:rFonts w:ascii="Century" w:hAnsi="Century" w:cs="FrankRuehl" w:hint="cs"/>
          <w:spacing w:val="10"/>
          <w:sz w:val="22"/>
          <w:szCs w:val="28"/>
          <w:rtl/>
        </w:rPr>
        <w:t xml:space="preserve">קביעות אלה מלמדות כי בית המשפט </w:t>
      </w:r>
      <w:r>
        <w:rPr>
          <w:rFonts w:ascii="Century" w:hAnsi="Century" w:cs="FrankRuehl" w:hint="cs"/>
          <w:spacing w:val="10"/>
          <w:sz w:val="22"/>
          <w:szCs w:val="28"/>
          <w:rtl/>
        </w:rPr>
        <w:t>הבין</w:t>
      </w:r>
      <w:r w:rsidRPr="007B04E0">
        <w:rPr>
          <w:rFonts w:ascii="Century" w:hAnsi="Century" w:cs="FrankRuehl" w:hint="cs"/>
          <w:spacing w:val="10"/>
          <w:sz w:val="22"/>
          <w:szCs w:val="28"/>
          <w:rtl/>
        </w:rPr>
        <w:t xml:space="preserve"> את התחייבותו של דרעי כהתחייבות </w:t>
      </w:r>
      <w:r>
        <w:rPr>
          <w:rFonts w:ascii="Century" w:hAnsi="Century" w:cs="FrankRuehl" w:hint="cs"/>
          <w:spacing w:val="10"/>
          <w:sz w:val="22"/>
          <w:szCs w:val="28"/>
          <w:rtl/>
        </w:rPr>
        <w:t>לפרוש</w:t>
      </w:r>
      <w:r w:rsidRPr="007B04E0">
        <w:rPr>
          <w:rFonts w:ascii="Century" w:hAnsi="Century" w:cs="FrankRuehl" w:hint="cs"/>
          <w:spacing w:val="10"/>
          <w:sz w:val="22"/>
          <w:szCs w:val="28"/>
          <w:rtl/>
        </w:rPr>
        <w:t xml:space="preserve"> לצמיתות מהחיים הפוליטיים</w:t>
      </w:r>
      <w:r>
        <w:rPr>
          <w:rFonts w:ascii="Century" w:hAnsi="Century" w:cs="FrankRuehl" w:hint="cs"/>
          <w:spacing w:val="10"/>
          <w:sz w:val="22"/>
          <w:szCs w:val="28"/>
          <w:rtl/>
        </w:rPr>
        <w:t xml:space="preserve"> ואין לתמוה על כך בהינתן האופן שבו הוצגו הדברים בפניו</w:t>
      </w:r>
      <w:r w:rsidRPr="007B04E0">
        <w:rPr>
          <w:rFonts w:ascii="Century" w:hAnsi="Century" w:cs="FrankRuehl" w:hint="cs"/>
          <w:spacing w:val="10"/>
          <w:sz w:val="22"/>
          <w:szCs w:val="28"/>
          <w:rtl/>
        </w:rPr>
        <w:t xml:space="preserve">. בית משפט השלום </w:t>
      </w:r>
      <w:r>
        <w:rPr>
          <w:rFonts w:ascii="Century" w:hAnsi="Century" w:cs="FrankRuehl" w:hint="cs"/>
          <w:spacing w:val="10"/>
          <w:sz w:val="22"/>
          <w:szCs w:val="28"/>
          <w:rtl/>
        </w:rPr>
        <w:t>אף הדגיש מפורשות כי</w:t>
      </w:r>
      <w:r w:rsidRPr="007B04E0">
        <w:rPr>
          <w:rFonts w:ascii="Century" w:hAnsi="Century" w:cs="FrankRuehl" w:hint="cs"/>
          <w:spacing w:val="10"/>
          <w:sz w:val="22"/>
          <w:szCs w:val="28"/>
          <w:rtl/>
        </w:rPr>
        <w:t xml:space="preserve"> פרישתו של דרעי מן החיים הפוליטיים </w:t>
      </w:r>
      <w:r>
        <w:rPr>
          <w:rFonts w:ascii="Century" w:hAnsi="Century" w:cs="FrankRuehl" w:hint="cs"/>
          <w:spacing w:val="10"/>
          <w:sz w:val="22"/>
          <w:szCs w:val="28"/>
          <w:rtl/>
        </w:rPr>
        <w:t xml:space="preserve">מהווה מבחינתו </w:t>
      </w:r>
      <w:r w:rsidRPr="007B04E0">
        <w:rPr>
          <w:rFonts w:ascii="Century" w:hAnsi="Century" w:cs="FrankRuehl" w:hint="cs"/>
          <w:spacing w:val="10"/>
          <w:sz w:val="22"/>
          <w:szCs w:val="28"/>
          <w:rtl/>
        </w:rPr>
        <w:t>שיקול רלוונטי</w:t>
      </w:r>
      <w:r>
        <w:rPr>
          <w:rFonts w:ascii="Century" w:hAnsi="Century" w:cs="FrankRuehl" w:hint="cs"/>
          <w:spacing w:val="10"/>
          <w:sz w:val="22"/>
          <w:szCs w:val="28"/>
          <w:rtl/>
        </w:rPr>
        <w:t xml:space="preserve"> במניין השיקולים ששקל</w:t>
      </w:r>
      <w:r w:rsidRPr="007B04E0">
        <w:rPr>
          <w:rFonts w:ascii="Century" w:hAnsi="Century" w:cs="FrankRuehl" w:hint="cs"/>
          <w:spacing w:val="10"/>
          <w:sz w:val="22"/>
          <w:szCs w:val="28"/>
          <w:rtl/>
        </w:rPr>
        <w:t xml:space="preserve"> </w:t>
      </w:r>
      <w:r>
        <w:rPr>
          <w:rFonts w:ascii="Century" w:hAnsi="Century" w:cs="FrankRuehl" w:hint="cs"/>
          <w:spacing w:val="10"/>
          <w:sz w:val="22"/>
          <w:szCs w:val="28"/>
          <w:rtl/>
        </w:rPr>
        <w:t xml:space="preserve">לזכותו </w:t>
      </w:r>
      <w:r w:rsidRPr="007B04E0">
        <w:rPr>
          <w:rFonts w:ascii="Century" w:hAnsi="Century" w:cs="FrankRuehl" w:hint="cs"/>
          <w:spacing w:val="10"/>
          <w:sz w:val="22"/>
          <w:szCs w:val="28"/>
          <w:rtl/>
        </w:rPr>
        <w:t>בגזר הדין</w:t>
      </w:r>
      <w:r>
        <w:rPr>
          <w:rFonts w:ascii="Century" w:hAnsi="Century" w:cs="FrankRuehl" w:hint="cs"/>
          <w:spacing w:val="10"/>
          <w:sz w:val="22"/>
          <w:szCs w:val="28"/>
          <w:rtl/>
        </w:rPr>
        <w:t xml:space="preserve">. </w:t>
      </w:r>
      <w:r w:rsidR="00922DB5">
        <w:rPr>
          <w:rFonts w:ascii="Century" w:hAnsi="Century" w:cs="FrankRuehl" w:hint="cs"/>
          <w:spacing w:val="10"/>
          <w:sz w:val="22"/>
          <w:szCs w:val="28"/>
          <w:rtl/>
        </w:rPr>
        <w:t xml:space="preserve">נדמה כי </w:t>
      </w:r>
      <w:r>
        <w:rPr>
          <w:rFonts w:ascii="Century" w:hAnsi="Century" w:cs="FrankRuehl" w:hint="cs"/>
          <w:spacing w:val="10"/>
          <w:sz w:val="22"/>
          <w:szCs w:val="28"/>
          <w:rtl/>
        </w:rPr>
        <w:t xml:space="preserve">הוא לא ראה לנגד עיניו בגוזרו את הדין תרחיש שבו דרעי שב </w:t>
      </w:r>
      <w:r>
        <w:rPr>
          <w:rFonts w:ascii="Century" w:hAnsi="Century" w:cs="FrankRuehl"/>
          <w:spacing w:val="10"/>
          <w:sz w:val="22"/>
          <w:szCs w:val="28"/>
          <w:rtl/>
        </w:rPr>
        <w:t>–</w:t>
      </w:r>
      <w:r>
        <w:rPr>
          <w:rFonts w:ascii="Century" w:hAnsi="Century" w:cs="FrankRuehl" w:hint="cs"/>
          <w:spacing w:val="10"/>
          <w:sz w:val="22"/>
          <w:szCs w:val="28"/>
          <w:rtl/>
        </w:rPr>
        <w:t xml:space="preserve"> ודאי לא בתוך תקופה כה קצרה </w:t>
      </w:r>
      <w:r>
        <w:rPr>
          <w:rFonts w:ascii="Century" w:hAnsi="Century" w:cs="FrankRuehl"/>
          <w:spacing w:val="10"/>
          <w:sz w:val="22"/>
          <w:szCs w:val="28"/>
          <w:rtl/>
        </w:rPr>
        <w:t>–</w:t>
      </w:r>
      <w:r>
        <w:rPr>
          <w:rFonts w:ascii="Century" w:hAnsi="Century" w:cs="FrankRuehl" w:hint="cs"/>
          <w:spacing w:val="10"/>
          <w:sz w:val="22"/>
          <w:szCs w:val="28"/>
          <w:rtl/>
        </w:rPr>
        <w:t xml:space="preserve"> לתפקיד שלטוני בכיר (השוו ל</w:t>
      </w:r>
      <w:r w:rsidRPr="007B04E0">
        <w:rPr>
          <w:rFonts w:ascii="Century" w:hAnsi="Century" w:cs="FrankRuehl" w:hint="eastAsia"/>
          <w:spacing w:val="10"/>
          <w:sz w:val="22"/>
          <w:szCs w:val="28"/>
          <w:rtl/>
        </w:rPr>
        <w:t>עניין</w:t>
      </w:r>
      <w:r w:rsidRPr="007B04E0">
        <w:rPr>
          <w:rFonts w:ascii="Century" w:hAnsi="Century" w:cs="FrankRuehl"/>
          <w:spacing w:val="10"/>
          <w:sz w:val="22"/>
          <w:szCs w:val="28"/>
          <w:rtl/>
        </w:rPr>
        <w:t xml:space="preserve"> </w:t>
      </w:r>
      <w:r w:rsidRPr="007B04E0">
        <w:rPr>
          <w:rFonts w:ascii="Miriam" w:hAnsi="Miriam" w:cs="Miriam" w:hint="eastAsia"/>
          <w:spacing w:val="10"/>
          <w:sz w:val="21"/>
          <w:rtl/>
        </w:rPr>
        <w:t>אמונה</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בעמ</w:t>
      </w:r>
      <w:r w:rsidRPr="007B04E0">
        <w:rPr>
          <w:rFonts w:ascii="Century" w:hAnsi="Century" w:cs="FrankRuehl"/>
          <w:spacing w:val="10"/>
          <w:sz w:val="22"/>
          <w:szCs w:val="28"/>
          <w:rtl/>
        </w:rPr>
        <w:t xml:space="preserve">' </w:t>
      </w:r>
      <w:r w:rsidR="006954D5">
        <w:rPr>
          <w:rFonts w:ascii="Century" w:hAnsi="Century" w:cs="FrankRuehl" w:hint="cs"/>
          <w:spacing w:val="10"/>
          <w:sz w:val="22"/>
          <w:szCs w:val="28"/>
          <w:rtl/>
        </w:rPr>
        <w:t>483-482</w:t>
      </w:r>
      <w:r w:rsidRPr="007B04E0">
        <w:rPr>
          <w:rFonts w:ascii="Century" w:hAnsi="Century" w:cs="FrankRuehl"/>
          <w:spacing w:val="10"/>
          <w:sz w:val="22"/>
          <w:szCs w:val="28"/>
          <w:rtl/>
        </w:rPr>
        <w:t xml:space="preserve">; </w:t>
      </w:r>
      <w:r>
        <w:rPr>
          <w:rFonts w:ascii="Century" w:hAnsi="Century" w:cs="FrankRuehl" w:hint="cs"/>
          <w:spacing w:val="10"/>
          <w:sz w:val="22"/>
          <w:szCs w:val="28"/>
          <w:rtl/>
        </w:rPr>
        <w:t>ו</w:t>
      </w:r>
      <w:r w:rsidRPr="007B04E0">
        <w:rPr>
          <w:rFonts w:ascii="Century" w:hAnsi="Century" w:cs="FrankRuehl" w:hint="eastAsia"/>
          <w:spacing w:val="10"/>
          <w:sz w:val="22"/>
          <w:szCs w:val="28"/>
          <w:rtl/>
        </w:rPr>
        <w:t>עניין</w:t>
      </w:r>
      <w:r w:rsidRPr="007B04E0">
        <w:rPr>
          <w:rFonts w:ascii="Century" w:hAnsi="Century" w:cs="FrankRuehl"/>
          <w:spacing w:val="10"/>
          <w:sz w:val="22"/>
          <w:szCs w:val="28"/>
          <w:rtl/>
        </w:rPr>
        <w:t xml:space="preserve"> </w:t>
      </w:r>
      <w:r w:rsidRPr="007B04E0">
        <w:rPr>
          <w:rFonts w:ascii="Miriam" w:hAnsi="Miriam" w:cs="Miriam" w:hint="eastAsia"/>
          <w:spacing w:val="10"/>
          <w:sz w:val="21"/>
          <w:rtl/>
        </w:rPr>
        <w:t>הנגבי</w:t>
      </w:r>
      <w:r w:rsidRPr="007B04E0">
        <w:rPr>
          <w:rFonts w:ascii="Miriam" w:hAnsi="Miriam" w:cs="Miriam"/>
          <w:spacing w:val="10"/>
          <w:sz w:val="21"/>
          <w:rtl/>
        </w:rPr>
        <w:t xml:space="preserve"> 2015</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בפסקה</w:t>
      </w:r>
      <w:r w:rsidRPr="007B04E0">
        <w:rPr>
          <w:rFonts w:ascii="Century" w:hAnsi="Century" w:cs="FrankRuehl"/>
          <w:spacing w:val="10"/>
          <w:sz w:val="22"/>
          <w:szCs w:val="28"/>
          <w:rtl/>
        </w:rPr>
        <w:t xml:space="preserve"> </w:t>
      </w:r>
      <w:r w:rsidRPr="007B04E0">
        <w:rPr>
          <w:rFonts w:ascii="Century" w:hAnsi="Century" w:cs="FrankRuehl" w:hint="cs"/>
          <w:spacing w:val="10"/>
          <w:sz w:val="22"/>
          <w:szCs w:val="28"/>
          <w:rtl/>
        </w:rPr>
        <w:t>32</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לחוות</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דעתו</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של</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הנשיא</w:t>
      </w:r>
      <w:r w:rsidRPr="007B04E0">
        <w:rPr>
          <w:rFonts w:ascii="Century" w:hAnsi="Century" w:cs="FrankRuehl"/>
          <w:spacing w:val="10"/>
          <w:sz w:val="22"/>
          <w:szCs w:val="28"/>
          <w:rtl/>
        </w:rPr>
        <w:t xml:space="preserve"> (</w:t>
      </w:r>
      <w:r w:rsidRPr="007B04E0">
        <w:rPr>
          <w:rFonts w:ascii="Century" w:hAnsi="Century" w:cs="FrankRuehl" w:hint="eastAsia"/>
          <w:spacing w:val="10"/>
          <w:sz w:val="22"/>
          <w:szCs w:val="28"/>
          <w:rtl/>
        </w:rPr>
        <w:t>בדימ</w:t>
      </w:r>
      <w:r w:rsidRPr="007B04E0">
        <w:rPr>
          <w:rFonts w:ascii="Century" w:hAnsi="Century" w:cs="FrankRuehl"/>
          <w:spacing w:val="10"/>
          <w:sz w:val="22"/>
          <w:szCs w:val="28"/>
          <w:rtl/>
        </w:rPr>
        <w:t xml:space="preserve">') </w:t>
      </w:r>
      <w:r w:rsidRPr="007B04E0">
        <w:rPr>
          <w:rFonts w:ascii="Miriam" w:hAnsi="Miriam" w:cs="Miriam" w:hint="eastAsia"/>
          <w:spacing w:val="10"/>
          <w:sz w:val="21"/>
          <w:rtl/>
        </w:rPr>
        <w:t>גרוניס</w:t>
      </w:r>
      <w:r w:rsidRPr="007B04E0">
        <w:rPr>
          <w:rFonts w:ascii="Century" w:hAnsi="Century" w:cs="FrankRuehl" w:hint="cs"/>
          <w:spacing w:val="10"/>
          <w:sz w:val="22"/>
          <w:szCs w:val="28"/>
          <w:rtl/>
        </w:rPr>
        <w:t xml:space="preserve">). </w:t>
      </w:r>
    </w:p>
    <w:p w14:paraId="4A9CFB41" w14:textId="77777777" w:rsidR="0040186B" w:rsidRDefault="0040186B" w:rsidP="00C634DC">
      <w:pPr>
        <w:pStyle w:val="ruller44"/>
        <w:bidi/>
        <w:spacing w:before="0" w:beforeAutospacing="0" w:after="0" w:afterAutospacing="0" w:line="360" w:lineRule="auto"/>
        <w:ind w:firstLine="720"/>
        <w:jc w:val="both"/>
        <w:rPr>
          <w:rFonts w:ascii="Century" w:hAnsi="Century" w:cs="FrankRuehl"/>
          <w:spacing w:val="10"/>
          <w:sz w:val="22"/>
          <w:szCs w:val="28"/>
          <w:rtl/>
        </w:rPr>
      </w:pPr>
    </w:p>
    <w:p w14:paraId="035FD1FF" w14:textId="77777777" w:rsidR="00636252" w:rsidRDefault="00636252" w:rsidP="00636252">
      <w:pPr>
        <w:pStyle w:val="ruller44"/>
        <w:bidi/>
        <w:spacing w:before="0" w:beforeAutospacing="0" w:after="0" w:afterAutospacing="0" w:line="360" w:lineRule="auto"/>
        <w:ind w:firstLine="720"/>
        <w:jc w:val="both"/>
        <w:rPr>
          <w:rFonts w:ascii="Century" w:hAnsi="Century" w:cs="FrankRuehl"/>
          <w:spacing w:val="10"/>
          <w:sz w:val="22"/>
          <w:szCs w:val="28"/>
          <w:rtl/>
        </w:rPr>
      </w:pPr>
    </w:p>
    <w:p w14:paraId="0E07CDE6" w14:textId="77777777" w:rsidR="00636252" w:rsidRDefault="00636252" w:rsidP="00636252">
      <w:pPr>
        <w:pStyle w:val="ruller44"/>
        <w:bidi/>
        <w:spacing w:before="0" w:beforeAutospacing="0" w:after="0" w:afterAutospacing="0" w:line="360" w:lineRule="auto"/>
        <w:ind w:firstLine="720"/>
        <w:jc w:val="both"/>
        <w:rPr>
          <w:rFonts w:ascii="Century" w:hAnsi="Century" w:cs="FrankRuehl"/>
          <w:spacing w:val="10"/>
          <w:sz w:val="22"/>
          <w:szCs w:val="28"/>
          <w:rtl/>
        </w:rPr>
      </w:pPr>
    </w:p>
    <w:p w14:paraId="5C72B51D" w14:textId="77777777" w:rsidR="00636252" w:rsidRPr="007B04E0" w:rsidRDefault="00636252" w:rsidP="00636252">
      <w:pPr>
        <w:pStyle w:val="ruller44"/>
        <w:bidi/>
        <w:spacing w:before="0" w:beforeAutospacing="0" w:after="0" w:afterAutospacing="0" w:line="360" w:lineRule="auto"/>
        <w:ind w:firstLine="720"/>
        <w:jc w:val="both"/>
        <w:rPr>
          <w:rFonts w:ascii="Century" w:hAnsi="Century" w:cs="FrankRuehl"/>
          <w:spacing w:val="10"/>
          <w:sz w:val="22"/>
          <w:szCs w:val="28"/>
          <w:rtl/>
        </w:rPr>
      </w:pPr>
    </w:p>
    <w:p w14:paraId="379AFB18" w14:textId="77777777" w:rsidR="0040186B" w:rsidRPr="007B04E0" w:rsidRDefault="0040186B" w:rsidP="0082655D">
      <w:pPr>
        <w:pStyle w:val="ruller44"/>
        <w:numPr>
          <w:ilvl w:val="0"/>
          <w:numId w:val="11"/>
        </w:numPr>
        <w:bidi/>
        <w:spacing w:before="0" w:beforeAutospacing="0" w:after="0" w:afterAutospacing="0" w:line="360" w:lineRule="auto"/>
        <w:jc w:val="both"/>
        <w:rPr>
          <w:rFonts w:ascii="Century" w:hAnsi="Century" w:cs="FrankRuehl"/>
          <w:spacing w:val="10"/>
          <w:sz w:val="22"/>
          <w:szCs w:val="28"/>
        </w:rPr>
      </w:pPr>
      <w:r w:rsidRPr="007B04E0">
        <w:rPr>
          <w:rFonts w:ascii="Century" w:hAnsi="Century" w:cs="FrankRuehl" w:hint="cs"/>
          <w:spacing w:val="10"/>
          <w:sz w:val="22"/>
          <w:szCs w:val="28"/>
          <w:rtl/>
        </w:rPr>
        <w:t>במהלך הדיון שהתקיים בפנינו ביום 5.1.2023, טען בא כוחו של דרעי כי</w:t>
      </w:r>
      <w:r>
        <w:rPr>
          <w:rFonts w:ascii="Century" w:hAnsi="Century" w:cs="FrankRuehl" w:hint="cs"/>
          <w:spacing w:val="10"/>
          <w:sz w:val="22"/>
          <w:szCs w:val="28"/>
          <w:rtl/>
        </w:rPr>
        <w:t xml:space="preserve"> האופן שבו פירש בית משפט השלום את </w:t>
      </w:r>
      <w:r w:rsidRPr="007B04E0">
        <w:rPr>
          <w:rFonts w:ascii="Century" w:hAnsi="Century" w:cs="FrankRuehl" w:hint="cs"/>
          <w:spacing w:val="10"/>
          <w:sz w:val="22"/>
          <w:szCs w:val="28"/>
          <w:rtl/>
        </w:rPr>
        <w:t xml:space="preserve">התחייבותו של דרעי </w:t>
      </w:r>
      <w:r>
        <w:rPr>
          <w:rFonts w:ascii="Century" w:hAnsi="Century" w:cs="FrankRuehl" w:hint="cs"/>
          <w:spacing w:val="10"/>
          <w:sz w:val="22"/>
          <w:szCs w:val="28"/>
          <w:rtl/>
        </w:rPr>
        <w:t>בגוזרו את הדין</w:t>
      </w:r>
      <w:r w:rsidRPr="007B04E0">
        <w:rPr>
          <w:rFonts w:ascii="Century" w:hAnsi="Century" w:cs="FrankRuehl" w:hint="cs"/>
          <w:spacing w:val="10"/>
          <w:sz w:val="22"/>
          <w:szCs w:val="28"/>
          <w:rtl/>
        </w:rPr>
        <w:t xml:space="preserve"> </w:t>
      </w:r>
      <w:r>
        <w:rPr>
          <w:rFonts w:ascii="Century" w:hAnsi="Century" w:cs="FrankRuehl" w:hint="cs"/>
          <w:spacing w:val="10"/>
          <w:sz w:val="22"/>
          <w:szCs w:val="28"/>
          <w:rtl/>
        </w:rPr>
        <w:t>ב</w:t>
      </w:r>
      <w:r w:rsidRPr="007B04E0">
        <w:rPr>
          <w:rFonts w:ascii="Century" w:hAnsi="Century" w:cs="FrankRuehl" w:hint="cs"/>
          <w:spacing w:val="10"/>
          <w:sz w:val="22"/>
          <w:szCs w:val="28"/>
          <w:rtl/>
        </w:rPr>
        <w:t xml:space="preserve">עבירות המס </w:t>
      </w:r>
      <w:r>
        <w:rPr>
          <w:rFonts w:ascii="Century" w:hAnsi="Century" w:cs="FrankRuehl" w:hint="cs"/>
          <w:spacing w:val="10"/>
          <w:sz w:val="22"/>
          <w:szCs w:val="28"/>
          <w:rtl/>
        </w:rPr>
        <w:t>מקורה</w:t>
      </w:r>
      <w:r w:rsidRPr="007B04E0">
        <w:rPr>
          <w:rFonts w:ascii="Century" w:hAnsi="Century" w:cs="FrankRuehl" w:hint="cs"/>
          <w:spacing w:val="10"/>
          <w:sz w:val="22"/>
          <w:szCs w:val="28"/>
          <w:rtl/>
        </w:rPr>
        <w:t xml:space="preserve"> </w:t>
      </w:r>
      <w:r>
        <w:rPr>
          <w:rFonts w:ascii="Century" w:hAnsi="Century" w:cs="FrankRuehl" w:hint="cs"/>
          <w:spacing w:val="10"/>
          <w:sz w:val="22"/>
          <w:szCs w:val="28"/>
          <w:rtl/>
        </w:rPr>
        <w:t>ב</w:t>
      </w:r>
      <w:r w:rsidRPr="007B04E0">
        <w:rPr>
          <w:rFonts w:ascii="Century" w:hAnsi="Century" w:cs="FrankRuehl" w:hint="cs"/>
          <w:spacing w:val="10"/>
          <w:sz w:val="22"/>
          <w:szCs w:val="28"/>
          <w:rtl/>
        </w:rPr>
        <w:t xml:space="preserve">"אי הבנה" מצערת (עמ' 24, שורות 11-10 לפרוטוקול הדיון מיום 5.1.2023). </w:t>
      </w:r>
      <w:r>
        <w:rPr>
          <w:rFonts w:ascii="Century" w:hAnsi="Century" w:cs="FrankRuehl" w:hint="cs"/>
          <w:spacing w:val="10"/>
          <w:sz w:val="22"/>
          <w:szCs w:val="28"/>
          <w:rtl/>
        </w:rPr>
        <w:t xml:space="preserve">זוהי טענה תמוהה למדי. מכל מקום, </w:t>
      </w:r>
      <w:r w:rsidRPr="007B04E0">
        <w:rPr>
          <w:rFonts w:ascii="Century" w:hAnsi="Century" w:cs="FrankRuehl" w:hint="cs"/>
          <w:spacing w:val="10"/>
          <w:sz w:val="22"/>
          <w:szCs w:val="28"/>
          <w:rtl/>
        </w:rPr>
        <w:t>בנסיבות שתוארו לעיל, מקובלת עליי טענת העותרים לפיה האמירות שנשמעו במהלך הדיון</w:t>
      </w:r>
      <w:r w:rsidR="0082655D">
        <w:rPr>
          <w:rFonts w:ascii="Century" w:hAnsi="Century" w:cs="FrankRuehl" w:hint="cs"/>
          <w:spacing w:val="10"/>
          <w:sz w:val="22"/>
          <w:szCs w:val="28"/>
          <w:rtl/>
        </w:rPr>
        <w:t xml:space="preserve"> היוו בבירור</w:t>
      </w:r>
      <w:r>
        <w:rPr>
          <w:rFonts w:ascii="Century" w:hAnsi="Century" w:cs="FrankRuehl" w:hint="cs"/>
          <w:spacing w:val="10"/>
          <w:sz w:val="22"/>
          <w:szCs w:val="28"/>
          <w:rtl/>
        </w:rPr>
        <w:t xml:space="preserve"> </w:t>
      </w:r>
      <w:r>
        <w:rPr>
          <w:rFonts w:ascii="Century" w:hAnsi="Century" w:cs="FrankRuehl"/>
          <w:spacing w:val="10"/>
          <w:sz w:val="22"/>
          <w:szCs w:val="28"/>
          <w:rtl/>
        </w:rPr>
        <w:t>–</w:t>
      </w:r>
      <w:r>
        <w:rPr>
          <w:rFonts w:ascii="Century" w:hAnsi="Century" w:cs="FrankRuehl" w:hint="cs"/>
          <w:spacing w:val="10"/>
          <w:sz w:val="22"/>
          <w:szCs w:val="28"/>
          <w:rtl/>
        </w:rPr>
        <w:t xml:space="preserve"> בין אם </w:t>
      </w:r>
      <w:r w:rsidR="0082655D">
        <w:rPr>
          <w:rFonts w:ascii="Century" w:hAnsi="Century" w:cs="FrankRuehl" w:hint="cs"/>
          <w:spacing w:val="10"/>
          <w:sz w:val="22"/>
          <w:szCs w:val="28"/>
          <w:rtl/>
        </w:rPr>
        <w:t xml:space="preserve">מחמת </w:t>
      </w:r>
      <w:r>
        <w:rPr>
          <w:rFonts w:ascii="Century" w:hAnsi="Century" w:cs="FrankRuehl" w:hint="cs"/>
          <w:spacing w:val="10"/>
          <w:sz w:val="22"/>
          <w:szCs w:val="28"/>
          <w:rtl/>
        </w:rPr>
        <w:t xml:space="preserve">אי-הבנה ובין אם לאו </w:t>
      </w:r>
      <w:r>
        <w:rPr>
          <w:rFonts w:ascii="Century" w:hAnsi="Century" w:cs="FrankRuehl"/>
          <w:spacing w:val="10"/>
          <w:sz w:val="22"/>
          <w:szCs w:val="28"/>
          <w:rtl/>
        </w:rPr>
        <w:t>–</w:t>
      </w:r>
      <w:r w:rsidR="0082655D">
        <w:rPr>
          <w:rFonts w:ascii="Century" w:hAnsi="Century" w:cs="FrankRuehl" w:hint="cs"/>
          <w:spacing w:val="10"/>
          <w:sz w:val="22"/>
          <w:szCs w:val="28"/>
          <w:rtl/>
        </w:rPr>
        <w:t xml:space="preserve"> </w:t>
      </w:r>
      <w:r>
        <w:rPr>
          <w:rFonts w:ascii="Century" w:hAnsi="Century" w:cs="FrankRuehl" w:hint="cs"/>
          <w:spacing w:val="10"/>
          <w:sz w:val="22"/>
          <w:szCs w:val="28"/>
          <w:rtl/>
        </w:rPr>
        <w:t>שיקול שבית המשפט הביא בחשבון בגוזרו את הדין</w:t>
      </w:r>
      <w:r w:rsidRPr="007B04E0">
        <w:rPr>
          <w:rFonts w:ascii="Century" w:hAnsi="Century" w:cs="FrankRuehl" w:hint="cs"/>
          <w:spacing w:val="10"/>
          <w:sz w:val="22"/>
          <w:szCs w:val="28"/>
          <w:rtl/>
        </w:rPr>
        <w:t xml:space="preserve"> </w:t>
      </w:r>
      <w:r>
        <w:rPr>
          <w:rFonts w:ascii="Century" w:hAnsi="Century" w:cs="FrankRuehl" w:hint="cs"/>
          <w:spacing w:val="10"/>
          <w:sz w:val="22"/>
          <w:szCs w:val="28"/>
          <w:rtl/>
        </w:rPr>
        <w:t>ובאמצו את העונש שעליו הסכימו הצדדים</w:t>
      </w:r>
      <w:r w:rsidRPr="007B04E0">
        <w:rPr>
          <w:rFonts w:ascii="Century" w:hAnsi="Century" w:cs="FrankRuehl" w:hint="cs"/>
          <w:spacing w:val="10"/>
          <w:sz w:val="22"/>
          <w:szCs w:val="28"/>
          <w:rtl/>
        </w:rPr>
        <w:t>. להתחייבות</w:t>
      </w:r>
      <w:r>
        <w:rPr>
          <w:rFonts w:ascii="Century" w:hAnsi="Century" w:cs="FrankRuehl" w:hint="cs"/>
          <w:spacing w:val="10"/>
          <w:sz w:val="22"/>
          <w:szCs w:val="28"/>
          <w:rtl/>
        </w:rPr>
        <w:t>ו</w:t>
      </w:r>
      <w:r w:rsidRPr="007B04E0">
        <w:rPr>
          <w:rFonts w:ascii="Century" w:hAnsi="Century" w:cs="FrankRuehl" w:hint="cs"/>
          <w:spacing w:val="10"/>
          <w:sz w:val="22"/>
          <w:szCs w:val="28"/>
          <w:rtl/>
        </w:rPr>
        <w:t xml:space="preserve"> זו</w:t>
      </w:r>
      <w:r>
        <w:rPr>
          <w:rFonts w:ascii="Century" w:hAnsi="Century" w:cs="FrankRuehl" w:hint="cs"/>
          <w:spacing w:val="10"/>
          <w:sz w:val="22"/>
          <w:szCs w:val="28"/>
          <w:rtl/>
        </w:rPr>
        <w:t xml:space="preserve"> של דרעי</w:t>
      </w:r>
      <w:r w:rsidRPr="007B04E0">
        <w:rPr>
          <w:rFonts w:ascii="Century" w:hAnsi="Century" w:cs="FrankRuehl" w:hint="cs"/>
          <w:spacing w:val="10"/>
          <w:sz w:val="22"/>
          <w:szCs w:val="28"/>
          <w:rtl/>
        </w:rPr>
        <w:t xml:space="preserve">, </w:t>
      </w:r>
      <w:r>
        <w:rPr>
          <w:rFonts w:ascii="Century" w:hAnsi="Century" w:cs="FrankRuehl" w:hint="cs"/>
          <w:spacing w:val="10"/>
          <w:sz w:val="22"/>
          <w:szCs w:val="28"/>
          <w:rtl/>
        </w:rPr>
        <w:t xml:space="preserve">כפי </w:t>
      </w:r>
      <w:r w:rsidRPr="007B04E0">
        <w:rPr>
          <w:rFonts w:ascii="Century" w:hAnsi="Century" w:cs="FrankRuehl" w:hint="cs"/>
          <w:spacing w:val="10"/>
          <w:sz w:val="22"/>
          <w:szCs w:val="28"/>
          <w:rtl/>
        </w:rPr>
        <w:t xml:space="preserve">שצוינה בפסק דין חלוט, יש משמעות </w:t>
      </w:r>
      <w:r>
        <w:rPr>
          <w:rFonts w:ascii="Century" w:hAnsi="Century" w:cs="FrankRuehl" w:hint="cs"/>
          <w:spacing w:val="10"/>
          <w:sz w:val="22"/>
          <w:szCs w:val="28"/>
          <w:rtl/>
        </w:rPr>
        <w:t>שאין</w:t>
      </w:r>
      <w:r w:rsidRPr="007B04E0">
        <w:rPr>
          <w:rFonts w:ascii="Century" w:hAnsi="Century" w:cs="FrankRuehl" w:hint="cs"/>
          <w:spacing w:val="10"/>
          <w:sz w:val="22"/>
          <w:szCs w:val="28"/>
          <w:rtl/>
        </w:rPr>
        <w:t xml:space="preserve"> להתעלם ממנה. </w:t>
      </w:r>
    </w:p>
    <w:p w14:paraId="4F9F8E3A" w14:textId="77777777" w:rsidR="0040186B" w:rsidRPr="007B04E0" w:rsidRDefault="0040186B" w:rsidP="00C634DC">
      <w:pPr>
        <w:pStyle w:val="ruller44"/>
        <w:bidi/>
        <w:spacing w:before="0" w:beforeAutospacing="0" w:after="0" w:afterAutospacing="0" w:line="360" w:lineRule="auto"/>
        <w:jc w:val="both"/>
        <w:rPr>
          <w:rFonts w:ascii="Century" w:hAnsi="Century" w:cs="FrankRuehl"/>
          <w:spacing w:val="10"/>
          <w:sz w:val="22"/>
          <w:szCs w:val="28"/>
          <w:rtl/>
        </w:rPr>
      </w:pPr>
    </w:p>
    <w:p w14:paraId="37201DFD" w14:textId="77777777" w:rsidR="0040186B" w:rsidRDefault="0040186B" w:rsidP="00C634DC">
      <w:pPr>
        <w:pStyle w:val="Ruller4"/>
        <w:rPr>
          <w:rFonts w:eastAsia="Calibri"/>
        </w:rPr>
      </w:pPr>
      <w:r w:rsidRPr="007B04E0">
        <w:rPr>
          <w:rFonts w:hint="cs"/>
          <w:rtl/>
        </w:rPr>
        <w:t xml:space="preserve">לכך יש להוסיף כי יום לאחר </w:t>
      </w:r>
      <w:r>
        <w:rPr>
          <w:rFonts w:hint="cs"/>
          <w:rtl/>
        </w:rPr>
        <w:t xml:space="preserve">שניתן </w:t>
      </w:r>
      <w:r w:rsidRPr="007B04E0">
        <w:rPr>
          <w:rFonts w:hint="cs"/>
          <w:rtl/>
        </w:rPr>
        <w:t>גזר הדין בעבירות המס,</w:t>
      </w:r>
      <w:r>
        <w:rPr>
          <w:rFonts w:hint="cs"/>
          <w:rtl/>
        </w:rPr>
        <w:t xml:space="preserve"> </w:t>
      </w:r>
      <w:r w:rsidRPr="007B04E0">
        <w:rPr>
          <w:rFonts w:hint="cs"/>
          <w:rtl/>
        </w:rPr>
        <w:t>השמיע דרעי</w:t>
      </w:r>
      <w:r>
        <w:rPr>
          <w:rFonts w:hint="cs"/>
          <w:rtl/>
        </w:rPr>
        <w:t>,</w:t>
      </w:r>
      <w:r w:rsidRPr="00A218A3">
        <w:rPr>
          <w:rFonts w:hint="cs"/>
          <w:rtl/>
        </w:rPr>
        <w:t xml:space="preserve"> </w:t>
      </w:r>
      <w:r>
        <w:rPr>
          <w:rFonts w:hint="cs"/>
          <w:rtl/>
        </w:rPr>
        <w:t>כפי שצוין לעיל,</w:t>
      </w:r>
      <w:r w:rsidRPr="007B04E0">
        <w:rPr>
          <w:rFonts w:hint="cs"/>
          <w:rtl/>
        </w:rPr>
        <w:t xml:space="preserve"> דברים שונים לחלוטין מאלה שהושמעו על-ידו בדיון בפני בית המשפט שהרשיעו. כך, במסגרת מסיבת עיתונאים</w:t>
      </w:r>
      <w:r>
        <w:rPr>
          <w:rFonts w:hint="cs"/>
          <w:rtl/>
        </w:rPr>
        <w:t xml:space="preserve"> שקיים</w:t>
      </w:r>
      <w:r w:rsidRPr="007B04E0">
        <w:rPr>
          <w:rFonts w:hint="cs"/>
          <w:rtl/>
        </w:rPr>
        <w:t xml:space="preserve"> ביום 2.2.2022 ציין דרעי כי </w:t>
      </w:r>
      <w:r w:rsidRPr="00C22ADE">
        <w:rPr>
          <w:rFonts w:eastAsia="Calibri"/>
          <w:rtl/>
        </w:rPr>
        <w:t>"</w:t>
      </w:r>
      <w:r w:rsidRPr="00C22ADE">
        <w:rPr>
          <w:rFonts w:eastAsia="Calibri" w:hint="eastAsia"/>
          <w:rtl/>
        </w:rPr>
        <w:t>מבלי</w:t>
      </w:r>
      <w:r w:rsidRPr="00C22ADE">
        <w:rPr>
          <w:rFonts w:eastAsia="Calibri"/>
          <w:rtl/>
        </w:rPr>
        <w:t xml:space="preserve"> </w:t>
      </w:r>
      <w:r w:rsidRPr="00C22ADE">
        <w:rPr>
          <w:rFonts w:eastAsia="Calibri" w:hint="eastAsia"/>
          <w:rtl/>
        </w:rPr>
        <w:t>לגרוע</w:t>
      </w:r>
      <w:r w:rsidRPr="00C22ADE">
        <w:rPr>
          <w:rFonts w:eastAsia="Calibri"/>
          <w:rtl/>
        </w:rPr>
        <w:t xml:space="preserve"> </w:t>
      </w:r>
      <w:r w:rsidRPr="00C22ADE">
        <w:rPr>
          <w:rFonts w:eastAsia="Calibri" w:hint="eastAsia"/>
          <w:rtl/>
        </w:rPr>
        <w:t>בחשיבות</w:t>
      </w:r>
      <w:r w:rsidRPr="00C22ADE">
        <w:rPr>
          <w:rFonts w:eastAsia="Calibri"/>
          <w:rtl/>
        </w:rPr>
        <w:t xml:space="preserve"> </w:t>
      </w:r>
      <w:r w:rsidRPr="00C22ADE">
        <w:rPr>
          <w:rFonts w:eastAsia="Calibri" w:hint="eastAsia"/>
          <w:rtl/>
        </w:rPr>
        <w:t>שאני</w:t>
      </w:r>
      <w:r w:rsidRPr="00C22ADE">
        <w:rPr>
          <w:rFonts w:eastAsia="Calibri"/>
          <w:rtl/>
        </w:rPr>
        <w:t xml:space="preserve"> </w:t>
      </w:r>
      <w:r w:rsidRPr="00C22ADE">
        <w:rPr>
          <w:rFonts w:eastAsia="Calibri" w:hint="eastAsia"/>
          <w:rtl/>
        </w:rPr>
        <w:t>מייחס</w:t>
      </w:r>
      <w:r w:rsidRPr="00C22ADE">
        <w:rPr>
          <w:rFonts w:eastAsia="Calibri"/>
          <w:rtl/>
        </w:rPr>
        <w:t xml:space="preserve"> </w:t>
      </w:r>
      <w:r w:rsidRPr="00C22ADE">
        <w:rPr>
          <w:rFonts w:eastAsia="Calibri" w:hint="eastAsia"/>
          <w:rtl/>
        </w:rPr>
        <w:t>להסדר</w:t>
      </w:r>
      <w:r w:rsidRPr="00C22ADE">
        <w:rPr>
          <w:rFonts w:eastAsia="Calibri"/>
          <w:rtl/>
        </w:rPr>
        <w:t xml:space="preserve"> </w:t>
      </w:r>
      <w:r w:rsidRPr="00C22ADE">
        <w:rPr>
          <w:rFonts w:eastAsia="Calibri" w:hint="eastAsia"/>
          <w:rtl/>
        </w:rPr>
        <w:t>הטיעון</w:t>
      </w:r>
      <w:r w:rsidRPr="00C22ADE">
        <w:rPr>
          <w:rFonts w:eastAsia="Calibri"/>
          <w:rtl/>
        </w:rPr>
        <w:t xml:space="preserve"> </w:t>
      </w:r>
      <w:r w:rsidRPr="00C22ADE">
        <w:rPr>
          <w:rFonts w:eastAsia="Calibri" w:hint="eastAsia"/>
          <w:rtl/>
        </w:rPr>
        <w:t>שלקחתי</w:t>
      </w:r>
      <w:r w:rsidRPr="00C22ADE">
        <w:rPr>
          <w:rFonts w:eastAsia="Calibri"/>
          <w:rtl/>
        </w:rPr>
        <w:t xml:space="preserve"> </w:t>
      </w:r>
      <w:r w:rsidRPr="00C22ADE">
        <w:rPr>
          <w:rFonts w:eastAsia="Calibri" w:hint="eastAsia"/>
          <w:rtl/>
        </w:rPr>
        <w:t>עליו</w:t>
      </w:r>
      <w:r w:rsidRPr="00C22ADE">
        <w:rPr>
          <w:rFonts w:eastAsia="Calibri"/>
          <w:rtl/>
        </w:rPr>
        <w:t xml:space="preserve"> </w:t>
      </w:r>
      <w:r w:rsidRPr="00C22ADE">
        <w:rPr>
          <w:rFonts w:eastAsia="Calibri" w:hint="eastAsia"/>
          <w:rtl/>
        </w:rPr>
        <w:t>אחריות</w:t>
      </w:r>
      <w:r w:rsidRPr="00C22ADE">
        <w:rPr>
          <w:rFonts w:eastAsia="Calibri"/>
          <w:rtl/>
        </w:rPr>
        <w:t xml:space="preserve">, </w:t>
      </w:r>
      <w:r w:rsidRPr="00C22ADE">
        <w:rPr>
          <w:rFonts w:eastAsia="Calibri" w:hint="eastAsia"/>
          <w:rtl/>
        </w:rPr>
        <w:t>אני</w:t>
      </w:r>
      <w:r w:rsidRPr="00C22ADE">
        <w:rPr>
          <w:rFonts w:eastAsia="Calibri"/>
          <w:rtl/>
        </w:rPr>
        <w:t xml:space="preserve"> </w:t>
      </w:r>
      <w:r w:rsidRPr="00C22ADE">
        <w:rPr>
          <w:rFonts w:eastAsia="Calibri" w:hint="eastAsia"/>
          <w:rtl/>
        </w:rPr>
        <w:t>לא</w:t>
      </w:r>
      <w:r w:rsidRPr="00C22ADE">
        <w:rPr>
          <w:rFonts w:eastAsia="Calibri"/>
          <w:rtl/>
        </w:rPr>
        <w:t xml:space="preserve"> </w:t>
      </w:r>
      <w:r w:rsidRPr="00C22ADE">
        <w:rPr>
          <w:rFonts w:eastAsia="Calibri" w:hint="eastAsia"/>
          <w:rtl/>
        </w:rPr>
        <w:t>הולך</w:t>
      </w:r>
      <w:r w:rsidRPr="00C22ADE">
        <w:rPr>
          <w:rFonts w:eastAsia="Calibri"/>
          <w:rtl/>
        </w:rPr>
        <w:t xml:space="preserve"> </w:t>
      </w:r>
      <w:r w:rsidRPr="00C22ADE">
        <w:rPr>
          <w:rFonts w:eastAsia="Calibri" w:hint="eastAsia"/>
          <w:rtl/>
        </w:rPr>
        <w:t>לשום</w:t>
      </w:r>
      <w:r w:rsidRPr="00C22ADE">
        <w:rPr>
          <w:rFonts w:eastAsia="Calibri"/>
          <w:rtl/>
        </w:rPr>
        <w:t xml:space="preserve"> </w:t>
      </w:r>
      <w:r w:rsidRPr="00C22ADE">
        <w:rPr>
          <w:rFonts w:eastAsia="Calibri" w:hint="eastAsia"/>
          <w:rtl/>
        </w:rPr>
        <w:t>מקום</w:t>
      </w:r>
      <w:r w:rsidRPr="00C22ADE">
        <w:rPr>
          <w:rFonts w:eastAsia="Calibri"/>
          <w:rtl/>
        </w:rPr>
        <w:t xml:space="preserve">. </w:t>
      </w:r>
      <w:r w:rsidRPr="00C22ADE">
        <w:rPr>
          <w:rFonts w:eastAsia="Calibri" w:hint="eastAsia"/>
          <w:rtl/>
        </w:rPr>
        <w:t>אני</w:t>
      </w:r>
      <w:r w:rsidRPr="00C22ADE">
        <w:rPr>
          <w:rFonts w:eastAsia="Calibri"/>
          <w:rtl/>
        </w:rPr>
        <w:t xml:space="preserve"> </w:t>
      </w:r>
      <w:r w:rsidRPr="00C22ADE">
        <w:rPr>
          <w:rFonts w:eastAsia="Calibri" w:hint="eastAsia"/>
          <w:rtl/>
        </w:rPr>
        <w:t>ניצב</w:t>
      </w:r>
      <w:r w:rsidRPr="00C22ADE">
        <w:rPr>
          <w:rFonts w:eastAsia="Calibri"/>
          <w:rtl/>
        </w:rPr>
        <w:t xml:space="preserve"> </w:t>
      </w:r>
      <w:r w:rsidRPr="00C22ADE">
        <w:rPr>
          <w:rFonts w:eastAsia="Calibri" w:hint="eastAsia"/>
          <w:rtl/>
        </w:rPr>
        <w:t>על</w:t>
      </w:r>
      <w:r w:rsidRPr="00C22ADE">
        <w:rPr>
          <w:rFonts w:eastAsia="Calibri"/>
          <w:rtl/>
        </w:rPr>
        <w:t xml:space="preserve"> </w:t>
      </w:r>
      <w:r w:rsidRPr="00C22ADE">
        <w:rPr>
          <w:rFonts w:eastAsia="Calibri" w:hint="eastAsia"/>
          <w:rtl/>
        </w:rPr>
        <w:t>משמרתי</w:t>
      </w:r>
      <w:r w:rsidRPr="00C22ADE">
        <w:rPr>
          <w:rFonts w:eastAsia="Calibri"/>
          <w:rtl/>
        </w:rPr>
        <w:t xml:space="preserve"> </w:t>
      </w:r>
      <w:r w:rsidRPr="00C22ADE">
        <w:rPr>
          <w:rFonts w:eastAsia="Calibri" w:hint="eastAsia"/>
          <w:rtl/>
        </w:rPr>
        <w:t>כיו</w:t>
      </w:r>
      <w:r w:rsidRPr="00C22ADE">
        <w:rPr>
          <w:rFonts w:eastAsia="Calibri"/>
          <w:rtl/>
        </w:rPr>
        <w:t>"</w:t>
      </w:r>
      <w:r w:rsidRPr="00C22ADE">
        <w:rPr>
          <w:rFonts w:eastAsia="Calibri" w:hint="eastAsia"/>
          <w:rtl/>
        </w:rPr>
        <w:t>ר</w:t>
      </w:r>
      <w:r w:rsidRPr="00C22ADE">
        <w:rPr>
          <w:rFonts w:eastAsia="Calibri"/>
          <w:rtl/>
        </w:rPr>
        <w:t xml:space="preserve"> </w:t>
      </w:r>
      <w:r w:rsidRPr="00C22ADE">
        <w:rPr>
          <w:rFonts w:eastAsia="Calibri" w:hint="eastAsia"/>
          <w:rtl/>
        </w:rPr>
        <w:t>תנועת</w:t>
      </w:r>
      <w:r w:rsidRPr="00C22ADE">
        <w:rPr>
          <w:rFonts w:eastAsia="Calibri"/>
          <w:rtl/>
        </w:rPr>
        <w:t xml:space="preserve"> </w:t>
      </w:r>
      <w:r w:rsidRPr="00C22ADE">
        <w:rPr>
          <w:rFonts w:eastAsia="Calibri" w:hint="eastAsia"/>
          <w:rtl/>
        </w:rPr>
        <w:t>ש</w:t>
      </w:r>
      <w:r w:rsidRPr="00C22ADE">
        <w:rPr>
          <w:rFonts w:eastAsia="Calibri"/>
          <w:rtl/>
        </w:rPr>
        <w:t>"</w:t>
      </w:r>
      <w:r w:rsidRPr="00C22ADE">
        <w:rPr>
          <w:rFonts w:eastAsia="Calibri" w:hint="eastAsia"/>
          <w:rtl/>
        </w:rPr>
        <w:t>ס</w:t>
      </w:r>
      <w:r w:rsidRPr="00C22ADE">
        <w:rPr>
          <w:rFonts w:eastAsia="Calibri"/>
          <w:rtl/>
        </w:rPr>
        <w:t xml:space="preserve"> </w:t>
      </w:r>
      <w:r w:rsidRPr="00C22ADE">
        <w:rPr>
          <w:rFonts w:eastAsia="Calibri" w:hint="eastAsia"/>
          <w:rtl/>
        </w:rPr>
        <w:t>וממשיך</w:t>
      </w:r>
      <w:r w:rsidRPr="00C22ADE">
        <w:rPr>
          <w:rFonts w:eastAsia="Calibri"/>
          <w:rtl/>
        </w:rPr>
        <w:t xml:space="preserve"> </w:t>
      </w:r>
      <w:r w:rsidRPr="00C22ADE">
        <w:rPr>
          <w:rFonts w:eastAsia="Calibri" w:hint="eastAsia"/>
          <w:rtl/>
        </w:rPr>
        <w:t>לנהל</w:t>
      </w:r>
      <w:r w:rsidRPr="00C22ADE">
        <w:rPr>
          <w:rFonts w:eastAsia="Calibri"/>
          <w:rtl/>
        </w:rPr>
        <w:t xml:space="preserve"> </w:t>
      </w:r>
      <w:r w:rsidRPr="00C22ADE">
        <w:rPr>
          <w:rFonts w:eastAsia="Calibri" w:hint="eastAsia"/>
          <w:rtl/>
        </w:rPr>
        <w:t>את</w:t>
      </w:r>
      <w:r w:rsidRPr="00C22ADE">
        <w:rPr>
          <w:rFonts w:eastAsia="Calibri"/>
          <w:rtl/>
        </w:rPr>
        <w:t xml:space="preserve"> </w:t>
      </w:r>
      <w:r w:rsidRPr="00C22ADE">
        <w:rPr>
          <w:rFonts w:eastAsia="Calibri" w:hint="eastAsia"/>
          <w:rtl/>
        </w:rPr>
        <w:t>ענייני</w:t>
      </w:r>
      <w:r w:rsidRPr="00C22ADE">
        <w:rPr>
          <w:rFonts w:eastAsia="Calibri"/>
          <w:rtl/>
        </w:rPr>
        <w:t xml:space="preserve"> </w:t>
      </w:r>
      <w:r w:rsidRPr="00C22ADE">
        <w:rPr>
          <w:rFonts w:eastAsia="Calibri" w:hint="eastAsia"/>
          <w:rtl/>
        </w:rPr>
        <w:t>הציבור</w:t>
      </w:r>
      <w:r w:rsidRPr="00C22ADE">
        <w:rPr>
          <w:rFonts w:eastAsia="Calibri"/>
          <w:rtl/>
        </w:rPr>
        <w:t xml:space="preserve"> </w:t>
      </w:r>
      <w:r w:rsidRPr="00C22ADE">
        <w:rPr>
          <w:rFonts w:eastAsia="Calibri" w:hint="eastAsia"/>
          <w:rtl/>
        </w:rPr>
        <w:t>מכל</w:t>
      </w:r>
      <w:r w:rsidRPr="00C22ADE">
        <w:rPr>
          <w:rFonts w:eastAsia="Calibri"/>
          <w:rtl/>
        </w:rPr>
        <w:t xml:space="preserve"> </w:t>
      </w:r>
      <w:r w:rsidRPr="00C22ADE">
        <w:rPr>
          <w:rFonts w:eastAsia="Calibri" w:hint="eastAsia"/>
          <w:rtl/>
        </w:rPr>
        <w:t>מקום</w:t>
      </w:r>
      <w:r w:rsidRPr="00C22ADE">
        <w:rPr>
          <w:rFonts w:eastAsia="Calibri"/>
          <w:rtl/>
        </w:rPr>
        <w:t xml:space="preserve"> – </w:t>
      </w:r>
      <w:r w:rsidRPr="00C22ADE">
        <w:rPr>
          <w:rFonts w:eastAsia="Calibri" w:hint="eastAsia"/>
          <w:rtl/>
        </w:rPr>
        <w:t>מהכנסת</w:t>
      </w:r>
      <w:r w:rsidRPr="00C22ADE">
        <w:rPr>
          <w:rFonts w:eastAsia="Calibri"/>
          <w:rtl/>
        </w:rPr>
        <w:t xml:space="preserve">, </w:t>
      </w:r>
      <w:r w:rsidRPr="00C22ADE">
        <w:rPr>
          <w:rFonts w:eastAsia="Calibri" w:hint="eastAsia"/>
          <w:rtl/>
        </w:rPr>
        <w:t>ממשרדי</w:t>
      </w:r>
      <w:r w:rsidRPr="00C22ADE">
        <w:rPr>
          <w:rFonts w:eastAsia="Calibri"/>
          <w:rtl/>
        </w:rPr>
        <w:t xml:space="preserve"> </w:t>
      </w:r>
      <w:r w:rsidRPr="00C22ADE">
        <w:rPr>
          <w:rFonts w:eastAsia="Calibri" w:hint="eastAsia"/>
          <w:rtl/>
        </w:rPr>
        <w:t>התנועה</w:t>
      </w:r>
      <w:r w:rsidRPr="00C22ADE">
        <w:rPr>
          <w:rFonts w:eastAsia="Calibri"/>
          <w:rtl/>
        </w:rPr>
        <w:t xml:space="preserve">, </w:t>
      </w:r>
      <w:r w:rsidRPr="00C22ADE">
        <w:rPr>
          <w:rFonts w:eastAsia="Calibri" w:hint="eastAsia"/>
          <w:rtl/>
        </w:rPr>
        <w:t>מסיורים</w:t>
      </w:r>
      <w:r w:rsidRPr="00C22ADE">
        <w:rPr>
          <w:rFonts w:eastAsia="Calibri"/>
          <w:rtl/>
        </w:rPr>
        <w:t xml:space="preserve"> </w:t>
      </w:r>
      <w:r w:rsidRPr="00C22ADE">
        <w:rPr>
          <w:rFonts w:eastAsia="Calibri" w:hint="eastAsia"/>
          <w:rtl/>
        </w:rPr>
        <w:t>בשטח</w:t>
      </w:r>
      <w:r w:rsidRPr="00C22ADE">
        <w:rPr>
          <w:rFonts w:eastAsia="Calibri"/>
          <w:rtl/>
        </w:rPr>
        <w:t xml:space="preserve"> </w:t>
      </w:r>
      <w:r w:rsidRPr="00C22ADE">
        <w:rPr>
          <w:rFonts w:eastAsia="Calibri" w:hint="eastAsia"/>
          <w:rtl/>
        </w:rPr>
        <w:t>ומכל</w:t>
      </w:r>
      <w:r w:rsidRPr="00C22ADE">
        <w:rPr>
          <w:rFonts w:eastAsia="Calibri"/>
          <w:rtl/>
        </w:rPr>
        <w:t xml:space="preserve"> </w:t>
      </w:r>
      <w:r w:rsidRPr="00C22ADE">
        <w:rPr>
          <w:rFonts w:eastAsia="Calibri" w:hint="eastAsia"/>
          <w:rtl/>
        </w:rPr>
        <w:t>מקום</w:t>
      </w:r>
      <w:r w:rsidRPr="00C22ADE">
        <w:rPr>
          <w:rFonts w:eastAsia="Calibri"/>
          <w:rtl/>
        </w:rPr>
        <w:t xml:space="preserve"> </w:t>
      </w:r>
      <w:r w:rsidRPr="00C22ADE">
        <w:rPr>
          <w:rFonts w:eastAsia="Calibri" w:hint="eastAsia"/>
          <w:rtl/>
        </w:rPr>
        <w:t>שארגיש</w:t>
      </w:r>
      <w:r w:rsidRPr="00C22ADE">
        <w:rPr>
          <w:rFonts w:eastAsia="Calibri"/>
          <w:rtl/>
        </w:rPr>
        <w:t xml:space="preserve"> </w:t>
      </w:r>
      <w:r w:rsidRPr="00C22ADE">
        <w:rPr>
          <w:rFonts w:eastAsia="Calibri" w:hint="eastAsia"/>
          <w:rtl/>
        </w:rPr>
        <w:t>צורך</w:t>
      </w:r>
      <w:r w:rsidRPr="00C22ADE">
        <w:rPr>
          <w:rFonts w:eastAsia="Calibri"/>
          <w:rtl/>
        </w:rPr>
        <w:t xml:space="preserve"> </w:t>
      </w:r>
      <w:r w:rsidRPr="00C22ADE">
        <w:rPr>
          <w:rFonts w:eastAsia="Calibri" w:hint="eastAsia"/>
          <w:rtl/>
        </w:rPr>
        <w:t>להיות</w:t>
      </w:r>
      <w:r w:rsidRPr="00C22ADE">
        <w:rPr>
          <w:rFonts w:eastAsia="Calibri"/>
          <w:rtl/>
        </w:rPr>
        <w:t xml:space="preserve"> </w:t>
      </w:r>
      <w:r w:rsidRPr="00C22ADE">
        <w:rPr>
          <w:rFonts w:eastAsia="Calibri" w:hint="eastAsia"/>
          <w:rtl/>
        </w:rPr>
        <w:t>בו</w:t>
      </w:r>
      <w:r w:rsidRPr="00C22ADE">
        <w:rPr>
          <w:rFonts w:eastAsia="Calibri"/>
          <w:rtl/>
        </w:rPr>
        <w:t xml:space="preserve">. </w:t>
      </w:r>
      <w:r w:rsidRPr="00C22ADE">
        <w:rPr>
          <w:rFonts w:eastAsia="Calibri" w:hint="eastAsia"/>
          <w:rtl/>
        </w:rPr>
        <w:t>אמשיך</w:t>
      </w:r>
      <w:r w:rsidRPr="00C22ADE">
        <w:rPr>
          <w:rFonts w:eastAsia="Calibri"/>
          <w:rtl/>
        </w:rPr>
        <w:t xml:space="preserve"> </w:t>
      </w:r>
      <w:r w:rsidRPr="00C22ADE">
        <w:rPr>
          <w:rFonts w:eastAsia="Calibri" w:hint="eastAsia"/>
          <w:rtl/>
        </w:rPr>
        <w:t>להשתתף</w:t>
      </w:r>
      <w:r w:rsidRPr="00C22ADE">
        <w:rPr>
          <w:rFonts w:eastAsia="Calibri"/>
          <w:rtl/>
        </w:rPr>
        <w:t xml:space="preserve"> </w:t>
      </w:r>
      <w:r w:rsidRPr="00C22ADE">
        <w:rPr>
          <w:rFonts w:eastAsia="Calibri" w:hint="eastAsia"/>
          <w:rtl/>
        </w:rPr>
        <w:t>בישיבות</w:t>
      </w:r>
      <w:r w:rsidRPr="00C22ADE">
        <w:rPr>
          <w:rFonts w:eastAsia="Calibri"/>
          <w:rtl/>
        </w:rPr>
        <w:t xml:space="preserve"> </w:t>
      </w:r>
      <w:r w:rsidRPr="00C22ADE">
        <w:rPr>
          <w:rFonts w:eastAsia="Calibri" w:hint="eastAsia"/>
          <w:rtl/>
        </w:rPr>
        <w:t>ראשי</w:t>
      </w:r>
      <w:r w:rsidRPr="00C22ADE">
        <w:rPr>
          <w:rFonts w:eastAsia="Calibri"/>
          <w:rtl/>
        </w:rPr>
        <w:t xml:space="preserve"> </w:t>
      </w:r>
      <w:r w:rsidRPr="00C22ADE">
        <w:rPr>
          <w:rFonts w:eastAsia="Calibri" w:hint="eastAsia"/>
          <w:rtl/>
        </w:rPr>
        <w:t>מפלגות</w:t>
      </w:r>
      <w:r w:rsidRPr="00C22ADE">
        <w:rPr>
          <w:rFonts w:eastAsia="Calibri"/>
          <w:rtl/>
        </w:rPr>
        <w:t xml:space="preserve"> </w:t>
      </w:r>
      <w:r w:rsidRPr="00C22ADE">
        <w:rPr>
          <w:rFonts w:eastAsia="Calibri" w:hint="eastAsia"/>
          <w:rtl/>
        </w:rPr>
        <w:t>האופוזיציה</w:t>
      </w:r>
      <w:r w:rsidRPr="00C22ADE">
        <w:rPr>
          <w:rFonts w:eastAsia="Calibri"/>
          <w:rtl/>
        </w:rPr>
        <w:t xml:space="preserve">, </w:t>
      </w:r>
      <w:r w:rsidRPr="00C22ADE">
        <w:rPr>
          <w:rFonts w:eastAsia="Calibri" w:hint="eastAsia"/>
          <w:rtl/>
        </w:rPr>
        <w:t>לנהל</w:t>
      </w:r>
      <w:r w:rsidRPr="00C22ADE">
        <w:rPr>
          <w:rFonts w:eastAsia="Calibri"/>
          <w:rtl/>
        </w:rPr>
        <w:t xml:space="preserve"> </w:t>
      </w:r>
      <w:r w:rsidRPr="00C22ADE">
        <w:rPr>
          <w:rFonts w:eastAsia="Calibri" w:hint="eastAsia"/>
          <w:rtl/>
        </w:rPr>
        <w:t>את</w:t>
      </w:r>
      <w:r w:rsidRPr="00C22ADE">
        <w:rPr>
          <w:rFonts w:eastAsia="Calibri"/>
          <w:rtl/>
        </w:rPr>
        <w:t xml:space="preserve"> </w:t>
      </w:r>
      <w:r w:rsidRPr="00C22ADE">
        <w:rPr>
          <w:rFonts w:eastAsia="Calibri" w:hint="eastAsia"/>
          <w:rtl/>
        </w:rPr>
        <w:t>ישיבות</w:t>
      </w:r>
      <w:r w:rsidRPr="00C22ADE">
        <w:rPr>
          <w:rFonts w:eastAsia="Calibri"/>
          <w:rtl/>
        </w:rPr>
        <w:t xml:space="preserve"> </w:t>
      </w:r>
      <w:r w:rsidRPr="00C22ADE">
        <w:rPr>
          <w:rFonts w:eastAsia="Calibri" w:hint="eastAsia"/>
          <w:rtl/>
        </w:rPr>
        <w:t>סיעת</w:t>
      </w:r>
      <w:r w:rsidRPr="00C22ADE">
        <w:rPr>
          <w:rFonts w:eastAsia="Calibri"/>
          <w:rtl/>
        </w:rPr>
        <w:t xml:space="preserve"> </w:t>
      </w:r>
      <w:r w:rsidRPr="00C22ADE">
        <w:rPr>
          <w:rFonts w:eastAsia="Calibri" w:hint="eastAsia"/>
          <w:rtl/>
        </w:rPr>
        <w:t>ש</w:t>
      </w:r>
      <w:r w:rsidRPr="00C22ADE">
        <w:rPr>
          <w:rFonts w:eastAsia="Calibri"/>
          <w:rtl/>
        </w:rPr>
        <w:t>"</w:t>
      </w:r>
      <w:r w:rsidRPr="00C22ADE">
        <w:rPr>
          <w:rFonts w:eastAsia="Calibri" w:hint="eastAsia"/>
          <w:rtl/>
        </w:rPr>
        <w:t>ס</w:t>
      </w:r>
      <w:r w:rsidRPr="00C22ADE">
        <w:rPr>
          <w:rFonts w:eastAsia="Calibri"/>
          <w:rtl/>
        </w:rPr>
        <w:t xml:space="preserve"> [...]"</w:t>
      </w:r>
      <w:r w:rsidRPr="00C22ADE">
        <w:rPr>
          <w:rFonts w:eastAsia="Calibri" w:hint="cs"/>
          <w:rtl/>
        </w:rPr>
        <w:t xml:space="preserve"> </w:t>
      </w:r>
      <w:r w:rsidRPr="00C22ADE">
        <w:rPr>
          <w:rFonts w:eastAsia="Calibri" w:hint="eastAsia"/>
          <w:rtl/>
        </w:rPr>
        <w:t>עוד</w:t>
      </w:r>
      <w:r w:rsidRPr="00C22ADE">
        <w:rPr>
          <w:rFonts w:eastAsia="Calibri"/>
          <w:rtl/>
        </w:rPr>
        <w:t xml:space="preserve"> </w:t>
      </w:r>
      <w:r w:rsidRPr="00C22ADE">
        <w:rPr>
          <w:rFonts w:eastAsia="Calibri" w:hint="eastAsia"/>
          <w:rtl/>
        </w:rPr>
        <w:t>ציין</w:t>
      </w:r>
      <w:r w:rsidRPr="00C22ADE">
        <w:rPr>
          <w:rFonts w:eastAsia="Calibri"/>
          <w:rtl/>
        </w:rPr>
        <w:t xml:space="preserve"> </w:t>
      </w:r>
      <w:r w:rsidRPr="00C22ADE">
        <w:rPr>
          <w:rFonts w:eastAsia="Calibri" w:hint="eastAsia"/>
          <w:rtl/>
        </w:rPr>
        <w:t>דרעי</w:t>
      </w:r>
      <w:r w:rsidRPr="00C22ADE">
        <w:rPr>
          <w:rFonts w:eastAsia="Calibri" w:hint="cs"/>
          <w:rtl/>
        </w:rPr>
        <w:t xml:space="preserve"> </w:t>
      </w:r>
      <w:r>
        <w:rPr>
          <w:rFonts w:eastAsia="Calibri" w:hint="cs"/>
          <w:rtl/>
        </w:rPr>
        <w:t>שם:</w:t>
      </w:r>
      <w:r w:rsidRPr="00C22ADE">
        <w:rPr>
          <w:rFonts w:eastAsia="Calibri"/>
          <w:rtl/>
        </w:rPr>
        <w:t xml:space="preserve"> </w:t>
      </w:r>
    </w:p>
    <w:p w14:paraId="662B415C" w14:textId="77777777" w:rsidR="0040186B" w:rsidRDefault="0040186B" w:rsidP="00C634DC">
      <w:pPr>
        <w:pStyle w:val="Ruller4"/>
        <w:numPr>
          <w:ilvl w:val="0"/>
          <w:numId w:val="0"/>
        </w:numPr>
        <w:rPr>
          <w:rFonts w:eastAsia="Calibri"/>
          <w:rtl/>
        </w:rPr>
      </w:pPr>
    </w:p>
    <w:p w14:paraId="24774715" w14:textId="77777777" w:rsidR="0040186B" w:rsidRPr="00C22ADE" w:rsidRDefault="0040186B" w:rsidP="00C634DC">
      <w:pPr>
        <w:pStyle w:val="Ruller5"/>
        <w:rPr>
          <w:rtl/>
        </w:rPr>
      </w:pPr>
      <w:r w:rsidRPr="00C22ADE">
        <w:rPr>
          <w:rtl/>
        </w:rPr>
        <w:t>"אני משוכנע שההסדר שהגענו אליו אין בו קלון</w:t>
      </w:r>
      <w:r w:rsidRPr="00C22ADE">
        <w:rPr>
          <w:rFonts w:hint="cs"/>
          <w:rtl/>
        </w:rPr>
        <w:t>.</w:t>
      </w:r>
      <w:r w:rsidRPr="00C22ADE">
        <w:rPr>
          <w:rFonts w:hint="eastAsia"/>
          <w:rtl/>
        </w:rPr>
        <w:t xml:space="preserve"> אני</w:t>
      </w:r>
      <w:r w:rsidRPr="00C22ADE">
        <w:rPr>
          <w:rtl/>
        </w:rPr>
        <w:t xml:space="preserve"> </w:t>
      </w:r>
      <w:r w:rsidRPr="00C22ADE">
        <w:rPr>
          <w:rFonts w:hint="eastAsia"/>
          <w:rtl/>
        </w:rPr>
        <w:t>מודיע</w:t>
      </w:r>
      <w:r w:rsidRPr="00C22ADE">
        <w:rPr>
          <w:rtl/>
        </w:rPr>
        <w:t xml:space="preserve"> </w:t>
      </w:r>
      <w:r w:rsidRPr="00C22ADE">
        <w:rPr>
          <w:rFonts w:hint="eastAsia"/>
          <w:rtl/>
        </w:rPr>
        <w:t>כבר</w:t>
      </w:r>
      <w:r w:rsidRPr="00C22ADE">
        <w:rPr>
          <w:rtl/>
        </w:rPr>
        <w:t xml:space="preserve"> </w:t>
      </w:r>
      <w:r w:rsidRPr="00C22ADE">
        <w:rPr>
          <w:rFonts w:hint="eastAsia"/>
          <w:rtl/>
        </w:rPr>
        <w:t>מעכשיו</w:t>
      </w:r>
      <w:r w:rsidRPr="00C22ADE">
        <w:rPr>
          <w:rtl/>
        </w:rPr>
        <w:t xml:space="preserve">, </w:t>
      </w:r>
      <w:r w:rsidRPr="00C22ADE">
        <w:rPr>
          <w:rFonts w:hint="eastAsia"/>
          <w:rtl/>
        </w:rPr>
        <w:t>שאני</w:t>
      </w:r>
      <w:r w:rsidRPr="00C22ADE">
        <w:rPr>
          <w:rtl/>
        </w:rPr>
        <w:t xml:space="preserve"> </w:t>
      </w:r>
      <w:r w:rsidRPr="00C22ADE">
        <w:rPr>
          <w:rFonts w:hint="eastAsia"/>
          <w:rtl/>
        </w:rPr>
        <w:t>בעזרת</w:t>
      </w:r>
      <w:r w:rsidRPr="00C22ADE">
        <w:rPr>
          <w:rtl/>
        </w:rPr>
        <w:t xml:space="preserve"> </w:t>
      </w:r>
      <w:r w:rsidRPr="00C22ADE">
        <w:rPr>
          <w:rFonts w:hint="eastAsia"/>
          <w:rtl/>
        </w:rPr>
        <w:t>השם</w:t>
      </w:r>
      <w:r w:rsidRPr="00C22ADE">
        <w:rPr>
          <w:rtl/>
        </w:rPr>
        <w:t xml:space="preserve">, </w:t>
      </w:r>
      <w:r w:rsidRPr="00C22ADE">
        <w:rPr>
          <w:rFonts w:hint="eastAsia"/>
          <w:rtl/>
        </w:rPr>
        <w:t>בבחירות</w:t>
      </w:r>
      <w:r w:rsidRPr="00C22ADE">
        <w:rPr>
          <w:rtl/>
        </w:rPr>
        <w:t xml:space="preserve"> </w:t>
      </w:r>
      <w:r w:rsidRPr="00C22ADE">
        <w:rPr>
          <w:rFonts w:hint="eastAsia"/>
          <w:rtl/>
        </w:rPr>
        <w:t>הקרובות</w:t>
      </w:r>
      <w:r w:rsidRPr="00C22ADE">
        <w:rPr>
          <w:rtl/>
        </w:rPr>
        <w:t xml:space="preserve"> </w:t>
      </w:r>
      <w:r w:rsidRPr="00C22ADE">
        <w:rPr>
          <w:rFonts w:hint="eastAsia"/>
          <w:rtl/>
        </w:rPr>
        <w:t>ואני</w:t>
      </w:r>
      <w:r w:rsidRPr="00C22ADE">
        <w:rPr>
          <w:rtl/>
        </w:rPr>
        <w:t xml:space="preserve"> </w:t>
      </w:r>
      <w:r w:rsidRPr="00C22ADE">
        <w:rPr>
          <w:rFonts w:hint="eastAsia"/>
          <w:rtl/>
        </w:rPr>
        <w:t>מקווה</w:t>
      </w:r>
      <w:r w:rsidRPr="00C22ADE">
        <w:rPr>
          <w:rtl/>
        </w:rPr>
        <w:t xml:space="preserve"> </w:t>
      </w:r>
      <w:r w:rsidRPr="00C22ADE">
        <w:rPr>
          <w:rFonts w:hint="eastAsia"/>
          <w:rtl/>
        </w:rPr>
        <w:t>שהן</w:t>
      </w:r>
      <w:r w:rsidRPr="00C22ADE">
        <w:rPr>
          <w:rtl/>
        </w:rPr>
        <w:t xml:space="preserve"> </w:t>
      </w:r>
      <w:r w:rsidRPr="00C22ADE">
        <w:rPr>
          <w:rFonts w:hint="eastAsia"/>
          <w:rtl/>
        </w:rPr>
        <w:t>יהיו</w:t>
      </w:r>
      <w:r w:rsidRPr="00C22ADE">
        <w:rPr>
          <w:rtl/>
        </w:rPr>
        <w:t xml:space="preserve"> </w:t>
      </w:r>
      <w:r w:rsidRPr="00C22ADE">
        <w:rPr>
          <w:rFonts w:hint="eastAsia"/>
          <w:rtl/>
        </w:rPr>
        <w:t>מהר</w:t>
      </w:r>
      <w:r w:rsidRPr="00C22ADE">
        <w:rPr>
          <w:rtl/>
        </w:rPr>
        <w:t xml:space="preserve"> </w:t>
      </w:r>
      <w:r w:rsidRPr="00C22ADE">
        <w:rPr>
          <w:rFonts w:hint="eastAsia"/>
          <w:rtl/>
        </w:rPr>
        <w:t>מאוד</w:t>
      </w:r>
      <w:r w:rsidRPr="00C22ADE">
        <w:rPr>
          <w:rtl/>
        </w:rPr>
        <w:t xml:space="preserve">, </w:t>
      </w:r>
      <w:r w:rsidRPr="00C22ADE">
        <w:rPr>
          <w:rFonts w:hint="eastAsia"/>
          <w:rtl/>
        </w:rPr>
        <w:t>אעמוד</w:t>
      </w:r>
      <w:r w:rsidRPr="00C22ADE">
        <w:rPr>
          <w:rtl/>
        </w:rPr>
        <w:t xml:space="preserve"> </w:t>
      </w:r>
      <w:r w:rsidRPr="00C22ADE">
        <w:rPr>
          <w:rFonts w:hint="eastAsia"/>
          <w:rtl/>
        </w:rPr>
        <w:t>בראש</w:t>
      </w:r>
      <w:r w:rsidRPr="00C22ADE">
        <w:rPr>
          <w:rtl/>
        </w:rPr>
        <w:t xml:space="preserve"> </w:t>
      </w:r>
      <w:r w:rsidRPr="00C22ADE">
        <w:rPr>
          <w:rFonts w:hint="eastAsia"/>
          <w:rtl/>
        </w:rPr>
        <w:t>תנועת</w:t>
      </w:r>
      <w:r w:rsidRPr="00C22ADE">
        <w:rPr>
          <w:rtl/>
        </w:rPr>
        <w:t xml:space="preserve"> </w:t>
      </w:r>
      <w:r w:rsidRPr="00C22ADE">
        <w:rPr>
          <w:rFonts w:hint="eastAsia"/>
          <w:rtl/>
        </w:rPr>
        <w:t>ש</w:t>
      </w:r>
      <w:r w:rsidRPr="00C22ADE">
        <w:rPr>
          <w:rtl/>
        </w:rPr>
        <w:t>"</w:t>
      </w:r>
      <w:r w:rsidRPr="00C22ADE">
        <w:rPr>
          <w:rFonts w:hint="eastAsia"/>
          <w:rtl/>
        </w:rPr>
        <w:t>ס</w:t>
      </w:r>
      <w:r w:rsidRPr="00C22ADE">
        <w:rPr>
          <w:rtl/>
        </w:rPr>
        <w:t xml:space="preserve"> </w:t>
      </w:r>
      <w:r w:rsidRPr="00C22ADE">
        <w:rPr>
          <w:rFonts w:hint="eastAsia"/>
          <w:rtl/>
        </w:rPr>
        <w:t>וארוץ</w:t>
      </w:r>
      <w:r w:rsidRPr="00C22ADE">
        <w:rPr>
          <w:rtl/>
        </w:rPr>
        <w:t xml:space="preserve"> </w:t>
      </w:r>
      <w:r w:rsidRPr="00C22ADE">
        <w:rPr>
          <w:rFonts w:hint="eastAsia"/>
          <w:rtl/>
        </w:rPr>
        <w:t>לכנסת</w:t>
      </w:r>
      <w:r w:rsidRPr="00C22ADE">
        <w:rPr>
          <w:rtl/>
        </w:rPr>
        <w:t xml:space="preserve"> </w:t>
      </w:r>
      <w:r w:rsidRPr="00C22ADE">
        <w:rPr>
          <w:rFonts w:hint="eastAsia"/>
          <w:rtl/>
        </w:rPr>
        <w:t>ואשרת</w:t>
      </w:r>
      <w:r w:rsidRPr="00C22ADE">
        <w:rPr>
          <w:rtl/>
        </w:rPr>
        <w:t xml:space="preserve"> </w:t>
      </w:r>
      <w:r w:rsidRPr="00C22ADE">
        <w:rPr>
          <w:rFonts w:hint="eastAsia"/>
          <w:rtl/>
        </w:rPr>
        <w:t>בעזרת</w:t>
      </w:r>
      <w:r w:rsidRPr="00C22ADE">
        <w:rPr>
          <w:rtl/>
        </w:rPr>
        <w:t xml:space="preserve"> </w:t>
      </w:r>
      <w:r w:rsidRPr="00C22ADE">
        <w:rPr>
          <w:rFonts w:hint="eastAsia"/>
          <w:rtl/>
        </w:rPr>
        <w:t>השם</w:t>
      </w:r>
      <w:r w:rsidRPr="00C22ADE">
        <w:rPr>
          <w:rtl/>
        </w:rPr>
        <w:t xml:space="preserve"> </w:t>
      </w:r>
      <w:r w:rsidRPr="00C22ADE">
        <w:rPr>
          <w:rFonts w:hint="eastAsia"/>
          <w:rtl/>
        </w:rPr>
        <w:t>בתפקיד</w:t>
      </w:r>
      <w:r w:rsidRPr="00C22ADE">
        <w:rPr>
          <w:rtl/>
        </w:rPr>
        <w:t xml:space="preserve"> </w:t>
      </w:r>
      <w:r w:rsidRPr="00C22ADE">
        <w:rPr>
          <w:rFonts w:hint="eastAsia"/>
          <w:rtl/>
        </w:rPr>
        <w:t>של</w:t>
      </w:r>
      <w:r w:rsidRPr="00C22ADE">
        <w:rPr>
          <w:rtl/>
        </w:rPr>
        <w:t xml:space="preserve"> </w:t>
      </w:r>
      <w:r w:rsidRPr="00C22ADE">
        <w:rPr>
          <w:rFonts w:hint="eastAsia"/>
          <w:rtl/>
        </w:rPr>
        <w:t>שר</w:t>
      </w:r>
      <w:r w:rsidRPr="00C22ADE">
        <w:rPr>
          <w:rtl/>
        </w:rPr>
        <w:t xml:space="preserve">. </w:t>
      </w:r>
      <w:r w:rsidRPr="00C22ADE">
        <w:rPr>
          <w:rFonts w:hint="eastAsia"/>
          <w:rtl/>
        </w:rPr>
        <w:t>אני</w:t>
      </w:r>
      <w:r w:rsidRPr="00C22ADE">
        <w:rPr>
          <w:rtl/>
        </w:rPr>
        <w:t xml:space="preserve"> </w:t>
      </w:r>
      <w:r w:rsidRPr="00C22ADE">
        <w:rPr>
          <w:rFonts w:hint="eastAsia"/>
          <w:rtl/>
        </w:rPr>
        <w:t>לא</w:t>
      </w:r>
      <w:r w:rsidRPr="00C22ADE">
        <w:rPr>
          <w:rtl/>
        </w:rPr>
        <w:t xml:space="preserve"> </w:t>
      </w:r>
      <w:r w:rsidRPr="00C22ADE">
        <w:rPr>
          <w:rFonts w:hint="eastAsia"/>
          <w:rtl/>
        </w:rPr>
        <w:t>רואה</w:t>
      </w:r>
      <w:r w:rsidRPr="00C22ADE">
        <w:rPr>
          <w:rtl/>
        </w:rPr>
        <w:t xml:space="preserve"> </w:t>
      </w:r>
      <w:r w:rsidRPr="00C22ADE">
        <w:rPr>
          <w:rFonts w:hint="eastAsia"/>
          <w:rtl/>
        </w:rPr>
        <w:t>שום</w:t>
      </w:r>
      <w:r w:rsidRPr="00C22ADE">
        <w:rPr>
          <w:rtl/>
        </w:rPr>
        <w:t xml:space="preserve"> </w:t>
      </w:r>
      <w:r w:rsidRPr="00C22ADE">
        <w:rPr>
          <w:rFonts w:hint="eastAsia"/>
          <w:rtl/>
        </w:rPr>
        <w:t>מניעה</w:t>
      </w:r>
      <w:r w:rsidRPr="00C22ADE">
        <w:rPr>
          <w:rtl/>
        </w:rPr>
        <w:t xml:space="preserve"> </w:t>
      </w:r>
      <w:r w:rsidRPr="00C22ADE">
        <w:rPr>
          <w:rFonts w:hint="eastAsia"/>
          <w:rtl/>
        </w:rPr>
        <w:t>לזה</w:t>
      </w:r>
      <w:r w:rsidRPr="00C22ADE">
        <w:rPr>
          <w:rtl/>
        </w:rPr>
        <w:t>".</w:t>
      </w:r>
      <w:r w:rsidRPr="00C22ADE">
        <w:rPr>
          <w:rFonts w:hint="cs"/>
          <w:rtl/>
        </w:rPr>
        <w:t xml:space="preserve"> </w:t>
      </w:r>
    </w:p>
    <w:p w14:paraId="0EEEB03F" w14:textId="77777777" w:rsidR="0040186B" w:rsidRDefault="0040186B" w:rsidP="00C634DC">
      <w:pPr>
        <w:pStyle w:val="Ruller4"/>
        <w:numPr>
          <w:ilvl w:val="0"/>
          <w:numId w:val="0"/>
        </w:numPr>
        <w:rPr>
          <w:rFonts w:eastAsia="Calibri"/>
          <w:rtl/>
        </w:rPr>
      </w:pPr>
    </w:p>
    <w:p w14:paraId="75EC1C87" w14:textId="77777777" w:rsidR="0040186B" w:rsidRPr="00C22ADE" w:rsidRDefault="0040186B" w:rsidP="00C634DC">
      <w:pPr>
        <w:pStyle w:val="Ruller4"/>
        <w:numPr>
          <w:ilvl w:val="0"/>
          <w:numId w:val="0"/>
        </w:numPr>
        <w:rPr>
          <w:rFonts w:eastAsia="Calibri"/>
        </w:rPr>
      </w:pPr>
      <w:r>
        <w:rPr>
          <w:rFonts w:eastAsia="Calibri"/>
          <w:rtl/>
        </w:rPr>
        <w:tab/>
      </w:r>
      <w:r w:rsidRPr="00C22ADE">
        <w:rPr>
          <w:rFonts w:eastAsia="Calibri" w:hint="cs"/>
          <w:rtl/>
        </w:rPr>
        <w:t>התבטאויות אלה</w:t>
      </w:r>
      <w:r>
        <w:rPr>
          <w:rFonts w:eastAsia="Calibri" w:hint="cs"/>
          <w:rtl/>
        </w:rPr>
        <w:t xml:space="preserve"> שונות בתכלית </w:t>
      </w:r>
      <w:r>
        <w:rPr>
          <w:rFonts w:eastAsia="Calibri"/>
          <w:rtl/>
        </w:rPr>
        <w:t>–</w:t>
      </w:r>
      <w:r>
        <w:rPr>
          <w:rFonts w:eastAsia="Calibri" w:hint="cs"/>
          <w:rtl/>
        </w:rPr>
        <w:t xml:space="preserve"> בתוכנן ובנימתן </w:t>
      </w:r>
      <w:r>
        <w:rPr>
          <w:rFonts w:eastAsia="Calibri"/>
          <w:rtl/>
        </w:rPr>
        <w:t>–</w:t>
      </w:r>
      <w:r>
        <w:rPr>
          <w:rFonts w:eastAsia="Calibri" w:hint="cs"/>
          <w:rtl/>
        </w:rPr>
        <w:t xml:space="preserve"> מ</w:t>
      </w:r>
      <w:r w:rsidRPr="00C22ADE">
        <w:rPr>
          <w:rFonts w:eastAsia="Calibri" w:hint="cs"/>
          <w:rtl/>
        </w:rPr>
        <w:t xml:space="preserve">התחייבותו של דרעי </w:t>
      </w:r>
      <w:r>
        <w:rPr>
          <w:rFonts w:eastAsia="Calibri" w:hint="cs"/>
          <w:rtl/>
        </w:rPr>
        <w:t xml:space="preserve">ומן ההצהרות שלו בפני בית המשפט שגזר את דינו והדבר מעלה </w:t>
      </w:r>
      <w:r w:rsidRPr="00C22ADE">
        <w:rPr>
          <w:rFonts w:eastAsia="Calibri" w:hint="cs"/>
          <w:rtl/>
        </w:rPr>
        <w:t xml:space="preserve">תהיות באשר לתום ליבו ולניקיון כפיו בהתנהלותו מול בית המשפט שדן </w:t>
      </w:r>
      <w:r>
        <w:rPr>
          <w:rFonts w:eastAsia="Calibri" w:hint="cs"/>
          <w:rtl/>
        </w:rPr>
        <w:t>בעניינו</w:t>
      </w:r>
      <w:r w:rsidRPr="00C22ADE">
        <w:rPr>
          <w:rFonts w:eastAsia="Calibri" w:hint="cs"/>
          <w:rtl/>
        </w:rPr>
        <w:t xml:space="preserve">. </w:t>
      </w:r>
    </w:p>
    <w:p w14:paraId="7E0F575B" w14:textId="77777777" w:rsidR="0040186B" w:rsidRPr="007B04E0" w:rsidRDefault="0040186B" w:rsidP="00C634DC">
      <w:pPr>
        <w:pStyle w:val="af0"/>
        <w:contextualSpacing w:val="0"/>
        <w:rPr>
          <w:rFonts w:ascii="Century" w:eastAsia="Calibri" w:hAnsi="Century" w:cs="FrankRuehl"/>
          <w:spacing w:val="10"/>
          <w:szCs w:val="28"/>
          <w:rtl/>
        </w:rPr>
      </w:pPr>
    </w:p>
    <w:p w14:paraId="2D97490D" w14:textId="77777777" w:rsidR="0040186B" w:rsidRPr="007B04E0" w:rsidRDefault="0040186B" w:rsidP="00C634DC">
      <w:pPr>
        <w:pStyle w:val="af0"/>
        <w:numPr>
          <w:ilvl w:val="0"/>
          <w:numId w:val="11"/>
        </w:numPr>
        <w:spacing w:line="360" w:lineRule="auto"/>
        <w:contextualSpacing w:val="0"/>
        <w:jc w:val="both"/>
        <w:rPr>
          <w:rFonts w:ascii="Century" w:eastAsia="Calibri" w:hAnsi="Century" w:cs="FrankRuehl"/>
          <w:spacing w:val="10"/>
          <w:szCs w:val="28"/>
          <w:rtl/>
        </w:rPr>
      </w:pPr>
      <w:r w:rsidRPr="007B04E0">
        <w:rPr>
          <w:rFonts w:ascii="Century" w:eastAsia="Calibri" w:hAnsi="Century" w:cs="FrankRuehl" w:hint="cs"/>
          <w:spacing w:val="10"/>
          <w:szCs w:val="28"/>
          <w:rtl/>
        </w:rPr>
        <w:t xml:space="preserve">עוד יצוין כי התפטרותו של דרעי מן הכנסת, שנועדה </w:t>
      </w:r>
      <w:r>
        <w:rPr>
          <w:rFonts w:ascii="Century" w:eastAsia="Calibri" w:hAnsi="Century" w:cs="FrankRuehl" w:hint="cs"/>
          <w:spacing w:val="10"/>
          <w:szCs w:val="28"/>
          <w:rtl/>
        </w:rPr>
        <w:t>למנוע</w:t>
      </w:r>
      <w:r w:rsidRPr="007B04E0">
        <w:rPr>
          <w:rFonts w:ascii="Century" w:eastAsia="Calibri" w:hAnsi="Century" w:cs="FrankRuehl" w:hint="cs"/>
          <w:spacing w:val="10"/>
          <w:szCs w:val="28"/>
          <w:rtl/>
        </w:rPr>
        <w:t xml:space="preserve"> את ההכרעה בשאלת הקלון </w:t>
      </w:r>
      <w:r>
        <w:rPr>
          <w:rFonts w:ascii="Century" w:eastAsia="Calibri" w:hAnsi="Century" w:cs="FrankRuehl" w:hint="cs"/>
          <w:spacing w:val="10"/>
          <w:szCs w:val="28"/>
          <w:rtl/>
        </w:rPr>
        <w:t>באותו שלב ולדחותה ל</w:t>
      </w:r>
      <w:r w:rsidRPr="007B04E0">
        <w:rPr>
          <w:rFonts w:ascii="Century" w:eastAsia="Calibri" w:hAnsi="Century" w:cs="FrankRuehl" w:hint="cs"/>
          <w:spacing w:val="10"/>
          <w:szCs w:val="28"/>
          <w:rtl/>
        </w:rPr>
        <w:t>מועד שבו תהיה רלוונטית</w:t>
      </w:r>
      <w:r>
        <w:rPr>
          <w:rFonts w:ascii="Century" w:eastAsia="Calibri" w:hAnsi="Century" w:cs="FrankRuehl" w:hint="cs"/>
          <w:spacing w:val="10"/>
          <w:szCs w:val="28"/>
          <w:rtl/>
        </w:rPr>
        <w:t xml:space="preserve">, </w:t>
      </w:r>
      <w:r w:rsidRPr="007B04E0">
        <w:rPr>
          <w:rFonts w:ascii="Century" w:eastAsia="Calibri" w:hAnsi="Century" w:cs="FrankRuehl" w:hint="cs"/>
          <w:spacing w:val="10"/>
          <w:szCs w:val="28"/>
          <w:rtl/>
        </w:rPr>
        <w:t>הסתיימה בסופו של דבר בהתחמקות מהכרעה זו, לאחר שחבר מפלגתו</w:t>
      </w:r>
      <w:r>
        <w:rPr>
          <w:rFonts w:ascii="Century" w:eastAsia="Calibri" w:hAnsi="Century" w:cs="FrankRuehl" w:hint="cs"/>
          <w:spacing w:val="10"/>
          <w:szCs w:val="28"/>
          <w:rtl/>
        </w:rPr>
        <w:t xml:space="preserve"> של דרעי</w:t>
      </w:r>
      <w:r w:rsidRPr="007B04E0">
        <w:rPr>
          <w:rFonts w:ascii="Century" w:eastAsia="Calibri" w:hAnsi="Century" w:cs="FrankRuehl" w:hint="cs"/>
          <w:spacing w:val="10"/>
          <w:szCs w:val="28"/>
          <w:rtl/>
        </w:rPr>
        <w:t xml:space="preserve"> יזם הצעת חוק ששינתה, בתחולה מיידית, את תנאי הכשירות הקבוע בסעיף 6(ג) לחוק היסוד. </w:t>
      </w:r>
    </w:p>
    <w:p w14:paraId="1FDA4F77" w14:textId="77777777" w:rsidR="0040186B" w:rsidRPr="007B04E0" w:rsidRDefault="0040186B" w:rsidP="00C634DC">
      <w:pPr>
        <w:spacing w:line="360" w:lineRule="auto"/>
        <w:ind w:firstLine="360"/>
        <w:jc w:val="both"/>
        <w:rPr>
          <w:rFonts w:ascii="Century" w:eastAsia="Calibri" w:hAnsi="Century" w:cs="FrankRuehl"/>
          <w:spacing w:val="10"/>
          <w:szCs w:val="28"/>
          <w:rtl/>
        </w:rPr>
      </w:pPr>
    </w:p>
    <w:p w14:paraId="1527569C" w14:textId="77777777" w:rsidR="0040186B" w:rsidRPr="007B04E0" w:rsidRDefault="0040186B" w:rsidP="005B2B53">
      <w:pPr>
        <w:pStyle w:val="af0"/>
        <w:numPr>
          <w:ilvl w:val="0"/>
          <w:numId w:val="11"/>
        </w:numPr>
        <w:spacing w:line="360" w:lineRule="auto"/>
        <w:contextualSpacing w:val="0"/>
        <w:jc w:val="both"/>
        <w:rPr>
          <w:rFonts w:ascii="Century" w:eastAsia="Calibri" w:hAnsi="Century" w:cs="FrankRuehl"/>
          <w:spacing w:val="10"/>
          <w:szCs w:val="28"/>
        </w:rPr>
      </w:pPr>
      <w:r w:rsidRPr="007B04E0">
        <w:rPr>
          <w:rFonts w:ascii="Century" w:eastAsia="Calibri" w:hAnsi="Century" w:cs="FrankRuehl" w:hint="cs"/>
          <w:spacing w:val="10"/>
          <w:szCs w:val="28"/>
          <w:rtl/>
        </w:rPr>
        <w:lastRenderedPageBreak/>
        <w:t xml:space="preserve">לגישתי, המצג שהוצג על ידי דרעי </w:t>
      </w:r>
      <w:r>
        <w:rPr>
          <w:rFonts w:ascii="Century" w:eastAsia="Calibri" w:hAnsi="Century" w:cs="FrankRuehl" w:hint="cs"/>
          <w:spacing w:val="10"/>
          <w:szCs w:val="28"/>
          <w:rtl/>
        </w:rPr>
        <w:t xml:space="preserve">במהלך הדיון בפני בית משפט השלום בדבר פרישתו מהחיים הציבוריים </w:t>
      </w:r>
      <w:r w:rsidRPr="007B04E0">
        <w:rPr>
          <w:rFonts w:ascii="Century" w:eastAsia="Calibri" w:hAnsi="Century" w:cs="FrankRuehl" w:hint="cs"/>
          <w:spacing w:val="10"/>
          <w:szCs w:val="28"/>
          <w:rtl/>
        </w:rPr>
        <w:t xml:space="preserve">והתנערותו ממצג זה לאחר מכן </w:t>
      </w:r>
      <w:r w:rsidRPr="007B04E0">
        <w:rPr>
          <w:rFonts w:ascii="Century" w:eastAsia="Calibri" w:hAnsi="Century" w:cs="FrankRuehl"/>
          <w:spacing w:val="10"/>
          <w:szCs w:val="28"/>
          <w:rtl/>
        </w:rPr>
        <w:t>–</w:t>
      </w:r>
      <w:r w:rsidRPr="007B04E0">
        <w:rPr>
          <w:rFonts w:ascii="Century" w:eastAsia="Calibri" w:hAnsi="Century" w:cs="FrankRuehl" w:hint="cs"/>
          <w:spacing w:val="10"/>
          <w:szCs w:val="28"/>
          <w:rtl/>
        </w:rPr>
        <w:t xml:space="preserve"> כמו גם ההתחמקות מהכרעה בשאלת הקלון </w:t>
      </w:r>
      <w:r w:rsidRPr="007B04E0">
        <w:rPr>
          <w:rFonts w:ascii="Century" w:eastAsia="Calibri" w:hAnsi="Century" w:cs="FrankRuehl"/>
          <w:spacing w:val="10"/>
          <w:szCs w:val="28"/>
          <w:rtl/>
        </w:rPr>
        <w:t>–</w:t>
      </w:r>
      <w:r w:rsidRPr="007B04E0">
        <w:rPr>
          <w:rFonts w:ascii="Century" w:eastAsia="Calibri" w:hAnsi="Century" w:cs="FrankRuehl" w:hint="cs"/>
          <w:spacing w:val="10"/>
          <w:szCs w:val="28"/>
          <w:rtl/>
        </w:rPr>
        <w:t xml:space="preserve"> מעוררים קושי של ממש באשר לכהונתו של דרעי בתפקיד שר. </w:t>
      </w:r>
      <w:r w:rsidR="005B2B53">
        <w:rPr>
          <w:rFonts w:ascii="Century" w:eastAsia="Calibri" w:hAnsi="Century" w:cs="FrankRuehl" w:hint="cs"/>
          <w:spacing w:val="10"/>
          <w:szCs w:val="28"/>
          <w:rtl/>
        </w:rPr>
        <w:t xml:space="preserve">התנהלות חריגה שכזו </w:t>
      </w:r>
      <w:r w:rsidR="00793404">
        <w:rPr>
          <w:rFonts w:ascii="Century" w:eastAsia="Calibri" w:hAnsi="Century" w:cs="FrankRuehl" w:hint="cs"/>
          <w:spacing w:val="10"/>
          <w:szCs w:val="28"/>
          <w:rtl/>
        </w:rPr>
        <w:t xml:space="preserve">אף </w:t>
      </w:r>
      <w:r w:rsidR="005B2B53">
        <w:rPr>
          <w:rFonts w:ascii="Century" w:eastAsia="Calibri" w:hAnsi="Century" w:cs="FrankRuehl" w:hint="cs"/>
          <w:spacing w:val="10"/>
          <w:szCs w:val="28"/>
          <w:rtl/>
        </w:rPr>
        <w:t xml:space="preserve">היא שיקול שהיה על ראש הממשלה לשקול בבואו להחליט בעניין מינויו של דרעי לשר. הדבר מחזק בעיניי את </w:t>
      </w:r>
      <w:r w:rsidR="005B2B53" w:rsidRPr="007B04E0">
        <w:rPr>
          <w:rFonts w:ascii="Century" w:eastAsia="Calibri" w:hAnsi="Century" w:cs="FrankRuehl" w:hint="cs"/>
          <w:spacing w:val="10"/>
          <w:szCs w:val="28"/>
          <w:rtl/>
        </w:rPr>
        <w:t>המסקנה</w:t>
      </w:r>
      <w:r w:rsidR="005B2B53">
        <w:rPr>
          <w:rFonts w:ascii="Century" w:eastAsia="Calibri" w:hAnsi="Century" w:cs="FrankRuehl" w:hint="cs"/>
          <w:spacing w:val="10"/>
          <w:szCs w:val="28"/>
          <w:rtl/>
        </w:rPr>
        <w:t xml:space="preserve"> בדבר אי-סבירות המינוי</w:t>
      </w:r>
      <w:r w:rsidR="005B2B53" w:rsidRPr="007B04E0">
        <w:rPr>
          <w:rFonts w:ascii="Century" w:eastAsia="Calibri" w:hAnsi="Century" w:cs="FrankRuehl" w:hint="cs"/>
          <w:spacing w:val="10"/>
          <w:szCs w:val="28"/>
          <w:rtl/>
        </w:rPr>
        <w:t xml:space="preserve"> הנובעת מ</w:t>
      </w:r>
      <w:r w:rsidR="005B2B53">
        <w:rPr>
          <w:rFonts w:ascii="Century" w:eastAsia="Calibri" w:hAnsi="Century" w:cs="FrankRuehl" w:hint="cs"/>
          <w:spacing w:val="10"/>
          <w:szCs w:val="28"/>
          <w:rtl/>
        </w:rPr>
        <w:t>מילא מצבר</w:t>
      </w:r>
      <w:r w:rsidR="005B2B53" w:rsidRPr="007B04E0">
        <w:rPr>
          <w:rFonts w:ascii="Century" w:eastAsia="Calibri" w:hAnsi="Century" w:cs="FrankRuehl" w:hint="cs"/>
          <w:spacing w:val="10"/>
          <w:szCs w:val="28"/>
          <w:rtl/>
        </w:rPr>
        <w:t xml:space="preserve"> </w:t>
      </w:r>
      <w:r w:rsidR="005B2B53">
        <w:rPr>
          <w:rFonts w:ascii="Century" w:eastAsia="Calibri" w:hAnsi="Century" w:cs="FrankRuehl" w:hint="cs"/>
          <w:spacing w:val="10"/>
          <w:szCs w:val="28"/>
          <w:rtl/>
        </w:rPr>
        <w:t>ההרשעות</w:t>
      </w:r>
      <w:r w:rsidR="005B2B53" w:rsidRPr="007B04E0">
        <w:rPr>
          <w:rFonts w:ascii="Century" w:eastAsia="Calibri" w:hAnsi="Century" w:cs="FrankRuehl" w:hint="cs"/>
          <w:spacing w:val="10"/>
          <w:szCs w:val="28"/>
          <w:rtl/>
        </w:rPr>
        <w:t xml:space="preserve"> בפלילים</w:t>
      </w:r>
      <w:r w:rsidR="005B2B53">
        <w:rPr>
          <w:rFonts w:ascii="Century" w:eastAsia="Calibri" w:hAnsi="Century" w:cs="FrankRuehl" w:hint="cs"/>
          <w:spacing w:val="10"/>
          <w:szCs w:val="28"/>
          <w:rtl/>
        </w:rPr>
        <w:t>,</w:t>
      </w:r>
      <w:r w:rsidR="005B2B53" w:rsidRPr="007B04E0">
        <w:rPr>
          <w:rFonts w:ascii="Century" w:eastAsia="Calibri" w:hAnsi="Century" w:cs="FrankRuehl" w:hint="cs"/>
          <w:spacing w:val="10"/>
          <w:szCs w:val="28"/>
          <w:rtl/>
        </w:rPr>
        <w:t xml:space="preserve"> שעליו עמדתי לעיל</w:t>
      </w:r>
      <w:r w:rsidR="008C614E">
        <w:rPr>
          <w:rFonts w:ascii="Century" w:eastAsia="Calibri" w:hAnsi="Century" w:cs="FrankRuehl" w:hint="cs"/>
          <w:spacing w:val="10"/>
          <w:szCs w:val="28"/>
          <w:rtl/>
        </w:rPr>
        <w:t>.</w:t>
      </w:r>
    </w:p>
    <w:p w14:paraId="21325200" w14:textId="77777777" w:rsidR="0040186B" w:rsidRPr="007B04E0" w:rsidRDefault="0040186B" w:rsidP="00C634DC">
      <w:pPr>
        <w:pStyle w:val="af0"/>
        <w:spacing w:line="360" w:lineRule="auto"/>
        <w:ind w:left="0"/>
        <w:contextualSpacing w:val="0"/>
        <w:jc w:val="both"/>
        <w:rPr>
          <w:rFonts w:ascii="Century" w:eastAsia="Calibri" w:hAnsi="Century" w:cs="FrankRuehl"/>
          <w:spacing w:val="10"/>
          <w:szCs w:val="28"/>
        </w:rPr>
      </w:pPr>
    </w:p>
    <w:p w14:paraId="22808DBD" w14:textId="77777777" w:rsidR="0040186B" w:rsidRPr="007B04E0" w:rsidRDefault="0040186B" w:rsidP="00C81A45">
      <w:pPr>
        <w:pStyle w:val="af0"/>
        <w:numPr>
          <w:ilvl w:val="0"/>
          <w:numId w:val="11"/>
        </w:numPr>
        <w:spacing w:line="360" w:lineRule="auto"/>
        <w:contextualSpacing w:val="0"/>
        <w:jc w:val="both"/>
        <w:rPr>
          <w:rFonts w:ascii="Century" w:eastAsia="Calibri" w:hAnsi="Century" w:cs="FrankRuehl"/>
          <w:spacing w:val="10"/>
          <w:szCs w:val="28"/>
        </w:rPr>
      </w:pPr>
      <w:r>
        <w:rPr>
          <w:rFonts w:ascii="Century" w:hAnsi="Century" w:cs="FrankRuehl" w:hint="cs"/>
          <w:spacing w:val="10"/>
          <w:szCs w:val="28"/>
          <w:rtl/>
        </w:rPr>
        <w:t xml:space="preserve">נוכח המסקנה שאליה הגעתי בסוגיית הסבירות מן הטעמים שפורטו לעיל, אינני רואה צורך </w:t>
      </w:r>
      <w:r w:rsidR="00C81A45">
        <w:rPr>
          <w:rFonts w:ascii="Century" w:hAnsi="Century" w:cs="FrankRuehl" w:hint="cs"/>
          <w:spacing w:val="10"/>
          <w:szCs w:val="28"/>
          <w:rtl/>
        </w:rPr>
        <w:t>להכריע</w:t>
      </w:r>
      <w:r>
        <w:rPr>
          <w:rFonts w:ascii="Century" w:hAnsi="Century" w:cs="FrankRuehl" w:hint="cs"/>
          <w:spacing w:val="10"/>
          <w:szCs w:val="28"/>
          <w:rtl/>
        </w:rPr>
        <w:t xml:space="preserve"> </w:t>
      </w:r>
      <w:r w:rsidR="00C81A45">
        <w:rPr>
          <w:rFonts w:ascii="Century" w:hAnsi="Century" w:cs="FrankRuehl" w:hint="cs"/>
          <w:spacing w:val="10"/>
          <w:szCs w:val="28"/>
          <w:rtl/>
        </w:rPr>
        <w:t>ב</w:t>
      </w:r>
      <w:r w:rsidRPr="007B04E0">
        <w:rPr>
          <w:rFonts w:ascii="Century" w:hAnsi="Century" w:cs="FrankRuehl" w:hint="cs"/>
          <w:spacing w:val="10"/>
          <w:szCs w:val="28"/>
          <w:rtl/>
        </w:rPr>
        <w:t xml:space="preserve">טענות </w:t>
      </w:r>
      <w:r>
        <w:rPr>
          <w:rFonts w:ascii="Century" w:hAnsi="Century" w:cs="FrankRuehl" w:hint="cs"/>
          <w:spacing w:val="10"/>
          <w:szCs w:val="28"/>
          <w:rtl/>
        </w:rPr>
        <w:t>שהעלו חלק מהעותרים</w:t>
      </w:r>
      <w:r w:rsidRPr="007B04E0">
        <w:rPr>
          <w:rFonts w:ascii="Century" w:hAnsi="Century" w:cs="FrankRuehl" w:hint="cs"/>
          <w:spacing w:val="10"/>
          <w:szCs w:val="28"/>
          <w:rtl/>
        </w:rPr>
        <w:t xml:space="preserve"> לעניין קיומ</w:t>
      </w:r>
      <w:r>
        <w:rPr>
          <w:rFonts w:ascii="Century" w:hAnsi="Century" w:cs="FrankRuehl" w:hint="cs"/>
          <w:spacing w:val="10"/>
          <w:szCs w:val="28"/>
          <w:rtl/>
        </w:rPr>
        <w:t>ם</w:t>
      </w:r>
      <w:r w:rsidRPr="007B04E0">
        <w:rPr>
          <w:rFonts w:ascii="Century" w:hAnsi="Century" w:cs="FrankRuehl" w:hint="cs"/>
          <w:spacing w:val="10"/>
          <w:szCs w:val="28"/>
          <w:rtl/>
        </w:rPr>
        <w:t xml:space="preserve"> של השתק או מניעות, </w:t>
      </w:r>
      <w:r>
        <w:rPr>
          <w:rFonts w:ascii="Century" w:hAnsi="Century" w:cs="FrankRuehl" w:hint="cs"/>
          <w:spacing w:val="10"/>
          <w:szCs w:val="28"/>
          <w:rtl/>
        </w:rPr>
        <w:t>החוסמים כשלעצמם את דרכו של דרעי מלכהן כשר בממשלה.</w:t>
      </w:r>
    </w:p>
    <w:p w14:paraId="38CA46EE" w14:textId="77777777" w:rsidR="0040186B" w:rsidRPr="007B04E0" w:rsidRDefault="0040186B" w:rsidP="00C634DC">
      <w:pPr>
        <w:pStyle w:val="ruller44"/>
        <w:bidi/>
        <w:spacing w:before="0" w:beforeAutospacing="0" w:after="0" w:afterAutospacing="0" w:line="360" w:lineRule="auto"/>
        <w:ind w:left="720"/>
      </w:pPr>
    </w:p>
    <w:p w14:paraId="430FE5F0" w14:textId="77777777" w:rsidR="0040186B" w:rsidRPr="007B04E0" w:rsidRDefault="0040186B" w:rsidP="00C634DC">
      <w:pPr>
        <w:pStyle w:val="af0"/>
        <w:spacing w:line="360" w:lineRule="auto"/>
        <w:ind w:left="0"/>
        <w:contextualSpacing w:val="0"/>
        <w:jc w:val="both"/>
        <w:rPr>
          <w:rFonts w:ascii="Century" w:hAnsi="Century" w:cs="Miriam"/>
          <w:b/>
          <w:rtl/>
        </w:rPr>
      </w:pPr>
      <w:r w:rsidRPr="007B04E0">
        <w:rPr>
          <w:rFonts w:ascii="Century" w:hAnsi="Century" w:cs="Miriam" w:hint="cs"/>
          <w:b/>
          <w:rtl/>
        </w:rPr>
        <w:t>סוף דבר</w:t>
      </w:r>
    </w:p>
    <w:p w14:paraId="53F4FAFB" w14:textId="77777777" w:rsidR="0040186B" w:rsidRPr="007B04E0" w:rsidRDefault="0040186B" w:rsidP="00C634DC">
      <w:pPr>
        <w:pStyle w:val="af0"/>
        <w:spacing w:line="360" w:lineRule="auto"/>
        <w:ind w:left="0"/>
        <w:contextualSpacing w:val="0"/>
        <w:jc w:val="both"/>
        <w:rPr>
          <w:rFonts w:ascii="Century" w:hAnsi="Century" w:cs="FrankRuehl"/>
          <w:spacing w:val="10"/>
          <w:szCs w:val="28"/>
          <w:rtl/>
        </w:rPr>
      </w:pPr>
    </w:p>
    <w:p w14:paraId="784D645E" w14:textId="77777777" w:rsidR="0040186B" w:rsidRPr="007B04E0" w:rsidRDefault="0040186B" w:rsidP="00C634DC">
      <w:pPr>
        <w:pStyle w:val="af0"/>
        <w:numPr>
          <w:ilvl w:val="0"/>
          <w:numId w:val="11"/>
        </w:numPr>
        <w:spacing w:line="360" w:lineRule="auto"/>
        <w:contextualSpacing w:val="0"/>
        <w:jc w:val="both"/>
        <w:rPr>
          <w:rFonts w:ascii="Century" w:hAnsi="Century" w:cs="FrankRuehl"/>
          <w:spacing w:val="10"/>
          <w:szCs w:val="28"/>
        </w:rPr>
      </w:pPr>
      <w:r w:rsidRPr="007B04E0">
        <w:rPr>
          <w:rFonts w:ascii="Century" w:hAnsi="Century" w:cs="FrankRuehl" w:hint="cs"/>
          <w:spacing w:val="10"/>
          <w:szCs w:val="28"/>
          <w:rtl/>
        </w:rPr>
        <w:t xml:space="preserve">לא בנקל יתערב בית משפט זה בהחלטה למנות שר בממשלה או להעבירו מתפקידו, והביקורת השיפוטית בהקשר זה שמורה למקרים חריגים ומצומצמים בלבד. </w:t>
      </w:r>
      <w:r>
        <w:rPr>
          <w:rFonts w:ascii="Century" w:hAnsi="Century" w:cs="FrankRuehl" w:hint="cs"/>
          <w:spacing w:val="10"/>
          <w:szCs w:val="28"/>
          <w:rtl/>
        </w:rPr>
        <w:t>כלל מחמיר זה</w:t>
      </w:r>
      <w:r w:rsidRPr="007B04E0">
        <w:rPr>
          <w:rFonts w:ascii="Century" w:hAnsi="Century" w:cs="FrankRuehl" w:hint="cs"/>
          <w:spacing w:val="10"/>
          <w:szCs w:val="28"/>
          <w:rtl/>
        </w:rPr>
        <w:t xml:space="preserve"> </w:t>
      </w:r>
      <w:r>
        <w:rPr>
          <w:rFonts w:ascii="Century" w:hAnsi="Century" w:cs="FrankRuehl" w:hint="cs"/>
          <w:spacing w:val="10"/>
          <w:szCs w:val="28"/>
          <w:rtl/>
        </w:rPr>
        <w:t xml:space="preserve">עולה מפסקי הדין של בית משפט זה </w:t>
      </w:r>
      <w:r w:rsidRPr="007B04E0">
        <w:rPr>
          <w:rFonts w:ascii="Century" w:hAnsi="Century" w:cs="FrankRuehl" w:hint="cs"/>
          <w:spacing w:val="10"/>
          <w:szCs w:val="28"/>
          <w:rtl/>
        </w:rPr>
        <w:t xml:space="preserve">מאז הלכת </w:t>
      </w:r>
      <w:r w:rsidRPr="007B04E0">
        <w:rPr>
          <w:rFonts w:ascii="Century" w:hAnsi="Century" w:cs="Miriam" w:hint="cs"/>
          <w:b/>
          <w:rtl/>
        </w:rPr>
        <w:t>דרעי-פנחסי</w:t>
      </w:r>
      <w:r>
        <w:rPr>
          <w:rFonts w:ascii="Century" w:hAnsi="Century" w:cs="FrankRuehl" w:hint="cs"/>
          <w:spacing w:val="10"/>
          <w:szCs w:val="28"/>
          <w:rtl/>
        </w:rPr>
        <w:t xml:space="preserve">. בכולם מצא </w:t>
      </w:r>
      <w:r w:rsidRPr="007B04E0">
        <w:rPr>
          <w:rFonts w:ascii="Century" w:hAnsi="Century" w:cs="FrankRuehl" w:hint="cs"/>
          <w:spacing w:val="10"/>
          <w:szCs w:val="28"/>
          <w:rtl/>
        </w:rPr>
        <w:t>בית המשפט</w:t>
      </w:r>
      <w:r>
        <w:rPr>
          <w:rFonts w:ascii="Century" w:hAnsi="Century" w:cs="FrankRuehl" w:hint="cs"/>
          <w:spacing w:val="10"/>
          <w:szCs w:val="28"/>
          <w:rtl/>
        </w:rPr>
        <w:t xml:space="preserve"> כי אין מקום להתערב בעניין מינויים כאמור בנסיבות שנדונו</w:t>
      </w:r>
      <w:r w:rsidRPr="007B04E0">
        <w:rPr>
          <w:rFonts w:ascii="Century" w:hAnsi="Century" w:cs="FrankRuehl" w:hint="cs"/>
          <w:spacing w:val="10"/>
          <w:szCs w:val="28"/>
          <w:rtl/>
        </w:rPr>
        <w:t xml:space="preserve">. </w:t>
      </w:r>
      <w:r>
        <w:rPr>
          <w:rFonts w:ascii="Century" w:hAnsi="Century" w:cs="FrankRuehl" w:hint="cs"/>
          <w:spacing w:val="10"/>
          <w:szCs w:val="28"/>
          <w:rtl/>
        </w:rPr>
        <w:t xml:space="preserve">אלא שהפעם שונים הם פני הדברים. </w:t>
      </w:r>
      <w:r w:rsidRPr="007B04E0">
        <w:rPr>
          <w:rFonts w:ascii="Century" w:hAnsi="Century" w:cs="FrankRuehl" w:hint="cs"/>
          <w:spacing w:val="10"/>
          <w:szCs w:val="28"/>
          <w:rtl/>
        </w:rPr>
        <w:t>מדובר ב</w:t>
      </w:r>
      <w:r w:rsidRPr="007B04E0">
        <w:rPr>
          <w:rFonts w:ascii="Century" w:hAnsi="Century" w:cs="FrankRuehl"/>
          <w:spacing w:val="10"/>
          <w:szCs w:val="28"/>
          <w:rtl/>
        </w:rPr>
        <w:t>אדם שהורשע ב</w:t>
      </w:r>
      <w:r w:rsidRPr="007B04E0">
        <w:rPr>
          <w:rFonts w:ascii="Century" w:hAnsi="Century" w:cs="FrankRuehl" w:hint="cs"/>
          <w:spacing w:val="10"/>
          <w:szCs w:val="28"/>
          <w:rtl/>
        </w:rPr>
        <w:t xml:space="preserve">עבר </w:t>
      </w:r>
      <w:r w:rsidR="00960BED">
        <w:rPr>
          <w:rFonts w:ascii="Century" w:hAnsi="Century" w:cs="FrankRuehl" w:hint="cs"/>
          <w:spacing w:val="10"/>
          <w:szCs w:val="28"/>
          <w:rtl/>
        </w:rPr>
        <w:t>ב</w:t>
      </w:r>
      <w:r w:rsidRPr="007B04E0">
        <w:rPr>
          <w:rFonts w:ascii="Century" w:hAnsi="Century" w:cs="FrankRuehl"/>
          <w:spacing w:val="10"/>
          <w:szCs w:val="28"/>
          <w:rtl/>
        </w:rPr>
        <w:t>עבירות חמורות</w:t>
      </w:r>
      <w:r w:rsidRPr="007B04E0">
        <w:rPr>
          <w:rFonts w:ascii="Century" w:hAnsi="Century" w:cs="FrankRuehl" w:hint="cs"/>
          <w:spacing w:val="10"/>
          <w:szCs w:val="28"/>
          <w:rtl/>
        </w:rPr>
        <w:t xml:space="preserve"> ביותר שבוצעו בעת שכיהן בתפקידים ציבוריים</w:t>
      </w:r>
      <w:r>
        <w:rPr>
          <w:rFonts w:ascii="Century" w:hAnsi="Century" w:cs="FrankRuehl" w:hint="cs"/>
          <w:spacing w:val="10"/>
          <w:szCs w:val="28"/>
          <w:rtl/>
        </w:rPr>
        <w:t>. הוא</w:t>
      </w:r>
      <w:r w:rsidRPr="007B04E0">
        <w:rPr>
          <w:rFonts w:ascii="Century" w:hAnsi="Century" w:cs="FrankRuehl" w:hint="cs"/>
          <w:spacing w:val="10"/>
          <w:szCs w:val="28"/>
          <w:rtl/>
        </w:rPr>
        <w:t xml:space="preserve"> </w:t>
      </w:r>
      <w:r w:rsidRPr="007B04E0">
        <w:rPr>
          <w:rFonts w:ascii="Century" w:hAnsi="Century" w:cs="FrankRuehl"/>
          <w:spacing w:val="10"/>
          <w:szCs w:val="28"/>
          <w:rtl/>
        </w:rPr>
        <w:t>ריצה</w:t>
      </w:r>
      <w:r>
        <w:rPr>
          <w:rFonts w:ascii="Century" w:hAnsi="Century" w:cs="FrankRuehl" w:hint="cs"/>
          <w:spacing w:val="10"/>
          <w:szCs w:val="28"/>
          <w:rtl/>
        </w:rPr>
        <w:t xml:space="preserve"> בגינן </w:t>
      </w:r>
      <w:r w:rsidRPr="007B04E0">
        <w:rPr>
          <w:rFonts w:ascii="Century" w:hAnsi="Century" w:cs="FrankRuehl"/>
          <w:spacing w:val="10"/>
          <w:szCs w:val="28"/>
          <w:rtl/>
        </w:rPr>
        <w:t>עונש מאסר</w:t>
      </w:r>
      <w:r w:rsidRPr="007B04E0">
        <w:rPr>
          <w:rFonts w:ascii="Century" w:hAnsi="Century" w:cs="FrankRuehl" w:hint="cs"/>
          <w:spacing w:val="10"/>
          <w:szCs w:val="28"/>
          <w:rtl/>
        </w:rPr>
        <w:t xml:space="preserve"> בפועל</w:t>
      </w:r>
      <w:r>
        <w:rPr>
          <w:rFonts w:ascii="Century" w:hAnsi="Century" w:cs="FrankRuehl" w:hint="cs"/>
          <w:spacing w:val="10"/>
          <w:szCs w:val="28"/>
          <w:rtl/>
        </w:rPr>
        <w:t xml:space="preserve"> ו</w:t>
      </w:r>
      <w:r w:rsidRPr="007B04E0">
        <w:rPr>
          <w:rFonts w:ascii="Century" w:hAnsi="Century" w:cs="FrankRuehl"/>
          <w:spacing w:val="10"/>
          <w:szCs w:val="28"/>
          <w:rtl/>
        </w:rPr>
        <w:t>חזר</w:t>
      </w:r>
      <w:r w:rsidRPr="007B04E0">
        <w:rPr>
          <w:rFonts w:ascii="Century" w:hAnsi="Century" w:cs="FrankRuehl" w:hint="cs"/>
          <w:spacing w:val="10"/>
          <w:szCs w:val="28"/>
          <w:rtl/>
        </w:rPr>
        <w:t xml:space="preserve"> לחיים הפוליטיים</w:t>
      </w:r>
      <w:r>
        <w:rPr>
          <w:rFonts w:ascii="Century" w:hAnsi="Century" w:cs="FrankRuehl" w:hint="cs"/>
          <w:spacing w:val="10"/>
          <w:szCs w:val="28"/>
          <w:rtl/>
        </w:rPr>
        <w:t>. אך הוא שב לסורו וביצע עבירות מס בעודו מכהן כחבר כנסת. בגין עבירות אלה הוא הורשע אך לאחרונה ב</w:t>
      </w:r>
      <w:r w:rsidRPr="007B04E0">
        <w:rPr>
          <w:rFonts w:ascii="Century" w:hAnsi="Century" w:cs="FrankRuehl"/>
          <w:spacing w:val="10"/>
          <w:szCs w:val="28"/>
          <w:rtl/>
        </w:rPr>
        <w:t xml:space="preserve">פסק דין חלוט, </w:t>
      </w:r>
      <w:r>
        <w:rPr>
          <w:rFonts w:ascii="Century" w:hAnsi="Century" w:cs="FrankRuehl" w:hint="cs"/>
          <w:spacing w:val="10"/>
          <w:szCs w:val="28"/>
          <w:rtl/>
        </w:rPr>
        <w:t>ו</w:t>
      </w:r>
      <w:r w:rsidRPr="007B04E0">
        <w:rPr>
          <w:rFonts w:ascii="Century" w:hAnsi="Century" w:cs="FrankRuehl" w:hint="cs"/>
          <w:spacing w:val="10"/>
          <w:szCs w:val="28"/>
          <w:rtl/>
        </w:rPr>
        <w:t>ב</w:t>
      </w:r>
      <w:r w:rsidRPr="007B04E0">
        <w:rPr>
          <w:rFonts w:ascii="Century" w:hAnsi="Century" w:cs="FrankRuehl"/>
          <w:spacing w:val="10"/>
          <w:szCs w:val="28"/>
          <w:rtl/>
        </w:rPr>
        <w:t>גזר הדין</w:t>
      </w:r>
      <w:r w:rsidRPr="007B04E0">
        <w:rPr>
          <w:rFonts w:ascii="Century" w:hAnsi="Century" w:cs="FrankRuehl" w:hint="cs"/>
          <w:spacing w:val="10"/>
          <w:szCs w:val="28"/>
          <w:rtl/>
        </w:rPr>
        <w:t xml:space="preserve"> צוין</w:t>
      </w:r>
      <w:r>
        <w:rPr>
          <w:rFonts w:ascii="Century" w:hAnsi="Century" w:cs="FrankRuehl" w:hint="cs"/>
          <w:spacing w:val="10"/>
          <w:szCs w:val="28"/>
          <w:rtl/>
        </w:rPr>
        <w:t xml:space="preserve"> </w:t>
      </w:r>
      <w:r>
        <w:rPr>
          <w:rFonts w:ascii="Century" w:hAnsi="Century" w:cs="FrankRuehl"/>
          <w:spacing w:val="10"/>
          <w:szCs w:val="28"/>
          <w:rtl/>
        </w:rPr>
        <w:t>–</w:t>
      </w:r>
      <w:r w:rsidRPr="007B04E0">
        <w:rPr>
          <w:rFonts w:ascii="Century" w:hAnsi="Century" w:cs="FrankRuehl" w:hint="cs"/>
          <w:spacing w:val="10"/>
          <w:szCs w:val="28"/>
          <w:rtl/>
        </w:rPr>
        <w:t xml:space="preserve"> על רקע הצהרותיו שלו</w:t>
      </w:r>
      <w:r>
        <w:rPr>
          <w:rFonts w:ascii="Century" w:hAnsi="Century" w:cs="FrankRuehl" w:hint="cs"/>
          <w:spacing w:val="10"/>
          <w:szCs w:val="28"/>
          <w:rtl/>
        </w:rPr>
        <w:t xml:space="preserve"> </w:t>
      </w:r>
      <w:r>
        <w:rPr>
          <w:rFonts w:ascii="Century" w:hAnsi="Century" w:cs="FrankRuehl"/>
          <w:spacing w:val="10"/>
          <w:szCs w:val="28"/>
          <w:rtl/>
        </w:rPr>
        <w:t>–</w:t>
      </w:r>
      <w:r w:rsidRPr="007B04E0">
        <w:rPr>
          <w:rFonts w:ascii="Century" w:hAnsi="Century" w:cs="FrankRuehl"/>
          <w:spacing w:val="10"/>
          <w:szCs w:val="28"/>
          <w:rtl/>
        </w:rPr>
        <w:t xml:space="preserve"> כי לא </w:t>
      </w:r>
      <w:r w:rsidRPr="007B04E0">
        <w:rPr>
          <w:rFonts w:ascii="Century" w:hAnsi="Century" w:cs="FrankRuehl" w:hint="cs"/>
          <w:spacing w:val="10"/>
          <w:szCs w:val="28"/>
          <w:rtl/>
        </w:rPr>
        <w:t>יעסוק עוד</w:t>
      </w:r>
      <w:r w:rsidRPr="007B04E0">
        <w:rPr>
          <w:rFonts w:ascii="Century" w:hAnsi="Century" w:cs="FrankRuehl"/>
          <w:spacing w:val="10"/>
          <w:szCs w:val="28"/>
          <w:rtl/>
        </w:rPr>
        <w:t xml:space="preserve"> בכספי ציבור</w:t>
      </w:r>
      <w:r w:rsidRPr="007B04E0">
        <w:rPr>
          <w:rFonts w:ascii="Century" w:hAnsi="Century" w:cs="FrankRuehl" w:hint="cs"/>
          <w:spacing w:val="10"/>
          <w:szCs w:val="28"/>
          <w:rtl/>
        </w:rPr>
        <w:t>.</w:t>
      </w:r>
      <w:r>
        <w:rPr>
          <w:rFonts w:ascii="Century" w:hAnsi="Century" w:cs="FrankRuehl" w:hint="cs"/>
          <w:spacing w:val="10"/>
          <w:szCs w:val="28"/>
          <w:rtl/>
        </w:rPr>
        <w:t xml:space="preserve"> בנסיבות אלה, דבק במינויו של דרעי לשר בממשלה ה-37 פגם של חוסר סבירות קיצוני משום שהוא עומד בסתירה חמורה לעקרונות היסוד אשר מן הראוי כי ינחו את ראש הממשלה במינוי שרים. על עקרונות יסוד אלה </w:t>
      </w:r>
      <w:r w:rsidRPr="007B04E0">
        <w:rPr>
          <w:rFonts w:ascii="Century" w:hAnsi="Century" w:cs="FrankRuehl" w:hint="cs"/>
          <w:spacing w:val="10"/>
          <w:szCs w:val="28"/>
          <w:rtl/>
        </w:rPr>
        <w:t xml:space="preserve">עמד בית המשפט בעניין </w:t>
      </w:r>
      <w:r w:rsidRPr="007B04E0">
        <w:rPr>
          <w:rFonts w:ascii="Century" w:hAnsi="Century" w:cs="Miriam" w:hint="cs"/>
          <w:b/>
          <w:rtl/>
        </w:rPr>
        <w:t>אמונה</w:t>
      </w:r>
      <w:r>
        <w:rPr>
          <w:rFonts w:ascii="Century" w:hAnsi="Century" w:cs="FrankRuehl" w:hint="cs"/>
          <w:spacing w:val="10"/>
          <w:szCs w:val="28"/>
          <w:rtl/>
        </w:rPr>
        <w:t xml:space="preserve"> בציינו:</w:t>
      </w:r>
    </w:p>
    <w:p w14:paraId="4C106DA6" w14:textId="77777777" w:rsidR="0040186B" w:rsidRPr="007B04E0" w:rsidRDefault="0040186B" w:rsidP="00C634DC">
      <w:pPr>
        <w:pStyle w:val="af0"/>
        <w:spacing w:line="360" w:lineRule="auto"/>
        <w:ind w:left="0"/>
        <w:contextualSpacing w:val="0"/>
        <w:jc w:val="both"/>
        <w:rPr>
          <w:rFonts w:ascii="Century" w:hAnsi="Century" w:cs="FrankRuehl"/>
          <w:spacing w:val="10"/>
          <w:szCs w:val="28"/>
          <w:rtl/>
        </w:rPr>
      </w:pPr>
    </w:p>
    <w:p w14:paraId="2D4B4AC1" w14:textId="77777777" w:rsidR="0040186B" w:rsidRPr="007B04E0" w:rsidRDefault="0040186B" w:rsidP="00C634DC">
      <w:pPr>
        <w:pStyle w:val="Ruller5"/>
        <w:rPr>
          <w:rFonts w:ascii="Century" w:hAnsi="Century"/>
        </w:rPr>
      </w:pPr>
      <w:r w:rsidRPr="007B04E0">
        <w:rPr>
          <w:rFonts w:hint="cs"/>
          <w:rtl/>
        </w:rPr>
        <w:t>"</w:t>
      </w:r>
      <w:r w:rsidRPr="007B04E0">
        <w:rPr>
          <w:rtl/>
        </w:rPr>
        <w:t xml:space="preserve">מינוי לכהונות ציבוריות של בעלי תפקידים שדבק בהם פגם מוסרי, או השארתם בתפקידם לאחר שסרחו, עלול לפגום בתשתית הערכית עליה בנויים מוסדות המדינה והשלטון בישראל. הוא עלול לפגוע פגיעה חמורה בעקרונות היסוד הערכיים עליהם בנויים יסודות החברה והמשטר בישראל. הוא עלול לערער את אמון הציבור במערכות השלטון האמורות לשקף במעמדן וברמתן את עקרונות היסוד האתיים </w:t>
      </w:r>
      <w:r w:rsidRPr="007B04E0">
        <w:rPr>
          <w:rFonts w:hint="cs"/>
          <w:rtl/>
        </w:rPr>
        <w:t>ש</w:t>
      </w:r>
      <w:r w:rsidRPr="007B04E0">
        <w:rPr>
          <w:rtl/>
        </w:rPr>
        <w:t>עליהם מושתתים חיי החברה בישראל</w:t>
      </w:r>
      <w:r w:rsidRPr="007B04E0">
        <w:rPr>
          <w:rFonts w:hint="cs"/>
          <w:rtl/>
        </w:rPr>
        <w:t>" (</w:t>
      </w:r>
      <w:r w:rsidRPr="007B04E0">
        <w:rPr>
          <w:rFonts w:ascii="Century" w:hAnsi="Century" w:cs="Miriam" w:hint="eastAsia"/>
          <w:b/>
          <w:spacing w:val="0"/>
          <w:szCs w:val="24"/>
          <w:rtl/>
        </w:rPr>
        <w:t>שם</w:t>
      </w:r>
      <w:r w:rsidRPr="007B04E0">
        <w:rPr>
          <w:rtl/>
        </w:rPr>
        <w:t xml:space="preserve">, </w:t>
      </w:r>
      <w:r w:rsidRPr="007B04E0">
        <w:rPr>
          <w:rFonts w:hint="eastAsia"/>
          <w:rtl/>
        </w:rPr>
        <w:t>בעמ</w:t>
      </w:r>
      <w:r w:rsidRPr="007B04E0">
        <w:rPr>
          <w:rtl/>
        </w:rPr>
        <w:t>' 470</w:t>
      </w:r>
      <w:r w:rsidRPr="007B04E0">
        <w:rPr>
          <w:rFonts w:hint="cs"/>
          <w:rtl/>
        </w:rPr>
        <w:t>).</w:t>
      </w:r>
    </w:p>
    <w:p w14:paraId="3C7F9299" w14:textId="77777777" w:rsidR="0040186B" w:rsidRDefault="0040186B" w:rsidP="00C634DC">
      <w:pPr>
        <w:pStyle w:val="af0"/>
        <w:spacing w:line="360" w:lineRule="auto"/>
        <w:ind w:left="0"/>
        <w:contextualSpacing w:val="0"/>
        <w:jc w:val="both"/>
        <w:rPr>
          <w:rFonts w:ascii="Century" w:hAnsi="Century" w:cs="FrankRuehl"/>
          <w:spacing w:val="10"/>
          <w:szCs w:val="28"/>
          <w:rtl/>
        </w:rPr>
      </w:pPr>
    </w:p>
    <w:p w14:paraId="0527D22D" w14:textId="77777777" w:rsidR="00636252" w:rsidRPr="007B04E0" w:rsidRDefault="00636252" w:rsidP="00C634DC">
      <w:pPr>
        <w:pStyle w:val="af0"/>
        <w:spacing w:line="360" w:lineRule="auto"/>
        <w:ind w:left="0"/>
        <w:contextualSpacing w:val="0"/>
        <w:jc w:val="both"/>
        <w:rPr>
          <w:rFonts w:ascii="Century" w:hAnsi="Century" w:cs="FrankRuehl"/>
          <w:spacing w:val="10"/>
          <w:szCs w:val="28"/>
        </w:rPr>
      </w:pPr>
    </w:p>
    <w:p w14:paraId="63B6AC9C" w14:textId="77777777" w:rsidR="0040186B" w:rsidRPr="007B04E0" w:rsidRDefault="0040186B" w:rsidP="00CC4B0E">
      <w:pPr>
        <w:pStyle w:val="af0"/>
        <w:numPr>
          <w:ilvl w:val="0"/>
          <w:numId w:val="11"/>
        </w:numPr>
        <w:spacing w:line="360" w:lineRule="auto"/>
        <w:contextualSpacing w:val="0"/>
        <w:jc w:val="both"/>
        <w:rPr>
          <w:rFonts w:ascii="Century" w:hAnsi="Century" w:cs="FrankRuehl"/>
          <w:spacing w:val="10"/>
          <w:szCs w:val="28"/>
        </w:rPr>
      </w:pPr>
      <w:r w:rsidRPr="007B04E0">
        <w:rPr>
          <w:rFonts w:ascii="Century" w:hAnsi="Century" w:cs="FrankRuehl" w:hint="cs"/>
          <w:spacing w:val="10"/>
          <w:szCs w:val="28"/>
          <w:rtl/>
        </w:rPr>
        <w:t xml:space="preserve">אשר על כן, אציע לחבריי כי נקבל את העתירות במובן זה שנוציא צו מוחלט המורה לראש הממשלה להפעיל את סמכותו לפי סעיף 22(ב) </w:t>
      </w:r>
      <w:r w:rsidRPr="007B04E0">
        <w:rPr>
          <w:rFonts w:ascii="Century" w:hAnsi="Century" w:cs="FrankRuehl"/>
          <w:spacing w:val="10"/>
          <w:szCs w:val="28"/>
          <w:rtl/>
        </w:rPr>
        <w:t>לחוק</w:t>
      </w:r>
      <w:r w:rsidRPr="007B04E0">
        <w:rPr>
          <w:rFonts w:ascii="Century" w:hAnsi="Century" w:cs="FrankRuehl" w:hint="cs"/>
          <w:spacing w:val="10"/>
          <w:szCs w:val="28"/>
          <w:rtl/>
        </w:rPr>
        <w:t>-</w:t>
      </w:r>
      <w:r w:rsidRPr="007B04E0">
        <w:rPr>
          <w:rFonts w:ascii="Century" w:hAnsi="Century" w:cs="FrankRuehl"/>
          <w:spacing w:val="10"/>
          <w:szCs w:val="28"/>
          <w:rtl/>
        </w:rPr>
        <w:t>יסוד: הממשלה</w:t>
      </w:r>
      <w:r w:rsidRPr="007B04E0">
        <w:rPr>
          <w:rFonts w:ascii="Century" w:hAnsi="Century" w:cs="FrankRuehl" w:hint="cs"/>
          <w:spacing w:val="10"/>
          <w:szCs w:val="28"/>
          <w:rtl/>
        </w:rPr>
        <w:t xml:space="preserve"> ולהעביר את דרעי מתפקידו כשר הפנים ושר הבריאות. </w:t>
      </w:r>
      <w:r w:rsidR="00A27AF2">
        <w:rPr>
          <w:rFonts w:ascii="Century" w:hAnsi="Century" w:cs="FrankRuehl" w:hint="cs"/>
          <w:spacing w:val="10"/>
          <w:szCs w:val="28"/>
          <w:rtl/>
        </w:rPr>
        <w:t>עוד אציע כי בנסיבות העניין</w:t>
      </w:r>
      <w:r w:rsidR="004D3E24">
        <w:rPr>
          <w:rFonts w:ascii="Century" w:hAnsi="Century" w:cs="FrankRuehl" w:hint="cs"/>
          <w:spacing w:val="10"/>
          <w:szCs w:val="28"/>
          <w:rtl/>
        </w:rPr>
        <w:t xml:space="preserve"> ובהינתן הסוגיה הציבורית כבדת המשקל אשר עמדה במוקד העתירות </w:t>
      </w:r>
      <w:r w:rsidR="004D3E24">
        <w:rPr>
          <w:rFonts w:ascii="Century" w:hAnsi="Century" w:cs="FrankRuehl"/>
          <w:spacing w:val="10"/>
          <w:szCs w:val="28"/>
          <w:rtl/>
        </w:rPr>
        <w:t>–</w:t>
      </w:r>
      <w:r w:rsidR="00CC4B0E">
        <w:rPr>
          <w:rFonts w:ascii="Century" w:hAnsi="Century" w:cs="FrankRuehl" w:hint="cs"/>
          <w:spacing w:val="10"/>
          <w:szCs w:val="28"/>
          <w:rtl/>
        </w:rPr>
        <w:t xml:space="preserve"> </w:t>
      </w:r>
      <w:r w:rsidR="00A27AF2">
        <w:rPr>
          <w:rFonts w:ascii="Century" w:hAnsi="Century" w:cs="FrankRuehl" w:hint="cs"/>
          <w:spacing w:val="10"/>
          <w:szCs w:val="28"/>
          <w:rtl/>
        </w:rPr>
        <w:t xml:space="preserve">לא ייעשה צו להוצאות. </w:t>
      </w:r>
    </w:p>
    <w:p w14:paraId="7208D993" w14:textId="77777777" w:rsidR="00E44B39" w:rsidRDefault="00E44B39" w:rsidP="00C634DC">
      <w:pPr>
        <w:pStyle w:val="Ruller41"/>
        <w:rPr>
          <w:rtl/>
        </w:rPr>
      </w:pPr>
    </w:p>
    <w:tbl>
      <w:tblPr>
        <w:bidiVisual/>
        <w:tblW w:w="8363" w:type="dxa"/>
        <w:tblLook w:val="01E0" w:firstRow="1" w:lastRow="1" w:firstColumn="1" w:lastColumn="1" w:noHBand="0" w:noVBand="0"/>
      </w:tblPr>
      <w:tblGrid>
        <w:gridCol w:w="2786"/>
        <w:gridCol w:w="2787"/>
        <w:gridCol w:w="2790"/>
      </w:tblGrid>
      <w:tr w:rsidR="00E44B39" w14:paraId="0F56911F" w14:textId="77777777" w:rsidTr="00442AB3">
        <w:tc>
          <w:tcPr>
            <w:tcW w:w="2842" w:type="dxa"/>
            <w:shd w:val="clear" w:color="auto" w:fill="auto"/>
          </w:tcPr>
          <w:p w14:paraId="588FD4BC" w14:textId="77777777" w:rsidR="00E44B39" w:rsidRDefault="00E44B39" w:rsidP="00442AB3">
            <w:pPr>
              <w:pStyle w:val="Ruller41"/>
              <w:rPr>
                <w:rtl/>
              </w:rPr>
            </w:pPr>
          </w:p>
        </w:tc>
        <w:tc>
          <w:tcPr>
            <w:tcW w:w="2843" w:type="dxa"/>
            <w:shd w:val="clear" w:color="auto" w:fill="auto"/>
          </w:tcPr>
          <w:p w14:paraId="20E125B6" w14:textId="77777777" w:rsidR="00E44B39" w:rsidRDefault="00E44B39" w:rsidP="00442AB3">
            <w:pPr>
              <w:pStyle w:val="Ruller41"/>
              <w:jc w:val="center"/>
              <w:rPr>
                <w:rtl/>
              </w:rPr>
            </w:pPr>
          </w:p>
        </w:tc>
        <w:tc>
          <w:tcPr>
            <w:tcW w:w="2843" w:type="dxa"/>
            <w:shd w:val="clear" w:color="auto" w:fill="auto"/>
          </w:tcPr>
          <w:p w14:paraId="787082CB" w14:textId="77777777" w:rsidR="00E44B39" w:rsidRDefault="00E44B39" w:rsidP="00442AB3">
            <w:pPr>
              <w:pStyle w:val="Ruller41"/>
              <w:jc w:val="center"/>
              <w:rPr>
                <w:rtl/>
              </w:rPr>
            </w:pPr>
            <w:r>
              <w:rPr>
                <w:rtl/>
              </w:rPr>
              <w:t>ה נ ש י א ה</w:t>
            </w:r>
          </w:p>
        </w:tc>
      </w:tr>
    </w:tbl>
    <w:p w14:paraId="070A10FB" w14:textId="77777777" w:rsidR="00016EF1" w:rsidRDefault="00016EF1" w:rsidP="00C634DC">
      <w:pPr>
        <w:pStyle w:val="Ruller41"/>
        <w:rPr>
          <w:rtl/>
        </w:rPr>
      </w:pPr>
    </w:p>
    <w:p w14:paraId="283A21EF" w14:textId="77777777" w:rsidR="00B65D90" w:rsidRDefault="00B65D90" w:rsidP="00D316ED">
      <w:pPr>
        <w:pStyle w:val="BODYVERDICT"/>
        <w:rPr>
          <w:rFonts w:cs="Miriam"/>
          <w:sz w:val="24"/>
          <w:szCs w:val="24"/>
          <w:u w:val="single"/>
          <w:rtl/>
        </w:rPr>
      </w:pPr>
    </w:p>
    <w:p w14:paraId="5934A2DE" w14:textId="77777777" w:rsidR="00EF114E" w:rsidRDefault="00EF114E" w:rsidP="00D316ED">
      <w:pPr>
        <w:pStyle w:val="BODYVERDICT"/>
        <w:rPr>
          <w:rFonts w:cs="Miriam"/>
          <w:sz w:val="24"/>
          <w:szCs w:val="24"/>
          <w:u w:val="single"/>
          <w:rtl/>
        </w:rPr>
      </w:pPr>
      <w:r w:rsidRPr="0083330E">
        <w:rPr>
          <w:rFonts w:cs="Miriam"/>
          <w:sz w:val="24"/>
          <w:szCs w:val="24"/>
          <w:u w:val="single"/>
          <w:rtl/>
        </w:rPr>
        <w:t>ה</w:t>
      </w:r>
      <w:r>
        <w:rPr>
          <w:rFonts w:cs="Miriam" w:hint="cs"/>
          <w:sz w:val="24"/>
          <w:szCs w:val="24"/>
          <w:u w:val="single"/>
          <w:rtl/>
        </w:rPr>
        <w:t>שופטת ד</w:t>
      </w:r>
      <w:r w:rsidR="00D316ED">
        <w:rPr>
          <w:rFonts w:cs="Miriam" w:hint="cs"/>
          <w:sz w:val="24"/>
          <w:szCs w:val="24"/>
          <w:u w:val="single"/>
          <w:rtl/>
        </w:rPr>
        <w:t>'</w:t>
      </w:r>
      <w:r>
        <w:rPr>
          <w:rFonts w:cs="Miriam" w:hint="cs"/>
          <w:sz w:val="24"/>
          <w:szCs w:val="24"/>
          <w:u w:val="single"/>
          <w:rtl/>
        </w:rPr>
        <w:t xml:space="preserve"> ברק-ארז:</w:t>
      </w:r>
    </w:p>
    <w:p w14:paraId="5358FEB5" w14:textId="77777777" w:rsidR="00437A63" w:rsidRDefault="00437A63" w:rsidP="00437A63">
      <w:pPr>
        <w:pStyle w:val="BODYVERDICT"/>
        <w:rPr>
          <w:rFonts w:cs="Miriam"/>
          <w:sz w:val="24"/>
          <w:szCs w:val="24"/>
          <w:u w:val="single"/>
          <w:rtl/>
        </w:rPr>
      </w:pPr>
    </w:p>
    <w:p w14:paraId="18303A5A" w14:textId="77777777" w:rsidR="00437A63" w:rsidRDefault="00437A63" w:rsidP="00437A63">
      <w:pPr>
        <w:pStyle w:val="Ruller41"/>
        <w:rPr>
          <w:rtl/>
        </w:rPr>
      </w:pPr>
      <w:bookmarkStart w:id="12" w:name="Start_Write"/>
      <w:bookmarkEnd w:id="12"/>
    </w:p>
    <w:p w14:paraId="0D3B44F2" w14:textId="77777777" w:rsidR="00437A63" w:rsidRDefault="00437A63" w:rsidP="00437A63">
      <w:pPr>
        <w:pStyle w:val="af0"/>
        <w:spacing w:line="360" w:lineRule="auto"/>
        <w:ind w:left="0"/>
        <w:jc w:val="both"/>
        <w:rPr>
          <w:rFonts w:ascii="Century" w:hAnsi="Century" w:cs="FrankRuehl"/>
          <w:spacing w:val="10"/>
          <w:szCs w:val="28"/>
          <w:rtl/>
        </w:rPr>
      </w:pPr>
      <w:r w:rsidRPr="002A5CD9">
        <w:rPr>
          <w:rFonts w:ascii="Century" w:hAnsi="Century" w:cs="FrankRuehl"/>
          <w:spacing w:val="10"/>
          <w:szCs w:val="28"/>
          <w:rtl/>
        </w:rPr>
        <w:t xml:space="preserve">1. </w:t>
      </w:r>
      <w:r w:rsidRPr="002A5CD9">
        <w:rPr>
          <w:rFonts w:ascii="Century" w:hAnsi="Century" w:cs="FrankRuehl"/>
          <w:spacing w:val="10"/>
          <w:szCs w:val="28"/>
          <w:rtl/>
        </w:rPr>
        <w:tab/>
      </w:r>
      <w:r w:rsidRPr="002A5CD9">
        <w:rPr>
          <w:rFonts w:ascii="Century" w:hAnsi="Century" w:cs="FrankRuehl" w:hint="eastAsia"/>
          <w:spacing w:val="10"/>
          <w:szCs w:val="28"/>
          <w:rtl/>
        </w:rPr>
        <w:t>האם</w:t>
      </w:r>
      <w:r w:rsidRPr="002A5CD9">
        <w:rPr>
          <w:rFonts w:ascii="Century" w:hAnsi="Century" w:cs="FrankRuehl"/>
          <w:spacing w:val="10"/>
          <w:szCs w:val="28"/>
          <w:rtl/>
        </w:rPr>
        <w:t xml:space="preserve"> </w:t>
      </w:r>
      <w:r w:rsidRPr="002A5CD9">
        <w:rPr>
          <w:rFonts w:ascii="Century" w:hAnsi="Century" w:cs="FrankRuehl" w:hint="eastAsia"/>
          <w:spacing w:val="10"/>
          <w:szCs w:val="28"/>
          <w:rtl/>
        </w:rPr>
        <w:t>קמה</w:t>
      </w:r>
      <w:r w:rsidRPr="002A5CD9">
        <w:rPr>
          <w:rFonts w:ascii="Century" w:hAnsi="Century" w:cs="FrankRuehl"/>
          <w:spacing w:val="10"/>
          <w:szCs w:val="28"/>
          <w:rtl/>
        </w:rPr>
        <w:t xml:space="preserve"> </w:t>
      </w:r>
      <w:r w:rsidRPr="002A5CD9">
        <w:rPr>
          <w:rFonts w:ascii="Century" w:hAnsi="Century" w:cs="FrankRuehl" w:hint="eastAsia"/>
          <w:spacing w:val="10"/>
          <w:szCs w:val="28"/>
          <w:rtl/>
        </w:rPr>
        <w:t>מניעה</w:t>
      </w:r>
      <w:r w:rsidRPr="002A5CD9">
        <w:rPr>
          <w:rFonts w:ascii="Century" w:hAnsi="Century" w:cs="FrankRuehl"/>
          <w:spacing w:val="10"/>
          <w:szCs w:val="28"/>
          <w:rtl/>
        </w:rPr>
        <w:t xml:space="preserve"> משפטית לכך ש</w:t>
      </w:r>
      <w:r>
        <w:rPr>
          <w:rFonts w:ascii="Century" w:hAnsi="Century" w:cs="FrankRuehl" w:hint="cs"/>
          <w:spacing w:val="10"/>
          <w:szCs w:val="28"/>
          <w:rtl/>
        </w:rPr>
        <w:t xml:space="preserve">חבר הכנסת הרב </w:t>
      </w:r>
      <w:r w:rsidRPr="002A5CD9">
        <w:rPr>
          <w:rFonts w:ascii="Century" w:hAnsi="Century" w:cs="FrankRuehl"/>
          <w:spacing w:val="10"/>
          <w:szCs w:val="28"/>
          <w:rtl/>
        </w:rPr>
        <w:t xml:space="preserve">אריה </w:t>
      </w:r>
      <w:r>
        <w:rPr>
          <w:rFonts w:ascii="Century" w:hAnsi="Century" w:cs="FrankRuehl" w:hint="cs"/>
          <w:spacing w:val="10"/>
          <w:szCs w:val="28"/>
          <w:rtl/>
        </w:rPr>
        <w:t xml:space="preserve">מכלוף </w:t>
      </w:r>
      <w:r w:rsidRPr="002A5CD9">
        <w:rPr>
          <w:rFonts w:ascii="Century" w:hAnsi="Century" w:cs="FrankRuehl"/>
          <w:spacing w:val="10"/>
          <w:szCs w:val="28"/>
          <w:rtl/>
        </w:rPr>
        <w:t>דרעי</w:t>
      </w:r>
      <w:r>
        <w:rPr>
          <w:rFonts w:ascii="Century" w:hAnsi="Century" w:cs="FrankRuehl" w:hint="cs"/>
          <w:spacing w:val="10"/>
          <w:szCs w:val="28"/>
          <w:rtl/>
        </w:rPr>
        <w:t>,</w:t>
      </w:r>
      <w:r w:rsidRPr="002A5CD9">
        <w:rPr>
          <w:rFonts w:ascii="Century" w:hAnsi="Century" w:cs="FrankRuehl"/>
          <w:spacing w:val="10"/>
          <w:szCs w:val="28"/>
          <w:rtl/>
        </w:rPr>
        <w:t xml:space="preserve"> </w:t>
      </w:r>
      <w:r>
        <w:rPr>
          <w:rFonts w:ascii="Century" w:hAnsi="Century" w:cs="FrankRuehl" w:hint="cs"/>
          <w:spacing w:val="10"/>
          <w:szCs w:val="28"/>
          <w:rtl/>
        </w:rPr>
        <w:t>הנמנה עם המשיבים שבפנינו</w:t>
      </w:r>
      <w:r w:rsidRPr="002A5CD9">
        <w:rPr>
          <w:rFonts w:ascii="Century" w:hAnsi="Century" w:cs="FrankRuehl"/>
          <w:spacing w:val="10"/>
          <w:szCs w:val="28"/>
          <w:rtl/>
        </w:rPr>
        <w:t xml:space="preserve">, יכהן כשר בממשלת ישראל הנוכחית? חברתי הנשיאה </w:t>
      </w:r>
      <w:r w:rsidRPr="003B4B39">
        <w:rPr>
          <w:rFonts w:ascii="Century" w:hAnsi="Century" w:cs="Miriam" w:hint="cs"/>
          <w:b/>
          <w:rtl/>
        </w:rPr>
        <w:t>א' חיות</w:t>
      </w:r>
      <w:r w:rsidRPr="003B4B39">
        <w:rPr>
          <w:rFonts w:ascii="Century" w:hAnsi="Century" w:cs="FrankRuehl" w:hint="cs"/>
          <w:spacing w:val="10"/>
          <w:szCs w:val="28"/>
          <w:rtl/>
        </w:rPr>
        <w:t xml:space="preserve"> </w:t>
      </w:r>
      <w:r w:rsidRPr="002A5CD9">
        <w:rPr>
          <w:rFonts w:ascii="Century" w:hAnsi="Century" w:cs="FrankRuehl"/>
          <w:spacing w:val="10"/>
          <w:szCs w:val="28"/>
          <w:rtl/>
        </w:rPr>
        <w:t xml:space="preserve">משיבה על </w:t>
      </w:r>
      <w:r w:rsidRPr="002A5CD9">
        <w:rPr>
          <w:rFonts w:ascii="Century" w:hAnsi="Century" w:cs="FrankRuehl" w:hint="eastAsia"/>
          <w:spacing w:val="10"/>
          <w:szCs w:val="28"/>
          <w:rtl/>
        </w:rPr>
        <w:t>השאלה</w:t>
      </w:r>
      <w:r w:rsidRPr="002A5CD9">
        <w:rPr>
          <w:rFonts w:ascii="Century" w:hAnsi="Century" w:cs="FrankRuehl"/>
          <w:spacing w:val="10"/>
          <w:szCs w:val="28"/>
          <w:rtl/>
        </w:rPr>
        <w:t xml:space="preserve"> </w:t>
      </w:r>
      <w:r w:rsidRPr="002A5CD9">
        <w:rPr>
          <w:rFonts w:ascii="Century" w:hAnsi="Century" w:cs="FrankRuehl" w:hint="eastAsia"/>
          <w:spacing w:val="10"/>
          <w:szCs w:val="28"/>
          <w:rtl/>
        </w:rPr>
        <w:t>בחיוב</w:t>
      </w:r>
      <w:r w:rsidRPr="002A5CD9">
        <w:rPr>
          <w:rFonts w:ascii="Century" w:hAnsi="Century" w:cs="FrankRuehl"/>
          <w:spacing w:val="10"/>
          <w:szCs w:val="28"/>
          <w:rtl/>
        </w:rPr>
        <w:t xml:space="preserve">, </w:t>
      </w:r>
      <w:r w:rsidRPr="002A5CD9">
        <w:rPr>
          <w:rFonts w:ascii="Century" w:hAnsi="Century" w:cs="FrankRuehl" w:hint="eastAsia"/>
          <w:spacing w:val="10"/>
          <w:szCs w:val="28"/>
          <w:rtl/>
        </w:rPr>
        <w:t>ואף</w:t>
      </w:r>
      <w:r w:rsidRPr="002A5CD9">
        <w:rPr>
          <w:rFonts w:ascii="Century" w:hAnsi="Century" w:cs="FrankRuehl"/>
          <w:spacing w:val="10"/>
          <w:szCs w:val="28"/>
          <w:rtl/>
        </w:rPr>
        <w:t xml:space="preserve"> </w:t>
      </w:r>
      <w:r w:rsidRPr="002A5CD9">
        <w:rPr>
          <w:rFonts w:ascii="Century" w:hAnsi="Century" w:cs="FrankRuehl" w:hint="eastAsia"/>
          <w:spacing w:val="10"/>
          <w:szCs w:val="28"/>
          <w:rtl/>
        </w:rPr>
        <w:t>אני</w:t>
      </w:r>
      <w:r w:rsidRPr="002A5CD9">
        <w:rPr>
          <w:rFonts w:ascii="Century" w:hAnsi="Century" w:cs="FrankRuehl"/>
          <w:spacing w:val="10"/>
          <w:szCs w:val="28"/>
          <w:rtl/>
        </w:rPr>
        <w:t xml:space="preserve"> </w:t>
      </w:r>
      <w:r w:rsidRPr="002A5CD9">
        <w:rPr>
          <w:rFonts w:ascii="Century" w:hAnsi="Century" w:cs="FrankRuehl" w:hint="eastAsia"/>
          <w:spacing w:val="10"/>
          <w:szCs w:val="28"/>
          <w:rtl/>
        </w:rPr>
        <w:t>עושה</w:t>
      </w:r>
      <w:r w:rsidRPr="002A5CD9">
        <w:rPr>
          <w:rFonts w:ascii="Century" w:hAnsi="Century" w:cs="FrankRuehl"/>
          <w:spacing w:val="10"/>
          <w:szCs w:val="28"/>
          <w:rtl/>
        </w:rPr>
        <w:t xml:space="preserve"> </w:t>
      </w:r>
      <w:r w:rsidRPr="002A5CD9">
        <w:rPr>
          <w:rFonts w:ascii="Century" w:hAnsi="Century" w:cs="FrankRuehl" w:hint="eastAsia"/>
          <w:spacing w:val="10"/>
          <w:szCs w:val="28"/>
          <w:rtl/>
        </w:rPr>
        <w:t>כן</w:t>
      </w:r>
      <w:r>
        <w:rPr>
          <w:rFonts w:ascii="Century" w:hAnsi="Century" w:cs="FrankRuehl" w:hint="cs"/>
          <w:spacing w:val="10"/>
          <w:szCs w:val="28"/>
          <w:rtl/>
        </w:rPr>
        <w:t xml:space="preserve">. עם זאת, כשלעצמי, אני סבורה שבמקרה דנן </w:t>
      </w:r>
      <w:r w:rsidRPr="00ED4F52">
        <w:rPr>
          <w:rFonts w:ascii="Century" w:hAnsi="Century" w:cs="FrankRuehl"/>
          <w:spacing w:val="10"/>
          <w:szCs w:val="28"/>
          <w:rtl/>
        </w:rPr>
        <w:t xml:space="preserve">"דרך המלך" המובילה לתוצאה זו </w:t>
      </w:r>
      <w:r w:rsidRPr="002A5CD9">
        <w:rPr>
          <w:rFonts w:ascii="Century" w:hAnsi="Century" w:cs="FrankRuehl"/>
          <w:spacing w:val="10"/>
          <w:szCs w:val="28"/>
          <w:rtl/>
        </w:rPr>
        <w:t xml:space="preserve">מבוססת קודם כול על נסיבותיו המיוחדות, ובפרט </w:t>
      </w:r>
      <w:r w:rsidRPr="002A5CD9">
        <w:rPr>
          <w:rFonts w:ascii="Century" w:hAnsi="Century" w:cs="FrankRuehl" w:hint="eastAsia"/>
          <w:spacing w:val="10"/>
          <w:szCs w:val="28"/>
          <w:rtl/>
        </w:rPr>
        <w:t>על</w:t>
      </w:r>
      <w:r w:rsidRPr="002A5CD9">
        <w:rPr>
          <w:rFonts w:ascii="Century" w:hAnsi="Century" w:cs="FrankRuehl"/>
          <w:spacing w:val="10"/>
          <w:szCs w:val="28"/>
          <w:rtl/>
        </w:rPr>
        <w:t xml:space="preserve"> משמעותן</w:t>
      </w:r>
      <w:r>
        <w:rPr>
          <w:rFonts w:ascii="Century" w:hAnsi="Century" w:cs="FrankRuehl" w:hint="cs"/>
          <w:spacing w:val="10"/>
          <w:szCs w:val="28"/>
          <w:rtl/>
        </w:rPr>
        <w:t xml:space="preserve"> המשפטית</w:t>
      </w:r>
      <w:r w:rsidRPr="002A5CD9">
        <w:rPr>
          <w:rFonts w:ascii="Century" w:hAnsi="Century" w:cs="FrankRuehl"/>
          <w:spacing w:val="10"/>
          <w:szCs w:val="28"/>
          <w:rtl/>
        </w:rPr>
        <w:t xml:space="preserve"> של </w:t>
      </w:r>
      <w:r w:rsidRPr="002A5CD9">
        <w:rPr>
          <w:rFonts w:ascii="Century" w:hAnsi="Century" w:cs="FrankRuehl" w:hint="eastAsia"/>
          <w:spacing w:val="10"/>
          <w:szCs w:val="28"/>
          <w:rtl/>
        </w:rPr>
        <w:t>ההצהרות</w:t>
      </w:r>
      <w:r w:rsidRPr="002A5CD9">
        <w:rPr>
          <w:rFonts w:ascii="Century" w:hAnsi="Century" w:cs="FrankRuehl"/>
          <w:spacing w:val="10"/>
          <w:szCs w:val="28"/>
          <w:rtl/>
        </w:rPr>
        <w:t xml:space="preserve"> </w:t>
      </w:r>
      <w:r>
        <w:rPr>
          <w:rFonts w:ascii="Century" w:hAnsi="Century" w:cs="FrankRuehl" w:hint="cs"/>
          <w:spacing w:val="10"/>
          <w:szCs w:val="28"/>
          <w:rtl/>
        </w:rPr>
        <w:t>שנתן דרעי</w:t>
      </w:r>
      <w:r w:rsidRPr="002A5CD9">
        <w:rPr>
          <w:rFonts w:ascii="Century" w:hAnsi="Century" w:cs="FrankRuehl"/>
          <w:spacing w:val="10"/>
          <w:szCs w:val="28"/>
          <w:rtl/>
        </w:rPr>
        <w:t xml:space="preserve"> </w:t>
      </w:r>
      <w:r w:rsidRPr="002A5CD9">
        <w:rPr>
          <w:rFonts w:ascii="Century" w:hAnsi="Century" w:cs="FrankRuehl" w:hint="eastAsia"/>
          <w:spacing w:val="10"/>
          <w:szCs w:val="28"/>
          <w:rtl/>
        </w:rPr>
        <w:t>במשפטו</w:t>
      </w:r>
      <w:r w:rsidRPr="002A5CD9">
        <w:rPr>
          <w:rFonts w:ascii="Century" w:hAnsi="Century" w:cs="FrankRuehl"/>
          <w:spacing w:val="10"/>
          <w:szCs w:val="28"/>
          <w:rtl/>
        </w:rPr>
        <w:t xml:space="preserve"> </w:t>
      </w:r>
      <w:r w:rsidRPr="002A5CD9">
        <w:rPr>
          <w:rFonts w:ascii="Century" w:hAnsi="Century" w:cs="FrankRuehl" w:hint="eastAsia"/>
          <w:spacing w:val="10"/>
          <w:szCs w:val="28"/>
          <w:rtl/>
        </w:rPr>
        <w:t>הפלילי</w:t>
      </w:r>
      <w:r>
        <w:rPr>
          <w:rFonts w:ascii="Century" w:hAnsi="Century" w:cs="FrankRuehl" w:hint="cs"/>
          <w:spacing w:val="10"/>
          <w:szCs w:val="28"/>
          <w:rtl/>
        </w:rPr>
        <w:t xml:space="preserve"> האחרון,</w:t>
      </w:r>
      <w:r w:rsidRPr="002A5CD9">
        <w:rPr>
          <w:rFonts w:ascii="Century" w:hAnsi="Century" w:cs="FrankRuehl"/>
          <w:spacing w:val="10"/>
          <w:szCs w:val="28"/>
          <w:rtl/>
        </w:rPr>
        <w:t xml:space="preserve"> </w:t>
      </w:r>
      <w:r w:rsidRPr="002A5CD9">
        <w:rPr>
          <w:rFonts w:ascii="Century" w:hAnsi="Century" w:cs="FrankRuehl" w:hint="eastAsia"/>
          <w:spacing w:val="10"/>
          <w:szCs w:val="28"/>
          <w:rtl/>
        </w:rPr>
        <w:t>קודם</w:t>
      </w:r>
      <w:r w:rsidRPr="002A5CD9">
        <w:rPr>
          <w:rFonts w:ascii="Century" w:hAnsi="Century" w:cs="FrankRuehl"/>
          <w:spacing w:val="10"/>
          <w:szCs w:val="28"/>
          <w:rtl/>
        </w:rPr>
        <w:t xml:space="preserve"> </w:t>
      </w:r>
      <w:r>
        <w:rPr>
          <w:rFonts w:ascii="Century" w:hAnsi="Century" w:cs="FrankRuehl" w:hint="cs"/>
          <w:spacing w:val="10"/>
          <w:szCs w:val="28"/>
          <w:rtl/>
        </w:rPr>
        <w:t>למתן גזר דינו</w:t>
      </w:r>
      <w:r w:rsidRPr="002A5CD9">
        <w:rPr>
          <w:rFonts w:ascii="Century" w:hAnsi="Century" w:cs="FrankRuehl"/>
          <w:spacing w:val="10"/>
          <w:szCs w:val="28"/>
          <w:rtl/>
        </w:rPr>
        <w:t xml:space="preserve">, </w:t>
      </w:r>
      <w:r w:rsidRPr="002A5CD9">
        <w:rPr>
          <w:rFonts w:ascii="Century" w:hAnsi="Century" w:cs="FrankRuehl" w:hint="eastAsia"/>
          <w:spacing w:val="10"/>
          <w:szCs w:val="28"/>
          <w:rtl/>
        </w:rPr>
        <w:t>כמו</w:t>
      </w:r>
      <w:r w:rsidRPr="002A5CD9">
        <w:rPr>
          <w:rFonts w:ascii="Century" w:hAnsi="Century" w:cs="FrankRuehl"/>
          <w:spacing w:val="10"/>
          <w:szCs w:val="28"/>
          <w:rtl/>
        </w:rPr>
        <w:t xml:space="preserve"> </w:t>
      </w:r>
      <w:r w:rsidRPr="002A5CD9">
        <w:rPr>
          <w:rFonts w:ascii="Century" w:hAnsi="Century" w:cs="FrankRuehl" w:hint="eastAsia"/>
          <w:spacing w:val="10"/>
          <w:szCs w:val="28"/>
          <w:rtl/>
        </w:rPr>
        <w:t>גם</w:t>
      </w:r>
      <w:r w:rsidRPr="002A5CD9">
        <w:rPr>
          <w:rFonts w:ascii="Century" w:hAnsi="Century" w:cs="FrankRuehl"/>
          <w:spacing w:val="10"/>
          <w:szCs w:val="28"/>
          <w:rtl/>
        </w:rPr>
        <w:t xml:space="preserve"> </w:t>
      </w:r>
      <w:r w:rsidRPr="002A5CD9">
        <w:rPr>
          <w:rFonts w:ascii="Century" w:hAnsi="Century" w:cs="FrankRuehl" w:hint="eastAsia"/>
          <w:spacing w:val="10"/>
          <w:szCs w:val="28"/>
          <w:rtl/>
        </w:rPr>
        <w:t>על</w:t>
      </w:r>
      <w:r w:rsidRPr="002A5CD9">
        <w:rPr>
          <w:rFonts w:ascii="Century" w:hAnsi="Century" w:cs="FrankRuehl"/>
          <w:spacing w:val="10"/>
          <w:szCs w:val="28"/>
          <w:rtl/>
        </w:rPr>
        <w:t xml:space="preserve"> </w:t>
      </w:r>
      <w:r w:rsidRPr="002A5CD9">
        <w:rPr>
          <w:rFonts w:ascii="Century" w:hAnsi="Century" w:cs="FrankRuehl" w:hint="eastAsia"/>
          <w:spacing w:val="10"/>
          <w:szCs w:val="28"/>
          <w:rtl/>
        </w:rPr>
        <w:t>פעולותיו</w:t>
      </w:r>
      <w:r w:rsidRPr="002A5CD9">
        <w:rPr>
          <w:rFonts w:ascii="Century" w:hAnsi="Century" w:cs="FrankRuehl"/>
          <w:spacing w:val="10"/>
          <w:szCs w:val="28"/>
          <w:rtl/>
        </w:rPr>
        <w:t xml:space="preserve"> </w:t>
      </w:r>
      <w:r>
        <w:rPr>
          <w:rFonts w:ascii="Century" w:hAnsi="Century" w:cs="FrankRuehl" w:hint="cs"/>
          <w:spacing w:val="10"/>
          <w:szCs w:val="28"/>
          <w:rtl/>
        </w:rPr>
        <w:t>והתבטאויותיו לאחר מכן</w:t>
      </w:r>
      <w:r w:rsidRPr="002A5CD9">
        <w:rPr>
          <w:rFonts w:ascii="Century" w:hAnsi="Century" w:cs="FrankRuehl"/>
          <w:spacing w:val="10"/>
          <w:szCs w:val="28"/>
          <w:rtl/>
        </w:rPr>
        <w:t>.</w:t>
      </w:r>
    </w:p>
    <w:p w14:paraId="35D0BEDF" w14:textId="77777777" w:rsidR="00437A63" w:rsidRDefault="00437A63" w:rsidP="00437A63">
      <w:pPr>
        <w:pStyle w:val="af0"/>
        <w:spacing w:line="360" w:lineRule="auto"/>
        <w:ind w:left="0"/>
        <w:jc w:val="both"/>
        <w:rPr>
          <w:rFonts w:ascii="Century" w:hAnsi="Century" w:cs="FrankRuehl"/>
          <w:spacing w:val="10"/>
          <w:szCs w:val="28"/>
          <w:rtl/>
        </w:rPr>
      </w:pPr>
    </w:p>
    <w:p w14:paraId="24374B61" w14:textId="77777777" w:rsidR="00437A63" w:rsidRPr="008A1D9E" w:rsidRDefault="00437A63" w:rsidP="00437A63">
      <w:pPr>
        <w:pStyle w:val="af0"/>
        <w:spacing w:line="360" w:lineRule="auto"/>
        <w:ind w:left="0"/>
        <w:jc w:val="both"/>
        <w:rPr>
          <w:rFonts w:ascii="Century" w:hAnsi="Century" w:cs="FrankRuehl"/>
          <w:spacing w:val="10"/>
          <w:szCs w:val="28"/>
          <w:rtl/>
        </w:rPr>
      </w:pPr>
      <w:r>
        <w:rPr>
          <w:rFonts w:ascii="Century" w:hAnsi="Century" w:cs="Miriam" w:hint="cs"/>
          <w:b/>
          <w:rtl/>
        </w:rPr>
        <w:t>פתח דבר</w:t>
      </w:r>
    </w:p>
    <w:p w14:paraId="78537DF5" w14:textId="77777777" w:rsidR="00437A63" w:rsidRDefault="00437A63" w:rsidP="00437A63">
      <w:pPr>
        <w:pStyle w:val="af0"/>
        <w:spacing w:line="360" w:lineRule="auto"/>
        <w:ind w:left="0"/>
        <w:jc w:val="both"/>
        <w:rPr>
          <w:rFonts w:ascii="Century" w:hAnsi="Century" w:cs="FrankRuehl"/>
          <w:spacing w:val="10"/>
          <w:szCs w:val="28"/>
          <w:rtl/>
        </w:rPr>
      </w:pPr>
    </w:p>
    <w:p w14:paraId="36142946"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2.</w:t>
      </w:r>
      <w:r>
        <w:rPr>
          <w:rFonts w:ascii="Century" w:hAnsi="Century" w:cs="FrankRuehl" w:hint="cs"/>
          <w:spacing w:val="10"/>
          <w:szCs w:val="28"/>
          <w:rtl/>
        </w:rPr>
        <w:tab/>
        <w:t xml:space="preserve">כפי שפירטה חברתי הנשיאה, העתירות שבפנינו נסבו על שלושה מישורים עיקריים של טענות שכוונו נגד מינויו של דרעי כשר בממשלת ישראל: האחד – עניינו בתוקפו של תיקון מס' 11 לחוק היסוד (חוק-יסוד: הממשלה (תיקון מס' 11)), ובפרט בתחולתו המיידית של </w:t>
      </w:r>
      <w:r w:rsidRPr="006C7C4A">
        <w:rPr>
          <w:rFonts w:ascii="Century" w:hAnsi="Century" w:cs="FrankRuehl" w:hint="cs"/>
          <w:spacing w:val="10"/>
          <w:szCs w:val="28"/>
          <w:rtl/>
        </w:rPr>
        <w:t xml:space="preserve">התיקון והשלכותיה על שאלת כשירותו של דרעי לתפקיד; </w:t>
      </w:r>
      <w:r>
        <w:rPr>
          <w:rFonts w:ascii="Century" w:hAnsi="Century" w:cs="FrankRuehl" w:hint="cs"/>
          <w:spacing w:val="10"/>
          <w:szCs w:val="28"/>
          <w:rtl/>
        </w:rPr>
        <w:t xml:space="preserve">      </w:t>
      </w:r>
      <w:r w:rsidRPr="006C7C4A">
        <w:rPr>
          <w:rFonts w:ascii="Century" w:hAnsi="Century" w:cs="FrankRuehl" w:hint="cs"/>
          <w:spacing w:val="10"/>
          <w:szCs w:val="28"/>
          <w:rtl/>
        </w:rPr>
        <w:t xml:space="preserve">השני </w:t>
      </w:r>
      <w:r w:rsidRPr="006C7C4A">
        <w:rPr>
          <w:rFonts w:ascii="Century" w:hAnsi="Century" w:cs="FrankRuehl"/>
          <w:spacing w:val="10"/>
          <w:szCs w:val="28"/>
          <w:rtl/>
        </w:rPr>
        <w:t>–</w:t>
      </w:r>
      <w:r w:rsidRPr="006C7C4A">
        <w:rPr>
          <w:rFonts w:ascii="Century" w:hAnsi="Century" w:cs="FrankRuehl" w:hint="cs"/>
          <w:spacing w:val="10"/>
          <w:szCs w:val="28"/>
          <w:rtl/>
        </w:rPr>
        <w:t xml:space="preserve"> עניינו</w:t>
      </w:r>
      <w:r>
        <w:rPr>
          <w:rFonts w:ascii="Century" w:hAnsi="Century" w:cs="FrankRuehl" w:hint="cs"/>
          <w:spacing w:val="10"/>
          <w:szCs w:val="28"/>
          <w:rtl/>
        </w:rPr>
        <w:t xml:space="preserve"> ב</w:t>
      </w:r>
      <w:r w:rsidRPr="006C7C4A">
        <w:rPr>
          <w:rFonts w:ascii="Century" w:hAnsi="Century" w:cs="FrankRuehl" w:hint="cs"/>
          <w:spacing w:val="10"/>
          <w:szCs w:val="28"/>
          <w:rtl/>
        </w:rPr>
        <w:t xml:space="preserve">שיקול דעתו של ראש הממשלה בהתייחס </w:t>
      </w:r>
      <w:r>
        <w:rPr>
          <w:rFonts w:ascii="Century" w:hAnsi="Century" w:cs="FrankRuehl" w:hint="cs"/>
          <w:spacing w:val="10"/>
          <w:szCs w:val="28"/>
          <w:rtl/>
        </w:rPr>
        <w:t>למינויו של דרעי ל</w:t>
      </w:r>
      <w:r w:rsidRPr="006C7C4A">
        <w:rPr>
          <w:rFonts w:ascii="Century" w:hAnsi="Century" w:cs="FrankRuehl" w:hint="cs"/>
          <w:spacing w:val="10"/>
          <w:szCs w:val="28"/>
          <w:rtl/>
        </w:rPr>
        <w:t xml:space="preserve">שר, בהתאם </w:t>
      </w:r>
      <w:r>
        <w:rPr>
          <w:rFonts w:ascii="Century" w:hAnsi="Century" w:cs="FrankRuehl" w:hint="cs"/>
          <w:spacing w:val="10"/>
          <w:szCs w:val="28"/>
          <w:rtl/>
        </w:rPr>
        <w:t xml:space="preserve">להבחנה הנוהגת בין שאלת הכשירות לשאלת שיקול הדעת; והשלישי – עניינו בהשלכות המשפטיות העצמאיות הנובעות מהתנהלותו של דרעי בגדרי ההליך הפלילי שבו הורשע בהסדר טיעון ביחס לתוקף מינויו כיום (כאשר חלק מן העותרים הדגישו בהקשר זה קיומו של "השתק שיפוטי", דהיינו מניעות דיונית מלהעלות טענה נוגדת בהליך אחר, וחלקם התייחסו באופן יותר רחב ל"מניעות" או "השתק" בשל חוסר תום לב וניקיון כפיים). בהמשך לכך, בהחלטות מהימים 27.12.2022, 29.12.2022 ו-3.1.2023 ניתנו צווים על-תנאי בהתאם לסעדים שונים שהתבקשו בעתירות ואשר התייחסו יחדיו לכלל טענות אלו. בהתאמה, אף בגדרו של הדיון שהתקיים בפנינו ביום 5.1.2023 המשיבים בעתירות </w:t>
      </w:r>
      <w:r>
        <w:rPr>
          <w:rFonts w:ascii="Century" w:hAnsi="Century" w:cs="FrankRuehl" w:hint="cs"/>
          <w:spacing w:val="10"/>
          <w:szCs w:val="28"/>
          <w:rtl/>
        </w:rPr>
        <w:lastRenderedPageBreak/>
        <w:t xml:space="preserve">השיבו לצווים שניתנו ולטענות שהופנו כלפיהם בהתייחס לכל אחד משלושת מישורי הטיעון האמורים. </w:t>
      </w:r>
    </w:p>
    <w:p w14:paraId="3E803347" w14:textId="77777777" w:rsidR="00437A63" w:rsidRDefault="00437A63" w:rsidP="00437A63">
      <w:pPr>
        <w:pStyle w:val="af0"/>
        <w:spacing w:line="360" w:lineRule="auto"/>
        <w:ind w:left="0"/>
        <w:jc w:val="both"/>
        <w:rPr>
          <w:rFonts w:ascii="Century" w:hAnsi="Century" w:cs="FrankRuehl"/>
          <w:spacing w:val="10"/>
          <w:szCs w:val="28"/>
          <w:rtl/>
        </w:rPr>
      </w:pPr>
    </w:p>
    <w:p w14:paraId="573C0442"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3.</w:t>
      </w:r>
      <w:r>
        <w:rPr>
          <w:rFonts w:ascii="Century" w:hAnsi="Century" w:cs="FrankRuehl" w:hint="cs"/>
          <w:spacing w:val="10"/>
          <w:szCs w:val="28"/>
          <w:rtl/>
        </w:rPr>
        <w:tab/>
        <w:t>לאחר שחזרתי והפכתי בדבר, הגעתי לכלל מסקנה כי בנסיבות העניין אין מנוס מלקבוע כי כהונתו של דרעי בתפקיד שר היא פסולה. כאמור, הנתיב המשפטי המוביל אותי להכרעה זו נעוץ, קודם כול, בהתנהלותו הדיונית של דרעי במסגרת ההליך הפלילי ובהסדר הטיעון שהתגבש בעניינו. כפי שאסביר, יש בהתנהלות זו כדי להקים כנגדו מניעות מלקבל על עצמו מינוי כשר בעת הזו, בשל הפרה של חובת ההגינות שחלה עליו כלפי בית המשפט, כרשות מרשויות המדינה.</w:t>
      </w:r>
      <w:r w:rsidRPr="00AE58AF">
        <w:rPr>
          <w:rFonts w:ascii="Century" w:hAnsi="Century" w:cs="FrankRuehl" w:hint="cs"/>
          <w:spacing w:val="10"/>
          <w:szCs w:val="28"/>
          <w:rtl/>
        </w:rPr>
        <w:t xml:space="preserve"> </w:t>
      </w:r>
      <w:r>
        <w:rPr>
          <w:rFonts w:ascii="Century" w:hAnsi="Century" w:cs="FrankRuehl" w:hint="cs"/>
          <w:spacing w:val="10"/>
          <w:szCs w:val="28"/>
          <w:rtl/>
        </w:rPr>
        <w:t xml:space="preserve">זאת, על רקע הפער הבולט בין התפטרותו של דרעי מתפקידו כחבר כנסת והצהרותיו בדבר עתידו הציבורי, אשר בית משפט השלום ייחס להן משקל בגזירת עונשו, לבין חזרתו לפעילות פוליטית כשר כבר בסמוך לאחר מתן גזר הדין. אשר על כן, לו תישמע דעתי, אציע לחבריי </w:t>
      </w:r>
      <w:r w:rsidRPr="00516E7E">
        <w:rPr>
          <w:rFonts w:ascii="Century" w:hAnsi="Century" w:cs="FrankRuehl" w:hint="eastAsia"/>
          <w:spacing w:val="10"/>
          <w:szCs w:val="28"/>
          <w:rtl/>
        </w:rPr>
        <w:t>לקבל</w:t>
      </w:r>
      <w:r w:rsidRPr="00516E7E">
        <w:rPr>
          <w:rFonts w:ascii="Century" w:hAnsi="Century" w:cs="FrankRuehl"/>
          <w:spacing w:val="10"/>
          <w:szCs w:val="28"/>
          <w:rtl/>
        </w:rPr>
        <w:t xml:space="preserve"> </w:t>
      </w:r>
      <w:r w:rsidRPr="00516E7E">
        <w:rPr>
          <w:rFonts w:ascii="Century" w:hAnsi="Century" w:cs="FrankRuehl" w:hint="eastAsia"/>
          <w:spacing w:val="10"/>
          <w:szCs w:val="28"/>
          <w:rtl/>
        </w:rPr>
        <w:t>את</w:t>
      </w:r>
      <w:r w:rsidRPr="00516E7E">
        <w:rPr>
          <w:rFonts w:ascii="Century" w:hAnsi="Century" w:cs="FrankRuehl"/>
          <w:spacing w:val="10"/>
          <w:szCs w:val="28"/>
          <w:rtl/>
        </w:rPr>
        <w:t xml:space="preserve"> </w:t>
      </w:r>
      <w:r w:rsidRPr="00516E7E">
        <w:rPr>
          <w:rFonts w:ascii="Century" w:hAnsi="Century" w:cs="FrankRuehl" w:hint="eastAsia"/>
          <w:spacing w:val="10"/>
          <w:szCs w:val="28"/>
          <w:rtl/>
        </w:rPr>
        <w:t>העתירות</w:t>
      </w:r>
      <w:r w:rsidRPr="00516E7E">
        <w:rPr>
          <w:rFonts w:ascii="Century" w:hAnsi="Century" w:cs="FrankRuehl"/>
          <w:spacing w:val="10"/>
          <w:szCs w:val="28"/>
          <w:rtl/>
        </w:rPr>
        <w:t xml:space="preserve"> </w:t>
      </w:r>
      <w:r>
        <w:rPr>
          <w:rFonts w:ascii="Century" w:hAnsi="Century" w:cs="FrankRuehl" w:hint="cs"/>
          <w:spacing w:val="10"/>
          <w:szCs w:val="28"/>
          <w:rtl/>
        </w:rPr>
        <w:t xml:space="preserve">כך </w:t>
      </w:r>
      <w:r w:rsidRPr="00516E7E">
        <w:rPr>
          <w:rFonts w:ascii="Century" w:hAnsi="Century" w:cs="FrankRuehl" w:hint="eastAsia"/>
          <w:spacing w:val="10"/>
          <w:szCs w:val="28"/>
          <w:rtl/>
        </w:rPr>
        <w:t>ש</w:t>
      </w:r>
      <w:r>
        <w:rPr>
          <w:rFonts w:ascii="Century" w:hAnsi="Century" w:cs="FrankRuehl" w:hint="cs"/>
          <w:spacing w:val="10"/>
          <w:szCs w:val="28"/>
          <w:rtl/>
        </w:rPr>
        <w:t>י</w:t>
      </w:r>
      <w:r w:rsidRPr="00516E7E">
        <w:rPr>
          <w:rFonts w:ascii="Century" w:hAnsi="Century" w:cs="FrankRuehl" w:hint="eastAsia"/>
          <w:spacing w:val="10"/>
          <w:szCs w:val="28"/>
          <w:rtl/>
        </w:rPr>
        <w:t>יקבע</w:t>
      </w:r>
      <w:r w:rsidRPr="00516E7E">
        <w:rPr>
          <w:rFonts w:ascii="Century" w:hAnsi="Century" w:cs="FrankRuehl"/>
          <w:spacing w:val="10"/>
          <w:szCs w:val="28"/>
          <w:rtl/>
        </w:rPr>
        <w:t xml:space="preserve"> </w:t>
      </w:r>
      <w:r w:rsidRPr="00516E7E">
        <w:rPr>
          <w:rFonts w:ascii="Century" w:hAnsi="Century" w:cs="FrankRuehl" w:hint="eastAsia"/>
          <w:spacing w:val="10"/>
          <w:szCs w:val="28"/>
          <w:rtl/>
        </w:rPr>
        <w:t>כי</w:t>
      </w:r>
      <w:r w:rsidRPr="00516E7E">
        <w:rPr>
          <w:rFonts w:ascii="Century" w:hAnsi="Century" w:cs="FrankRuehl"/>
          <w:spacing w:val="10"/>
          <w:szCs w:val="28"/>
          <w:rtl/>
        </w:rPr>
        <w:t xml:space="preserve"> </w:t>
      </w:r>
      <w:r w:rsidRPr="00516E7E">
        <w:rPr>
          <w:rFonts w:ascii="Century" w:hAnsi="Century" w:cs="FrankRuehl" w:hint="eastAsia"/>
          <w:spacing w:val="10"/>
          <w:szCs w:val="28"/>
          <w:rtl/>
        </w:rPr>
        <w:t>מינויו</w:t>
      </w:r>
      <w:r w:rsidRPr="00516E7E">
        <w:rPr>
          <w:rFonts w:ascii="Century" w:hAnsi="Century" w:cs="FrankRuehl"/>
          <w:spacing w:val="10"/>
          <w:szCs w:val="28"/>
          <w:rtl/>
        </w:rPr>
        <w:t xml:space="preserve"> </w:t>
      </w:r>
      <w:r w:rsidRPr="00516E7E">
        <w:rPr>
          <w:rFonts w:ascii="Century" w:hAnsi="Century" w:cs="FrankRuehl" w:hint="eastAsia"/>
          <w:spacing w:val="10"/>
          <w:szCs w:val="28"/>
          <w:rtl/>
        </w:rPr>
        <w:t>של</w:t>
      </w:r>
      <w:r w:rsidRPr="00516E7E">
        <w:rPr>
          <w:rFonts w:ascii="Century" w:hAnsi="Century" w:cs="FrankRuehl"/>
          <w:spacing w:val="10"/>
          <w:szCs w:val="28"/>
          <w:rtl/>
        </w:rPr>
        <w:t xml:space="preserve"> </w:t>
      </w:r>
      <w:r w:rsidRPr="00516E7E">
        <w:rPr>
          <w:rFonts w:ascii="Century" w:hAnsi="Century" w:cs="FrankRuehl" w:hint="eastAsia"/>
          <w:spacing w:val="10"/>
          <w:szCs w:val="28"/>
          <w:rtl/>
        </w:rPr>
        <w:t>דרעי</w:t>
      </w:r>
      <w:r w:rsidRPr="00516E7E">
        <w:rPr>
          <w:rFonts w:ascii="Century" w:hAnsi="Century" w:cs="FrankRuehl"/>
          <w:spacing w:val="10"/>
          <w:szCs w:val="28"/>
          <w:rtl/>
        </w:rPr>
        <w:t xml:space="preserve"> </w:t>
      </w:r>
      <w:r w:rsidRPr="00516E7E">
        <w:rPr>
          <w:rFonts w:ascii="Century" w:hAnsi="Century" w:cs="FrankRuehl" w:hint="eastAsia"/>
          <w:spacing w:val="10"/>
          <w:szCs w:val="28"/>
          <w:rtl/>
        </w:rPr>
        <w:t>פסול</w:t>
      </w:r>
      <w:r w:rsidRPr="00516E7E">
        <w:rPr>
          <w:rFonts w:ascii="Century" w:hAnsi="Century" w:cs="FrankRuehl"/>
          <w:spacing w:val="10"/>
          <w:szCs w:val="28"/>
          <w:rtl/>
        </w:rPr>
        <w:t xml:space="preserve">, </w:t>
      </w:r>
      <w:r>
        <w:rPr>
          <w:rFonts w:ascii="Century" w:hAnsi="Century" w:cs="FrankRuehl" w:hint="cs"/>
          <w:spacing w:val="10"/>
          <w:szCs w:val="28"/>
          <w:rtl/>
        </w:rPr>
        <w:t xml:space="preserve">וכי במובן זה דין הצו על-תנאי </w:t>
      </w:r>
      <w:r w:rsidRPr="00516E7E">
        <w:rPr>
          <w:rFonts w:ascii="Century" w:hAnsi="Century" w:cs="FrankRuehl" w:hint="eastAsia"/>
          <w:spacing w:val="10"/>
          <w:szCs w:val="28"/>
          <w:rtl/>
        </w:rPr>
        <w:t>שניתן</w:t>
      </w:r>
      <w:r w:rsidRPr="00516E7E">
        <w:rPr>
          <w:rFonts w:ascii="Century" w:hAnsi="Century" w:cs="FrankRuehl"/>
          <w:spacing w:val="10"/>
          <w:szCs w:val="28"/>
          <w:rtl/>
        </w:rPr>
        <w:t xml:space="preserve"> </w:t>
      </w:r>
      <w:r>
        <w:rPr>
          <w:rFonts w:ascii="Century" w:hAnsi="Century" w:cs="FrankRuehl" w:hint="cs"/>
          <w:spacing w:val="10"/>
          <w:szCs w:val="28"/>
          <w:rtl/>
        </w:rPr>
        <w:t>בבג"ץ 8982/22 ל</w:t>
      </w:r>
      <w:r w:rsidRPr="0077394F">
        <w:rPr>
          <w:rFonts w:ascii="Century" w:hAnsi="Century" w:cs="FrankRuehl" w:hint="eastAsia"/>
          <w:spacing w:val="10"/>
          <w:szCs w:val="28"/>
          <w:rtl/>
        </w:rPr>
        <w:t>הפוך</w:t>
      </w:r>
      <w:r w:rsidRPr="0077394F">
        <w:rPr>
          <w:rFonts w:ascii="Century" w:hAnsi="Century" w:cs="FrankRuehl"/>
          <w:spacing w:val="10"/>
          <w:szCs w:val="28"/>
          <w:rtl/>
        </w:rPr>
        <w:t xml:space="preserve"> </w:t>
      </w:r>
      <w:r w:rsidRPr="0077394F">
        <w:rPr>
          <w:rFonts w:ascii="Century" w:hAnsi="Century" w:cs="FrankRuehl" w:hint="eastAsia"/>
          <w:spacing w:val="10"/>
          <w:szCs w:val="28"/>
          <w:rtl/>
        </w:rPr>
        <w:t>למוחלט</w:t>
      </w:r>
      <w:r>
        <w:rPr>
          <w:rFonts w:hint="cs"/>
          <w:rtl/>
        </w:rPr>
        <w:t xml:space="preserve">. </w:t>
      </w:r>
    </w:p>
    <w:p w14:paraId="347C2D2C" w14:textId="77777777" w:rsidR="00437A63" w:rsidRDefault="00437A63" w:rsidP="00437A63">
      <w:pPr>
        <w:pStyle w:val="af0"/>
        <w:spacing w:line="360" w:lineRule="auto"/>
        <w:ind w:left="0"/>
        <w:jc w:val="both"/>
        <w:rPr>
          <w:rFonts w:ascii="Century" w:hAnsi="Century" w:cs="FrankRuehl"/>
          <w:spacing w:val="10"/>
          <w:szCs w:val="28"/>
          <w:rtl/>
        </w:rPr>
      </w:pPr>
    </w:p>
    <w:p w14:paraId="1ADDB89E" w14:textId="77777777" w:rsidR="00437A63" w:rsidRPr="002A5CD9"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4.</w:t>
      </w:r>
      <w:r>
        <w:rPr>
          <w:rFonts w:ascii="Century" w:hAnsi="Century" w:cs="FrankRuehl"/>
          <w:spacing w:val="10"/>
          <w:szCs w:val="28"/>
          <w:rtl/>
        </w:rPr>
        <w:tab/>
      </w:r>
      <w:r>
        <w:rPr>
          <w:rFonts w:ascii="Century" w:hAnsi="Century" w:cs="FrankRuehl" w:hint="cs"/>
          <w:spacing w:val="10"/>
          <w:szCs w:val="28"/>
          <w:rtl/>
        </w:rPr>
        <w:t>כאמור,</w:t>
      </w:r>
      <w:r w:rsidRPr="002A5CD9">
        <w:rPr>
          <w:rFonts w:ascii="Century" w:hAnsi="Century" w:cs="FrankRuehl"/>
          <w:spacing w:val="10"/>
          <w:szCs w:val="28"/>
          <w:rtl/>
        </w:rPr>
        <w:t xml:space="preserve"> </w:t>
      </w:r>
      <w:r w:rsidRPr="002A5CD9">
        <w:rPr>
          <w:rFonts w:ascii="Century" w:hAnsi="Century" w:cs="FrankRuehl" w:hint="eastAsia"/>
          <w:spacing w:val="10"/>
          <w:szCs w:val="28"/>
          <w:rtl/>
        </w:rPr>
        <w:t>העותרים</w:t>
      </w:r>
      <w:r w:rsidRPr="002A5CD9">
        <w:rPr>
          <w:rFonts w:ascii="Century" w:hAnsi="Century" w:cs="FrankRuehl"/>
          <w:spacing w:val="10"/>
          <w:szCs w:val="28"/>
          <w:rtl/>
        </w:rPr>
        <w:t xml:space="preserve"> </w:t>
      </w:r>
      <w:r w:rsidRPr="002A5CD9">
        <w:rPr>
          <w:rFonts w:ascii="Century" w:hAnsi="Century" w:cs="FrankRuehl" w:hint="eastAsia"/>
          <w:spacing w:val="10"/>
          <w:szCs w:val="28"/>
          <w:rtl/>
        </w:rPr>
        <w:t>ביססו</w:t>
      </w:r>
      <w:r w:rsidRPr="002A5CD9">
        <w:rPr>
          <w:rFonts w:ascii="Century" w:hAnsi="Century" w:cs="FrankRuehl"/>
          <w:spacing w:val="10"/>
          <w:szCs w:val="28"/>
          <w:rtl/>
        </w:rPr>
        <w:t xml:space="preserve"> </w:t>
      </w:r>
      <w:r w:rsidRPr="002A5CD9">
        <w:rPr>
          <w:rFonts w:ascii="Century" w:hAnsi="Century" w:cs="FrankRuehl" w:hint="eastAsia"/>
          <w:spacing w:val="10"/>
          <w:szCs w:val="28"/>
          <w:rtl/>
        </w:rPr>
        <w:t>את</w:t>
      </w:r>
      <w:r w:rsidRPr="002A5CD9">
        <w:rPr>
          <w:rFonts w:ascii="Century" w:hAnsi="Century" w:cs="FrankRuehl"/>
          <w:spacing w:val="10"/>
          <w:szCs w:val="28"/>
          <w:rtl/>
        </w:rPr>
        <w:t xml:space="preserve"> </w:t>
      </w:r>
      <w:r w:rsidRPr="002A5CD9">
        <w:rPr>
          <w:rFonts w:ascii="Century" w:hAnsi="Century" w:cs="FrankRuehl" w:hint="eastAsia"/>
          <w:spacing w:val="10"/>
          <w:szCs w:val="28"/>
          <w:rtl/>
        </w:rPr>
        <w:t>טענותיהם</w:t>
      </w:r>
      <w:r w:rsidRPr="002A5CD9">
        <w:rPr>
          <w:rFonts w:ascii="Century" w:hAnsi="Century" w:cs="FrankRuehl"/>
          <w:spacing w:val="10"/>
          <w:szCs w:val="28"/>
          <w:rtl/>
        </w:rPr>
        <w:t xml:space="preserve"> גם על עילות נוספות – עילת הסבירות והעילה שעניינה שימוש לרעה בחוק יסוד. </w:t>
      </w:r>
      <w:r>
        <w:rPr>
          <w:rFonts w:ascii="Century" w:hAnsi="Century" w:cs="FrankRuehl" w:hint="cs"/>
          <w:spacing w:val="10"/>
          <w:szCs w:val="28"/>
          <w:rtl/>
        </w:rPr>
        <w:t xml:space="preserve">חברתי הנשיאה סבורה כי במקרה זה ראוי לבסס את התוצאה, בראש ובראשונה, על עילת הסבירות, באופן שמייתר את ההכרעה בהיבטיה האחרים של העתירה. לעומת זאת, אני סבורה שסדר הדברים הוא אחר. לשיטתי, דרעי מנוע מלקבל על עצמו כהונה כשר. מניעות זו מבוססת </w:t>
      </w:r>
      <w:r w:rsidRPr="002A5CD9">
        <w:rPr>
          <w:rFonts w:ascii="Century" w:hAnsi="Century" w:cs="FrankRuehl" w:hint="eastAsia"/>
          <w:spacing w:val="10"/>
          <w:szCs w:val="28"/>
          <w:rtl/>
        </w:rPr>
        <w:t>על</w:t>
      </w:r>
      <w:r w:rsidRPr="002A5CD9">
        <w:rPr>
          <w:rFonts w:ascii="Century" w:hAnsi="Century" w:cs="FrankRuehl"/>
          <w:spacing w:val="10"/>
          <w:szCs w:val="28"/>
          <w:rtl/>
        </w:rPr>
        <w:t xml:space="preserve"> </w:t>
      </w:r>
      <w:r w:rsidRPr="002A5CD9">
        <w:rPr>
          <w:rFonts w:ascii="Century" w:hAnsi="Century" w:cs="FrankRuehl" w:hint="eastAsia"/>
          <w:spacing w:val="10"/>
          <w:szCs w:val="28"/>
          <w:rtl/>
        </w:rPr>
        <w:t>עקרונות</w:t>
      </w:r>
      <w:r w:rsidRPr="002A5CD9">
        <w:rPr>
          <w:rFonts w:ascii="Century" w:hAnsi="Century" w:cs="FrankRuehl"/>
          <w:spacing w:val="10"/>
          <w:szCs w:val="28"/>
          <w:rtl/>
        </w:rPr>
        <w:t xml:space="preserve"> </w:t>
      </w:r>
      <w:r w:rsidRPr="002A5CD9">
        <w:rPr>
          <w:rFonts w:ascii="Century" w:hAnsi="Century" w:cs="FrankRuehl" w:hint="eastAsia"/>
          <w:spacing w:val="10"/>
          <w:szCs w:val="28"/>
          <w:rtl/>
        </w:rPr>
        <w:t>תשתיתיים</w:t>
      </w:r>
      <w:r w:rsidRPr="002A5CD9">
        <w:rPr>
          <w:rFonts w:ascii="Century" w:hAnsi="Century" w:cs="FrankRuehl"/>
          <w:spacing w:val="10"/>
          <w:szCs w:val="28"/>
          <w:rtl/>
        </w:rPr>
        <w:t xml:space="preserve"> </w:t>
      </w:r>
      <w:r w:rsidRPr="002A5CD9">
        <w:rPr>
          <w:rFonts w:ascii="Century" w:hAnsi="Century" w:cs="FrankRuehl" w:hint="eastAsia"/>
          <w:spacing w:val="10"/>
          <w:szCs w:val="28"/>
          <w:rtl/>
        </w:rPr>
        <w:t>יותר</w:t>
      </w:r>
      <w:r w:rsidRPr="002A5CD9">
        <w:rPr>
          <w:rFonts w:ascii="Century" w:hAnsi="Century" w:cs="FrankRuehl"/>
          <w:spacing w:val="10"/>
          <w:szCs w:val="28"/>
          <w:rtl/>
        </w:rPr>
        <w:t xml:space="preserve"> </w:t>
      </w:r>
      <w:r w:rsidRPr="002A5CD9">
        <w:rPr>
          <w:rFonts w:ascii="Century" w:hAnsi="Century" w:cs="FrankRuehl" w:hint="eastAsia"/>
          <w:spacing w:val="10"/>
          <w:szCs w:val="28"/>
          <w:rtl/>
        </w:rPr>
        <w:t>של</w:t>
      </w:r>
      <w:r w:rsidRPr="002A5CD9">
        <w:rPr>
          <w:rFonts w:ascii="Century" w:hAnsi="Century" w:cs="FrankRuehl"/>
          <w:spacing w:val="10"/>
          <w:szCs w:val="28"/>
          <w:rtl/>
        </w:rPr>
        <w:t xml:space="preserve"> </w:t>
      </w:r>
      <w:r w:rsidRPr="002A5CD9">
        <w:rPr>
          <w:rFonts w:ascii="Century" w:hAnsi="Century" w:cs="FrankRuehl" w:hint="eastAsia"/>
          <w:spacing w:val="10"/>
          <w:szCs w:val="28"/>
          <w:rtl/>
        </w:rPr>
        <w:t>המשפט</w:t>
      </w:r>
      <w:r w:rsidRPr="002A5CD9">
        <w:rPr>
          <w:rFonts w:ascii="Century" w:hAnsi="Century" w:cs="FrankRuehl"/>
          <w:spacing w:val="10"/>
          <w:szCs w:val="28"/>
          <w:rtl/>
        </w:rPr>
        <w:t xml:space="preserve"> </w:t>
      </w:r>
      <w:r w:rsidRPr="002A5CD9">
        <w:rPr>
          <w:rFonts w:ascii="Century" w:hAnsi="Century" w:cs="FrankRuehl" w:hint="eastAsia"/>
          <w:spacing w:val="10"/>
          <w:szCs w:val="28"/>
          <w:rtl/>
        </w:rPr>
        <w:t>הציבורי</w:t>
      </w:r>
      <w:r w:rsidRPr="002A5CD9">
        <w:rPr>
          <w:rFonts w:ascii="Century" w:hAnsi="Century" w:cs="FrankRuehl"/>
          <w:spacing w:val="10"/>
          <w:szCs w:val="28"/>
          <w:rtl/>
        </w:rPr>
        <w:t xml:space="preserve">, </w:t>
      </w:r>
      <w:r w:rsidRPr="002A5CD9">
        <w:rPr>
          <w:rFonts w:ascii="Century" w:hAnsi="Century" w:cs="FrankRuehl" w:hint="eastAsia"/>
          <w:spacing w:val="10"/>
          <w:szCs w:val="28"/>
          <w:rtl/>
        </w:rPr>
        <w:t>ולמעשה</w:t>
      </w:r>
      <w:r w:rsidRPr="002A5CD9">
        <w:rPr>
          <w:rFonts w:ascii="Century" w:hAnsi="Century" w:cs="FrankRuehl"/>
          <w:spacing w:val="10"/>
          <w:szCs w:val="28"/>
          <w:rtl/>
        </w:rPr>
        <w:t xml:space="preserve"> </w:t>
      </w:r>
      <w:r w:rsidRPr="002A5CD9">
        <w:rPr>
          <w:rFonts w:ascii="Century" w:hAnsi="Century" w:cs="FrankRuehl" w:hint="eastAsia"/>
          <w:spacing w:val="10"/>
          <w:szCs w:val="28"/>
          <w:rtl/>
        </w:rPr>
        <w:t>של</w:t>
      </w:r>
      <w:r w:rsidRPr="002A5CD9">
        <w:rPr>
          <w:rFonts w:ascii="Century" w:hAnsi="Century" w:cs="FrankRuehl"/>
          <w:spacing w:val="10"/>
          <w:szCs w:val="28"/>
          <w:rtl/>
        </w:rPr>
        <w:t xml:space="preserve"> </w:t>
      </w:r>
      <w:r w:rsidRPr="002A5CD9">
        <w:rPr>
          <w:rFonts w:ascii="Century" w:hAnsi="Century" w:cs="FrankRuehl" w:hint="eastAsia"/>
          <w:spacing w:val="10"/>
          <w:szCs w:val="28"/>
          <w:rtl/>
        </w:rPr>
        <w:t>המשפט</w:t>
      </w:r>
      <w:r w:rsidRPr="002A5CD9">
        <w:rPr>
          <w:rFonts w:ascii="Century" w:hAnsi="Century" w:cs="FrankRuehl"/>
          <w:spacing w:val="10"/>
          <w:szCs w:val="28"/>
          <w:rtl/>
        </w:rPr>
        <w:t xml:space="preserve"> </w:t>
      </w:r>
      <w:r w:rsidRPr="002A5CD9">
        <w:rPr>
          <w:rFonts w:ascii="Century" w:hAnsi="Century" w:cs="FrankRuehl" w:hint="eastAsia"/>
          <w:spacing w:val="10"/>
          <w:szCs w:val="28"/>
          <w:rtl/>
        </w:rPr>
        <w:t>בכלל</w:t>
      </w:r>
      <w:r w:rsidRPr="002A5CD9">
        <w:rPr>
          <w:rFonts w:ascii="Century" w:hAnsi="Century" w:cs="FrankRuehl"/>
          <w:spacing w:val="10"/>
          <w:szCs w:val="28"/>
          <w:rtl/>
        </w:rPr>
        <w:t xml:space="preserve">: </w:t>
      </w:r>
      <w:r w:rsidRPr="002A5CD9">
        <w:rPr>
          <w:rFonts w:ascii="Century" w:hAnsi="Century" w:cs="FrankRuehl" w:hint="eastAsia"/>
          <w:spacing w:val="10"/>
          <w:szCs w:val="28"/>
          <w:rtl/>
        </w:rPr>
        <w:t>חובות</w:t>
      </w:r>
      <w:r w:rsidRPr="002A5CD9">
        <w:rPr>
          <w:rFonts w:ascii="Century" w:hAnsi="Century" w:cs="FrankRuehl"/>
          <w:spacing w:val="10"/>
          <w:szCs w:val="28"/>
          <w:rtl/>
        </w:rPr>
        <w:t xml:space="preserve"> </w:t>
      </w:r>
      <w:r>
        <w:rPr>
          <w:rFonts w:ascii="Century" w:hAnsi="Century" w:cs="FrankRuehl" w:hint="cs"/>
          <w:spacing w:val="10"/>
          <w:szCs w:val="28"/>
          <w:rtl/>
        </w:rPr>
        <w:t xml:space="preserve">של </w:t>
      </w:r>
      <w:r w:rsidRPr="002A5CD9">
        <w:rPr>
          <w:rFonts w:ascii="Century" w:hAnsi="Century" w:cs="FrankRuehl" w:hint="eastAsia"/>
          <w:spacing w:val="10"/>
          <w:szCs w:val="28"/>
          <w:rtl/>
        </w:rPr>
        <w:t>הגינות</w:t>
      </w:r>
      <w:r w:rsidRPr="002A5CD9">
        <w:rPr>
          <w:rFonts w:ascii="Century" w:hAnsi="Century" w:cs="FrankRuehl"/>
          <w:spacing w:val="10"/>
          <w:szCs w:val="28"/>
          <w:rtl/>
        </w:rPr>
        <w:t xml:space="preserve"> ותום הלב, </w:t>
      </w:r>
      <w:r w:rsidRPr="002A5CD9">
        <w:rPr>
          <w:rFonts w:ascii="Century" w:hAnsi="Century" w:cs="FrankRuehl" w:hint="eastAsia"/>
          <w:spacing w:val="10"/>
          <w:szCs w:val="28"/>
          <w:rtl/>
        </w:rPr>
        <w:t>ויישומן</w:t>
      </w:r>
      <w:r w:rsidRPr="002A5CD9">
        <w:rPr>
          <w:rFonts w:ascii="Century" w:hAnsi="Century" w:cs="FrankRuehl"/>
          <w:spacing w:val="10"/>
          <w:szCs w:val="28"/>
          <w:rtl/>
        </w:rPr>
        <w:t xml:space="preserve"> הספציפי בנסיבות שבהן אדם מציג בפני ערכאה שיפוטית מצג שמניב לו טובת הנאה</w:t>
      </w:r>
      <w:r>
        <w:rPr>
          <w:rFonts w:ascii="Century" w:hAnsi="Century" w:cs="FrankRuehl" w:hint="cs"/>
          <w:spacing w:val="10"/>
          <w:szCs w:val="28"/>
          <w:rtl/>
        </w:rPr>
        <w:t xml:space="preserve">. מצג זה הוא הבסיס לקביעה כי </w:t>
      </w:r>
      <w:r w:rsidRPr="002A5CD9">
        <w:rPr>
          <w:rFonts w:ascii="Century" w:hAnsi="Century" w:cs="FrankRuehl"/>
          <w:spacing w:val="10"/>
          <w:szCs w:val="28"/>
          <w:rtl/>
        </w:rPr>
        <w:t>חלה</w:t>
      </w:r>
      <w:r>
        <w:rPr>
          <w:rFonts w:ascii="Century" w:hAnsi="Century" w:cs="FrankRuehl" w:hint="cs"/>
          <w:spacing w:val="10"/>
          <w:szCs w:val="28"/>
          <w:rtl/>
        </w:rPr>
        <w:t xml:space="preserve"> כלפי אותו אדם</w:t>
      </w:r>
      <w:r w:rsidRPr="002A5CD9">
        <w:rPr>
          <w:rFonts w:ascii="Century" w:hAnsi="Century" w:cs="FrankRuehl"/>
          <w:spacing w:val="10"/>
          <w:szCs w:val="28"/>
          <w:rtl/>
        </w:rPr>
        <w:t xml:space="preserve"> מניעות מהתכחשות </w:t>
      </w:r>
      <w:r w:rsidRPr="002A5CD9">
        <w:rPr>
          <w:rFonts w:ascii="Century" w:hAnsi="Century" w:cs="FrankRuehl" w:hint="eastAsia"/>
          <w:spacing w:val="10"/>
          <w:szCs w:val="28"/>
          <w:rtl/>
        </w:rPr>
        <w:t>עתידית</w:t>
      </w:r>
      <w:r w:rsidRPr="002A5CD9">
        <w:rPr>
          <w:rFonts w:ascii="Century" w:hAnsi="Century" w:cs="FrankRuehl"/>
          <w:spacing w:val="10"/>
          <w:szCs w:val="28"/>
          <w:rtl/>
        </w:rPr>
        <w:t xml:space="preserve"> </w:t>
      </w:r>
      <w:r w:rsidRPr="002A5CD9">
        <w:rPr>
          <w:rFonts w:ascii="Century" w:hAnsi="Century" w:cs="FrankRuehl" w:hint="eastAsia"/>
          <w:spacing w:val="10"/>
          <w:szCs w:val="28"/>
          <w:rtl/>
        </w:rPr>
        <w:t>ל</w:t>
      </w:r>
      <w:r>
        <w:rPr>
          <w:rFonts w:ascii="Century" w:hAnsi="Century" w:cs="FrankRuehl" w:hint="cs"/>
          <w:spacing w:val="10"/>
          <w:szCs w:val="28"/>
          <w:rtl/>
        </w:rPr>
        <w:t>תוכנו ומפעולה בניגוד לו</w:t>
      </w:r>
      <w:r w:rsidRPr="002A5CD9">
        <w:rPr>
          <w:rFonts w:ascii="Century" w:hAnsi="Century" w:cs="FrankRuehl"/>
          <w:spacing w:val="10"/>
          <w:szCs w:val="28"/>
          <w:rtl/>
        </w:rPr>
        <w:t xml:space="preserve">. </w:t>
      </w:r>
      <w:r>
        <w:rPr>
          <w:rFonts w:ascii="Century" w:hAnsi="Century" w:cs="FrankRuehl" w:hint="cs"/>
          <w:spacing w:val="10"/>
          <w:szCs w:val="28"/>
          <w:rtl/>
        </w:rPr>
        <w:t xml:space="preserve">ממילא, הכרעה על-פי עילת הסבירות, ולא כל שכן על בסיס טענות חוקתיות, אינה נדרשת. ניתן אפוא לומר כי מבחינות רבות חוות דעתי מתחילה במקום שבו מסתיימת חוות דעתה של חברתי הנשיאה, כפי שאסביר בהמשך. </w:t>
      </w:r>
    </w:p>
    <w:p w14:paraId="470051C0" w14:textId="77777777" w:rsidR="00437A63" w:rsidRDefault="00437A63" w:rsidP="00437A63">
      <w:pPr>
        <w:pStyle w:val="af0"/>
        <w:spacing w:line="360" w:lineRule="auto"/>
        <w:ind w:left="0"/>
        <w:jc w:val="both"/>
        <w:rPr>
          <w:rFonts w:ascii="Century" w:hAnsi="Century" w:cs="Miriam"/>
          <w:b/>
          <w:rtl/>
        </w:rPr>
      </w:pPr>
    </w:p>
    <w:p w14:paraId="724D101C" w14:textId="77777777" w:rsidR="00437A63" w:rsidRPr="002A5CD9" w:rsidRDefault="00437A63" w:rsidP="00437A63">
      <w:pPr>
        <w:pStyle w:val="af0"/>
        <w:spacing w:line="360" w:lineRule="auto"/>
        <w:ind w:left="0"/>
        <w:jc w:val="both"/>
        <w:rPr>
          <w:rFonts w:ascii="Century" w:hAnsi="Century" w:cs="Miriam"/>
          <w:b/>
          <w:rtl/>
        </w:rPr>
      </w:pPr>
    </w:p>
    <w:p w14:paraId="116FE874" w14:textId="77777777" w:rsidR="00437A63" w:rsidRPr="002A5CD9" w:rsidRDefault="00437A63" w:rsidP="00437A63">
      <w:pPr>
        <w:pStyle w:val="af0"/>
        <w:spacing w:line="360" w:lineRule="auto"/>
        <w:ind w:left="0"/>
        <w:jc w:val="both"/>
        <w:rPr>
          <w:rFonts w:ascii="Century" w:hAnsi="Century" w:cs="Miriam"/>
          <w:b/>
          <w:rtl/>
        </w:rPr>
      </w:pPr>
      <w:r w:rsidRPr="002A5CD9">
        <w:rPr>
          <w:rFonts w:ascii="Century" w:hAnsi="Century" w:cs="Miriam" w:hint="eastAsia"/>
          <w:b/>
          <w:rtl/>
        </w:rPr>
        <w:t>התנהלותו</w:t>
      </w:r>
      <w:r w:rsidRPr="002A5CD9">
        <w:rPr>
          <w:rFonts w:ascii="Century" w:hAnsi="Century" w:cs="Miriam"/>
          <w:b/>
          <w:rtl/>
        </w:rPr>
        <w:t xml:space="preserve"> </w:t>
      </w:r>
      <w:r w:rsidRPr="002A5CD9">
        <w:rPr>
          <w:rFonts w:ascii="Century" w:hAnsi="Century" w:cs="Miriam" w:hint="eastAsia"/>
          <w:b/>
          <w:rtl/>
        </w:rPr>
        <w:t>הדיונית</w:t>
      </w:r>
      <w:r w:rsidRPr="002A5CD9">
        <w:rPr>
          <w:rFonts w:ascii="Century" w:hAnsi="Century" w:cs="Miriam"/>
          <w:b/>
          <w:rtl/>
        </w:rPr>
        <w:t xml:space="preserve"> </w:t>
      </w:r>
      <w:r w:rsidRPr="002A5CD9">
        <w:rPr>
          <w:rFonts w:ascii="Century" w:hAnsi="Century" w:cs="Miriam" w:hint="eastAsia"/>
          <w:b/>
          <w:rtl/>
        </w:rPr>
        <w:t>של</w:t>
      </w:r>
      <w:r w:rsidRPr="002A5CD9">
        <w:rPr>
          <w:rFonts w:ascii="Century" w:hAnsi="Century" w:cs="Miriam"/>
          <w:b/>
          <w:rtl/>
        </w:rPr>
        <w:t xml:space="preserve"> </w:t>
      </w:r>
      <w:r w:rsidRPr="002A5CD9">
        <w:rPr>
          <w:rFonts w:ascii="Century" w:hAnsi="Century" w:cs="Miriam" w:hint="eastAsia"/>
          <w:b/>
          <w:rtl/>
        </w:rPr>
        <w:t>דרעי</w:t>
      </w:r>
      <w:r w:rsidRPr="002A5CD9">
        <w:rPr>
          <w:rFonts w:ascii="Century" w:hAnsi="Century" w:cs="Miriam"/>
          <w:b/>
          <w:rtl/>
        </w:rPr>
        <w:t xml:space="preserve"> </w:t>
      </w:r>
      <w:r w:rsidRPr="002A5CD9">
        <w:rPr>
          <w:rFonts w:ascii="Century" w:hAnsi="Century" w:cs="Miriam" w:hint="eastAsia"/>
          <w:b/>
          <w:rtl/>
        </w:rPr>
        <w:t>במסגרת</w:t>
      </w:r>
      <w:r w:rsidRPr="002A5CD9">
        <w:rPr>
          <w:rFonts w:ascii="Century" w:hAnsi="Century" w:cs="Miriam"/>
          <w:b/>
          <w:rtl/>
        </w:rPr>
        <w:t xml:space="preserve"> </w:t>
      </w:r>
      <w:r w:rsidRPr="002A5CD9">
        <w:rPr>
          <w:rFonts w:ascii="Century" w:hAnsi="Century" w:cs="Miriam" w:hint="eastAsia"/>
          <w:b/>
          <w:rtl/>
        </w:rPr>
        <w:t>הסדר</w:t>
      </w:r>
      <w:r w:rsidRPr="002A5CD9">
        <w:rPr>
          <w:rFonts w:ascii="Century" w:hAnsi="Century" w:cs="Miriam"/>
          <w:b/>
          <w:rtl/>
        </w:rPr>
        <w:t xml:space="preserve"> </w:t>
      </w:r>
      <w:r w:rsidRPr="002A5CD9">
        <w:rPr>
          <w:rFonts w:ascii="Century" w:hAnsi="Century" w:cs="Miriam" w:hint="eastAsia"/>
          <w:b/>
          <w:rtl/>
        </w:rPr>
        <w:t>הטיעון</w:t>
      </w:r>
    </w:p>
    <w:p w14:paraId="0D355B5F" w14:textId="77777777" w:rsidR="00437A63" w:rsidRPr="002A5CD9" w:rsidRDefault="00437A63" w:rsidP="00437A63">
      <w:pPr>
        <w:pStyle w:val="af0"/>
        <w:spacing w:line="360" w:lineRule="auto"/>
        <w:ind w:left="0"/>
        <w:jc w:val="both"/>
        <w:rPr>
          <w:rFonts w:ascii="Century" w:hAnsi="Century" w:cs="FrankRuehl"/>
          <w:spacing w:val="10"/>
          <w:szCs w:val="28"/>
          <w:rtl/>
        </w:rPr>
      </w:pPr>
    </w:p>
    <w:p w14:paraId="52FF0BF3"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5</w:t>
      </w:r>
      <w:r w:rsidRPr="002A5CD9">
        <w:rPr>
          <w:rFonts w:ascii="Century" w:hAnsi="Century" w:cs="FrankRuehl"/>
          <w:spacing w:val="10"/>
          <w:szCs w:val="28"/>
          <w:rtl/>
        </w:rPr>
        <w:t xml:space="preserve">. </w:t>
      </w:r>
      <w:r w:rsidRPr="002A5CD9">
        <w:rPr>
          <w:rFonts w:ascii="Century" w:hAnsi="Century" w:cs="FrankRuehl"/>
          <w:spacing w:val="10"/>
          <w:szCs w:val="28"/>
          <w:rtl/>
        </w:rPr>
        <w:tab/>
      </w:r>
      <w:r w:rsidRPr="002A5CD9">
        <w:rPr>
          <w:rFonts w:ascii="Century" w:hAnsi="Century" w:cs="FrankRuehl" w:hint="eastAsia"/>
          <w:spacing w:val="10"/>
          <w:szCs w:val="28"/>
          <w:rtl/>
        </w:rPr>
        <w:t>לא</w:t>
      </w:r>
      <w:r w:rsidRPr="002A5CD9">
        <w:rPr>
          <w:rFonts w:ascii="Century" w:hAnsi="Century" w:cs="FrankRuehl"/>
          <w:spacing w:val="10"/>
          <w:szCs w:val="28"/>
          <w:rtl/>
        </w:rPr>
        <w:t xml:space="preserve"> </w:t>
      </w:r>
      <w:r w:rsidRPr="002A5CD9">
        <w:rPr>
          <w:rFonts w:ascii="Century" w:hAnsi="Century" w:cs="FrankRuehl" w:hint="eastAsia"/>
          <w:spacing w:val="10"/>
          <w:szCs w:val="28"/>
          <w:rtl/>
        </w:rPr>
        <w:t>אחזור</w:t>
      </w:r>
      <w:r w:rsidRPr="002A5CD9">
        <w:rPr>
          <w:rFonts w:ascii="Century" w:hAnsi="Century" w:cs="FrankRuehl"/>
          <w:spacing w:val="10"/>
          <w:szCs w:val="28"/>
          <w:rtl/>
        </w:rPr>
        <w:t xml:space="preserve"> </w:t>
      </w:r>
      <w:r w:rsidRPr="002A5CD9">
        <w:rPr>
          <w:rFonts w:ascii="Century" w:hAnsi="Century" w:cs="FrankRuehl" w:hint="eastAsia"/>
          <w:spacing w:val="10"/>
          <w:szCs w:val="28"/>
          <w:rtl/>
        </w:rPr>
        <w:t>כאן</w:t>
      </w:r>
      <w:r w:rsidRPr="002A5CD9">
        <w:rPr>
          <w:rFonts w:ascii="Century" w:hAnsi="Century" w:cs="FrankRuehl"/>
          <w:spacing w:val="10"/>
          <w:szCs w:val="28"/>
          <w:rtl/>
        </w:rPr>
        <w:t xml:space="preserve"> </w:t>
      </w:r>
      <w:r w:rsidRPr="002A5CD9">
        <w:rPr>
          <w:rFonts w:ascii="Century" w:hAnsi="Century" w:cs="FrankRuehl" w:hint="eastAsia"/>
          <w:spacing w:val="10"/>
          <w:szCs w:val="28"/>
          <w:rtl/>
        </w:rPr>
        <w:t>על</w:t>
      </w:r>
      <w:r w:rsidRPr="002A5CD9">
        <w:rPr>
          <w:rFonts w:ascii="Century" w:hAnsi="Century" w:cs="FrankRuehl"/>
          <w:spacing w:val="10"/>
          <w:szCs w:val="28"/>
          <w:rtl/>
        </w:rPr>
        <w:t xml:space="preserve"> </w:t>
      </w:r>
      <w:r w:rsidRPr="002A5CD9">
        <w:rPr>
          <w:rFonts w:ascii="Century" w:hAnsi="Century" w:cs="FrankRuehl" w:hint="eastAsia"/>
          <w:spacing w:val="10"/>
          <w:szCs w:val="28"/>
          <w:rtl/>
        </w:rPr>
        <w:t>כל</w:t>
      </w:r>
      <w:r w:rsidRPr="002A5CD9">
        <w:rPr>
          <w:rFonts w:ascii="Century" w:hAnsi="Century" w:cs="FrankRuehl"/>
          <w:spacing w:val="10"/>
          <w:szCs w:val="28"/>
          <w:rtl/>
        </w:rPr>
        <w:t xml:space="preserve"> </w:t>
      </w:r>
      <w:r w:rsidRPr="002A5CD9">
        <w:rPr>
          <w:rFonts w:ascii="Century" w:hAnsi="Century" w:cs="FrankRuehl" w:hint="eastAsia"/>
          <w:spacing w:val="10"/>
          <w:szCs w:val="28"/>
          <w:rtl/>
        </w:rPr>
        <w:t>גלגוליה</w:t>
      </w:r>
      <w:r w:rsidRPr="002A5CD9">
        <w:rPr>
          <w:rFonts w:ascii="Century" w:hAnsi="Century" w:cs="FrankRuehl"/>
          <w:spacing w:val="10"/>
          <w:szCs w:val="28"/>
          <w:rtl/>
        </w:rPr>
        <w:t xml:space="preserve"> </w:t>
      </w:r>
      <w:r w:rsidRPr="002A5CD9">
        <w:rPr>
          <w:rFonts w:ascii="Century" w:hAnsi="Century" w:cs="FrankRuehl" w:hint="eastAsia"/>
          <w:spacing w:val="10"/>
          <w:szCs w:val="28"/>
          <w:rtl/>
        </w:rPr>
        <w:t>של</w:t>
      </w:r>
      <w:r w:rsidRPr="002A5CD9">
        <w:rPr>
          <w:rFonts w:ascii="Century" w:hAnsi="Century" w:cs="FrankRuehl"/>
          <w:spacing w:val="10"/>
          <w:szCs w:val="28"/>
          <w:rtl/>
        </w:rPr>
        <w:t xml:space="preserve"> </w:t>
      </w:r>
      <w:r w:rsidRPr="002A5CD9">
        <w:rPr>
          <w:rFonts w:ascii="Century" w:hAnsi="Century" w:cs="FrankRuehl" w:hint="eastAsia"/>
          <w:spacing w:val="10"/>
          <w:szCs w:val="28"/>
          <w:rtl/>
        </w:rPr>
        <w:t>פרשה</w:t>
      </w:r>
      <w:r w:rsidRPr="002A5CD9">
        <w:rPr>
          <w:rFonts w:ascii="Century" w:hAnsi="Century" w:cs="FrankRuehl"/>
          <w:spacing w:val="10"/>
          <w:szCs w:val="28"/>
          <w:rtl/>
        </w:rPr>
        <w:t xml:space="preserve"> </w:t>
      </w:r>
      <w:r w:rsidRPr="002A5CD9">
        <w:rPr>
          <w:rFonts w:ascii="Century" w:hAnsi="Century" w:cs="FrankRuehl" w:hint="eastAsia"/>
          <w:spacing w:val="10"/>
          <w:szCs w:val="28"/>
          <w:rtl/>
        </w:rPr>
        <w:t>סבוכה</w:t>
      </w:r>
      <w:r w:rsidRPr="002A5CD9">
        <w:rPr>
          <w:rFonts w:ascii="Century" w:hAnsi="Century" w:cs="FrankRuehl"/>
          <w:spacing w:val="10"/>
          <w:szCs w:val="28"/>
          <w:rtl/>
        </w:rPr>
        <w:t xml:space="preserve"> </w:t>
      </w:r>
      <w:r w:rsidRPr="002A5CD9">
        <w:rPr>
          <w:rFonts w:ascii="Century" w:hAnsi="Century" w:cs="FrankRuehl" w:hint="eastAsia"/>
          <w:spacing w:val="10"/>
          <w:szCs w:val="28"/>
          <w:rtl/>
        </w:rPr>
        <w:t>זו</w:t>
      </w:r>
      <w:r>
        <w:rPr>
          <w:rFonts w:ascii="Century" w:hAnsi="Century" w:cs="FrankRuehl" w:hint="cs"/>
          <w:spacing w:val="10"/>
          <w:szCs w:val="28"/>
          <w:rtl/>
        </w:rPr>
        <w:t>, כפי שפורטו בהרחבה על-ידי חברתי הנשיאה</w:t>
      </w:r>
      <w:r w:rsidRPr="002A5CD9">
        <w:rPr>
          <w:rFonts w:ascii="Century" w:hAnsi="Century" w:cs="FrankRuehl"/>
          <w:spacing w:val="10"/>
          <w:szCs w:val="28"/>
          <w:rtl/>
        </w:rPr>
        <w:t xml:space="preserve">. </w:t>
      </w:r>
      <w:r>
        <w:rPr>
          <w:rFonts w:ascii="Century" w:hAnsi="Century" w:cs="FrankRuehl" w:hint="cs"/>
          <w:spacing w:val="10"/>
          <w:szCs w:val="28"/>
          <w:rtl/>
        </w:rPr>
        <w:t>עם זאת, מאחר שעמדתי מבוססת על מצגיו והצהרותיו של דרעי במסגרת משפטו הפלילי ובקשר אליו, אני מבקשת לחזור ולה</w:t>
      </w:r>
      <w:r w:rsidRPr="002A5CD9">
        <w:rPr>
          <w:rFonts w:ascii="Century" w:hAnsi="Century" w:cs="FrankRuehl" w:hint="eastAsia"/>
          <w:spacing w:val="10"/>
          <w:szCs w:val="28"/>
          <w:rtl/>
        </w:rPr>
        <w:t>זכיר</w:t>
      </w:r>
      <w:r w:rsidRPr="002A5CD9">
        <w:rPr>
          <w:rFonts w:ascii="Century" w:hAnsi="Century" w:cs="FrankRuehl"/>
          <w:spacing w:val="10"/>
          <w:szCs w:val="28"/>
          <w:rtl/>
        </w:rPr>
        <w:t xml:space="preserve"> </w:t>
      </w:r>
      <w:r w:rsidRPr="002A5CD9">
        <w:rPr>
          <w:rFonts w:ascii="Century" w:hAnsi="Century" w:cs="FrankRuehl" w:hint="eastAsia"/>
          <w:spacing w:val="10"/>
          <w:szCs w:val="28"/>
          <w:rtl/>
        </w:rPr>
        <w:t>מספר</w:t>
      </w:r>
      <w:r w:rsidRPr="002A5CD9">
        <w:rPr>
          <w:rFonts w:ascii="Century" w:hAnsi="Century" w:cs="FrankRuehl"/>
          <w:spacing w:val="10"/>
          <w:szCs w:val="28"/>
          <w:rtl/>
        </w:rPr>
        <w:t xml:space="preserve"> </w:t>
      </w:r>
      <w:r w:rsidRPr="002A5CD9">
        <w:rPr>
          <w:rFonts w:ascii="Century" w:hAnsi="Century" w:cs="FrankRuehl" w:hint="eastAsia"/>
          <w:spacing w:val="10"/>
          <w:szCs w:val="28"/>
          <w:rtl/>
        </w:rPr>
        <w:t>עובדות</w:t>
      </w:r>
      <w:r w:rsidRPr="002A5CD9">
        <w:rPr>
          <w:rFonts w:ascii="Century" w:hAnsi="Century" w:cs="FrankRuehl"/>
          <w:spacing w:val="10"/>
          <w:szCs w:val="28"/>
          <w:rtl/>
        </w:rPr>
        <w:t xml:space="preserve"> </w:t>
      </w:r>
      <w:r w:rsidRPr="002A5CD9">
        <w:rPr>
          <w:rFonts w:ascii="Century" w:hAnsi="Century" w:cs="FrankRuehl" w:hint="eastAsia"/>
          <w:spacing w:val="10"/>
          <w:szCs w:val="28"/>
          <w:rtl/>
        </w:rPr>
        <w:t>יסוד</w:t>
      </w:r>
      <w:r w:rsidRPr="002A5CD9">
        <w:rPr>
          <w:rFonts w:ascii="Century" w:hAnsi="Century" w:cs="FrankRuehl"/>
          <w:spacing w:val="10"/>
          <w:szCs w:val="28"/>
          <w:rtl/>
        </w:rPr>
        <w:t xml:space="preserve"> </w:t>
      </w:r>
      <w:r w:rsidRPr="002A5CD9">
        <w:rPr>
          <w:rFonts w:ascii="Century" w:hAnsi="Century" w:cs="FrankRuehl" w:hint="eastAsia"/>
          <w:spacing w:val="10"/>
          <w:szCs w:val="28"/>
          <w:rtl/>
        </w:rPr>
        <w:t>הנוגעות</w:t>
      </w:r>
      <w:r w:rsidRPr="002A5CD9">
        <w:rPr>
          <w:rFonts w:ascii="Century" w:hAnsi="Century" w:cs="FrankRuehl"/>
          <w:spacing w:val="10"/>
          <w:szCs w:val="28"/>
          <w:rtl/>
        </w:rPr>
        <w:t xml:space="preserve"> </w:t>
      </w:r>
      <w:r w:rsidRPr="002A5CD9">
        <w:rPr>
          <w:rFonts w:ascii="Century" w:hAnsi="Century" w:cs="FrankRuehl" w:hint="eastAsia"/>
          <w:spacing w:val="10"/>
          <w:szCs w:val="28"/>
          <w:rtl/>
        </w:rPr>
        <w:t>לניהולו</w:t>
      </w:r>
      <w:r w:rsidRPr="002A5CD9">
        <w:rPr>
          <w:rFonts w:ascii="Century" w:hAnsi="Century" w:cs="FrankRuehl"/>
          <w:spacing w:val="10"/>
          <w:szCs w:val="28"/>
          <w:rtl/>
        </w:rPr>
        <w:t xml:space="preserve"> </w:t>
      </w:r>
      <w:r w:rsidRPr="002A5CD9">
        <w:rPr>
          <w:rFonts w:ascii="Century" w:hAnsi="Century" w:cs="FrankRuehl" w:hint="eastAsia"/>
          <w:spacing w:val="10"/>
          <w:szCs w:val="28"/>
          <w:rtl/>
        </w:rPr>
        <w:t>של</w:t>
      </w:r>
      <w:r w:rsidRPr="002A5CD9">
        <w:rPr>
          <w:rFonts w:ascii="Century" w:hAnsi="Century" w:cs="FrankRuehl"/>
          <w:spacing w:val="10"/>
          <w:szCs w:val="28"/>
          <w:rtl/>
        </w:rPr>
        <w:t xml:space="preserve"> </w:t>
      </w:r>
      <w:r>
        <w:rPr>
          <w:rFonts w:ascii="Century" w:hAnsi="Century" w:cs="FrankRuehl" w:hint="cs"/>
          <w:spacing w:val="10"/>
          <w:szCs w:val="28"/>
          <w:rtl/>
        </w:rPr>
        <w:t xml:space="preserve">אותו </w:t>
      </w:r>
      <w:r w:rsidRPr="002A5CD9">
        <w:rPr>
          <w:rFonts w:ascii="Century" w:hAnsi="Century" w:cs="FrankRuehl" w:hint="eastAsia"/>
          <w:spacing w:val="10"/>
          <w:szCs w:val="28"/>
          <w:rtl/>
        </w:rPr>
        <w:t>הליך</w:t>
      </w:r>
      <w:r>
        <w:rPr>
          <w:rFonts w:ascii="Century" w:hAnsi="Century" w:cs="FrankRuehl" w:hint="cs"/>
          <w:spacing w:val="10"/>
          <w:szCs w:val="28"/>
          <w:rtl/>
        </w:rPr>
        <w:t>, כמו גם</w:t>
      </w:r>
      <w:r w:rsidRPr="002A5CD9">
        <w:rPr>
          <w:rFonts w:ascii="Century" w:hAnsi="Century" w:cs="FrankRuehl"/>
          <w:spacing w:val="10"/>
          <w:szCs w:val="28"/>
          <w:rtl/>
        </w:rPr>
        <w:t xml:space="preserve"> להתנהלותו הדיונית של דרעי</w:t>
      </w:r>
      <w:r>
        <w:rPr>
          <w:rFonts w:ascii="Century" w:hAnsi="Century" w:cs="FrankRuehl" w:hint="cs"/>
          <w:spacing w:val="10"/>
          <w:szCs w:val="28"/>
          <w:rtl/>
        </w:rPr>
        <w:t xml:space="preserve"> במהלכו ולאחריו</w:t>
      </w:r>
      <w:r w:rsidRPr="002A5CD9">
        <w:rPr>
          <w:rFonts w:ascii="Century" w:hAnsi="Century" w:cs="FrankRuehl"/>
          <w:spacing w:val="10"/>
          <w:szCs w:val="28"/>
          <w:rtl/>
        </w:rPr>
        <w:t>.</w:t>
      </w:r>
    </w:p>
    <w:p w14:paraId="1D7A4B36" w14:textId="77777777" w:rsidR="00437A63" w:rsidRPr="002A5CD9" w:rsidRDefault="00437A63" w:rsidP="00437A63">
      <w:pPr>
        <w:pStyle w:val="af0"/>
        <w:spacing w:line="360" w:lineRule="auto"/>
        <w:ind w:left="0"/>
        <w:jc w:val="both"/>
        <w:rPr>
          <w:rFonts w:ascii="Century" w:hAnsi="Century" w:cs="FrankRuehl"/>
          <w:spacing w:val="10"/>
          <w:szCs w:val="28"/>
          <w:rtl/>
        </w:rPr>
      </w:pPr>
      <w:r w:rsidRPr="002A5CD9">
        <w:rPr>
          <w:rFonts w:ascii="Century" w:hAnsi="Century" w:cs="FrankRuehl"/>
          <w:spacing w:val="10"/>
          <w:szCs w:val="28"/>
          <w:rtl/>
        </w:rPr>
        <w:lastRenderedPageBreak/>
        <w:t xml:space="preserve"> </w:t>
      </w:r>
    </w:p>
    <w:p w14:paraId="77A4199A" w14:textId="77777777" w:rsidR="00437A63"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hint="cs"/>
          <w:sz w:val="28"/>
          <w:szCs w:val="28"/>
          <w:rtl/>
        </w:rPr>
        <w:t>6</w:t>
      </w:r>
      <w:r w:rsidRPr="002A5CD9">
        <w:rPr>
          <w:rFonts w:ascii="Century" w:hAnsi="Century" w:cs="FrankRuehl"/>
          <w:spacing w:val="10"/>
          <w:szCs w:val="28"/>
          <w:rtl/>
        </w:rPr>
        <w:t>.</w:t>
      </w:r>
      <w:r w:rsidRPr="002A5CD9">
        <w:rPr>
          <w:rFonts w:ascii="Century" w:hAnsi="Century" w:cs="FrankRuehl"/>
          <w:spacing w:val="10"/>
          <w:szCs w:val="28"/>
          <w:rtl/>
        </w:rPr>
        <w:tab/>
      </w:r>
      <w:r w:rsidRPr="002A5CD9">
        <w:rPr>
          <w:rFonts w:ascii="Century" w:hAnsi="Century" w:cs="FrankRuehl" w:hint="eastAsia"/>
          <w:spacing w:val="10"/>
          <w:szCs w:val="28"/>
          <w:rtl/>
        </w:rPr>
        <w:t>כפי</w:t>
      </w:r>
      <w:r w:rsidRPr="002A5CD9">
        <w:rPr>
          <w:rFonts w:ascii="Century" w:hAnsi="Century" w:cs="FrankRuehl"/>
          <w:spacing w:val="10"/>
          <w:szCs w:val="28"/>
          <w:rtl/>
        </w:rPr>
        <w:t xml:space="preserve"> </w:t>
      </w:r>
      <w:r w:rsidRPr="002A5CD9">
        <w:rPr>
          <w:rFonts w:ascii="Century" w:hAnsi="Century" w:cs="FrankRuehl" w:hint="eastAsia"/>
          <w:spacing w:val="10"/>
          <w:szCs w:val="28"/>
          <w:rtl/>
        </w:rPr>
        <w:t>שציינה</w:t>
      </w:r>
      <w:r w:rsidRPr="002A5CD9">
        <w:rPr>
          <w:rFonts w:ascii="Century" w:hAnsi="Century" w:cs="FrankRuehl"/>
          <w:spacing w:val="10"/>
          <w:szCs w:val="28"/>
          <w:rtl/>
        </w:rPr>
        <w:t xml:space="preserve"> </w:t>
      </w:r>
      <w:r w:rsidRPr="002A5CD9">
        <w:rPr>
          <w:rFonts w:ascii="Century" w:hAnsi="Century" w:cs="FrankRuehl" w:hint="eastAsia"/>
          <w:spacing w:val="10"/>
          <w:szCs w:val="28"/>
          <w:rtl/>
        </w:rPr>
        <w:t>חברתי</w:t>
      </w:r>
      <w:r w:rsidRPr="002A5CD9">
        <w:rPr>
          <w:rFonts w:ascii="Century" w:hAnsi="Century" w:cs="FrankRuehl"/>
          <w:spacing w:val="10"/>
          <w:szCs w:val="28"/>
          <w:rtl/>
        </w:rPr>
        <w:t xml:space="preserve"> </w:t>
      </w:r>
      <w:r w:rsidRPr="002A5CD9">
        <w:rPr>
          <w:rFonts w:ascii="Century" w:hAnsi="Century" w:cs="FrankRuehl" w:hint="eastAsia"/>
          <w:spacing w:val="10"/>
          <w:szCs w:val="28"/>
          <w:rtl/>
        </w:rPr>
        <w:t>הנשיאה</w:t>
      </w:r>
      <w:r w:rsidRPr="002A5CD9">
        <w:rPr>
          <w:rFonts w:ascii="Century" w:hAnsi="Century" w:cs="FrankRuehl"/>
          <w:spacing w:val="10"/>
          <w:szCs w:val="28"/>
          <w:rtl/>
        </w:rPr>
        <w:t xml:space="preserve">, </w:t>
      </w:r>
      <w:r w:rsidRPr="002A5CD9">
        <w:rPr>
          <w:rFonts w:ascii="Century" w:hAnsi="Century" w:cs="FrankRuehl" w:hint="eastAsia"/>
          <w:spacing w:val="10"/>
          <w:szCs w:val="28"/>
          <w:rtl/>
        </w:rPr>
        <w:t>בחודש</w:t>
      </w:r>
      <w:r w:rsidRPr="002A5CD9">
        <w:rPr>
          <w:rFonts w:ascii="Century" w:hAnsi="Century" w:cs="FrankRuehl"/>
          <w:spacing w:val="10"/>
          <w:szCs w:val="28"/>
          <w:rtl/>
        </w:rPr>
        <w:t xml:space="preserve"> </w:t>
      </w:r>
      <w:r w:rsidRPr="002A5CD9">
        <w:rPr>
          <w:rFonts w:ascii="Century" w:hAnsi="Century" w:cs="FrankRuehl" w:hint="eastAsia"/>
          <w:spacing w:val="10"/>
          <w:szCs w:val="28"/>
          <w:rtl/>
        </w:rPr>
        <w:t>דצמבר</w:t>
      </w:r>
      <w:r w:rsidRPr="002A5CD9">
        <w:rPr>
          <w:rFonts w:ascii="Century" w:hAnsi="Century" w:cs="FrankRuehl"/>
          <w:spacing w:val="10"/>
          <w:szCs w:val="28"/>
          <w:rtl/>
        </w:rPr>
        <w:t xml:space="preserve"> 2021, </w:t>
      </w:r>
      <w:r w:rsidRPr="002A5CD9">
        <w:rPr>
          <w:rFonts w:ascii="Century" w:hAnsi="Century" w:cs="FrankRuehl" w:hint="eastAsia"/>
          <w:spacing w:val="10"/>
          <w:szCs w:val="28"/>
          <w:rtl/>
        </w:rPr>
        <w:t>לאחר</w:t>
      </w:r>
      <w:r w:rsidRPr="002A5CD9">
        <w:rPr>
          <w:rFonts w:ascii="Century" w:hAnsi="Century" w:cs="FrankRuehl"/>
          <w:spacing w:val="10"/>
          <w:szCs w:val="28"/>
          <w:rtl/>
        </w:rPr>
        <w:t xml:space="preserve"> </w:t>
      </w:r>
      <w:r w:rsidRPr="002A5CD9">
        <w:rPr>
          <w:rFonts w:ascii="Century" w:hAnsi="Century" w:cs="FrankRuehl" w:hint="eastAsia"/>
          <w:spacing w:val="10"/>
          <w:szCs w:val="28"/>
          <w:rtl/>
        </w:rPr>
        <w:t>דין</w:t>
      </w:r>
      <w:r w:rsidRPr="002A5CD9">
        <w:rPr>
          <w:rFonts w:ascii="Century" w:hAnsi="Century" w:cs="FrankRuehl"/>
          <w:spacing w:val="10"/>
          <w:szCs w:val="28"/>
          <w:rtl/>
        </w:rPr>
        <w:t xml:space="preserve"> </w:t>
      </w:r>
      <w:r w:rsidRPr="002A5CD9">
        <w:rPr>
          <w:rFonts w:ascii="Century" w:hAnsi="Century" w:cs="FrankRuehl" w:hint="eastAsia"/>
          <w:spacing w:val="10"/>
          <w:szCs w:val="28"/>
          <w:rtl/>
        </w:rPr>
        <w:t>ודברים</w:t>
      </w:r>
      <w:r w:rsidRPr="002A5CD9">
        <w:rPr>
          <w:rFonts w:ascii="Century" w:hAnsi="Century" w:cs="FrankRuehl"/>
          <w:spacing w:val="10"/>
          <w:szCs w:val="28"/>
          <w:rtl/>
        </w:rPr>
        <w:t xml:space="preserve"> </w:t>
      </w:r>
      <w:r w:rsidRPr="002A5CD9">
        <w:rPr>
          <w:rFonts w:ascii="Century" w:hAnsi="Century" w:cs="FrankRuehl" w:hint="eastAsia"/>
          <w:spacing w:val="10"/>
          <w:szCs w:val="28"/>
          <w:rtl/>
        </w:rPr>
        <w:t>בין</w:t>
      </w:r>
      <w:r w:rsidRPr="002A5CD9">
        <w:rPr>
          <w:rFonts w:ascii="Century" w:hAnsi="Century" w:cs="FrankRuehl"/>
          <w:spacing w:val="10"/>
          <w:szCs w:val="28"/>
          <w:rtl/>
        </w:rPr>
        <w:t xml:space="preserve"> </w:t>
      </w:r>
      <w:r w:rsidRPr="002A5CD9">
        <w:rPr>
          <w:rFonts w:ascii="Century" w:hAnsi="Century" w:cs="FrankRuehl" w:hint="eastAsia"/>
          <w:spacing w:val="10"/>
          <w:szCs w:val="28"/>
          <w:rtl/>
        </w:rPr>
        <w:t>דרעי</w:t>
      </w:r>
      <w:r w:rsidRPr="002A5CD9">
        <w:rPr>
          <w:rFonts w:ascii="Century" w:hAnsi="Century" w:cs="FrankRuehl"/>
          <w:spacing w:val="10"/>
          <w:szCs w:val="28"/>
          <w:rtl/>
        </w:rPr>
        <w:t xml:space="preserve"> </w:t>
      </w:r>
      <w:r w:rsidRPr="002A5CD9">
        <w:rPr>
          <w:rFonts w:ascii="Century" w:hAnsi="Century" w:cs="FrankRuehl" w:hint="eastAsia"/>
          <w:spacing w:val="10"/>
          <w:szCs w:val="28"/>
          <w:rtl/>
        </w:rPr>
        <w:t>לבין</w:t>
      </w:r>
      <w:r w:rsidRPr="002A5CD9">
        <w:rPr>
          <w:rFonts w:ascii="Century" w:hAnsi="Century" w:cs="FrankRuehl"/>
          <w:spacing w:val="10"/>
          <w:szCs w:val="28"/>
          <w:rtl/>
        </w:rPr>
        <w:t xml:space="preserve"> </w:t>
      </w:r>
      <w:r w:rsidRPr="002A5CD9">
        <w:rPr>
          <w:rFonts w:ascii="Century" w:hAnsi="Century" w:cs="FrankRuehl" w:hint="eastAsia"/>
          <w:spacing w:val="10"/>
          <w:szCs w:val="28"/>
          <w:rtl/>
        </w:rPr>
        <w:t>התביעה</w:t>
      </w:r>
      <w:r w:rsidRPr="002A5CD9">
        <w:rPr>
          <w:rFonts w:ascii="Century" w:hAnsi="Century" w:cs="FrankRuehl"/>
          <w:spacing w:val="10"/>
          <w:szCs w:val="28"/>
          <w:rtl/>
        </w:rPr>
        <w:t xml:space="preserve"> </w:t>
      </w:r>
      <w:r w:rsidRPr="002A5CD9">
        <w:rPr>
          <w:rFonts w:ascii="Century" w:hAnsi="Century" w:cs="FrankRuehl" w:hint="eastAsia"/>
          <w:spacing w:val="10"/>
          <w:szCs w:val="28"/>
          <w:rtl/>
        </w:rPr>
        <w:t>הכ</w:t>
      </w:r>
      <w:r w:rsidRPr="00EE2423">
        <w:rPr>
          <w:rFonts w:ascii="Century" w:hAnsi="Century" w:cs="FrankRuehl" w:hint="cs"/>
          <w:spacing w:val="10"/>
          <w:szCs w:val="28"/>
          <w:rtl/>
        </w:rPr>
        <w:t>ללית</w:t>
      </w:r>
      <w:r>
        <w:rPr>
          <w:rFonts w:ascii="Century" w:hAnsi="Century" w:cs="FrankRuehl" w:hint="cs"/>
          <w:spacing w:val="10"/>
          <w:szCs w:val="28"/>
          <w:rtl/>
        </w:rPr>
        <w:t>,</w:t>
      </w:r>
      <w:r w:rsidRPr="00EE2423">
        <w:rPr>
          <w:rFonts w:ascii="Century" w:hAnsi="Century" w:cs="FrankRuehl" w:hint="cs"/>
          <w:spacing w:val="10"/>
          <w:szCs w:val="28"/>
          <w:rtl/>
        </w:rPr>
        <w:t xml:space="preserve"> הושג הסדר טיעון </w:t>
      </w:r>
      <w:r>
        <w:rPr>
          <w:rFonts w:ascii="Century" w:hAnsi="Century" w:cs="FrankRuehl" w:hint="cs"/>
          <w:spacing w:val="10"/>
          <w:szCs w:val="28"/>
          <w:rtl/>
        </w:rPr>
        <w:t xml:space="preserve">במסגרתו הודה דרעי בביצוע </w:t>
      </w:r>
      <w:r w:rsidRPr="002A5CD9">
        <w:rPr>
          <w:rFonts w:ascii="Century" w:hAnsi="Century" w:cs="FrankRuehl" w:hint="eastAsia"/>
          <w:spacing w:val="10"/>
          <w:szCs w:val="28"/>
          <w:rtl/>
        </w:rPr>
        <w:t>עבירות</w:t>
      </w:r>
      <w:r>
        <w:rPr>
          <w:rFonts w:ascii="Century" w:hAnsi="Century" w:cs="FrankRuehl" w:hint="cs"/>
          <w:spacing w:val="10"/>
          <w:szCs w:val="28"/>
          <w:rtl/>
        </w:rPr>
        <w:t xml:space="preserve"> מס: סיוע לעריכת הצהרה שאינה נכונה לפי סעיף 98(ג1) לחוק מיסוי מקרקעין (שבח ורכישה), התשכ"ג-1963; עבירות של הגשת דו"ח וידיעות לא נכונים ללא הצדק סביר לפי סעיף 217 לפקודת מס הכנסה [נוסח חדש], אי-הגשת דו"ח למס הכנסה לפי סעיף 216(4) לפקודה זו וכן אי-ניהול פנקסי חשבונות לפי סעיף 216(5) לה.</w:t>
      </w:r>
      <w:r w:rsidRPr="002A5CD9">
        <w:rPr>
          <w:rFonts w:ascii="Century" w:hAnsi="Century" w:cs="FrankRuehl"/>
          <w:spacing w:val="10"/>
          <w:szCs w:val="28"/>
          <w:rtl/>
        </w:rPr>
        <w:t xml:space="preserve"> </w:t>
      </w:r>
      <w:r>
        <w:rPr>
          <w:rFonts w:ascii="Century" w:hAnsi="Century" w:cs="FrankRuehl" w:hint="cs"/>
          <w:spacing w:val="10"/>
          <w:szCs w:val="28"/>
          <w:rtl/>
        </w:rPr>
        <w:t>במסגרת ההסדר, הצדדים עתרו במשותף להטלת עונש מאסר על-תנאי למשך 12 חודשים לתקופה של שלוש שנים, לצד קנס כספי של 180,000 שקלים (או שנת מאסר בפועל תמורתו)</w:t>
      </w:r>
      <w:r w:rsidRPr="002A5CD9">
        <w:rPr>
          <w:rFonts w:ascii="Century" w:hAnsi="Century" w:cs="FrankRuehl"/>
          <w:spacing w:val="10"/>
          <w:szCs w:val="28"/>
          <w:rtl/>
        </w:rPr>
        <w:t xml:space="preserve">. </w:t>
      </w:r>
      <w:r>
        <w:rPr>
          <w:rFonts w:ascii="Century" w:hAnsi="Century" w:cs="FrankRuehl" w:hint="cs"/>
          <w:spacing w:val="10"/>
          <w:szCs w:val="28"/>
          <w:rtl/>
        </w:rPr>
        <w:t>כבר בראשית הדברים יוער כי ב</w:t>
      </w:r>
      <w:r w:rsidRPr="002A5CD9">
        <w:rPr>
          <w:rFonts w:ascii="Century" w:hAnsi="Century" w:cs="FrankRuehl" w:hint="eastAsia"/>
          <w:spacing w:val="10"/>
          <w:szCs w:val="28"/>
          <w:rtl/>
        </w:rPr>
        <w:t>סעיף</w:t>
      </w:r>
      <w:r w:rsidRPr="002A5CD9">
        <w:rPr>
          <w:rFonts w:ascii="Century" w:hAnsi="Century" w:cs="FrankRuehl"/>
          <w:spacing w:val="10"/>
          <w:szCs w:val="28"/>
          <w:rtl/>
        </w:rPr>
        <w:t xml:space="preserve"> 4 להסדר </w:t>
      </w:r>
      <w:r>
        <w:rPr>
          <w:rFonts w:ascii="Century" w:hAnsi="Century" w:cs="FrankRuehl" w:hint="cs"/>
          <w:spacing w:val="10"/>
          <w:szCs w:val="28"/>
          <w:rtl/>
        </w:rPr>
        <w:t>ציינו נציגי המדינה כך</w:t>
      </w:r>
      <w:r w:rsidRPr="002A5CD9">
        <w:rPr>
          <w:rFonts w:ascii="Century" w:hAnsi="Century" w:cs="FrankRuehl"/>
          <w:spacing w:val="10"/>
          <w:szCs w:val="28"/>
          <w:rtl/>
        </w:rPr>
        <w:t xml:space="preserve">: "רשמנו בפנינו את הודעת הנאשם בדבר החלטתו להתפטר מהכנסת ועל כן היועץ המשפטי לממשלה לא טוען בעניין הקלון בפני הערכאה הדיונית". יחד עם זאת, </w:t>
      </w:r>
      <w:r>
        <w:rPr>
          <w:rFonts w:ascii="Century" w:hAnsi="Century" w:cs="FrankRuehl" w:hint="cs"/>
          <w:spacing w:val="10"/>
          <w:szCs w:val="28"/>
          <w:rtl/>
        </w:rPr>
        <w:t xml:space="preserve">במסגרת </w:t>
      </w:r>
      <w:r w:rsidRPr="002A5CD9">
        <w:rPr>
          <w:rFonts w:ascii="Century" w:hAnsi="Century" w:cs="FrankRuehl"/>
          <w:spacing w:val="10"/>
          <w:szCs w:val="28"/>
          <w:rtl/>
        </w:rPr>
        <w:t xml:space="preserve">הטיעון </w:t>
      </w:r>
      <w:r>
        <w:rPr>
          <w:rFonts w:ascii="Century" w:hAnsi="Century" w:cs="FrankRuehl" w:hint="cs"/>
          <w:spacing w:val="10"/>
          <w:szCs w:val="28"/>
          <w:rtl/>
        </w:rPr>
        <w:t xml:space="preserve">העדכני בהליך הנוכחי, </w:t>
      </w:r>
      <w:r w:rsidRPr="002A5CD9">
        <w:rPr>
          <w:rFonts w:ascii="Century" w:hAnsi="Century" w:cs="FrankRuehl" w:hint="eastAsia"/>
          <w:spacing w:val="10"/>
          <w:szCs w:val="28"/>
          <w:rtl/>
        </w:rPr>
        <w:t>שהוצג</w:t>
      </w:r>
      <w:r w:rsidRPr="002A5CD9">
        <w:rPr>
          <w:rFonts w:ascii="Century" w:hAnsi="Century" w:cs="FrankRuehl"/>
          <w:spacing w:val="10"/>
          <w:szCs w:val="28"/>
          <w:rtl/>
        </w:rPr>
        <w:t xml:space="preserve"> </w:t>
      </w:r>
      <w:r w:rsidRPr="002A5CD9">
        <w:rPr>
          <w:rFonts w:ascii="Century" w:hAnsi="Century" w:cs="FrankRuehl" w:hint="eastAsia"/>
          <w:spacing w:val="10"/>
          <w:szCs w:val="28"/>
          <w:rtl/>
        </w:rPr>
        <w:t>בפנינו</w:t>
      </w:r>
      <w:r w:rsidRPr="002A5CD9">
        <w:rPr>
          <w:rFonts w:ascii="Century" w:hAnsi="Century" w:cs="FrankRuehl"/>
          <w:spacing w:val="10"/>
          <w:szCs w:val="28"/>
          <w:rtl/>
        </w:rPr>
        <w:t xml:space="preserve"> </w:t>
      </w:r>
      <w:r w:rsidRPr="002A5CD9">
        <w:rPr>
          <w:rFonts w:ascii="Century" w:hAnsi="Century" w:cs="FrankRuehl" w:hint="eastAsia"/>
          <w:spacing w:val="10"/>
          <w:szCs w:val="28"/>
          <w:rtl/>
        </w:rPr>
        <w:t>בשם</w:t>
      </w:r>
      <w:r w:rsidRPr="002A5CD9">
        <w:rPr>
          <w:rFonts w:ascii="Century" w:hAnsi="Century" w:cs="FrankRuehl"/>
          <w:spacing w:val="10"/>
          <w:szCs w:val="28"/>
          <w:rtl/>
        </w:rPr>
        <w:t xml:space="preserve"> </w:t>
      </w:r>
      <w:r w:rsidRPr="002A5CD9">
        <w:rPr>
          <w:rFonts w:ascii="Century" w:hAnsi="Century" w:cs="FrankRuehl" w:hint="eastAsia"/>
          <w:spacing w:val="10"/>
          <w:szCs w:val="28"/>
          <w:rtl/>
        </w:rPr>
        <w:t>היועצת</w:t>
      </w:r>
      <w:r w:rsidRPr="002A5CD9">
        <w:rPr>
          <w:rFonts w:ascii="Century" w:hAnsi="Century" w:cs="FrankRuehl"/>
          <w:spacing w:val="10"/>
          <w:szCs w:val="28"/>
          <w:rtl/>
        </w:rPr>
        <w:t xml:space="preserve"> </w:t>
      </w:r>
      <w:r w:rsidRPr="002A5CD9">
        <w:rPr>
          <w:rFonts w:ascii="Century" w:hAnsi="Century" w:cs="FrankRuehl" w:hint="eastAsia"/>
          <w:spacing w:val="10"/>
          <w:szCs w:val="28"/>
          <w:rtl/>
        </w:rPr>
        <w:t>המשפטית</w:t>
      </w:r>
      <w:r w:rsidRPr="002A5CD9">
        <w:rPr>
          <w:rFonts w:ascii="Century" w:hAnsi="Century" w:cs="FrankRuehl"/>
          <w:spacing w:val="10"/>
          <w:szCs w:val="28"/>
          <w:rtl/>
        </w:rPr>
        <w:t xml:space="preserve"> </w:t>
      </w:r>
      <w:r w:rsidRPr="002A5CD9">
        <w:rPr>
          <w:rFonts w:ascii="Century" w:hAnsi="Century" w:cs="FrankRuehl" w:hint="eastAsia"/>
          <w:spacing w:val="10"/>
          <w:szCs w:val="28"/>
          <w:rtl/>
        </w:rPr>
        <w:t>לממשלה</w:t>
      </w:r>
      <w:r w:rsidRPr="002A5CD9">
        <w:rPr>
          <w:rFonts w:ascii="Century" w:hAnsi="Century" w:cs="FrankRuehl"/>
          <w:spacing w:val="10"/>
          <w:szCs w:val="28"/>
          <w:rtl/>
        </w:rPr>
        <w:t xml:space="preserve">, </w:t>
      </w:r>
      <w:r w:rsidRPr="002A5CD9">
        <w:rPr>
          <w:rFonts w:ascii="Century" w:hAnsi="Century" w:cs="FrankRuehl" w:hint="eastAsia"/>
          <w:spacing w:val="10"/>
          <w:szCs w:val="28"/>
          <w:rtl/>
        </w:rPr>
        <w:t>ה</w:t>
      </w:r>
      <w:r>
        <w:rPr>
          <w:rFonts w:ascii="Century" w:hAnsi="Century" w:cs="FrankRuehl" w:hint="cs"/>
          <w:spacing w:val="10"/>
          <w:szCs w:val="28"/>
          <w:rtl/>
        </w:rPr>
        <w:t xml:space="preserve">ובהר כי </w:t>
      </w:r>
      <w:r w:rsidRPr="002A5CD9">
        <w:rPr>
          <w:rFonts w:ascii="Century" w:hAnsi="Century" w:cs="FrankRuehl" w:hint="eastAsia"/>
          <w:spacing w:val="10"/>
          <w:szCs w:val="28"/>
          <w:rtl/>
        </w:rPr>
        <w:t>הסדר</w:t>
      </w:r>
      <w:r>
        <w:rPr>
          <w:rFonts w:ascii="Century" w:hAnsi="Century" w:cs="FrankRuehl" w:hint="cs"/>
          <w:spacing w:val="10"/>
          <w:szCs w:val="28"/>
          <w:rtl/>
        </w:rPr>
        <w:t xml:space="preserve"> הטיעון </w:t>
      </w:r>
      <w:r w:rsidRPr="002A5CD9">
        <w:rPr>
          <w:rFonts w:ascii="Century" w:hAnsi="Century" w:cs="FrankRuehl"/>
          <w:spacing w:val="10"/>
          <w:szCs w:val="28"/>
          <w:rtl/>
        </w:rPr>
        <w:t xml:space="preserve">(דהיינו </w:t>
      </w:r>
      <w:r>
        <w:rPr>
          <w:rFonts w:ascii="Century" w:hAnsi="Century" w:cs="FrankRuehl" w:hint="cs"/>
          <w:spacing w:val="10"/>
          <w:szCs w:val="28"/>
          <w:rtl/>
        </w:rPr>
        <w:t>במישור</w:t>
      </w:r>
      <w:r w:rsidRPr="002A5CD9">
        <w:rPr>
          <w:rFonts w:ascii="Century" w:hAnsi="Century" w:cs="FrankRuehl"/>
          <w:spacing w:val="10"/>
          <w:szCs w:val="28"/>
          <w:rtl/>
        </w:rPr>
        <w:t xml:space="preserve"> היחסים שבין דרעי ובין רשויות התביעה) לא כלל התחייבות משפטית של דרעי לפרישה מכהונה בכנסת או בממשלה כתנאי</w:t>
      </w:r>
      <w:r>
        <w:rPr>
          <w:rFonts w:ascii="Century" w:hAnsi="Century" w:cs="FrankRuehl" w:hint="cs"/>
          <w:spacing w:val="10"/>
          <w:szCs w:val="28"/>
          <w:rtl/>
        </w:rPr>
        <w:t xml:space="preserve"> פורמלי</w:t>
      </w:r>
      <w:r w:rsidRPr="002A5CD9">
        <w:rPr>
          <w:rFonts w:ascii="Century" w:hAnsi="Century" w:cs="FrankRuehl"/>
          <w:spacing w:val="10"/>
          <w:szCs w:val="28"/>
          <w:rtl/>
        </w:rPr>
        <w:t xml:space="preserve"> להסכמת התביעה להסדר. נאמנים עלי דבריה</w:t>
      </w:r>
      <w:r>
        <w:rPr>
          <w:rFonts w:ascii="Century" w:hAnsi="Century" w:cs="FrankRuehl" w:hint="cs"/>
          <w:spacing w:val="10"/>
          <w:szCs w:val="28"/>
          <w:rtl/>
        </w:rPr>
        <w:t xml:space="preserve"> אלו</w:t>
      </w:r>
      <w:r w:rsidRPr="002A5CD9">
        <w:rPr>
          <w:rFonts w:ascii="Century" w:hAnsi="Century" w:cs="FrankRuehl"/>
          <w:spacing w:val="10"/>
          <w:szCs w:val="28"/>
          <w:rtl/>
        </w:rPr>
        <w:t xml:space="preserve">, וזו תהיה נקודת המוצא שלי להמשך </w:t>
      </w:r>
      <w:r>
        <w:rPr>
          <w:rFonts w:ascii="Century" w:hAnsi="Century" w:cs="FrankRuehl" w:hint="cs"/>
          <w:spacing w:val="10"/>
          <w:szCs w:val="28"/>
          <w:rtl/>
        </w:rPr>
        <w:t>הדיון</w:t>
      </w:r>
      <w:r w:rsidRPr="002A5CD9">
        <w:rPr>
          <w:rFonts w:ascii="Century" w:hAnsi="Century" w:cs="FrankRuehl"/>
          <w:spacing w:val="10"/>
          <w:szCs w:val="28"/>
          <w:rtl/>
        </w:rPr>
        <w:t xml:space="preserve">. </w:t>
      </w:r>
    </w:p>
    <w:p w14:paraId="6D77119E" w14:textId="77777777" w:rsidR="00437A63" w:rsidRDefault="00437A63" w:rsidP="00437A63">
      <w:pPr>
        <w:pStyle w:val="af0"/>
        <w:spacing w:line="360" w:lineRule="auto"/>
        <w:ind w:left="0"/>
        <w:jc w:val="both"/>
        <w:rPr>
          <w:rFonts w:ascii="Century" w:hAnsi="Century" w:cs="FrankRuehl"/>
          <w:spacing w:val="10"/>
          <w:szCs w:val="28"/>
          <w:rtl/>
        </w:rPr>
      </w:pPr>
    </w:p>
    <w:p w14:paraId="0BEBD12A"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7.</w:t>
      </w:r>
      <w:r>
        <w:rPr>
          <w:rFonts w:ascii="Century" w:hAnsi="Century" w:cs="FrankRuehl" w:hint="cs"/>
          <w:spacing w:val="10"/>
          <w:szCs w:val="28"/>
          <w:rtl/>
        </w:rPr>
        <w:tab/>
        <w:t>כידוע</w:t>
      </w:r>
      <w:r w:rsidRPr="002A5CD9">
        <w:rPr>
          <w:rFonts w:ascii="Century" w:hAnsi="Century" w:cs="FrankRuehl"/>
          <w:spacing w:val="10"/>
          <w:szCs w:val="28"/>
          <w:rtl/>
        </w:rPr>
        <w:t xml:space="preserve">, מהות ההסכמה בגדרו של הסדר טיעון עם רשויות התביעה אינה </w:t>
      </w:r>
      <w:r>
        <w:rPr>
          <w:rFonts w:ascii="Century" w:hAnsi="Century" w:cs="FrankRuehl" w:hint="cs"/>
          <w:spacing w:val="10"/>
          <w:szCs w:val="28"/>
          <w:rtl/>
        </w:rPr>
        <w:t xml:space="preserve">סוף פסוק. הסדר הטיעון כפוף לאישורו של בית המשפט, כך שזה רשאי שלא לאשרו אם הוא מוצא שאינו משרת באופן ראוי את האינטרס הציבורי. על רקע זה, לתמונה העובדתית המלאה שהובאה בפני בית משפט השלום על-ידי הצדדים, ובכלל זה למצג שהציג דרעי עצמו, יש חשיבות משמעותית. </w:t>
      </w:r>
      <w:r w:rsidRPr="005A47BA">
        <w:rPr>
          <w:rFonts w:ascii="Century" w:hAnsi="Century" w:cs="FrankRuehl" w:hint="eastAsia"/>
          <w:spacing w:val="10"/>
          <w:szCs w:val="28"/>
          <w:rtl/>
        </w:rPr>
        <w:t>כפי</w:t>
      </w:r>
      <w:r w:rsidRPr="005A47BA">
        <w:rPr>
          <w:rFonts w:ascii="Century" w:hAnsi="Century" w:cs="FrankRuehl"/>
          <w:spacing w:val="10"/>
          <w:szCs w:val="28"/>
          <w:rtl/>
        </w:rPr>
        <w:t xml:space="preserve"> </w:t>
      </w:r>
      <w:r w:rsidRPr="005A47BA">
        <w:rPr>
          <w:rFonts w:ascii="Century" w:hAnsi="Century" w:cs="FrankRuehl" w:hint="eastAsia"/>
          <w:spacing w:val="10"/>
          <w:szCs w:val="28"/>
          <w:rtl/>
        </w:rPr>
        <w:t>שאסביר</w:t>
      </w:r>
      <w:r w:rsidRPr="005A47BA">
        <w:rPr>
          <w:rFonts w:ascii="Century" w:hAnsi="Century" w:cs="FrankRuehl"/>
          <w:spacing w:val="10"/>
          <w:szCs w:val="28"/>
          <w:rtl/>
        </w:rPr>
        <w:t xml:space="preserve"> </w:t>
      </w:r>
      <w:r w:rsidRPr="005A47BA">
        <w:rPr>
          <w:rFonts w:ascii="Century" w:hAnsi="Century" w:cs="FrankRuehl" w:hint="eastAsia"/>
          <w:spacing w:val="10"/>
          <w:szCs w:val="28"/>
          <w:rtl/>
        </w:rPr>
        <w:t>להלן</w:t>
      </w:r>
      <w:r w:rsidRPr="005A47BA">
        <w:rPr>
          <w:rFonts w:ascii="Century" w:hAnsi="Century" w:cs="FrankRuehl"/>
          <w:spacing w:val="10"/>
          <w:szCs w:val="28"/>
          <w:rtl/>
        </w:rPr>
        <w:t xml:space="preserve">, </w:t>
      </w:r>
      <w:r w:rsidRPr="005A47BA">
        <w:rPr>
          <w:rFonts w:ascii="Century" w:hAnsi="Century" w:cs="FrankRuehl" w:hint="eastAsia"/>
          <w:spacing w:val="10"/>
          <w:szCs w:val="28"/>
          <w:rtl/>
        </w:rPr>
        <w:t>הדברים</w:t>
      </w:r>
      <w:r w:rsidRPr="00EE2423">
        <w:rPr>
          <w:rFonts w:ascii="Century" w:hAnsi="Century" w:cs="FrankRuehl" w:hint="cs"/>
          <w:spacing w:val="10"/>
          <w:szCs w:val="28"/>
          <w:rtl/>
        </w:rPr>
        <w:t xml:space="preserve"> אמורים בשים לב </w:t>
      </w:r>
      <w:r>
        <w:rPr>
          <w:rFonts w:ascii="Century" w:hAnsi="Century" w:cs="FrankRuehl" w:hint="cs"/>
          <w:spacing w:val="10"/>
          <w:szCs w:val="28"/>
          <w:rtl/>
        </w:rPr>
        <w:t xml:space="preserve">להצהרותיו של דרעי </w:t>
      </w:r>
      <w:r w:rsidRPr="005A47BA">
        <w:rPr>
          <w:rFonts w:ascii="Century" w:hAnsi="Century" w:cs="FrankRuehl" w:hint="eastAsia"/>
          <w:spacing w:val="10"/>
          <w:szCs w:val="28"/>
          <w:rtl/>
        </w:rPr>
        <w:t>בבית</w:t>
      </w:r>
      <w:r w:rsidRPr="005A47BA">
        <w:rPr>
          <w:rFonts w:ascii="Century" w:hAnsi="Century" w:cs="FrankRuehl"/>
          <w:spacing w:val="10"/>
          <w:szCs w:val="28"/>
          <w:rtl/>
        </w:rPr>
        <w:t xml:space="preserve"> משפט השלום במקרה שבפנינו, וחשוב </w:t>
      </w:r>
      <w:r>
        <w:rPr>
          <w:rFonts w:ascii="Century" w:hAnsi="Century" w:cs="FrankRuehl" w:hint="cs"/>
          <w:spacing w:val="10"/>
          <w:szCs w:val="28"/>
          <w:rtl/>
        </w:rPr>
        <w:t>לא פחות</w:t>
      </w:r>
      <w:r w:rsidRPr="005A47BA">
        <w:rPr>
          <w:rFonts w:ascii="Century" w:hAnsi="Century" w:cs="FrankRuehl"/>
          <w:spacing w:val="10"/>
          <w:szCs w:val="28"/>
          <w:rtl/>
        </w:rPr>
        <w:t xml:space="preserve"> – למידה שב</w:t>
      </w:r>
      <w:r>
        <w:rPr>
          <w:rFonts w:ascii="Century" w:hAnsi="Century" w:cs="FrankRuehl" w:hint="cs"/>
          <w:spacing w:val="10"/>
          <w:szCs w:val="28"/>
          <w:rtl/>
        </w:rPr>
        <w:t>ה</w:t>
      </w:r>
      <w:r w:rsidRPr="005A47BA">
        <w:rPr>
          <w:rFonts w:ascii="Century" w:hAnsi="Century" w:cs="FrankRuehl"/>
          <w:spacing w:val="10"/>
          <w:szCs w:val="28"/>
          <w:rtl/>
        </w:rPr>
        <w:t xml:space="preserve"> הסתמך </w:t>
      </w:r>
      <w:r>
        <w:rPr>
          <w:rFonts w:ascii="Century" w:hAnsi="Century" w:cs="FrankRuehl" w:hint="cs"/>
          <w:spacing w:val="10"/>
          <w:szCs w:val="28"/>
          <w:rtl/>
        </w:rPr>
        <w:t>עליהן</w:t>
      </w:r>
      <w:r w:rsidRPr="005A47BA">
        <w:rPr>
          <w:rFonts w:ascii="Century" w:hAnsi="Century" w:cs="FrankRuehl"/>
          <w:spacing w:val="10"/>
          <w:szCs w:val="28"/>
          <w:rtl/>
        </w:rPr>
        <w:t xml:space="preserve"> בית משפט השלו</w:t>
      </w:r>
      <w:r>
        <w:rPr>
          <w:rFonts w:ascii="Century" w:hAnsi="Century" w:cs="FrankRuehl" w:hint="cs"/>
          <w:spacing w:val="10"/>
          <w:szCs w:val="28"/>
          <w:rtl/>
        </w:rPr>
        <w:t xml:space="preserve">ם בגזרו את דינו. </w:t>
      </w:r>
    </w:p>
    <w:p w14:paraId="70C3E7FC" w14:textId="77777777" w:rsidR="00437A63" w:rsidRDefault="00437A63" w:rsidP="00437A63">
      <w:pPr>
        <w:pStyle w:val="af0"/>
        <w:spacing w:line="360" w:lineRule="auto"/>
        <w:ind w:left="0"/>
        <w:jc w:val="both"/>
        <w:rPr>
          <w:rFonts w:ascii="FrankRuehl" w:hAnsi="FrankRuehl" w:cs="FrankRuehl"/>
          <w:sz w:val="28"/>
          <w:szCs w:val="28"/>
          <w:rtl/>
        </w:rPr>
      </w:pPr>
    </w:p>
    <w:p w14:paraId="26A7A370"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8</w:t>
      </w:r>
      <w:r w:rsidRPr="005A47BA">
        <w:rPr>
          <w:rFonts w:ascii="Century" w:hAnsi="Century" w:cs="FrankRuehl"/>
          <w:spacing w:val="10"/>
          <w:szCs w:val="28"/>
          <w:rtl/>
        </w:rPr>
        <w:t xml:space="preserve">. </w:t>
      </w:r>
      <w:r w:rsidRPr="005A47BA">
        <w:rPr>
          <w:rFonts w:ascii="Century" w:hAnsi="Century" w:cs="FrankRuehl"/>
          <w:spacing w:val="10"/>
          <w:szCs w:val="28"/>
          <w:rtl/>
        </w:rPr>
        <w:tab/>
      </w:r>
      <w:r>
        <w:rPr>
          <w:rFonts w:ascii="Century" w:hAnsi="Century" w:cs="FrankRuehl" w:hint="cs"/>
          <w:spacing w:val="10"/>
          <w:szCs w:val="28"/>
          <w:rtl/>
        </w:rPr>
        <w:t xml:space="preserve">זה המקום </w:t>
      </w:r>
      <w:r w:rsidRPr="005A47BA">
        <w:rPr>
          <w:rFonts w:ascii="Century" w:hAnsi="Century" w:cs="FrankRuehl" w:hint="eastAsia"/>
          <w:spacing w:val="10"/>
          <w:szCs w:val="28"/>
          <w:rtl/>
        </w:rPr>
        <w:t>לחזור</w:t>
      </w:r>
      <w:r w:rsidRPr="005A47BA">
        <w:rPr>
          <w:rFonts w:ascii="Century" w:hAnsi="Century" w:cs="FrankRuehl"/>
          <w:spacing w:val="10"/>
          <w:szCs w:val="28"/>
          <w:rtl/>
        </w:rPr>
        <w:t xml:space="preserve"> </w:t>
      </w:r>
      <w:r w:rsidRPr="005A47BA">
        <w:rPr>
          <w:rFonts w:ascii="Century" w:hAnsi="Century" w:cs="FrankRuehl" w:hint="eastAsia"/>
          <w:spacing w:val="10"/>
          <w:szCs w:val="28"/>
          <w:rtl/>
        </w:rPr>
        <w:t>ולהזכיר</w:t>
      </w:r>
      <w:r w:rsidRPr="005A47BA">
        <w:rPr>
          <w:rFonts w:ascii="Century" w:hAnsi="Century" w:cs="FrankRuehl"/>
          <w:spacing w:val="10"/>
          <w:szCs w:val="28"/>
          <w:rtl/>
        </w:rPr>
        <w:t xml:space="preserve"> </w:t>
      </w:r>
      <w:r w:rsidRPr="005A47BA">
        <w:rPr>
          <w:rFonts w:ascii="Century" w:hAnsi="Century" w:cs="FrankRuehl" w:hint="eastAsia"/>
          <w:spacing w:val="10"/>
          <w:szCs w:val="28"/>
          <w:rtl/>
        </w:rPr>
        <w:t>את</w:t>
      </w:r>
      <w:r w:rsidRPr="005A47BA">
        <w:rPr>
          <w:rFonts w:ascii="Century" w:hAnsi="Century" w:cs="FrankRuehl"/>
          <w:spacing w:val="10"/>
          <w:szCs w:val="28"/>
          <w:rtl/>
        </w:rPr>
        <w:t xml:space="preserve"> </w:t>
      </w:r>
      <w:r w:rsidRPr="005A47BA">
        <w:rPr>
          <w:rFonts w:ascii="Century" w:hAnsi="Century" w:cs="FrankRuehl" w:hint="eastAsia"/>
          <w:spacing w:val="10"/>
          <w:szCs w:val="28"/>
          <w:rtl/>
        </w:rPr>
        <w:t>הדברים</w:t>
      </w:r>
      <w:r w:rsidRPr="005A47BA">
        <w:rPr>
          <w:rFonts w:ascii="Century" w:hAnsi="Century" w:cs="FrankRuehl"/>
          <w:spacing w:val="10"/>
          <w:szCs w:val="28"/>
          <w:rtl/>
        </w:rPr>
        <w:t xml:space="preserve"> </w:t>
      </w:r>
      <w:r w:rsidRPr="005A47BA">
        <w:rPr>
          <w:rFonts w:ascii="Century" w:hAnsi="Century" w:cs="FrankRuehl" w:hint="eastAsia"/>
          <w:spacing w:val="10"/>
          <w:szCs w:val="28"/>
          <w:rtl/>
        </w:rPr>
        <w:t>שנאמרו</w:t>
      </w:r>
      <w:r w:rsidRPr="005A47BA">
        <w:rPr>
          <w:rFonts w:ascii="Century" w:hAnsi="Century" w:cs="FrankRuehl"/>
          <w:spacing w:val="10"/>
          <w:szCs w:val="28"/>
          <w:rtl/>
        </w:rPr>
        <w:t xml:space="preserve"> </w:t>
      </w:r>
      <w:r w:rsidRPr="005A47BA">
        <w:rPr>
          <w:rFonts w:ascii="Century" w:hAnsi="Century" w:cs="FrankRuehl" w:hint="eastAsia"/>
          <w:spacing w:val="10"/>
          <w:szCs w:val="28"/>
          <w:rtl/>
        </w:rPr>
        <w:t>ונטענו</w:t>
      </w:r>
      <w:r w:rsidRPr="005A47BA">
        <w:rPr>
          <w:rFonts w:ascii="Century" w:hAnsi="Century" w:cs="FrankRuehl"/>
          <w:spacing w:val="10"/>
          <w:szCs w:val="28"/>
          <w:rtl/>
        </w:rPr>
        <w:t xml:space="preserve"> </w:t>
      </w:r>
      <w:r w:rsidRPr="005A47BA">
        <w:rPr>
          <w:rFonts w:ascii="Century" w:hAnsi="Century" w:cs="FrankRuehl" w:hint="eastAsia"/>
          <w:spacing w:val="10"/>
          <w:szCs w:val="28"/>
          <w:rtl/>
        </w:rPr>
        <w:t>בבית</w:t>
      </w:r>
      <w:r w:rsidRPr="005A47BA">
        <w:rPr>
          <w:rFonts w:ascii="Century" w:hAnsi="Century" w:cs="FrankRuehl"/>
          <w:spacing w:val="10"/>
          <w:szCs w:val="28"/>
          <w:rtl/>
        </w:rPr>
        <w:t xml:space="preserve"> </w:t>
      </w:r>
      <w:r w:rsidRPr="005A47BA">
        <w:rPr>
          <w:rFonts w:ascii="Century" w:hAnsi="Century" w:cs="FrankRuehl" w:hint="eastAsia"/>
          <w:spacing w:val="10"/>
          <w:szCs w:val="28"/>
          <w:rtl/>
        </w:rPr>
        <w:t>משפט</w:t>
      </w:r>
      <w:r w:rsidRPr="005A47BA">
        <w:rPr>
          <w:rFonts w:ascii="Century" w:hAnsi="Century" w:cs="FrankRuehl"/>
          <w:spacing w:val="10"/>
          <w:szCs w:val="28"/>
          <w:rtl/>
        </w:rPr>
        <w:t xml:space="preserve"> </w:t>
      </w:r>
      <w:r w:rsidRPr="005A47BA">
        <w:rPr>
          <w:rFonts w:ascii="Century" w:hAnsi="Century" w:cs="FrankRuehl" w:hint="eastAsia"/>
          <w:spacing w:val="10"/>
          <w:szCs w:val="28"/>
          <w:rtl/>
        </w:rPr>
        <w:t>השלום</w:t>
      </w:r>
      <w:r w:rsidRPr="005A47BA">
        <w:rPr>
          <w:rFonts w:ascii="Century" w:hAnsi="Century" w:cs="FrankRuehl"/>
          <w:spacing w:val="10"/>
          <w:szCs w:val="28"/>
          <w:rtl/>
        </w:rPr>
        <w:t xml:space="preserve">. </w:t>
      </w:r>
      <w:r>
        <w:rPr>
          <w:rFonts w:ascii="Century" w:hAnsi="Century" w:cs="FrankRuehl" w:hint="cs"/>
          <w:spacing w:val="10"/>
          <w:szCs w:val="28"/>
          <w:rtl/>
        </w:rPr>
        <w:t xml:space="preserve">בדיון שהתקיים </w:t>
      </w:r>
      <w:r w:rsidRPr="005A47BA">
        <w:rPr>
          <w:rFonts w:ascii="Century" w:hAnsi="Century" w:cs="FrankRuehl" w:hint="eastAsia"/>
          <w:spacing w:val="10"/>
          <w:szCs w:val="28"/>
          <w:rtl/>
        </w:rPr>
        <w:t>ביום</w:t>
      </w:r>
      <w:r w:rsidRPr="005A47BA">
        <w:rPr>
          <w:rFonts w:ascii="Century" w:hAnsi="Century" w:cs="FrankRuehl"/>
          <w:spacing w:val="10"/>
          <w:szCs w:val="28"/>
          <w:rtl/>
        </w:rPr>
        <w:t xml:space="preserve"> 25.1.2022 </w:t>
      </w:r>
      <w:r w:rsidRPr="005A47BA">
        <w:rPr>
          <w:rFonts w:ascii="Century" w:hAnsi="Century" w:cs="FrankRuehl" w:hint="eastAsia"/>
          <w:spacing w:val="10"/>
          <w:szCs w:val="28"/>
          <w:rtl/>
        </w:rPr>
        <w:t>הודה</w:t>
      </w:r>
      <w:r w:rsidRPr="005A47BA">
        <w:rPr>
          <w:rFonts w:ascii="Century" w:hAnsi="Century" w:cs="FrankRuehl"/>
          <w:spacing w:val="10"/>
          <w:szCs w:val="28"/>
          <w:rtl/>
        </w:rPr>
        <w:t xml:space="preserve"> </w:t>
      </w:r>
      <w:r w:rsidRPr="005A47BA">
        <w:rPr>
          <w:rFonts w:ascii="Century" w:hAnsi="Century" w:cs="FrankRuehl" w:hint="eastAsia"/>
          <w:spacing w:val="10"/>
          <w:szCs w:val="28"/>
          <w:rtl/>
        </w:rPr>
        <w:t>דרעי</w:t>
      </w:r>
      <w:r w:rsidRPr="005A47BA">
        <w:rPr>
          <w:rFonts w:ascii="Century" w:hAnsi="Century" w:cs="FrankRuehl"/>
          <w:spacing w:val="10"/>
          <w:szCs w:val="28"/>
          <w:rtl/>
        </w:rPr>
        <w:t xml:space="preserve"> </w:t>
      </w:r>
      <w:r w:rsidRPr="005A47BA">
        <w:rPr>
          <w:rFonts w:ascii="Century" w:hAnsi="Century" w:cs="FrankRuehl" w:hint="eastAsia"/>
          <w:spacing w:val="10"/>
          <w:szCs w:val="28"/>
          <w:rtl/>
        </w:rPr>
        <w:t>במיוחס</w:t>
      </w:r>
      <w:r w:rsidRPr="005A47BA">
        <w:rPr>
          <w:rFonts w:ascii="Century" w:hAnsi="Century" w:cs="FrankRuehl"/>
          <w:spacing w:val="10"/>
          <w:szCs w:val="28"/>
          <w:rtl/>
        </w:rPr>
        <w:t xml:space="preserve"> </w:t>
      </w:r>
      <w:r w:rsidRPr="005A47BA">
        <w:rPr>
          <w:rFonts w:ascii="Century" w:hAnsi="Century" w:cs="FrankRuehl" w:hint="eastAsia"/>
          <w:spacing w:val="10"/>
          <w:szCs w:val="28"/>
          <w:rtl/>
        </w:rPr>
        <w:t>לו</w:t>
      </w:r>
      <w:r w:rsidRPr="005A47BA">
        <w:rPr>
          <w:rFonts w:ascii="Century" w:hAnsi="Century" w:cs="FrankRuehl"/>
          <w:spacing w:val="10"/>
          <w:szCs w:val="28"/>
          <w:rtl/>
        </w:rPr>
        <w:t xml:space="preserve"> </w:t>
      </w:r>
      <w:r w:rsidRPr="005A47BA">
        <w:rPr>
          <w:rFonts w:ascii="Century" w:hAnsi="Century" w:cs="FrankRuehl" w:hint="eastAsia"/>
          <w:spacing w:val="10"/>
          <w:szCs w:val="28"/>
          <w:rtl/>
        </w:rPr>
        <w:t>בכתב</w:t>
      </w:r>
      <w:r w:rsidRPr="005A47BA">
        <w:rPr>
          <w:rFonts w:ascii="Century" w:hAnsi="Century" w:cs="FrankRuehl"/>
          <w:spacing w:val="10"/>
          <w:szCs w:val="28"/>
          <w:rtl/>
        </w:rPr>
        <w:t xml:space="preserve"> </w:t>
      </w:r>
      <w:r w:rsidRPr="005A47BA">
        <w:rPr>
          <w:rFonts w:ascii="Century" w:hAnsi="Century" w:cs="FrankRuehl" w:hint="eastAsia"/>
          <w:spacing w:val="10"/>
          <w:szCs w:val="28"/>
          <w:rtl/>
        </w:rPr>
        <w:t>האישום</w:t>
      </w:r>
      <w:r w:rsidRPr="005A47BA">
        <w:rPr>
          <w:rFonts w:ascii="Century" w:hAnsi="Century" w:cs="FrankRuehl"/>
          <w:spacing w:val="10"/>
          <w:szCs w:val="28"/>
          <w:rtl/>
        </w:rPr>
        <w:t xml:space="preserve"> </w:t>
      </w:r>
      <w:r w:rsidRPr="005A47BA">
        <w:rPr>
          <w:rFonts w:ascii="Century" w:hAnsi="Century" w:cs="FrankRuehl" w:hint="eastAsia"/>
          <w:spacing w:val="10"/>
          <w:szCs w:val="28"/>
          <w:rtl/>
        </w:rPr>
        <w:t>ובית</w:t>
      </w:r>
      <w:r w:rsidRPr="005A47BA">
        <w:rPr>
          <w:rFonts w:ascii="Century" w:hAnsi="Century" w:cs="FrankRuehl"/>
          <w:spacing w:val="10"/>
          <w:szCs w:val="28"/>
          <w:rtl/>
        </w:rPr>
        <w:t xml:space="preserve"> </w:t>
      </w:r>
      <w:r w:rsidRPr="005A47BA">
        <w:rPr>
          <w:rFonts w:ascii="Century" w:hAnsi="Century" w:cs="FrankRuehl" w:hint="eastAsia"/>
          <w:spacing w:val="10"/>
          <w:szCs w:val="28"/>
          <w:rtl/>
        </w:rPr>
        <w:t>משפט</w:t>
      </w:r>
      <w:r w:rsidRPr="005A47BA">
        <w:rPr>
          <w:rFonts w:ascii="Century" w:hAnsi="Century" w:cs="FrankRuehl"/>
          <w:spacing w:val="10"/>
          <w:szCs w:val="28"/>
          <w:rtl/>
        </w:rPr>
        <w:t xml:space="preserve"> </w:t>
      </w:r>
      <w:r w:rsidRPr="005A47BA">
        <w:rPr>
          <w:rFonts w:ascii="Century" w:hAnsi="Century" w:cs="FrankRuehl" w:hint="eastAsia"/>
          <w:spacing w:val="10"/>
          <w:szCs w:val="28"/>
          <w:rtl/>
        </w:rPr>
        <w:t>השלום</w:t>
      </w:r>
      <w:r w:rsidRPr="005A47BA">
        <w:rPr>
          <w:rFonts w:ascii="Century" w:hAnsi="Century" w:cs="FrankRuehl"/>
          <w:spacing w:val="10"/>
          <w:szCs w:val="28"/>
          <w:rtl/>
        </w:rPr>
        <w:t xml:space="preserve"> </w:t>
      </w:r>
      <w:r w:rsidRPr="005A47BA">
        <w:rPr>
          <w:rFonts w:ascii="Century" w:hAnsi="Century" w:cs="FrankRuehl" w:hint="eastAsia"/>
          <w:spacing w:val="10"/>
          <w:szCs w:val="28"/>
          <w:rtl/>
        </w:rPr>
        <w:t>הרשיע</w:t>
      </w:r>
      <w:r w:rsidRPr="005A47BA">
        <w:rPr>
          <w:rFonts w:ascii="Century" w:hAnsi="Century" w:cs="FrankRuehl"/>
          <w:spacing w:val="10"/>
          <w:szCs w:val="28"/>
          <w:rtl/>
        </w:rPr>
        <w:t xml:space="preserve"> </w:t>
      </w:r>
      <w:r w:rsidRPr="005A47BA">
        <w:rPr>
          <w:rFonts w:ascii="Century" w:hAnsi="Century" w:cs="FrankRuehl" w:hint="eastAsia"/>
          <w:spacing w:val="10"/>
          <w:szCs w:val="28"/>
          <w:rtl/>
        </w:rPr>
        <w:t>א</w:t>
      </w:r>
      <w:r>
        <w:rPr>
          <w:rFonts w:ascii="Century" w:hAnsi="Century" w:cs="FrankRuehl" w:hint="cs"/>
          <w:spacing w:val="10"/>
          <w:szCs w:val="28"/>
          <w:rtl/>
        </w:rPr>
        <w:t>ו</w:t>
      </w:r>
      <w:r w:rsidRPr="005A47BA">
        <w:rPr>
          <w:rFonts w:ascii="Century" w:hAnsi="Century" w:cs="FrankRuehl" w:hint="eastAsia"/>
          <w:spacing w:val="10"/>
          <w:szCs w:val="28"/>
          <w:rtl/>
        </w:rPr>
        <w:t>ת</w:t>
      </w:r>
      <w:r>
        <w:rPr>
          <w:rFonts w:ascii="Century" w:hAnsi="Century" w:cs="FrankRuehl" w:hint="cs"/>
          <w:spacing w:val="10"/>
          <w:szCs w:val="28"/>
          <w:rtl/>
        </w:rPr>
        <w:t>ו</w:t>
      </w:r>
      <w:r w:rsidRPr="005A47BA">
        <w:rPr>
          <w:rFonts w:ascii="Century" w:hAnsi="Century" w:cs="FrankRuehl"/>
          <w:spacing w:val="10"/>
          <w:szCs w:val="28"/>
          <w:rtl/>
        </w:rPr>
        <w:t xml:space="preserve"> בעבירות שנכללו בו. כמו כן, במעמד זה מסר דרעי כי הוא כבר אינו מכהן כחבר כנסת, </w:t>
      </w:r>
      <w:r>
        <w:rPr>
          <w:rFonts w:ascii="Century" w:hAnsi="Century" w:cs="FrankRuehl" w:hint="cs"/>
          <w:spacing w:val="10"/>
          <w:szCs w:val="28"/>
          <w:rtl/>
        </w:rPr>
        <w:t>והציג</w:t>
      </w:r>
      <w:r w:rsidRPr="005A47BA">
        <w:rPr>
          <w:rFonts w:ascii="Century" w:hAnsi="Century" w:cs="FrankRuehl"/>
          <w:spacing w:val="10"/>
          <w:szCs w:val="28"/>
          <w:rtl/>
        </w:rPr>
        <w:t xml:space="preserve"> לבית משפט השלום את מסמך ההתפטרות שהגיש ליו</w:t>
      </w:r>
      <w:r>
        <w:rPr>
          <w:rFonts w:ascii="Century" w:hAnsi="Century" w:cs="FrankRuehl" w:hint="cs"/>
          <w:spacing w:val="10"/>
          <w:szCs w:val="28"/>
          <w:rtl/>
        </w:rPr>
        <w:t xml:space="preserve">שב ראש </w:t>
      </w:r>
      <w:r w:rsidRPr="005A47BA">
        <w:rPr>
          <w:rFonts w:ascii="Century" w:hAnsi="Century" w:cs="FrankRuehl"/>
          <w:spacing w:val="10"/>
          <w:szCs w:val="28"/>
          <w:rtl/>
        </w:rPr>
        <w:t>הכנסת יומיים קודם לכן</w:t>
      </w:r>
      <w:r>
        <w:rPr>
          <w:rFonts w:ascii="Century" w:hAnsi="Century" w:cs="FrankRuehl" w:hint="cs"/>
          <w:spacing w:val="10"/>
          <w:szCs w:val="28"/>
          <w:rtl/>
        </w:rPr>
        <w:t>. ההתפטרות</w:t>
      </w:r>
      <w:r w:rsidRPr="005A47BA">
        <w:rPr>
          <w:rFonts w:ascii="Century" w:hAnsi="Century" w:cs="FrankRuehl"/>
          <w:spacing w:val="10"/>
          <w:szCs w:val="28"/>
          <w:rtl/>
        </w:rPr>
        <w:t xml:space="preserve"> נכנסה לתוקף בבוקרו של יום הדיון. בהמשך לכך, ועל בסיס </w:t>
      </w:r>
      <w:r>
        <w:rPr>
          <w:rFonts w:ascii="Century" w:hAnsi="Century" w:cs="FrankRuehl" w:hint="cs"/>
          <w:spacing w:val="10"/>
          <w:szCs w:val="28"/>
          <w:rtl/>
        </w:rPr>
        <w:t>ההבנות</w:t>
      </w:r>
      <w:r w:rsidRPr="005A47BA">
        <w:rPr>
          <w:rFonts w:ascii="Century" w:hAnsi="Century" w:cs="FrankRuehl"/>
          <w:spacing w:val="10"/>
          <w:szCs w:val="28"/>
          <w:rtl/>
        </w:rPr>
        <w:t xml:space="preserve"> שנכללו </w:t>
      </w:r>
      <w:r>
        <w:rPr>
          <w:rFonts w:ascii="Century" w:hAnsi="Century" w:cs="FrankRuehl" w:hint="cs"/>
          <w:spacing w:val="10"/>
          <w:szCs w:val="28"/>
          <w:rtl/>
        </w:rPr>
        <w:t>בהסדר הטיעון</w:t>
      </w:r>
      <w:r w:rsidRPr="005A47BA">
        <w:rPr>
          <w:rFonts w:ascii="Century" w:hAnsi="Century" w:cs="FrankRuehl"/>
          <w:spacing w:val="10"/>
          <w:szCs w:val="28"/>
          <w:rtl/>
        </w:rPr>
        <w:t xml:space="preserve">, טענו הצדדים </w:t>
      </w:r>
      <w:r w:rsidRPr="005A47BA">
        <w:rPr>
          <w:rFonts w:ascii="Century" w:hAnsi="Century" w:cs="FrankRuehl" w:hint="eastAsia"/>
          <w:spacing w:val="10"/>
          <w:szCs w:val="28"/>
          <w:rtl/>
        </w:rPr>
        <w:t>לעונש</w:t>
      </w:r>
      <w:r>
        <w:rPr>
          <w:rFonts w:ascii="Century" w:hAnsi="Century" w:cs="FrankRuehl" w:hint="cs"/>
          <w:spacing w:val="10"/>
          <w:szCs w:val="28"/>
          <w:rtl/>
        </w:rPr>
        <w:t xml:space="preserve"> מוסכם, כמפורט לעיל</w:t>
      </w:r>
      <w:r w:rsidRPr="005A47BA">
        <w:rPr>
          <w:rFonts w:ascii="Century" w:hAnsi="Century" w:cs="FrankRuehl"/>
          <w:spacing w:val="10"/>
          <w:szCs w:val="28"/>
          <w:rtl/>
        </w:rPr>
        <w:t xml:space="preserve">. </w:t>
      </w:r>
      <w:r w:rsidRPr="005A47BA">
        <w:rPr>
          <w:rFonts w:ascii="Century" w:hAnsi="Century" w:cs="FrankRuehl" w:hint="eastAsia"/>
          <w:spacing w:val="10"/>
          <w:szCs w:val="28"/>
          <w:rtl/>
        </w:rPr>
        <w:t>בכל</w:t>
      </w:r>
      <w:r w:rsidRPr="005A47BA">
        <w:rPr>
          <w:rFonts w:ascii="Century" w:hAnsi="Century" w:cs="FrankRuehl"/>
          <w:spacing w:val="10"/>
          <w:szCs w:val="28"/>
          <w:rtl/>
        </w:rPr>
        <w:t xml:space="preserve"> </w:t>
      </w:r>
      <w:r w:rsidRPr="005A47BA">
        <w:rPr>
          <w:rFonts w:ascii="Century" w:hAnsi="Century" w:cs="FrankRuehl" w:hint="eastAsia"/>
          <w:spacing w:val="10"/>
          <w:szCs w:val="28"/>
          <w:rtl/>
        </w:rPr>
        <w:t>הנוגע</w:t>
      </w:r>
      <w:r w:rsidRPr="005A47BA">
        <w:rPr>
          <w:rFonts w:ascii="Century" w:hAnsi="Century" w:cs="FrankRuehl"/>
          <w:spacing w:val="10"/>
          <w:szCs w:val="28"/>
          <w:rtl/>
        </w:rPr>
        <w:t xml:space="preserve"> </w:t>
      </w:r>
      <w:r w:rsidRPr="005A47BA">
        <w:rPr>
          <w:rFonts w:ascii="Century" w:hAnsi="Century" w:cs="FrankRuehl" w:hint="eastAsia"/>
          <w:spacing w:val="10"/>
          <w:szCs w:val="28"/>
          <w:rtl/>
        </w:rPr>
        <w:t>לנסיבות</w:t>
      </w:r>
      <w:r w:rsidRPr="005A47BA">
        <w:rPr>
          <w:rFonts w:ascii="Century" w:hAnsi="Century" w:cs="FrankRuehl"/>
          <w:spacing w:val="10"/>
          <w:szCs w:val="28"/>
          <w:rtl/>
        </w:rPr>
        <w:t xml:space="preserve"> </w:t>
      </w:r>
      <w:r w:rsidRPr="005A47BA">
        <w:rPr>
          <w:rFonts w:ascii="Century" w:hAnsi="Century" w:cs="FrankRuehl" w:hint="eastAsia"/>
          <w:spacing w:val="10"/>
          <w:szCs w:val="28"/>
          <w:rtl/>
        </w:rPr>
        <w:t>שאי</w:t>
      </w:r>
      <w:r>
        <w:rPr>
          <w:rFonts w:ascii="Century" w:hAnsi="Century" w:cs="FrankRuehl" w:hint="cs"/>
          <w:spacing w:val="10"/>
          <w:szCs w:val="28"/>
          <w:rtl/>
        </w:rPr>
        <w:t>נ</w:t>
      </w:r>
      <w:r w:rsidRPr="005A47BA">
        <w:rPr>
          <w:rFonts w:ascii="Century" w:hAnsi="Century" w:cs="FrankRuehl" w:hint="eastAsia"/>
          <w:spacing w:val="10"/>
          <w:szCs w:val="28"/>
          <w:rtl/>
        </w:rPr>
        <w:t>ן</w:t>
      </w:r>
      <w:r w:rsidRPr="005A47BA">
        <w:rPr>
          <w:rFonts w:ascii="Century" w:hAnsi="Century" w:cs="FrankRuehl"/>
          <w:spacing w:val="10"/>
          <w:szCs w:val="28"/>
          <w:rtl/>
        </w:rPr>
        <w:t xml:space="preserve"> </w:t>
      </w:r>
      <w:r w:rsidRPr="005A47BA">
        <w:rPr>
          <w:rFonts w:ascii="Century" w:hAnsi="Century" w:cs="FrankRuehl" w:hint="eastAsia"/>
          <w:spacing w:val="10"/>
          <w:szCs w:val="28"/>
          <w:rtl/>
        </w:rPr>
        <w:t>קשורות</w:t>
      </w:r>
      <w:r w:rsidRPr="005A47BA">
        <w:rPr>
          <w:rFonts w:ascii="Century" w:hAnsi="Century" w:cs="FrankRuehl"/>
          <w:spacing w:val="10"/>
          <w:szCs w:val="28"/>
          <w:rtl/>
        </w:rPr>
        <w:t xml:space="preserve"> </w:t>
      </w:r>
      <w:r w:rsidRPr="005A47BA">
        <w:rPr>
          <w:rFonts w:ascii="Century" w:hAnsi="Century" w:cs="FrankRuehl" w:hint="eastAsia"/>
          <w:spacing w:val="10"/>
          <w:szCs w:val="28"/>
          <w:rtl/>
        </w:rPr>
        <w:t>לביצוע</w:t>
      </w:r>
      <w:r w:rsidRPr="005A47BA">
        <w:rPr>
          <w:rFonts w:ascii="Century" w:hAnsi="Century" w:cs="FrankRuehl"/>
          <w:spacing w:val="10"/>
          <w:szCs w:val="28"/>
          <w:rtl/>
        </w:rPr>
        <w:t xml:space="preserve"> </w:t>
      </w:r>
      <w:r w:rsidRPr="005A47BA">
        <w:rPr>
          <w:rFonts w:ascii="Century" w:hAnsi="Century" w:cs="FrankRuehl" w:hint="eastAsia"/>
          <w:spacing w:val="10"/>
          <w:szCs w:val="28"/>
          <w:rtl/>
        </w:rPr>
        <w:t>העבירה</w:t>
      </w:r>
      <w:r w:rsidRPr="005A47BA">
        <w:rPr>
          <w:rFonts w:ascii="Century" w:hAnsi="Century" w:cs="FrankRuehl"/>
          <w:spacing w:val="10"/>
          <w:szCs w:val="28"/>
          <w:rtl/>
        </w:rPr>
        <w:t xml:space="preserve">, </w:t>
      </w:r>
      <w:r w:rsidRPr="005A47BA">
        <w:rPr>
          <w:rFonts w:ascii="Century" w:hAnsi="Century" w:cs="FrankRuehl" w:hint="eastAsia"/>
          <w:spacing w:val="10"/>
          <w:szCs w:val="28"/>
          <w:rtl/>
        </w:rPr>
        <w:t>נציג</w:t>
      </w:r>
      <w:r w:rsidRPr="005A47BA">
        <w:rPr>
          <w:rFonts w:ascii="Century" w:hAnsi="Century" w:cs="FrankRuehl"/>
          <w:spacing w:val="10"/>
          <w:szCs w:val="28"/>
          <w:rtl/>
        </w:rPr>
        <w:t xml:space="preserve"> </w:t>
      </w:r>
      <w:r w:rsidRPr="005A47BA">
        <w:rPr>
          <w:rFonts w:ascii="Century" w:hAnsi="Century" w:cs="FrankRuehl" w:hint="eastAsia"/>
          <w:spacing w:val="10"/>
          <w:szCs w:val="28"/>
          <w:rtl/>
        </w:rPr>
        <w:t>הפרקליטות</w:t>
      </w:r>
      <w:r w:rsidRPr="005A47BA">
        <w:rPr>
          <w:rFonts w:ascii="Century" w:hAnsi="Century" w:cs="FrankRuehl"/>
          <w:spacing w:val="10"/>
          <w:szCs w:val="28"/>
          <w:rtl/>
        </w:rPr>
        <w:t xml:space="preserve"> </w:t>
      </w:r>
      <w:r w:rsidRPr="005A47BA">
        <w:rPr>
          <w:rFonts w:ascii="Century" w:hAnsi="Century" w:cs="FrankRuehl" w:hint="eastAsia"/>
          <w:spacing w:val="10"/>
          <w:szCs w:val="28"/>
          <w:rtl/>
        </w:rPr>
        <w:t>ציין</w:t>
      </w:r>
      <w:r w:rsidRPr="005A47BA">
        <w:rPr>
          <w:rFonts w:ascii="Century" w:hAnsi="Century" w:cs="FrankRuehl"/>
          <w:spacing w:val="10"/>
          <w:szCs w:val="28"/>
          <w:rtl/>
        </w:rPr>
        <w:t xml:space="preserve">, </w:t>
      </w:r>
      <w:r w:rsidRPr="005A47BA">
        <w:rPr>
          <w:rFonts w:ascii="Century" w:hAnsi="Century" w:cs="FrankRuehl" w:hint="eastAsia"/>
          <w:spacing w:val="10"/>
          <w:szCs w:val="28"/>
          <w:rtl/>
        </w:rPr>
        <w:t>לצד</w:t>
      </w:r>
      <w:r w:rsidRPr="005A47BA">
        <w:rPr>
          <w:rFonts w:ascii="Century" w:hAnsi="Century" w:cs="FrankRuehl"/>
          <w:spacing w:val="10"/>
          <w:szCs w:val="28"/>
          <w:rtl/>
        </w:rPr>
        <w:t xml:space="preserve"> </w:t>
      </w:r>
      <w:r w:rsidRPr="005A47BA">
        <w:rPr>
          <w:rFonts w:ascii="Century" w:hAnsi="Century" w:cs="FrankRuehl" w:hint="eastAsia"/>
          <w:spacing w:val="10"/>
          <w:szCs w:val="28"/>
          <w:rtl/>
        </w:rPr>
        <w:t>שיקולים</w:t>
      </w:r>
      <w:r w:rsidRPr="005A47BA">
        <w:rPr>
          <w:rFonts w:ascii="Century" w:hAnsi="Century" w:cs="FrankRuehl"/>
          <w:spacing w:val="10"/>
          <w:szCs w:val="28"/>
          <w:rtl/>
        </w:rPr>
        <w:t xml:space="preserve"> </w:t>
      </w:r>
      <w:r w:rsidRPr="005A47BA">
        <w:rPr>
          <w:rFonts w:ascii="Century" w:hAnsi="Century" w:cs="FrankRuehl" w:hint="eastAsia"/>
          <w:spacing w:val="10"/>
          <w:szCs w:val="28"/>
          <w:rtl/>
        </w:rPr>
        <w:t>נוספים</w:t>
      </w:r>
      <w:r w:rsidRPr="005A47BA">
        <w:rPr>
          <w:rFonts w:ascii="Century" w:hAnsi="Century" w:cs="FrankRuehl"/>
          <w:spacing w:val="10"/>
          <w:szCs w:val="28"/>
          <w:rtl/>
        </w:rPr>
        <w:t xml:space="preserve"> </w:t>
      </w:r>
      <w:proofErr w:type="spellStart"/>
      <w:r w:rsidRPr="005A47BA">
        <w:rPr>
          <w:rFonts w:ascii="Century" w:hAnsi="Century" w:cs="FrankRuehl" w:hint="eastAsia"/>
          <w:spacing w:val="10"/>
          <w:szCs w:val="28"/>
          <w:rtl/>
        </w:rPr>
        <w:t>לחומר</w:t>
      </w:r>
      <w:r>
        <w:rPr>
          <w:rFonts w:ascii="Century" w:hAnsi="Century" w:cs="FrankRuehl" w:hint="cs"/>
          <w:spacing w:val="10"/>
          <w:szCs w:val="28"/>
          <w:rtl/>
        </w:rPr>
        <w:t>א</w:t>
      </w:r>
      <w:proofErr w:type="spellEnd"/>
      <w:r w:rsidRPr="005A47BA">
        <w:rPr>
          <w:rFonts w:ascii="Century" w:hAnsi="Century" w:cs="FrankRuehl"/>
          <w:spacing w:val="10"/>
          <w:szCs w:val="28"/>
          <w:rtl/>
        </w:rPr>
        <w:t xml:space="preserve"> </w:t>
      </w:r>
      <w:proofErr w:type="spellStart"/>
      <w:r w:rsidRPr="005A47BA">
        <w:rPr>
          <w:rFonts w:ascii="Century" w:hAnsi="Century" w:cs="FrankRuehl" w:hint="eastAsia"/>
          <w:spacing w:val="10"/>
          <w:szCs w:val="28"/>
          <w:rtl/>
        </w:rPr>
        <w:t>ולקול</w:t>
      </w:r>
      <w:r>
        <w:rPr>
          <w:rFonts w:ascii="Century" w:hAnsi="Century" w:cs="FrankRuehl" w:hint="cs"/>
          <w:spacing w:val="10"/>
          <w:szCs w:val="28"/>
          <w:rtl/>
        </w:rPr>
        <w:t>א</w:t>
      </w:r>
      <w:proofErr w:type="spellEnd"/>
      <w:r w:rsidRPr="005A47BA">
        <w:rPr>
          <w:rFonts w:ascii="Century" w:hAnsi="Century" w:cs="FrankRuehl"/>
          <w:spacing w:val="10"/>
          <w:szCs w:val="28"/>
          <w:rtl/>
        </w:rPr>
        <w:t xml:space="preserve">, </w:t>
      </w:r>
      <w:r w:rsidRPr="005A47BA">
        <w:rPr>
          <w:rFonts w:ascii="Century" w:hAnsi="Century" w:cs="FrankRuehl" w:hint="eastAsia"/>
          <w:spacing w:val="10"/>
          <w:szCs w:val="28"/>
          <w:rtl/>
        </w:rPr>
        <w:t>כך</w:t>
      </w:r>
      <w:r w:rsidRPr="005A47BA">
        <w:rPr>
          <w:rFonts w:ascii="Century" w:hAnsi="Century" w:cs="FrankRuehl"/>
          <w:spacing w:val="10"/>
          <w:szCs w:val="28"/>
          <w:rtl/>
        </w:rPr>
        <w:t>:</w:t>
      </w:r>
    </w:p>
    <w:p w14:paraId="0835C0F4" w14:textId="77777777" w:rsidR="00437A63" w:rsidRDefault="00437A63" w:rsidP="00437A63">
      <w:pPr>
        <w:pStyle w:val="af0"/>
        <w:spacing w:line="360" w:lineRule="auto"/>
        <w:ind w:left="0"/>
        <w:jc w:val="both"/>
        <w:rPr>
          <w:rFonts w:ascii="FrankRuehl" w:hAnsi="FrankRuehl" w:cs="FrankRuehl"/>
          <w:sz w:val="28"/>
          <w:szCs w:val="28"/>
          <w:rtl/>
        </w:rPr>
      </w:pPr>
    </w:p>
    <w:p w14:paraId="11380C23" w14:textId="77777777" w:rsidR="00437A63" w:rsidRPr="00C46531" w:rsidRDefault="00437A63" w:rsidP="00437A63">
      <w:pPr>
        <w:pStyle w:val="Ruller5"/>
        <w:rPr>
          <w:rtl/>
        </w:rPr>
      </w:pPr>
      <w:r>
        <w:rPr>
          <w:rFonts w:hint="cs"/>
          <w:rtl/>
        </w:rPr>
        <w:lastRenderedPageBreak/>
        <w:t xml:space="preserve">"אבקש להציג שיקולים לקולא שמצדיקים עונש שלא מכיל רכיב מאסר, </w:t>
      </w:r>
      <w:r w:rsidRPr="004D5420">
        <w:rPr>
          <w:rFonts w:hint="cs"/>
          <w:rtl/>
        </w:rPr>
        <w:t xml:space="preserve">בראש ובראשונה הודאתו של הנאשם ונטילת אחריות על מעשיו, בהקשר זה אמירתו הציבורית של הנאשם </w:t>
      </w:r>
      <w:r w:rsidRPr="00A46782">
        <w:rPr>
          <w:rFonts w:cs="Miriam" w:hint="eastAsia"/>
          <w:b/>
          <w:spacing w:val="0"/>
          <w:szCs w:val="24"/>
          <w:rtl/>
        </w:rPr>
        <w:t>ופרישתו</w:t>
      </w:r>
      <w:r w:rsidRPr="00A46782">
        <w:rPr>
          <w:rFonts w:cs="Miriam"/>
          <w:b/>
          <w:spacing w:val="0"/>
          <w:szCs w:val="24"/>
          <w:rtl/>
        </w:rPr>
        <w:t xml:space="preserve"> </w:t>
      </w:r>
      <w:r w:rsidRPr="00A46782">
        <w:rPr>
          <w:rFonts w:cs="Miriam" w:hint="eastAsia"/>
          <w:b/>
          <w:spacing w:val="0"/>
          <w:szCs w:val="24"/>
          <w:rtl/>
        </w:rPr>
        <w:t>מחייו</w:t>
      </w:r>
      <w:r w:rsidRPr="00A46782">
        <w:rPr>
          <w:rFonts w:cs="Miriam"/>
          <w:b/>
          <w:spacing w:val="0"/>
          <w:szCs w:val="24"/>
          <w:rtl/>
        </w:rPr>
        <w:t xml:space="preserve"> </w:t>
      </w:r>
      <w:r w:rsidRPr="00A46782">
        <w:rPr>
          <w:rFonts w:cs="Miriam" w:hint="eastAsia"/>
          <w:b/>
          <w:spacing w:val="0"/>
          <w:szCs w:val="24"/>
          <w:rtl/>
        </w:rPr>
        <w:t>הפוליטיים</w:t>
      </w:r>
      <w:r w:rsidRPr="004F4F55">
        <w:rPr>
          <w:rFonts w:hint="cs"/>
          <w:rtl/>
        </w:rPr>
        <w:t xml:space="preserve"> </w:t>
      </w:r>
      <w:r w:rsidRPr="004D5420">
        <w:rPr>
          <w:rFonts w:hint="cs"/>
          <w:rtl/>
        </w:rPr>
        <w:t xml:space="preserve">משקפים </w:t>
      </w:r>
      <w:r w:rsidRPr="00ED5744">
        <w:rPr>
          <w:rFonts w:hint="cs"/>
          <w:rtl/>
        </w:rPr>
        <w:t xml:space="preserve">כי </w:t>
      </w:r>
      <w:r w:rsidRPr="00ED5744">
        <w:rPr>
          <w:rFonts w:ascii="Century" w:hAnsi="Century" w:cs="Miriam" w:hint="eastAsia"/>
          <w:b/>
          <w:spacing w:val="0"/>
          <w:szCs w:val="24"/>
          <w:rtl/>
        </w:rPr>
        <w:t>פיו</w:t>
      </w:r>
      <w:r w:rsidRPr="00ED5744">
        <w:rPr>
          <w:rFonts w:ascii="Century" w:hAnsi="Century" w:cs="Miriam"/>
          <w:b/>
          <w:spacing w:val="0"/>
          <w:szCs w:val="24"/>
          <w:rtl/>
        </w:rPr>
        <w:t xml:space="preserve"> </w:t>
      </w:r>
      <w:r w:rsidRPr="00ED5744">
        <w:rPr>
          <w:rFonts w:ascii="Century" w:hAnsi="Century" w:cs="Miriam" w:hint="eastAsia"/>
          <w:b/>
          <w:spacing w:val="0"/>
          <w:szCs w:val="24"/>
          <w:rtl/>
        </w:rPr>
        <w:t>וליבו</w:t>
      </w:r>
      <w:r w:rsidRPr="00ED5744">
        <w:rPr>
          <w:rFonts w:ascii="Century" w:hAnsi="Century" w:cs="Miriam"/>
          <w:b/>
          <w:spacing w:val="0"/>
          <w:szCs w:val="24"/>
          <w:rtl/>
        </w:rPr>
        <w:t xml:space="preserve"> </w:t>
      </w:r>
      <w:r w:rsidRPr="00ED5744">
        <w:rPr>
          <w:rFonts w:ascii="Century" w:hAnsi="Century" w:cs="Miriam" w:hint="eastAsia"/>
          <w:b/>
          <w:spacing w:val="0"/>
          <w:szCs w:val="24"/>
          <w:rtl/>
        </w:rPr>
        <w:t>שווים</w:t>
      </w:r>
      <w:r w:rsidRPr="00C46531">
        <w:rPr>
          <w:rFonts w:hint="cs"/>
          <w:rtl/>
        </w:rPr>
        <w:t>"</w:t>
      </w:r>
      <w:r>
        <w:rPr>
          <w:rFonts w:hint="cs"/>
          <w:rtl/>
        </w:rPr>
        <w:t xml:space="preserve"> (עמ' 6 לפרוטוקול הדיון בבית משפט השלום, ההדגשה הוספה</w:t>
      </w:r>
      <w:r w:rsidRPr="0077394F">
        <w:rPr>
          <w:rFonts w:ascii="Century" w:hAnsi="Century"/>
          <w:rtl/>
        </w:rPr>
        <w:t>).</w:t>
      </w:r>
    </w:p>
    <w:p w14:paraId="2E3656BC" w14:textId="77777777" w:rsidR="00437A63" w:rsidRDefault="00437A63" w:rsidP="00437A63">
      <w:pPr>
        <w:pStyle w:val="af0"/>
        <w:spacing w:line="360" w:lineRule="auto"/>
        <w:ind w:left="0"/>
        <w:jc w:val="both"/>
        <w:rPr>
          <w:rFonts w:ascii="FrankRuehl" w:hAnsi="FrankRuehl" w:cs="FrankRuehl"/>
          <w:sz w:val="28"/>
          <w:szCs w:val="28"/>
          <w:rtl/>
        </w:rPr>
      </w:pPr>
    </w:p>
    <w:p w14:paraId="75AA30BA" w14:textId="77777777" w:rsidR="00437A63" w:rsidRPr="00A46782"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sz w:val="28"/>
          <w:szCs w:val="28"/>
          <w:rtl/>
        </w:rPr>
        <w:tab/>
      </w:r>
      <w:r w:rsidRPr="007F75E3">
        <w:rPr>
          <w:rFonts w:ascii="Century" w:hAnsi="Century" w:cs="FrankRuehl" w:hint="eastAsia"/>
          <w:spacing w:val="10"/>
          <w:szCs w:val="28"/>
          <w:rtl/>
        </w:rPr>
        <w:t>ניסוח</w:t>
      </w:r>
      <w:r w:rsidRPr="007F75E3">
        <w:rPr>
          <w:rFonts w:ascii="Century" w:hAnsi="Century" w:cs="FrankRuehl"/>
          <w:spacing w:val="10"/>
          <w:szCs w:val="28"/>
          <w:rtl/>
        </w:rPr>
        <w:t xml:space="preserve"> </w:t>
      </w:r>
      <w:r w:rsidRPr="007F75E3">
        <w:rPr>
          <w:rFonts w:ascii="Century" w:hAnsi="Century" w:cs="FrankRuehl" w:hint="eastAsia"/>
          <w:spacing w:val="10"/>
          <w:szCs w:val="28"/>
          <w:rtl/>
        </w:rPr>
        <w:t>הדברים</w:t>
      </w:r>
      <w:r w:rsidRPr="007F75E3">
        <w:rPr>
          <w:rFonts w:ascii="Century" w:hAnsi="Century" w:cs="FrankRuehl"/>
          <w:spacing w:val="10"/>
          <w:szCs w:val="28"/>
          <w:rtl/>
        </w:rPr>
        <w:t xml:space="preserve"> </w:t>
      </w:r>
      <w:r w:rsidRPr="007F75E3">
        <w:rPr>
          <w:rFonts w:ascii="Century" w:hAnsi="Century" w:cs="FrankRuehl" w:hint="eastAsia"/>
          <w:spacing w:val="10"/>
          <w:szCs w:val="28"/>
          <w:rtl/>
        </w:rPr>
        <w:t>הוא</w:t>
      </w:r>
      <w:r w:rsidRPr="007F75E3">
        <w:rPr>
          <w:rFonts w:ascii="Century" w:hAnsi="Century" w:cs="FrankRuehl"/>
          <w:spacing w:val="10"/>
          <w:szCs w:val="28"/>
          <w:rtl/>
        </w:rPr>
        <w:t xml:space="preserve"> </w:t>
      </w:r>
      <w:r w:rsidRPr="007F75E3">
        <w:rPr>
          <w:rFonts w:ascii="Century" w:hAnsi="Century" w:cs="FrankRuehl" w:hint="eastAsia"/>
          <w:spacing w:val="10"/>
          <w:szCs w:val="28"/>
          <w:rtl/>
        </w:rPr>
        <w:t>בעל</w:t>
      </w:r>
      <w:r w:rsidRPr="007F75E3">
        <w:rPr>
          <w:rFonts w:ascii="Century" w:hAnsi="Century" w:cs="FrankRuehl"/>
          <w:spacing w:val="10"/>
          <w:szCs w:val="28"/>
          <w:rtl/>
        </w:rPr>
        <w:t xml:space="preserve"> </w:t>
      </w:r>
      <w:r w:rsidRPr="007F75E3">
        <w:rPr>
          <w:rFonts w:ascii="Century" w:hAnsi="Century" w:cs="FrankRuehl" w:hint="eastAsia"/>
          <w:spacing w:val="10"/>
          <w:szCs w:val="28"/>
          <w:rtl/>
        </w:rPr>
        <w:t>חשיבות</w:t>
      </w:r>
      <w:r w:rsidRPr="007F75E3">
        <w:rPr>
          <w:rFonts w:ascii="Century" w:hAnsi="Century" w:cs="FrankRuehl"/>
          <w:spacing w:val="10"/>
          <w:szCs w:val="28"/>
          <w:rtl/>
        </w:rPr>
        <w:t xml:space="preserve"> </w:t>
      </w:r>
      <w:r w:rsidRPr="007F75E3">
        <w:rPr>
          <w:rFonts w:ascii="Century" w:hAnsi="Century" w:cs="FrankRuehl" w:hint="eastAsia"/>
          <w:spacing w:val="10"/>
          <w:szCs w:val="28"/>
          <w:rtl/>
        </w:rPr>
        <w:t>רבה</w:t>
      </w:r>
      <w:r w:rsidRPr="007F75E3">
        <w:rPr>
          <w:rFonts w:ascii="Century" w:hAnsi="Century" w:cs="FrankRuehl"/>
          <w:spacing w:val="10"/>
          <w:szCs w:val="28"/>
          <w:rtl/>
        </w:rPr>
        <w:t xml:space="preserve">: </w:t>
      </w:r>
      <w:r w:rsidRPr="007F75E3">
        <w:rPr>
          <w:rFonts w:ascii="Century" w:hAnsi="Century" w:cs="FrankRuehl" w:hint="eastAsia"/>
          <w:spacing w:val="10"/>
          <w:szCs w:val="28"/>
          <w:rtl/>
        </w:rPr>
        <w:t>נציג</w:t>
      </w:r>
      <w:r w:rsidRPr="007F75E3">
        <w:rPr>
          <w:rFonts w:ascii="Century" w:hAnsi="Century" w:cs="FrankRuehl"/>
          <w:spacing w:val="10"/>
          <w:szCs w:val="28"/>
          <w:rtl/>
        </w:rPr>
        <w:t xml:space="preserve"> </w:t>
      </w:r>
      <w:r w:rsidRPr="007F75E3">
        <w:rPr>
          <w:rFonts w:ascii="Century" w:hAnsi="Century" w:cs="FrankRuehl" w:hint="eastAsia"/>
          <w:spacing w:val="10"/>
          <w:szCs w:val="28"/>
          <w:rtl/>
        </w:rPr>
        <w:t>הפרקליטות</w:t>
      </w:r>
      <w:r w:rsidRPr="007F75E3">
        <w:rPr>
          <w:rFonts w:ascii="Century" w:hAnsi="Century" w:cs="FrankRuehl"/>
          <w:spacing w:val="10"/>
          <w:szCs w:val="28"/>
          <w:rtl/>
        </w:rPr>
        <w:t xml:space="preserve"> </w:t>
      </w:r>
      <w:r w:rsidRPr="007F75E3">
        <w:rPr>
          <w:rFonts w:ascii="Century" w:hAnsi="Century" w:cs="FrankRuehl" w:hint="eastAsia"/>
          <w:spacing w:val="10"/>
          <w:szCs w:val="28"/>
          <w:rtl/>
        </w:rPr>
        <w:t>דיבר</w:t>
      </w:r>
      <w:r w:rsidRPr="007F75E3">
        <w:rPr>
          <w:rFonts w:ascii="Century" w:hAnsi="Century" w:cs="FrankRuehl"/>
          <w:spacing w:val="10"/>
          <w:szCs w:val="28"/>
          <w:rtl/>
        </w:rPr>
        <w:t xml:space="preserve"> </w:t>
      </w:r>
      <w:r w:rsidRPr="007F75E3">
        <w:rPr>
          <w:rFonts w:ascii="Century" w:hAnsi="Century" w:cs="FrankRuehl" w:hint="eastAsia"/>
          <w:spacing w:val="10"/>
          <w:szCs w:val="28"/>
          <w:rtl/>
        </w:rPr>
        <w:t>על</w:t>
      </w:r>
      <w:r w:rsidRPr="00914BAE">
        <w:rPr>
          <w:rFonts w:ascii="FrankRuehl" w:hAnsi="FrankRuehl" w:cs="FrankRuehl" w:hint="cs"/>
          <w:sz w:val="28"/>
          <w:szCs w:val="28"/>
          <w:rtl/>
        </w:rPr>
        <w:t xml:space="preserve"> </w:t>
      </w:r>
      <w:r>
        <w:rPr>
          <w:rFonts w:ascii="Century" w:hAnsi="Century" w:cs="Miriam" w:hint="cs"/>
          <w:b/>
          <w:rtl/>
        </w:rPr>
        <w:t>פרישה מהחיים הפוליטיים</w:t>
      </w:r>
      <w:r>
        <w:rPr>
          <w:rFonts w:ascii="Century" w:hAnsi="Century" w:cs="FrankRuehl" w:hint="cs"/>
          <w:spacing w:val="10"/>
          <w:szCs w:val="28"/>
          <w:rtl/>
        </w:rPr>
        <w:t xml:space="preserve"> ולא על הפסקה זמנית או קצרה מכהונה כחבר כנסת או כשר. אם כן, הגם שכאמור הדבר לא היווה תנאי פורמלי שנקבע בהסדר הטיעון, התביעה ראתה בנסיבה זו, בזמן אמת, גורם בעל משקל במסגרת השיקולים הרלוונטיים לקביעת עונשו של דרעי.</w:t>
      </w:r>
    </w:p>
    <w:p w14:paraId="1D1C45E2"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60B1C1BF"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9</w:t>
      </w:r>
      <w:r w:rsidRPr="005A47BA">
        <w:rPr>
          <w:rFonts w:ascii="Century" w:hAnsi="Century" w:cs="FrankRuehl"/>
          <w:spacing w:val="10"/>
          <w:szCs w:val="28"/>
          <w:rtl/>
        </w:rPr>
        <w:t>.</w:t>
      </w:r>
      <w:r w:rsidRPr="005A47BA">
        <w:rPr>
          <w:rFonts w:ascii="Century" w:hAnsi="Century" w:cs="FrankRuehl"/>
          <w:spacing w:val="10"/>
          <w:szCs w:val="28"/>
          <w:rtl/>
        </w:rPr>
        <w:tab/>
      </w:r>
      <w:r w:rsidRPr="005A47BA">
        <w:rPr>
          <w:rFonts w:ascii="Century" w:hAnsi="Century" w:cs="FrankRuehl" w:hint="eastAsia"/>
          <w:spacing w:val="10"/>
          <w:szCs w:val="28"/>
          <w:rtl/>
        </w:rPr>
        <w:t>חשובים</w:t>
      </w:r>
      <w:r w:rsidRPr="005A47BA">
        <w:rPr>
          <w:rFonts w:ascii="Century" w:hAnsi="Century" w:cs="FrankRuehl"/>
          <w:spacing w:val="10"/>
          <w:szCs w:val="28"/>
          <w:rtl/>
        </w:rPr>
        <w:t xml:space="preserve"> יותר, ולמעשה קריטיים לענייננו, הם דבריו של דרעי עצמו בבית משפט </w:t>
      </w:r>
      <w:r>
        <w:rPr>
          <w:rFonts w:ascii="Century" w:hAnsi="Century" w:cs="FrankRuehl" w:hint="cs"/>
          <w:spacing w:val="10"/>
          <w:szCs w:val="28"/>
          <w:rtl/>
        </w:rPr>
        <w:t>השלום</w:t>
      </w:r>
      <w:r w:rsidRPr="005A47BA">
        <w:rPr>
          <w:rFonts w:ascii="Century" w:hAnsi="Century" w:cs="FrankRuehl"/>
          <w:spacing w:val="10"/>
          <w:szCs w:val="28"/>
          <w:rtl/>
        </w:rPr>
        <w:t xml:space="preserve">, </w:t>
      </w:r>
      <w:r>
        <w:rPr>
          <w:rFonts w:ascii="Century" w:hAnsi="Century" w:cs="FrankRuehl" w:hint="cs"/>
          <w:spacing w:val="10"/>
          <w:szCs w:val="28"/>
          <w:rtl/>
        </w:rPr>
        <w:t>ש</w:t>
      </w:r>
      <w:r w:rsidRPr="005A47BA">
        <w:rPr>
          <w:rFonts w:ascii="Century" w:hAnsi="Century" w:cs="FrankRuehl"/>
          <w:spacing w:val="10"/>
          <w:szCs w:val="28"/>
          <w:rtl/>
        </w:rPr>
        <w:t xml:space="preserve">באותה עת </w:t>
      </w:r>
      <w:r>
        <w:rPr>
          <w:rFonts w:ascii="Century" w:hAnsi="Century" w:cs="FrankRuehl" w:hint="cs"/>
          <w:spacing w:val="10"/>
          <w:szCs w:val="28"/>
          <w:rtl/>
        </w:rPr>
        <w:t xml:space="preserve">היה עדיין במעמד של </w:t>
      </w:r>
      <w:r w:rsidRPr="005A47BA">
        <w:rPr>
          <w:rFonts w:ascii="Century" w:hAnsi="Century" w:cs="FrankRuehl" w:hint="eastAsia"/>
          <w:spacing w:val="10"/>
          <w:szCs w:val="28"/>
          <w:rtl/>
        </w:rPr>
        <w:t>נאשם</w:t>
      </w:r>
      <w:r w:rsidRPr="005A47BA">
        <w:rPr>
          <w:rFonts w:ascii="Century" w:hAnsi="Century" w:cs="FrankRuehl"/>
          <w:spacing w:val="10"/>
          <w:szCs w:val="28"/>
          <w:rtl/>
        </w:rPr>
        <w:t xml:space="preserve"> </w:t>
      </w:r>
      <w:r>
        <w:rPr>
          <w:rFonts w:ascii="Century" w:hAnsi="Century" w:cs="FrankRuehl" w:hint="cs"/>
          <w:spacing w:val="10"/>
          <w:szCs w:val="28"/>
          <w:rtl/>
        </w:rPr>
        <w:t xml:space="preserve">המקווה לאישורו של </w:t>
      </w:r>
      <w:r w:rsidRPr="005A47BA">
        <w:rPr>
          <w:rFonts w:ascii="Century" w:hAnsi="Century" w:cs="FrankRuehl"/>
          <w:spacing w:val="10"/>
          <w:szCs w:val="28"/>
          <w:rtl/>
        </w:rPr>
        <w:t>הסדר הטיעון</w:t>
      </w:r>
      <w:r>
        <w:rPr>
          <w:rFonts w:ascii="Century" w:hAnsi="Century" w:cs="FrankRuehl" w:hint="cs"/>
          <w:spacing w:val="10"/>
          <w:szCs w:val="28"/>
          <w:rtl/>
        </w:rPr>
        <w:t>. דרעי לא הסתייג מדבריו של נציג הפרקליטות או מדרך ניסוחם, וממילא אף לא מצא להבהיר כי אין מדובר בפרישה מהחיים הפוליטיים. למעשה, דרעי אף הוסיף על הדברים בהצהרתו שלו</w:t>
      </w:r>
      <w:r w:rsidRPr="005A47BA">
        <w:rPr>
          <w:rFonts w:ascii="Century" w:hAnsi="Century" w:cs="FrankRuehl"/>
          <w:spacing w:val="10"/>
          <w:szCs w:val="28"/>
          <w:rtl/>
        </w:rPr>
        <w:t xml:space="preserve">: </w:t>
      </w:r>
    </w:p>
    <w:p w14:paraId="1E62A3A4" w14:textId="77777777" w:rsidR="00437A63" w:rsidRDefault="00437A63" w:rsidP="00437A63">
      <w:pPr>
        <w:pStyle w:val="af0"/>
        <w:spacing w:line="360" w:lineRule="auto"/>
        <w:ind w:left="0"/>
        <w:jc w:val="both"/>
        <w:rPr>
          <w:rFonts w:ascii="FrankRuehl" w:hAnsi="FrankRuehl" w:cs="FrankRuehl"/>
          <w:sz w:val="28"/>
          <w:szCs w:val="28"/>
          <w:rtl/>
        </w:rPr>
      </w:pPr>
    </w:p>
    <w:p w14:paraId="492C8998" w14:textId="77777777" w:rsidR="00437A63" w:rsidRPr="00A46782" w:rsidRDefault="00437A63" w:rsidP="00437A63">
      <w:pPr>
        <w:pStyle w:val="Ruller5"/>
        <w:rPr>
          <w:rFonts w:ascii="Century" w:hAnsi="Century"/>
          <w:rtl/>
        </w:rPr>
      </w:pPr>
      <w:r>
        <w:rPr>
          <w:rFonts w:hint="cs"/>
          <w:rtl/>
        </w:rPr>
        <w:t>"</w:t>
      </w:r>
      <w:r>
        <w:rPr>
          <w:rFonts w:ascii="Century" w:hAnsi="Century" w:hint="cs"/>
          <w:rtl/>
        </w:rPr>
        <w:t xml:space="preserve">נטיית ליבי הייתה לא להסכים [להסדר הטיעון </w:t>
      </w:r>
      <w:r>
        <w:rPr>
          <w:rFonts w:ascii="Century" w:hAnsi="Century"/>
          <w:rtl/>
        </w:rPr>
        <w:t>–</w:t>
      </w:r>
      <w:r>
        <w:rPr>
          <w:rFonts w:ascii="Century" w:hAnsi="Century" w:hint="cs"/>
          <w:rtl/>
        </w:rPr>
        <w:t xml:space="preserve"> </w:t>
      </w:r>
      <w:r>
        <w:rPr>
          <w:rFonts w:ascii="Century" w:hAnsi="Century" w:cs="Miriam" w:hint="cs"/>
          <w:b/>
          <w:spacing w:val="0"/>
          <w:szCs w:val="24"/>
          <w:rtl/>
        </w:rPr>
        <w:t>ד' ב' א'</w:t>
      </w:r>
      <w:r>
        <w:rPr>
          <w:rFonts w:ascii="Century" w:hAnsi="Century" w:hint="cs"/>
          <w:rtl/>
        </w:rPr>
        <w:t xml:space="preserve">], חשבתי שאני בכל זאת איש ציבור... והתייעצתי עם רבותיי אם מותר לי על פי דין לעשות מה שאני עושה ולהתפטר מהכנסת ולהגיד לציבור שבחר בי אני בוחר בחיים הקלים ועוזב את הכנסת, הייתה לי התלבטות קשה מאוד, אני חייב לומר... קיבלתי את זה במודעות ובלב לא קל... שקלתי שיקולים והחלטתי שאני לא רוצה לחזור למה שהיה לפני 20 ו-30 שנה ורוצה </w:t>
      </w:r>
      <w:r w:rsidRPr="002D7BD4">
        <w:rPr>
          <w:rFonts w:ascii="Century" w:hAnsi="Century" w:cs="Miriam" w:hint="eastAsia"/>
          <w:b/>
          <w:spacing w:val="0"/>
          <w:szCs w:val="24"/>
          <w:rtl/>
        </w:rPr>
        <w:t>להמשיך</w:t>
      </w:r>
      <w:r w:rsidRPr="002D7BD4">
        <w:rPr>
          <w:rFonts w:ascii="Century" w:hAnsi="Century" w:cs="Miriam"/>
          <w:b/>
          <w:spacing w:val="0"/>
          <w:szCs w:val="24"/>
          <w:rtl/>
        </w:rPr>
        <w:t xml:space="preserve"> </w:t>
      </w:r>
      <w:r w:rsidRPr="002D7BD4">
        <w:rPr>
          <w:rFonts w:ascii="Century" w:hAnsi="Century" w:cs="Miriam" w:hint="eastAsia"/>
          <w:b/>
          <w:spacing w:val="0"/>
          <w:szCs w:val="24"/>
          <w:rtl/>
        </w:rPr>
        <w:t>עם</w:t>
      </w:r>
      <w:r w:rsidRPr="002D7BD4">
        <w:rPr>
          <w:rFonts w:ascii="Century" w:hAnsi="Century" w:cs="Miriam"/>
          <w:b/>
          <w:spacing w:val="0"/>
          <w:szCs w:val="24"/>
          <w:rtl/>
        </w:rPr>
        <w:t xml:space="preserve"> </w:t>
      </w:r>
      <w:r w:rsidRPr="00776BB5">
        <w:rPr>
          <w:rFonts w:ascii="Century" w:hAnsi="Century" w:cs="Miriam" w:hint="eastAsia"/>
          <w:b/>
          <w:spacing w:val="0"/>
          <w:szCs w:val="24"/>
          <w:rtl/>
        </w:rPr>
        <w:t>הזמן</w:t>
      </w:r>
      <w:r w:rsidRPr="00776BB5">
        <w:rPr>
          <w:rFonts w:ascii="Century" w:hAnsi="Century" w:cs="Miriam"/>
          <w:b/>
          <w:spacing w:val="0"/>
          <w:szCs w:val="24"/>
          <w:rtl/>
        </w:rPr>
        <w:t xml:space="preserve"> </w:t>
      </w:r>
      <w:r w:rsidRPr="00A46782">
        <w:rPr>
          <w:rFonts w:ascii="Century" w:hAnsi="Century" w:cs="Miriam" w:hint="eastAsia"/>
          <w:b/>
          <w:spacing w:val="0"/>
          <w:szCs w:val="24"/>
          <w:rtl/>
        </w:rPr>
        <w:t>שנשאר</w:t>
      </w:r>
      <w:r w:rsidRPr="00A46782">
        <w:rPr>
          <w:rFonts w:ascii="Century" w:hAnsi="Century" w:cs="Miriam"/>
          <w:b/>
          <w:spacing w:val="0"/>
          <w:szCs w:val="24"/>
          <w:rtl/>
        </w:rPr>
        <w:t xml:space="preserve"> </w:t>
      </w:r>
      <w:r w:rsidRPr="00A46782">
        <w:rPr>
          <w:rFonts w:ascii="Century" w:hAnsi="Century" w:cs="Miriam" w:hint="eastAsia"/>
          <w:b/>
          <w:spacing w:val="0"/>
          <w:szCs w:val="24"/>
          <w:rtl/>
        </w:rPr>
        <w:t>לי</w:t>
      </w:r>
      <w:r w:rsidRPr="000B06B7">
        <w:rPr>
          <w:rFonts w:ascii="Century" w:hAnsi="Century" w:hint="cs"/>
          <w:rtl/>
        </w:rPr>
        <w:t xml:space="preserve"> </w:t>
      </w:r>
      <w:r>
        <w:rPr>
          <w:rFonts w:ascii="Century" w:hAnsi="Century" w:hint="cs"/>
          <w:rtl/>
        </w:rPr>
        <w:t xml:space="preserve">להשקיע בצרכי ציבור... ולהמשיך לייצג את השכבות והציבור שאני מייצג בצורה אחרת </w:t>
      </w:r>
      <w:r w:rsidRPr="00A46782">
        <w:rPr>
          <w:rFonts w:ascii="Century" w:hAnsi="Century" w:cs="Miriam" w:hint="eastAsia"/>
          <w:b/>
          <w:spacing w:val="0"/>
          <w:szCs w:val="24"/>
          <w:rtl/>
        </w:rPr>
        <w:t>גם</w:t>
      </w:r>
      <w:r w:rsidRPr="00A46782">
        <w:rPr>
          <w:rFonts w:ascii="Century" w:hAnsi="Century" w:cs="Miriam"/>
          <w:b/>
          <w:spacing w:val="0"/>
          <w:szCs w:val="24"/>
          <w:rtl/>
        </w:rPr>
        <w:t xml:space="preserve"> </w:t>
      </w:r>
      <w:r w:rsidRPr="00A46782">
        <w:rPr>
          <w:rFonts w:ascii="Century" w:hAnsi="Century" w:cs="Miriam" w:hint="eastAsia"/>
          <w:b/>
          <w:spacing w:val="0"/>
          <w:szCs w:val="24"/>
          <w:rtl/>
        </w:rPr>
        <w:t>אם</w:t>
      </w:r>
      <w:r w:rsidRPr="00A46782">
        <w:rPr>
          <w:rFonts w:ascii="Century" w:hAnsi="Century" w:cs="Miriam"/>
          <w:b/>
          <w:spacing w:val="0"/>
          <w:szCs w:val="24"/>
          <w:rtl/>
        </w:rPr>
        <w:t xml:space="preserve"> </w:t>
      </w:r>
      <w:r w:rsidRPr="00A46782">
        <w:rPr>
          <w:rFonts w:ascii="Century" w:hAnsi="Century" w:cs="Miriam" w:hint="eastAsia"/>
          <w:b/>
          <w:spacing w:val="0"/>
          <w:szCs w:val="24"/>
          <w:rtl/>
        </w:rPr>
        <w:t>לא</w:t>
      </w:r>
      <w:r w:rsidRPr="00A46782">
        <w:rPr>
          <w:rFonts w:ascii="Century" w:hAnsi="Century" w:cs="Miriam"/>
          <w:b/>
          <w:spacing w:val="0"/>
          <w:szCs w:val="24"/>
          <w:rtl/>
        </w:rPr>
        <w:t xml:space="preserve"> </w:t>
      </w:r>
      <w:r w:rsidRPr="00A46782">
        <w:rPr>
          <w:rFonts w:ascii="Century" w:hAnsi="Century" w:cs="Miriam" w:hint="eastAsia"/>
          <w:b/>
          <w:spacing w:val="0"/>
          <w:szCs w:val="24"/>
          <w:rtl/>
        </w:rPr>
        <w:t>מהכנסת</w:t>
      </w:r>
      <w:r>
        <w:rPr>
          <w:rFonts w:ascii="Century" w:hAnsi="Century" w:hint="cs"/>
          <w:rtl/>
        </w:rPr>
        <w:t>" (עמ' 13 לפרוטוקול הדיון בבית משפט השלום, ההדגשות הוספו)</w:t>
      </w:r>
      <w:r w:rsidRPr="00C46531">
        <w:rPr>
          <w:rFonts w:ascii="Century" w:hAnsi="Century" w:hint="cs"/>
          <w:rtl/>
        </w:rPr>
        <w:t>.</w:t>
      </w:r>
    </w:p>
    <w:p w14:paraId="4CA75CD7" w14:textId="77777777" w:rsidR="00437A63" w:rsidRDefault="00437A63" w:rsidP="00437A63">
      <w:pPr>
        <w:pStyle w:val="af0"/>
        <w:spacing w:line="360" w:lineRule="auto"/>
        <w:ind w:left="0"/>
        <w:jc w:val="both"/>
        <w:rPr>
          <w:rFonts w:ascii="FrankRuehl" w:hAnsi="FrankRuehl" w:cs="FrankRuehl"/>
          <w:sz w:val="28"/>
          <w:szCs w:val="28"/>
          <w:rtl/>
        </w:rPr>
      </w:pPr>
    </w:p>
    <w:p w14:paraId="4BA18F07"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sz w:val="28"/>
          <w:szCs w:val="28"/>
          <w:rtl/>
        </w:rPr>
        <w:tab/>
      </w:r>
      <w:r w:rsidRPr="005A47BA">
        <w:rPr>
          <w:rFonts w:ascii="Century" w:hAnsi="Century" w:cs="FrankRuehl" w:hint="eastAsia"/>
          <w:spacing w:val="10"/>
          <w:szCs w:val="28"/>
          <w:rtl/>
        </w:rPr>
        <w:t>אם</w:t>
      </w:r>
      <w:r w:rsidRPr="005A47BA">
        <w:rPr>
          <w:rFonts w:ascii="Century" w:hAnsi="Century" w:cs="FrankRuehl"/>
          <w:spacing w:val="10"/>
          <w:szCs w:val="28"/>
          <w:rtl/>
        </w:rPr>
        <w:t xml:space="preserve"> כן, הדברים שאמר דרעי במו פיו </w:t>
      </w:r>
      <w:r>
        <w:rPr>
          <w:rFonts w:ascii="Century" w:hAnsi="Century" w:cs="FrankRuehl" w:hint="cs"/>
          <w:spacing w:val="10"/>
          <w:szCs w:val="28"/>
          <w:rtl/>
        </w:rPr>
        <w:t xml:space="preserve">מדגישים את </w:t>
      </w:r>
      <w:r w:rsidRPr="005A47BA">
        <w:rPr>
          <w:rFonts w:ascii="Century" w:hAnsi="Century" w:cs="FrankRuehl"/>
          <w:spacing w:val="10"/>
          <w:szCs w:val="28"/>
          <w:rtl/>
        </w:rPr>
        <w:t>הלבטים הקשים שנלוו להחלט</w:t>
      </w:r>
      <w:r>
        <w:rPr>
          <w:rFonts w:ascii="Century" w:hAnsi="Century" w:cs="FrankRuehl" w:hint="cs"/>
          <w:spacing w:val="10"/>
          <w:szCs w:val="28"/>
          <w:rtl/>
        </w:rPr>
        <w:t>ה</w:t>
      </w:r>
      <w:r w:rsidRPr="005A47BA">
        <w:rPr>
          <w:rFonts w:ascii="Century" w:hAnsi="Century" w:cs="FrankRuehl"/>
          <w:spacing w:val="10"/>
          <w:szCs w:val="28"/>
          <w:rtl/>
        </w:rPr>
        <w:t xml:space="preserve"> להתפטר מתפקידו כחבר כנסת</w:t>
      </w:r>
      <w:r>
        <w:rPr>
          <w:rFonts w:ascii="Century" w:hAnsi="Century" w:cs="FrankRuehl" w:hint="cs"/>
          <w:spacing w:val="10"/>
          <w:szCs w:val="28"/>
          <w:rtl/>
        </w:rPr>
        <w:t>,</w:t>
      </w:r>
      <w:r w:rsidRPr="005A47BA">
        <w:rPr>
          <w:rFonts w:ascii="Century" w:hAnsi="Century" w:cs="FrankRuehl"/>
          <w:spacing w:val="10"/>
          <w:szCs w:val="28"/>
          <w:rtl/>
        </w:rPr>
        <w:t xml:space="preserve"> </w:t>
      </w:r>
      <w:r>
        <w:rPr>
          <w:rFonts w:ascii="Century" w:hAnsi="Century" w:cs="FrankRuehl" w:hint="cs"/>
          <w:spacing w:val="10"/>
          <w:szCs w:val="28"/>
          <w:rtl/>
        </w:rPr>
        <w:t xml:space="preserve">ומלמדים כי דבריו בעניין לא נאמרו בהיסח הדעת. חרף אותם לבטים, הוא בחר להבהיר כי החליט </w:t>
      </w:r>
      <w:r w:rsidRPr="005A47BA">
        <w:rPr>
          <w:rFonts w:ascii="Century" w:hAnsi="Century" w:cs="FrankRuehl" w:hint="eastAsia"/>
          <w:spacing w:val="10"/>
          <w:szCs w:val="28"/>
          <w:rtl/>
        </w:rPr>
        <w:t>להמשיך</w:t>
      </w:r>
      <w:r w:rsidRPr="005A47BA">
        <w:rPr>
          <w:rFonts w:ascii="Century" w:hAnsi="Century" w:cs="FrankRuehl"/>
          <w:spacing w:val="10"/>
          <w:szCs w:val="28"/>
          <w:rtl/>
        </w:rPr>
        <w:t xml:space="preserve"> </w:t>
      </w:r>
      <w:r w:rsidRPr="005A47BA">
        <w:rPr>
          <w:rFonts w:ascii="Century" w:hAnsi="Century" w:cs="FrankRuehl" w:hint="eastAsia"/>
          <w:spacing w:val="10"/>
          <w:szCs w:val="28"/>
          <w:rtl/>
        </w:rPr>
        <w:t>את</w:t>
      </w:r>
      <w:r w:rsidRPr="005A47BA">
        <w:rPr>
          <w:rFonts w:ascii="Century" w:hAnsi="Century" w:cs="FrankRuehl"/>
          <w:spacing w:val="10"/>
          <w:szCs w:val="28"/>
          <w:rtl/>
        </w:rPr>
        <w:t xml:space="preserve"> </w:t>
      </w:r>
      <w:r w:rsidRPr="005A47BA">
        <w:rPr>
          <w:rFonts w:ascii="Century" w:hAnsi="Century" w:cs="FrankRuehl" w:hint="eastAsia"/>
          <w:spacing w:val="10"/>
          <w:szCs w:val="28"/>
          <w:rtl/>
        </w:rPr>
        <w:t>עשייתו</w:t>
      </w:r>
      <w:r w:rsidRPr="005A47BA">
        <w:rPr>
          <w:rFonts w:ascii="Century" w:hAnsi="Century" w:cs="FrankRuehl"/>
          <w:spacing w:val="10"/>
          <w:szCs w:val="28"/>
          <w:rtl/>
        </w:rPr>
        <w:t xml:space="preserve"> הציבורית</w:t>
      </w:r>
      <w:r>
        <w:rPr>
          <w:rFonts w:ascii="Century" w:hAnsi="Century" w:cs="FrankRuehl" w:hint="cs"/>
          <w:spacing w:val="10"/>
          <w:szCs w:val="28"/>
          <w:rtl/>
        </w:rPr>
        <w:t xml:space="preserve"> </w:t>
      </w:r>
      <w:r w:rsidRPr="00071D5C">
        <w:rPr>
          <w:rFonts w:ascii="Century" w:hAnsi="Century" w:cs="Miriam" w:hint="eastAsia"/>
          <w:b/>
          <w:rtl/>
        </w:rPr>
        <w:t>שלא</w:t>
      </w:r>
      <w:r w:rsidRPr="00071D5C">
        <w:rPr>
          <w:rFonts w:ascii="Century" w:hAnsi="Century" w:cs="Miriam"/>
          <w:b/>
          <w:rtl/>
        </w:rPr>
        <w:t xml:space="preserve"> </w:t>
      </w:r>
      <w:r w:rsidRPr="00071D5C">
        <w:rPr>
          <w:rFonts w:ascii="Century" w:hAnsi="Century" w:cs="Miriam" w:hint="eastAsia"/>
          <w:b/>
          <w:rtl/>
        </w:rPr>
        <w:t>מהכנסת</w:t>
      </w:r>
      <w:r w:rsidRPr="005A47BA">
        <w:rPr>
          <w:rFonts w:ascii="Century" w:hAnsi="Century" w:cs="FrankRuehl"/>
          <w:spacing w:val="10"/>
          <w:szCs w:val="28"/>
          <w:rtl/>
        </w:rPr>
        <w:t>,</w:t>
      </w:r>
      <w:r>
        <w:rPr>
          <w:rFonts w:ascii="Century" w:hAnsi="Century" w:cs="Miriam" w:hint="cs"/>
          <w:b/>
          <w:rtl/>
        </w:rPr>
        <w:t xml:space="preserve"> </w:t>
      </w:r>
      <w:r>
        <w:rPr>
          <w:rFonts w:ascii="Century" w:hAnsi="Century" w:cs="FrankRuehl" w:hint="cs"/>
          <w:spacing w:val="10"/>
          <w:szCs w:val="28"/>
          <w:rtl/>
        </w:rPr>
        <w:t>לתקופה שהוא הגדיר כ"</w:t>
      </w:r>
      <w:r>
        <w:rPr>
          <w:rFonts w:ascii="Century" w:hAnsi="Century" w:cs="Miriam" w:hint="cs"/>
          <w:b/>
          <w:rtl/>
        </w:rPr>
        <w:t>הזמן שנשאר לי"</w:t>
      </w:r>
      <w:r w:rsidRPr="005A47BA">
        <w:rPr>
          <w:rFonts w:ascii="Century" w:hAnsi="Century" w:cs="FrankRuehl"/>
          <w:spacing w:val="10"/>
          <w:szCs w:val="28"/>
          <w:rtl/>
        </w:rPr>
        <w:t>.</w:t>
      </w:r>
    </w:p>
    <w:p w14:paraId="0FF8E11A" w14:textId="77777777" w:rsidR="00437A63" w:rsidRDefault="00437A63" w:rsidP="00437A63">
      <w:pPr>
        <w:pStyle w:val="af0"/>
        <w:spacing w:line="360" w:lineRule="auto"/>
        <w:ind w:left="0"/>
        <w:jc w:val="both"/>
        <w:rPr>
          <w:rFonts w:ascii="FrankRuehl" w:hAnsi="FrankRuehl" w:cs="FrankRuehl"/>
          <w:sz w:val="28"/>
          <w:szCs w:val="28"/>
          <w:rtl/>
        </w:rPr>
      </w:pPr>
      <w:r>
        <w:rPr>
          <w:rFonts w:ascii="FrankRuehl" w:hAnsi="FrankRuehl" w:cs="FrankRuehl" w:hint="cs"/>
          <w:sz w:val="28"/>
          <w:szCs w:val="28"/>
          <w:rtl/>
        </w:rPr>
        <w:t xml:space="preserve"> </w:t>
      </w:r>
    </w:p>
    <w:p w14:paraId="59E068F4" w14:textId="77777777" w:rsidR="00437A63"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hint="cs"/>
          <w:sz w:val="28"/>
          <w:szCs w:val="28"/>
          <w:rtl/>
        </w:rPr>
        <w:t>10</w:t>
      </w:r>
      <w:r w:rsidRPr="005A47BA">
        <w:rPr>
          <w:rFonts w:ascii="Century" w:hAnsi="Century" w:cs="FrankRuehl"/>
          <w:spacing w:val="10"/>
          <w:szCs w:val="28"/>
          <w:rtl/>
        </w:rPr>
        <w:t>.</w:t>
      </w:r>
      <w:r w:rsidRPr="005A47BA">
        <w:rPr>
          <w:rFonts w:ascii="Century" w:hAnsi="Century" w:cs="FrankRuehl"/>
          <w:spacing w:val="10"/>
          <w:szCs w:val="28"/>
          <w:rtl/>
        </w:rPr>
        <w:tab/>
      </w:r>
      <w:r w:rsidRPr="005A47BA">
        <w:rPr>
          <w:rFonts w:ascii="Century" w:hAnsi="Century" w:cs="FrankRuehl" w:hint="eastAsia"/>
          <w:spacing w:val="10"/>
          <w:szCs w:val="28"/>
          <w:rtl/>
        </w:rPr>
        <w:t>להשלמת</w:t>
      </w:r>
      <w:r w:rsidRPr="005A47BA">
        <w:rPr>
          <w:rFonts w:ascii="Century" w:hAnsi="Century" w:cs="FrankRuehl"/>
          <w:spacing w:val="10"/>
          <w:szCs w:val="28"/>
          <w:rtl/>
        </w:rPr>
        <w:t xml:space="preserve"> </w:t>
      </w:r>
      <w:r w:rsidRPr="005A47BA">
        <w:rPr>
          <w:rFonts w:ascii="Century" w:hAnsi="Century" w:cs="FrankRuehl" w:hint="eastAsia"/>
          <w:spacing w:val="10"/>
          <w:szCs w:val="28"/>
          <w:rtl/>
        </w:rPr>
        <w:t>התמונה</w:t>
      </w:r>
      <w:r>
        <w:rPr>
          <w:rFonts w:ascii="Century" w:hAnsi="Century" w:cs="FrankRuehl" w:hint="cs"/>
          <w:spacing w:val="10"/>
          <w:szCs w:val="28"/>
          <w:rtl/>
        </w:rPr>
        <w:t>,</w:t>
      </w:r>
      <w:r w:rsidRPr="005A47BA">
        <w:rPr>
          <w:rFonts w:ascii="Century" w:hAnsi="Century" w:cs="FrankRuehl"/>
          <w:spacing w:val="10"/>
          <w:szCs w:val="28"/>
          <w:rtl/>
        </w:rPr>
        <w:t xml:space="preserve"> </w:t>
      </w:r>
      <w:r>
        <w:rPr>
          <w:rFonts w:ascii="Century" w:hAnsi="Century" w:cs="FrankRuehl" w:hint="cs"/>
          <w:spacing w:val="10"/>
          <w:szCs w:val="28"/>
          <w:rtl/>
        </w:rPr>
        <w:t>ראוי להזכיר עוד</w:t>
      </w:r>
      <w:r w:rsidRPr="005A47BA">
        <w:rPr>
          <w:rFonts w:ascii="Century" w:hAnsi="Century" w:cs="FrankRuehl"/>
          <w:spacing w:val="10"/>
          <w:szCs w:val="28"/>
          <w:rtl/>
        </w:rPr>
        <w:t xml:space="preserve"> כי</w:t>
      </w:r>
      <w:r>
        <w:rPr>
          <w:rFonts w:ascii="Century" w:hAnsi="Century" w:cs="FrankRuehl" w:hint="cs"/>
          <w:spacing w:val="10"/>
          <w:szCs w:val="28"/>
          <w:rtl/>
        </w:rPr>
        <w:t xml:space="preserve"> קודם לאישורו של הסדר הטיעון הוגשה לבית משפט זה עתירה כנגדו (בג"ץ 8954/21). באותה עת, במסגרת התגובה שהוגשה מטעמו של דרעי, נטען כי את התפטרותו "יש לראות כחלק </w:t>
      </w:r>
      <w:r w:rsidRPr="005A47BA">
        <w:rPr>
          <w:rFonts w:ascii="Century" w:hAnsi="Century" w:cs="Miriam" w:hint="eastAsia"/>
          <w:b/>
          <w:rtl/>
        </w:rPr>
        <w:t>ממהלך</w:t>
      </w:r>
      <w:r w:rsidRPr="005A47BA">
        <w:rPr>
          <w:rFonts w:ascii="Century" w:hAnsi="Century" w:cs="Miriam"/>
          <w:b/>
          <w:rtl/>
        </w:rPr>
        <w:t xml:space="preserve"> </w:t>
      </w:r>
      <w:r w:rsidRPr="005A47BA">
        <w:rPr>
          <w:rFonts w:ascii="Century" w:hAnsi="Century" w:cs="Miriam" w:hint="eastAsia"/>
          <w:b/>
          <w:rtl/>
        </w:rPr>
        <w:t>רחב</w:t>
      </w:r>
      <w:r w:rsidRPr="00C91874">
        <w:rPr>
          <w:rFonts w:ascii="Century" w:hAnsi="Century" w:cs="FrankRuehl" w:hint="cs"/>
          <w:spacing w:val="10"/>
          <w:szCs w:val="28"/>
          <w:rtl/>
        </w:rPr>
        <w:t xml:space="preserve"> </w:t>
      </w:r>
      <w:r>
        <w:rPr>
          <w:rFonts w:ascii="Century" w:hAnsi="Century" w:cs="FrankRuehl" w:hint="cs"/>
          <w:spacing w:val="10"/>
          <w:szCs w:val="28"/>
          <w:rtl/>
        </w:rPr>
        <w:t xml:space="preserve">של נטילת אחריות... המתבטא בראש ובראשונה בחתימתו על הסדר הטיעון, וכן בעזיבתו את </w:t>
      </w:r>
      <w:r>
        <w:rPr>
          <w:rFonts w:ascii="Century" w:hAnsi="Century" w:cs="FrankRuehl" w:hint="cs"/>
          <w:spacing w:val="10"/>
          <w:szCs w:val="28"/>
          <w:rtl/>
        </w:rPr>
        <w:lastRenderedPageBreak/>
        <w:t>כהונתו הציבורית" (פסקה 83 לתגובתו המקדמית של דרעי מיום 6.1.2022, ההדגשה במקור). גם בדיון שהתקיים באותו הליך ביום 16.1.2022 ציין בא-כוחו של דרעי,</w:t>
      </w:r>
      <w:r w:rsidRPr="00392C00">
        <w:rPr>
          <w:rFonts w:ascii="Century" w:hAnsi="Century" w:cs="FrankRuehl" w:hint="cs"/>
          <w:spacing w:val="10"/>
          <w:szCs w:val="28"/>
          <w:rtl/>
        </w:rPr>
        <w:t xml:space="preserve"> </w:t>
      </w:r>
      <w:r w:rsidRPr="005A47BA">
        <w:rPr>
          <w:rFonts w:ascii="Century" w:hAnsi="Century" w:cs="FrankRuehl" w:hint="eastAsia"/>
          <w:spacing w:val="10"/>
          <w:szCs w:val="28"/>
          <w:rtl/>
        </w:rPr>
        <w:t>שהוא</w:t>
      </w:r>
      <w:r>
        <w:rPr>
          <w:rFonts w:ascii="Century" w:hAnsi="Century" w:cs="FrankRuehl"/>
          <w:spacing w:val="10"/>
          <w:szCs w:val="28"/>
          <w:rtl/>
        </w:rPr>
        <w:t xml:space="preserve"> גם בא-כוחו בפנינו,</w:t>
      </w:r>
      <w:r>
        <w:rPr>
          <w:rFonts w:ascii="Century" w:hAnsi="Century" w:cs="FrankRuehl" w:hint="cs"/>
          <w:spacing w:val="10"/>
          <w:szCs w:val="28"/>
          <w:rtl/>
        </w:rPr>
        <w:t xml:space="preserve"> ביחס להתפטרות כך: "</w:t>
      </w:r>
      <w:r w:rsidRPr="004B4951">
        <w:rPr>
          <w:rFonts w:ascii="Century" w:hAnsi="Century" w:cs="FrankRuehl"/>
          <w:spacing w:val="10"/>
          <w:szCs w:val="28"/>
          <w:rtl/>
        </w:rPr>
        <w:t xml:space="preserve">איני אומר שזה לא הקל על כל הצדדים לצאת לדרך עם העסקה שהיתה קשה לכולם, אבל זו היתה החלטה אסטרטגית שלו </w:t>
      </w:r>
      <w:r w:rsidRPr="00814027">
        <w:rPr>
          <w:rFonts w:ascii="Century" w:hAnsi="Century" w:cs="Miriam"/>
          <w:b/>
          <w:rtl/>
        </w:rPr>
        <w:t>לצאת לדרך חדשה</w:t>
      </w:r>
      <w:r>
        <w:rPr>
          <w:rFonts w:ascii="Century" w:hAnsi="Century" w:cs="FrankRuehl" w:hint="cs"/>
          <w:spacing w:val="10"/>
          <w:szCs w:val="28"/>
          <w:rtl/>
        </w:rPr>
        <w:t>" (עמ' 12 לפרוטוקול הדיון בבג"ץ 8954/21, ההדגשה הוספה)</w:t>
      </w:r>
      <w:r w:rsidRPr="004B4951">
        <w:rPr>
          <w:rFonts w:ascii="Century" w:hAnsi="Century" w:cs="FrankRuehl"/>
          <w:spacing w:val="10"/>
          <w:szCs w:val="28"/>
          <w:rtl/>
        </w:rPr>
        <w:t>.</w:t>
      </w:r>
      <w:r>
        <w:rPr>
          <w:rFonts w:ascii="Century" w:hAnsi="Century" w:cs="FrankRuehl" w:hint="cs"/>
          <w:spacing w:val="10"/>
          <w:szCs w:val="28"/>
          <w:rtl/>
        </w:rPr>
        <w:t xml:space="preserve"> הדברים אף חזרו והודגשו במסגרת הטיעונים לעונש בבית משפט השלום, שם ציין בא-כוחו של דרעי כי</w:t>
      </w:r>
      <w:r w:rsidRPr="005A47BA">
        <w:rPr>
          <w:rFonts w:ascii="Century" w:hAnsi="Century" w:cs="FrankRuehl"/>
          <w:spacing w:val="10"/>
          <w:szCs w:val="28"/>
          <w:rtl/>
        </w:rPr>
        <w:t xml:space="preserve"> "כאן יש מהלך שלם של ההתפטרות שהגשתי הבוקר לבית משפ</w:t>
      </w:r>
      <w:r w:rsidRPr="002837D2">
        <w:rPr>
          <w:rFonts w:ascii="Century" w:hAnsi="Century" w:cs="FrankRuehl" w:hint="cs"/>
          <w:spacing w:val="10"/>
          <w:szCs w:val="28"/>
          <w:rtl/>
        </w:rPr>
        <w:t>ט ויש פה הודאה שאפשרה את הגשת כ</w:t>
      </w:r>
      <w:r>
        <w:rPr>
          <w:rFonts w:ascii="Century" w:hAnsi="Century" w:cs="FrankRuehl" w:hint="cs"/>
          <w:spacing w:val="10"/>
          <w:szCs w:val="28"/>
          <w:rtl/>
        </w:rPr>
        <w:t>תב</w:t>
      </w:r>
      <w:r w:rsidRPr="005A47BA">
        <w:rPr>
          <w:rFonts w:ascii="Century" w:hAnsi="Century" w:cs="FrankRuehl"/>
          <w:spacing w:val="10"/>
          <w:szCs w:val="28"/>
          <w:rtl/>
        </w:rPr>
        <w:t xml:space="preserve"> האישום"</w:t>
      </w:r>
      <w:r>
        <w:rPr>
          <w:rFonts w:ascii="Century" w:hAnsi="Century" w:cs="FrankRuehl" w:hint="cs"/>
          <w:spacing w:val="10"/>
          <w:szCs w:val="28"/>
          <w:rtl/>
        </w:rPr>
        <w:t xml:space="preserve"> (עמ' 11 לפרוטוקול הדיון בבית משפט השלום)</w:t>
      </w:r>
      <w:r w:rsidRPr="005A47BA">
        <w:rPr>
          <w:rFonts w:ascii="Century" w:hAnsi="Century" w:cs="FrankRuehl"/>
          <w:spacing w:val="10"/>
          <w:szCs w:val="28"/>
          <w:rtl/>
        </w:rPr>
        <w:t xml:space="preserve">. </w:t>
      </w:r>
    </w:p>
    <w:p w14:paraId="11272F90" w14:textId="77777777" w:rsidR="00437A63" w:rsidRDefault="00437A63" w:rsidP="00437A63">
      <w:pPr>
        <w:pStyle w:val="af0"/>
        <w:spacing w:line="360" w:lineRule="auto"/>
        <w:ind w:left="0"/>
        <w:jc w:val="both"/>
        <w:rPr>
          <w:rFonts w:ascii="Century" w:hAnsi="Century" w:cs="FrankRuehl"/>
          <w:spacing w:val="10"/>
          <w:szCs w:val="28"/>
          <w:rtl/>
        </w:rPr>
      </w:pPr>
    </w:p>
    <w:p w14:paraId="27584F67"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11.</w:t>
      </w:r>
      <w:r>
        <w:rPr>
          <w:rFonts w:ascii="Century" w:hAnsi="Century" w:cs="FrankRuehl" w:hint="cs"/>
          <w:spacing w:val="10"/>
          <w:szCs w:val="28"/>
          <w:rtl/>
        </w:rPr>
        <w:tab/>
        <w:t xml:space="preserve">עוד יצוין, והיבט זה אף חשוב יותר, כי בא-כוחו של דרעי הדגיש בשלב הטיעונים לעונש כי </w:t>
      </w:r>
      <w:r w:rsidRPr="005A47BA">
        <w:rPr>
          <w:rFonts w:ascii="Century" w:hAnsi="Century" w:cs="FrankRuehl" w:hint="eastAsia"/>
          <w:spacing w:val="10"/>
          <w:szCs w:val="28"/>
          <w:rtl/>
        </w:rPr>
        <w:t>פרישתו</w:t>
      </w:r>
      <w:r w:rsidRPr="005A47BA">
        <w:rPr>
          <w:rFonts w:ascii="Century" w:hAnsi="Century" w:cs="FrankRuehl"/>
          <w:spacing w:val="10"/>
          <w:szCs w:val="28"/>
          <w:rtl/>
        </w:rPr>
        <w:t xml:space="preserve"> צפויה לגרום לו להפסד כספי בהיקף של מיליוני שקלים: "האיש התפטר מהכנסת וזה מטה לחמו לאחר 9 שנים כח"כ וכשר, הוויתור שלו יכול להיות </w:t>
      </w:r>
      <w:r w:rsidRPr="002837D2">
        <w:rPr>
          <w:rFonts w:ascii="Century" w:hAnsi="Century" w:cs="Miriam" w:hint="eastAsia"/>
          <w:b/>
          <w:rtl/>
        </w:rPr>
        <w:t>במיליוני</w:t>
      </w:r>
      <w:r w:rsidRPr="002837D2">
        <w:rPr>
          <w:rFonts w:ascii="Century" w:hAnsi="Century" w:cs="Miriam"/>
          <w:b/>
          <w:rtl/>
        </w:rPr>
        <w:t xml:space="preserve"> </w:t>
      </w:r>
      <w:r w:rsidRPr="002837D2">
        <w:rPr>
          <w:rFonts w:ascii="Century" w:hAnsi="Century" w:cs="Miriam" w:hint="eastAsia"/>
          <w:b/>
          <w:rtl/>
        </w:rPr>
        <w:t>שקלים</w:t>
      </w:r>
      <w:r w:rsidRPr="005A47BA">
        <w:rPr>
          <w:rFonts w:ascii="Century" w:hAnsi="Century" w:cs="FrankRuehl"/>
          <w:spacing w:val="10"/>
          <w:szCs w:val="28"/>
          <w:rtl/>
        </w:rPr>
        <w:t xml:space="preserve"> </w:t>
      </w:r>
      <w:r w:rsidRPr="005A47BA">
        <w:rPr>
          <w:rFonts w:ascii="Century" w:hAnsi="Century" w:cs="FrankRuehl" w:hint="eastAsia"/>
          <w:spacing w:val="10"/>
          <w:szCs w:val="28"/>
          <w:rtl/>
        </w:rPr>
        <w:t>צריך</w:t>
      </w:r>
      <w:r w:rsidRPr="005A47BA">
        <w:rPr>
          <w:rFonts w:ascii="Century" w:hAnsi="Century" w:cs="FrankRuehl"/>
          <w:spacing w:val="10"/>
          <w:szCs w:val="28"/>
          <w:rtl/>
        </w:rPr>
        <w:t xml:space="preserve"> לחפש מאיפה להביא פרנסה עכשיו" (</w:t>
      </w:r>
      <w:r>
        <w:rPr>
          <w:rFonts w:ascii="Century" w:hAnsi="Century" w:cs="FrankRuehl" w:hint="cs"/>
          <w:spacing w:val="10"/>
          <w:szCs w:val="28"/>
          <w:rtl/>
        </w:rPr>
        <w:t xml:space="preserve">עמ' 11 לפרוטוקול הדיון בבית משפט השלום, </w:t>
      </w:r>
      <w:r w:rsidRPr="005A47BA">
        <w:rPr>
          <w:rFonts w:ascii="Century" w:hAnsi="Century" w:cs="FrankRuehl"/>
          <w:spacing w:val="10"/>
          <w:szCs w:val="28"/>
          <w:rtl/>
        </w:rPr>
        <w:t xml:space="preserve">ההדגשה הוספה). </w:t>
      </w:r>
      <w:r>
        <w:rPr>
          <w:rFonts w:ascii="Century" w:hAnsi="Century" w:cs="FrankRuehl" w:hint="cs"/>
          <w:spacing w:val="10"/>
          <w:szCs w:val="28"/>
          <w:rtl/>
        </w:rPr>
        <w:t>על פני הדברים, זהו טיעון ה</w:t>
      </w:r>
      <w:r w:rsidRPr="005A47BA">
        <w:rPr>
          <w:rFonts w:ascii="Century" w:hAnsi="Century" w:cs="FrankRuehl" w:hint="eastAsia"/>
          <w:spacing w:val="10"/>
          <w:szCs w:val="28"/>
          <w:rtl/>
        </w:rPr>
        <w:t>משק</w:t>
      </w:r>
      <w:r>
        <w:rPr>
          <w:rFonts w:ascii="Century" w:hAnsi="Century" w:cs="FrankRuehl" w:hint="cs"/>
          <w:spacing w:val="10"/>
          <w:szCs w:val="28"/>
          <w:rtl/>
        </w:rPr>
        <w:t>ף</w:t>
      </w:r>
      <w:r w:rsidRPr="005A47BA">
        <w:rPr>
          <w:rFonts w:ascii="Century" w:hAnsi="Century" w:cs="FrankRuehl"/>
          <w:spacing w:val="10"/>
          <w:szCs w:val="28"/>
          <w:rtl/>
        </w:rPr>
        <w:t xml:space="preserve"> </w:t>
      </w:r>
      <w:r w:rsidRPr="005A47BA">
        <w:rPr>
          <w:rFonts w:ascii="Century" w:hAnsi="Century" w:cs="FrankRuehl" w:hint="eastAsia"/>
          <w:spacing w:val="10"/>
          <w:szCs w:val="28"/>
          <w:rtl/>
        </w:rPr>
        <w:t>שמדובר</w:t>
      </w:r>
      <w:r w:rsidRPr="005A47BA">
        <w:rPr>
          <w:rFonts w:ascii="Century" w:hAnsi="Century" w:cs="FrankRuehl"/>
          <w:spacing w:val="10"/>
          <w:szCs w:val="28"/>
          <w:rtl/>
        </w:rPr>
        <w:t xml:space="preserve"> </w:t>
      </w:r>
      <w:r w:rsidRPr="005A47BA">
        <w:rPr>
          <w:rFonts w:ascii="Century" w:hAnsi="Century" w:cs="FrankRuehl" w:hint="eastAsia"/>
          <w:spacing w:val="10"/>
          <w:szCs w:val="28"/>
          <w:rtl/>
        </w:rPr>
        <w:t>בפרישה</w:t>
      </w:r>
      <w:r>
        <w:rPr>
          <w:rFonts w:ascii="Century" w:hAnsi="Century" w:cs="FrankRuehl" w:hint="cs"/>
          <w:spacing w:val="10"/>
          <w:szCs w:val="28"/>
          <w:rtl/>
        </w:rPr>
        <w:t xml:space="preserve"> ממושכת,</w:t>
      </w:r>
      <w:r w:rsidRPr="005A47BA">
        <w:rPr>
          <w:rFonts w:ascii="Century" w:hAnsi="Century" w:cs="FrankRuehl"/>
          <w:spacing w:val="10"/>
          <w:szCs w:val="28"/>
          <w:rtl/>
        </w:rPr>
        <w:t xml:space="preserve"> לפחות למספר שנים, שאם לא כן </w:t>
      </w:r>
      <w:r>
        <w:rPr>
          <w:rFonts w:ascii="Century" w:hAnsi="Century" w:cs="FrankRuehl" w:hint="cs"/>
          <w:spacing w:val="10"/>
          <w:szCs w:val="28"/>
          <w:rtl/>
        </w:rPr>
        <w:t xml:space="preserve">קשה להבין </w:t>
      </w:r>
      <w:r w:rsidRPr="005A47BA">
        <w:rPr>
          <w:rFonts w:ascii="Century" w:hAnsi="Century" w:cs="FrankRuehl"/>
          <w:spacing w:val="10"/>
          <w:szCs w:val="28"/>
          <w:rtl/>
        </w:rPr>
        <w:t xml:space="preserve">כיצד אובדן </w:t>
      </w:r>
      <w:r>
        <w:rPr>
          <w:rFonts w:ascii="Century" w:hAnsi="Century" w:cs="FrankRuehl" w:hint="cs"/>
          <w:spacing w:val="10"/>
          <w:szCs w:val="28"/>
          <w:rtl/>
        </w:rPr>
        <w:t>משכורתו</w:t>
      </w:r>
      <w:r w:rsidRPr="005A47BA">
        <w:rPr>
          <w:rFonts w:ascii="Century" w:hAnsi="Century" w:cs="FrankRuehl"/>
          <w:spacing w:val="10"/>
          <w:szCs w:val="28"/>
          <w:rtl/>
        </w:rPr>
        <w:t xml:space="preserve"> של דרעי כחבר כנסת לתקופה קצרה יכול להצדיק את הטיעון האמור.</w:t>
      </w:r>
      <w:r w:rsidRPr="00BB3AF2">
        <w:rPr>
          <w:rFonts w:ascii="Century" w:hAnsi="Century" w:cs="FrankRuehl" w:hint="cs"/>
          <w:spacing w:val="10"/>
          <w:szCs w:val="28"/>
          <w:rtl/>
        </w:rPr>
        <w:t xml:space="preserve"> </w:t>
      </w:r>
      <w:r>
        <w:rPr>
          <w:rFonts w:ascii="Century" w:hAnsi="Century" w:cs="FrankRuehl" w:hint="cs"/>
          <w:spacing w:val="10"/>
          <w:szCs w:val="28"/>
          <w:rtl/>
        </w:rPr>
        <w:t xml:space="preserve">בהקשר זה, יוער כי בתשובתו לעתירות דנן טען דרעי כי דברים אלו של בא-כוחו נועדו "להמחיש גם את המחיר הכלכלי האישי הכרוך באותה התפטרות, עקב אובדן משכורת של חבר כנסת" (פסקה 109 לתשובה מיום 3.1.2023), והדגיש כי הסכום שננקב ("מיליוני שקלים") הביא בחשבון את האפשרות שעמדה באותה עת על הפרק ביחס להמשך הכהונה הצפוי של הממשלה דאז, כמו גם את שיעור משכורתו החודשית של דרעי כחבר כנסת (כ-40,000 שקלים). </w:t>
      </w:r>
    </w:p>
    <w:p w14:paraId="01EADCB7"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2A221819"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12</w:t>
      </w:r>
      <w:r w:rsidRPr="005A47BA">
        <w:rPr>
          <w:rFonts w:ascii="Century" w:hAnsi="Century" w:cs="FrankRuehl"/>
          <w:spacing w:val="10"/>
          <w:szCs w:val="28"/>
          <w:rtl/>
        </w:rPr>
        <w:t xml:space="preserve">. </w:t>
      </w:r>
      <w:r w:rsidRPr="005A47BA">
        <w:rPr>
          <w:rFonts w:ascii="Century" w:hAnsi="Century" w:cs="FrankRuehl"/>
          <w:spacing w:val="10"/>
          <w:szCs w:val="28"/>
          <w:rtl/>
        </w:rPr>
        <w:tab/>
      </w:r>
      <w:r>
        <w:rPr>
          <w:rFonts w:ascii="Century" w:hAnsi="Century" w:cs="FrankRuehl" w:hint="cs"/>
          <w:spacing w:val="10"/>
          <w:szCs w:val="28"/>
          <w:rtl/>
        </w:rPr>
        <w:t>ההתבטאויו</w:t>
      </w:r>
      <w:r>
        <w:rPr>
          <w:rFonts w:ascii="Century" w:hAnsi="Century" w:cs="FrankRuehl" w:hint="eastAsia"/>
          <w:spacing w:val="10"/>
          <w:szCs w:val="28"/>
          <w:rtl/>
        </w:rPr>
        <w:t>ת</w:t>
      </w:r>
      <w:r>
        <w:rPr>
          <w:rFonts w:ascii="Century" w:hAnsi="Century" w:cs="FrankRuehl" w:hint="cs"/>
          <w:spacing w:val="10"/>
          <w:szCs w:val="28"/>
          <w:rtl/>
        </w:rPr>
        <w:t xml:space="preserve"> הנזכרות</w:t>
      </w:r>
      <w:r w:rsidRPr="005A47BA">
        <w:rPr>
          <w:rFonts w:ascii="Century" w:hAnsi="Century" w:cs="FrankRuehl"/>
          <w:spacing w:val="10"/>
          <w:szCs w:val="28"/>
          <w:rtl/>
        </w:rPr>
        <w:t xml:space="preserve"> לא רק נאמרו והוצגו בדרך זו לבית משפט השלום, אלא גם הובנו על-ידו </w:t>
      </w:r>
      <w:r>
        <w:rPr>
          <w:rFonts w:ascii="Century" w:hAnsi="Century" w:cs="FrankRuehl" w:hint="cs"/>
          <w:spacing w:val="10"/>
          <w:szCs w:val="28"/>
          <w:rtl/>
        </w:rPr>
        <w:t>כבעלות משמעות בסופו של יום</w:t>
      </w:r>
      <w:r w:rsidRPr="005A47BA">
        <w:rPr>
          <w:rFonts w:ascii="Century" w:hAnsi="Century" w:cs="FrankRuehl"/>
          <w:spacing w:val="10"/>
          <w:szCs w:val="28"/>
          <w:rtl/>
        </w:rPr>
        <w:t xml:space="preserve">. וכך ציין נשיא בית משפט השלום בירושלים, שדן בעניינו של דרעי, בגזר דינו </w:t>
      </w:r>
      <w:r>
        <w:rPr>
          <w:rFonts w:ascii="Century" w:hAnsi="Century" w:cs="FrankRuehl" w:hint="cs"/>
          <w:spacing w:val="10"/>
          <w:szCs w:val="28"/>
          <w:rtl/>
        </w:rPr>
        <w:t>מ</w:t>
      </w:r>
      <w:r w:rsidRPr="005A47BA">
        <w:rPr>
          <w:rFonts w:ascii="Century" w:hAnsi="Century" w:cs="FrankRuehl"/>
          <w:spacing w:val="10"/>
          <w:szCs w:val="28"/>
          <w:rtl/>
        </w:rPr>
        <w:t xml:space="preserve">יום 1.2.2022: </w:t>
      </w:r>
    </w:p>
    <w:p w14:paraId="790332B9" w14:textId="77777777" w:rsidR="00437A63" w:rsidRDefault="00437A63" w:rsidP="00437A63">
      <w:pPr>
        <w:pStyle w:val="af0"/>
        <w:spacing w:line="360" w:lineRule="auto"/>
        <w:ind w:left="0"/>
        <w:jc w:val="both"/>
        <w:rPr>
          <w:rFonts w:ascii="FrankRuehl" w:hAnsi="FrankRuehl" w:cs="FrankRuehl"/>
          <w:sz w:val="28"/>
          <w:szCs w:val="28"/>
          <w:rtl/>
        </w:rPr>
      </w:pPr>
    </w:p>
    <w:p w14:paraId="0ABDEA88" w14:textId="77777777" w:rsidR="00437A63" w:rsidRDefault="00437A63" w:rsidP="00437A63">
      <w:pPr>
        <w:pStyle w:val="Ruller5"/>
        <w:rPr>
          <w:rFonts w:ascii="Century" w:hAnsi="Century"/>
          <w:rtl/>
        </w:rPr>
      </w:pPr>
      <w:r>
        <w:rPr>
          <w:rFonts w:hint="cs"/>
          <w:rtl/>
        </w:rPr>
        <w:t>"</w:t>
      </w:r>
      <w:r w:rsidRPr="00BD30AF">
        <w:rPr>
          <w:rFonts w:ascii="Century" w:hAnsi="Century"/>
          <w:rtl/>
        </w:rPr>
        <w:t>הודעת ההסדר מלמדת כי הנאשם החליט להתפטר מכנסת ישראל. על פניו, מדובר בהודעה אשר אינה קשורה להליך הפלילי, אין בה כדי ללמד על סנקציה פלילית כזו או אחרת המהווה חלק מהסדר הטיעון ועניין זה מעלה תמיהה –</w:t>
      </w:r>
      <w:r>
        <w:rPr>
          <w:rFonts w:ascii="Century" w:hAnsi="Century" w:hint="cs"/>
          <w:rtl/>
        </w:rPr>
        <w:t xml:space="preserve"> </w:t>
      </w:r>
      <w:r w:rsidRPr="00BD30AF">
        <w:rPr>
          <w:rFonts w:ascii="Century" w:hAnsi="Century"/>
          <w:rtl/>
        </w:rPr>
        <w:t>מדוע אם כן, נכתב סעיף זה ומה הוא בא ללמדנו?</w:t>
      </w:r>
    </w:p>
    <w:p w14:paraId="32DB18AE" w14:textId="77777777" w:rsidR="00437A63" w:rsidRDefault="00437A63" w:rsidP="00437A63">
      <w:pPr>
        <w:pStyle w:val="Ruller5"/>
        <w:rPr>
          <w:rFonts w:ascii="Century" w:hAnsi="Century"/>
          <w:rtl/>
        </w:rPr>
      </w:pPr>
      <w:r w:rsidRPr="00BD30AF">
        <w:rPr>
          <w:rFonts w:ascii="Century" w:hAnsi="Century"/>
          <w:rtl/>
        </w:rPr>
        <w:t xml:space="preserve">אלא, </w:t>
      </w:r>
      <w:r w:rsidRPr="00D44934">
        <w:rPr>
          <w:rFonts w:ascii="Century" w:hAnsi="Century" w:cs="Miriam" w:hint="eastAsia"/>
          <w:b/>
          <w:spacing w:val="0"/>
          <w:szCs w:val="24"/>
          <w:rtl/>
        </w:rPr>
        <w:t>שמדובר</w:t>
      </w:r>
      <w:r w:rsidRPr="00D44934">
        <w:rPr>
          <w:rFonts w:ascii="Century" w:hAnsi="Century" w:cs="Miriam"/>
          <w:b/>
          <w:spacing w:val="0"/>
          <w:szCs w:val="24"/>
          <w:rtl/>
        </w:rPr>
        <w:t xml:space="preserve"> </w:t>
      </w:r>
      <w:r w:rsidRPr="00D44934">
        <w:rPr>
          <w:rFonts w:ascii="Century" w:hAnsi="Century" w:cs="Miriam" w:hint="eastAsia"/>
          <w:b/>
          <w:spacing w:val="0"/>
          <w:szCs w:val="24"/>
          <w:rtl/>
        </w:rPr>
        <w:t>בנסיבה</w:t>
      </w:r>
      <w:r w:rsidRPr="00D44934">
        <w:rPr>
          <w:rFonts w:ascii="Century" w:hAnsi="Century" w:cs="Miriam"/>
          <w:b/>
          <w:spacing w:val="0"/>
          <w:szCs w:val="24"/>
          <w:rtl/>
        </w:rPr>
        <w:t xml:space="preserve"> </w:t>
      </w:r>
      <w:r w:rsidRPr="00D44934">
        <w:rPr>
          <w:rFonts w:ascii="Century" w:hAnsi="Century" w:cs="Miriam" w:hint="eastAsia"/>
          <w:b/>
          <w:spacing w:val="0"/>
          <w:szCs w:val="24"/>
          <w:rtl/>
        </w:rPr>
        <w:t>חשובה</w:t>
      </w:r>
      <w:r w:rsidRPr="00D44934">
        <w:rPr>
          <w:rFonts w:ascii="Century" w:hAnsi="Century" w:cs="Miriam"/>
          <w:b/>
          <w:spacing w:val="0"/>
          <w:szCs w:val="24"/>
          <w:rtl/>
        </w:rPr>
        <w:t xml:space="preserve"> </w:t>
      </w:r>
      <w:r w:rsidRPr="002D7BD4">
        <w:rPr>
          <w:rFonts w:ascii="Century" w:hAnsi="Century" w:hint="eastAsia"/>
          <w:rtl/>
        </w:rPr>
        <w:t>הבאה</w:t>
      </w:r>
      <w:r w:rsidRPr="002D7BD4">
        <w:rPr>
          <w:rFonts w:ascii="Century" w:hAnsi="Century"/>
          <w:rtl/>
        </w:rPr>
        <w:t xml:space="preserve"> </w:t>
      </w:r>
      <w:r w:rsidRPr="002D7BD4">
        <w:rPr>
          <w:rFonts w:ascii="Century" w:hAnsi="Century" w:hint="eastAsia"/>
          <w:rtl/>
        </w:rPr>
        <w:t>ללמד</w:t>
      </w:r>
      <w:r w:rsidRPr="002D7BD4">
        <w:rPr>
          <w:rFonts w:ascii="Century" w:hAnsi="Century"/>
          <w:rtl/>
        </w:rPr>
        <w:t xml:space="preserve"> </w:t>
      </w:r>
      <w:r w:rsidRPr="002D7BD4">
        <w:rPr>
          <w:rFonts w:ascii="Century" w:hAnsi="Century" w:hint="eastAsia"/>
          <w:rtl/>
        </w:rPr>
        <w:t>שתי</w:t>
      </w:r>
      <w:r w:rsidRPr="002D7BD4">
        <w:rPr>
          <w:rFonts w:ascii="Century" w:hAnsi="Century"/>
          <w:rtl/>
        </w:rPr>
        <w:t xml:space="preserve"> </w:t>
      </w:r>
      <w:r w:rsidRPr="002D7BD4">
        <w:rPr>
          <w:rFonts w:ascii="Century" w:hAnsi="Century" w:hint="eastAsia"/>
          <w:rtl/>
        </w:rPr>
        <w:t>נקודות</w:t>
      </w:r>
      <w:r w:rsidRPr="002D7BD4">
        <w:rPr>
          <w:rFonts w:ascii="Century" w:hAnsi="Century"/>
          <w:rtl/>
        </w:rPr>
        <w:t xml:space="preserve"> </w:t>
      </w:r>
      <w:r w:rsidRPr="002D7BD4">
        <w:rPr>
          <w:rFonts w:ascii="Century" w:hAnsi="Century" w:hint="eastAsia"/>
          <w:rtl/>
        </w:rPr>
        <w:t>חשובות</w:t>
      </w:r>
      <w:r w:rsidRPr="002D7BD4">
        <w:rPr>
          <w:rFonts w:ascii="Century" w:hAnsi="Century"/>
          <w:rtl/>
        </w:rPr>
        <w:t xml:space="preserve"> </w:t>
      </w:r>
      <w:r w:rsidRPr="002D7BD4">
        <w:rPr>
          <w:rFonts w:ascii="Century" w:hAnsi="Century" w:hint="eastAsia"/>
          <w:rtl/>
        </w:rPr>
        <w:t>אודות</w:t>
      </w:r>
      <w:r w:rsidRPr="002D7BD4">
        <w:rPr>
          <w:rFonts w:ascii="Century" w:hAnsi="Century"/>
          <w:rtl/>
        </w:rPr>
        <w:t xml:space="preserve"> </w:t>
      </w:r>
      <w:r w:rsidRPr="002D7BD4">
        <w:rPr>
          <w:rFonts w:ascii="Century" w:hAnsi="Century" w:hint="eastAsia"/>
          <w:rtl/>
        </w:rPr>
        <w:t>הנאשם</w:t>
      </w:r>
      <w:r w:rsidRPr="00BD30AF">
        <w:rPr>
          <w:rFonts w:ascii="Century" w:hAnsi="Century"/>
          <w:rtl/>
        </w:rPr>
        <w:t>.</w:t>
      </w:r>
    </w:p>
    <w:p w14:paraId="1A4EAAAC" w14:textId="77777777" w:rsidR="00437A63" w:rsidRDefault="00437A63" w:rsidP="00437A63">
      <w:pPr>
        <w:pStyle w:val="Ruller5"/>
        <w:rPr>
          <w:rFonts w:ascii="Century" w:hAnsi="Century"/>
          <w:rtl/>
        </w:rPr>
      </w:pPr>
      <w:r w:rsidRPr="00BD30AF">
        <w:rPr>
          <w:rFonts w:ascii="Century" w:hAnsi="Century"/>
          <w:rtl/>
        </w:rPr>
        <w:t xml:space="preserve">הראשונה, הנאשם, איש ציבור מזה כשנים רבות, </w:t>
      </w:r>
      <w:r w:rsidRPr="00A46782">
        <w:rPr>
          <w:rFonts w:ascii="Century" w:hAnsi="Century" w:cs="Miriam" w:hint="eastAsia"/>
          <w:b/>
          <w:spacing w:val="0"/>
          <w:szCs w:val="24"/>
          <w:rtl/>
        </w:rPr>
        <w:t>מדיר</w:t>
      </w:r>
      <w:r w:rsidRPr="00A46782">
        <w:rPr>
          <w:rFonts w:ascii="Century" w:hAnsi="Century" w:cs="Miriam"/>
          <w:b/>
          <w:spacing w:val="0"/>
          <w:szCs w:val="24"/>
          <w:rtl/>
        </w:rPr>
        <w:t xml:space="preserve"> </w:t>
      </w:r>
      <w:r w:rsidRPr="00A46782">
        <w:rPr>
          <w:rFonts w:ascii="Century" w:hAnsi="Century" w:cs="Miriam" w:hint="eastAsia"/>
          <w:b/>
          <w:spacing w:val="0"/>
          <w:szCs w:val="24"/>
          <w:rtl/>
        </w:rPr>
        <w:t>עצמו</w:t>
      </w:r>
      <w:r w:rsidRPr="00A46782">
        <w:rPr>
          <w:rFonts w:ascii="Century" w:hAnsi="Century" w:cs="Miriam"/>
          <w:b/>
          <w:spacing w:val="0"/>
          <w:szCs w:val="24"/>
          <w:rtl/>
        </w:rPr>
        <w:t xml:space="preserve"> </w:t>
      </w:r>
      <w:r w:rsidRPr="00A46782">
        <w:rPr>
          <w:rFonts w:ascii="Century" w:hAnsi="Century" w:cs="Miriam" w:hint="eastAsia"/>
          <w:b/>
          <w:spacing w:val="0"/>
          <w:szCs w:val="24"/>
          <w:rtl/>
        </w:rPr>
        <w:t>מעתה</w:t>
      </w:r>
      <w:r w:rsidRPr="00A46782">
        <w:rPr>
          <w:rFonts w:ascii="Century" w:hAnsi="Century" w:cs="Miriam"/>
          <w:b/>
          <w:spacing w:val="0"/>
          <w:szCs w:val="24"/>
          <w:rtl/>
        </w:rPr>
        <w:t xml:space="preserve"> </w:t>
      </w:r>
      <w:r w:rsidRPr="00A46782">
        <w:rPr>
          <w:rFonts w:ascii="Century" w:hAnsi="Century" w:cs="Miriam" w:hint="eastAsia"/>
          <w:b/>
          <w:spacing w:val="0"/>
          <w:szCs w:val="24"/>
          <w:rtl/>
        </w:rPr>
        <w:t>מרצון</w:t>
      </w:r>
      <w:r w:rsidRPr="00A46782">
        <w:rPr>
          <w:rFonts w:ascii="Century" w:hAnsi="Century" w:cs="Miriam"/>
          <w:b/>
          <w:spacing w:val="0"/>
          <w:szCs w:val="24"/>
          <w:rtl/>
        </w:rPr>
        <w:t xml:space="preserve"> </w:t>
      </w:r>
      <w:r w:rsidRPr="00A46782">
        <w:rPr>
          <w:rFonts w:ascii="Century" w:hAnsi="Century" w:cs="Miriam" w:hint="eastAsia"/>
          <w:b/>
          <w:spacing w:val="0"/>
          <w:szCs w:val="24"/>
          <w:rtl/>
        </w:rPr>
        <w:t>מעיסוק</w:t>
      </w:r>
      <w:r w:rsidRPr="00A46782">
        <w:rPr>
          <w:rFonts w:ascii="Century" w:hAnsi="Century" w:cs="Miriam"/>
          <w:b/>
          <w:spacing w:val="0"/>
          <w:szCs w:val="24"/>
          <w:rtl/>
        </w:rPr>
        <w:t xml:space="preserve"> </w:t>
      </w:r>
      <w:r w:rsidRPr="00A46782">
        <w:rPr>
          <w:rFonts w:ascii="Century" w:hAnsi="Century" w:cs="Miriam" w:hint="eastAsia"/>
          <w:b/>
          <w:spacing w:val="0"/>
          <w:szCs w:val="24"/>
          <w:rtl/>
        </w:rPr>
        <w:t>בצרכי</w:t>
      </w:r>
      <w:r w:rsidRPr="00A46782">
        <w:rPr>
          <w:rFonts w:ascii="Century" w:hAnsi="Century" w:cs="Miriam"/>
          <w:b/>
          <w:spacing w:val="0"/>
          <w:szCs w:val="24"/>
          <w:rtl/>
        </w:rPr>
        <w:t xml:space="preserve"> </w:t>
      </w:r>
      <w:r w:rsidRPr="00A46782">
        <w:rPr>
          <w:rFonts w:ascii="Century" w:hAnsi="Century" w:cs="Miriam" w:hint="eastAsia"/>
          <w:b/>
          <w:spacing w:val="0"/>
          <w:szCs w:val="24"/>
          <w:rtl/>
        </w:rPr>
        <w:t>ציבור</w:t>
      </w:r>
      <w:r w:rsidRPr="00BD30AF">
        <w:rPr>
          <w:rFonts w:ascii="Century" w:hAnsi="Century"/>
          <w:rtl/>
        </w:rPr>
        <w:t xml:space="preserve">. שיקוליו הרחבים </w:t>
      </w:r>
      <w:r w:rsidRPr="00BD30AF">
        <w:rPr>
          <w:rFonts w:ascii="Century" w:hAnsi="Century"/>
          <w:rtl/>
        </w:rPr>
        <w:lastRenderedPageBreak/>
        <w:t>אינם</w:t>
      </w:r>
      <w:r>
        <w:rPr>
          <w:rFonts w:ascii="Century" w:hAnsi="Century" w:hint="cs"/>
          <w:rtl/>
        </w:rPr>
        <w:t xml:space="preserve"> </w:t>
      </w:r>
      <w:r w:rsidRPr="00BD30AF">
        <w:rPr>
          <w:rFonts w:ascii="Century" w:hAnsi="Century"/>
          <w:rtl/>
        </w:rPr>
        <w:t>פרושים</w:t>
      </w:r>
      <w:r>
        <w:rPr>
          <w:rFonts w:ascii="Century" w:hAnsi="Century" w:hint="cs"/>
          <w:rtl/>
        </w:rPr>
        <w:t xml:space="preserve"> </w:t>
      </w:r>
      <w:r w:rsidRPr="00BD30AF">
        <w:rPr>
          <w:rFonts w:ascii="Century" w:hAnsi="Century"/>
          <w:rtl/>
        </w:rPr>
        <w:t>בפניי, אך נדמה כי תולדות חייו מלמדים כי הוא ראה בהיותו נבחר ציבור ייעוד ודרך חיים, וכעת נוכח התיק דנן ואישומיו –</w:t>
      </w:r>
      <w:r>
        <w:rPr>
          <w:rFonts w:ascii="Century" w:hAnsi="Century" w:hint="cs"/>
          <w:rtl/>
        </w:rPr>
        <w:t xml:space="preserve"> </w:t>
      </w:r>
      <w:r w:rsidRPr="00BD30AF">
        <w:rPr>
          <w:rFonts w:ascii="Century" w:hAnsi="Century"/>
          <w:rtl/>
        </w:rPr>
        <w:t xml:space="preserve">הרי שהוא </w:t>
      </w:r>
      <w:r w:rsidRPr="00A46782">
        <w:rPr>
          <w:rFonts w:ascii="Century" w:hAnsi="Century" w:cs="Miriam" w:hint="eastAsia"/>
          <w:b/>
          <w:spacing w:val="0"/>
          <w:szCs w:val="24"/>
          <w:rtl/>
        </w:rPr>
        <w:t>מוותר</w:t>
      </w:r>
      <w:r w:rsidRPr="00A46782">
        <w:rPr>
          <w:rFonts w:ascii="Century" w:hAnsi="Century" w:cs="Miriam"/>
          <w:b/>
          <w:spacing w:val="0"/>
          <w:szCs w:val="24"/>
          <w:rtl/>
        </w:rPr>
        <w:t xml:space="preserve"> </w:t>
      </w:r>
      <w:r w:rsidRPr="00A46782">
        <w:rPr>
          <w:rFonts w:ascii="Century" w:hAnsi="Century" w:cs="Miriam" w:hint="eastAsia"/>
          <w:b/>
          <w:spacing w:val="0"/>
          <w:szCs w:val="24"/>
          <w:rtl/>
        </w:rPr>
        <w:t>על</w:t>
      </w:r>
      <w:r w:rsidRPr="00A46782">
        <w:rPr>
          <w:rFonts w:ascii="Century" w:hAnsi="Century" w:cs="Miriam"/>
          <w:b/>
          <w:spacing w:val="0"/>
          <w:szCs w:val="24"/>
          <w:rtl/>
        </w:rPr>
        <w:t xml:space="preserve"> </w:t>
      </w:r>
      <w:r w:rsidRPr="00A46782">
        <w:rPr>
          <w:rFonts w:ascii="Century" w:hAnsi="Century" w:cs="Miriam" w:hint="eastAsia"/>
          <w:b/>
          <w:spacing w:val="0"/>
          <w:szCs w:val="24"/>
          <w:rtl/>
        </w:rPr>
        <w:t>כך</w:t>
      </w:r>
      <w:r w:rsidRPr="00BD30AF">
        <w:rPr>
          <w:rFonts w:ascii="Century" w:hAnsi="Century"/>
          <w:rtl/>
        </w:rPr>
        <w:t xml:space="preserve">, וזאת מרצונו. </w:t>
      </w:r>
    </w:p>
    <w:p w14:paraId="56F64BB2" w14:textId="77777777" w:rsidR="00437A63" w:rsidRDefault="00437A63" w:rsidP="00437A63">
      <w:pPr>
        <w:pStyle w:val="Ruller5"/>
        <w:rPr>
          <w:rFonts w:ascii="Century" w:hAnsi="Century"/>
          <w:rtl/>
        </w:rPr>
      </w:pPr>
      <w:r w:rsidRPr="00BD30AF">
        <w:rPr>
          <w:rFonts w:ascii="Century" w:hAnsi="Century"/>
          <w:rtl/>
        </w:rPr>
        <w:t xml:space="preserve">אין זה קורבן קל למי שמיצב עצמו כשליח ציבור בעשורים האחרונים ונדמה כי המאשימה עצמה רומזת על כי היא רואה בכך </w:t>
      </w:r>
      <w:r w:rsidRPr="002D7BD4">
        <w:rPr>
          <w:rFonts w:ascii="Century" w:hAnsi="Century" w:cs="Miriam" w:hint="eastAsia"/>
          <w:b/>
          <w:spacing w:val="0"/>
          <w:szCs w:val="24"/>
          <w:rtl/>
        </w:rPr>
        <w:t>חלק</w:t>
      </w:r>
      <w:r w:rsidRPr="002D7BD4">
        <w:rPr>
          <w:rFonts w:ascii="Century" w:hAnsi="Century" w:cs="Miriam"/>
          <w:b/>
          <w:spacing w:val="0"/>
          <w:szCs w:val="24"/>
          <w:rtl/>
        </w:rPr>
        <w:t xml:space="preserve"> </w:t>
      </w:r>
      <w:r w:rsidRPr="002D7BD4">
        <w:rPr>
          <w:rFonts w:ascii="Century" w:hAnsi="Century" w:cs="Miriam" w:hint="eastAsia"/>
          <w:b/>
          <w:spacing w:val="0"/>
          <w:szCs w:val="24"/>
          <w:rtl/>
        </w:rPr>
        <w:t>מן</w:t>
      </w:r>
      <w:r w:rsidRPr="002D7BD4">
        <w:rPr>
          <w:rFonts w:ascii="Century" w:hAnsi="Century" w:cs="Miriam"/>
          <w:b/>
          <w:spacing w:val="0"/>
          <w:szCs w:val="24"/>
          <w:rtl/>
        </w:rPr>
        <w:t xml:space="preserve"> </w:t>
      </w:r>
      <w:r w:rsidRPr="002D7BD4">
        <w:rPr>
          <w:rFonts w:ascii="Century" w:hAnsi="Century" w:cs="Miriam" w:hint="eastAsia"/>
          <w:b/>
          <w:spacing w:val="0"/>
          <w:szCs w:val="24"/>
          <w:rtl/>
        </w:rPr>
        <w:t>העונש</w:t>
      </w:r>
      <w:r w:rsidRPr="00BD30AF">
        <w:rPr>
          <w:rFonts w:ascii="Century" w:hAnsi="Century"/>
          <w:rtl/>
        </w:rPr>
        <w:t xml:space="preserve"> אשר אותו הטיל הנאשם על עצמו</w:t>
      </w:r>
      <w:r>
        <w:rPr>
          <w:rFonts w:ascii="Century" w:hAnsi="Century" w:hint="cs"/>
          <w:rtl/>
        </w:rPr>
        <w:t>.</w:t>
      </w:r>
    </w:p>
    <w:p w14:paraId="41C2C2E1" w14:textId="77777777" w:rsidR="00437A63" w:rsidRDefault="00437A63" w:rsidP="00437A63">
      <w:pPr>
        <w:pStyle w:val="Ruller5"/>
        <w:rPr>
          <w:rFonts w:ascii="Century" w:hAnsi="Century"/>
          <w:rtl/>
        </w:rPr>
      </w:pPr>
      <w:r w:rsidRPr="00BD30AF">
        <w:rPr>
          <w:rFonts w:ascii="Century" w:hAnsi="Century"/>
          <w:rtl/>
        </w:rPr>
        <w:t xml:space="preserve">הנקודה השנייה, הינה מניעתית בטיבה. </w:t>
      </w:r>
    </w:p>
    <w:p w14:paraId="67BB1C0F" w14:textId="77777777" w:rsidR="00437A63" w:rsidRPr="000F1537" w:rsidRDefault="00437A63" w:rsidP="00437A63">
      <w:pPr>
        <w:pStyle w:val="Ruller5"/>
        <w:rPr>
          <w:rFonts w:ascii="FrankRuehl" w:hAnsi="FrankRuehl"/>
          <w:sz w:val="28"/>
          <w:rtl/>
        </w:rPr>
      </w:pPr>
      <w:r w:rsidRPr="005A47BA">
        <w:rPr>
          <w:rFonts w:ascii="Century" w:hAnsi="Century" w:hint="eastAsia"/>
          <w:rtl/>
        </w:rPr>
        <w:t>כל</w:t>
      </w:r>
      <w:r w:rsidRPr="005A47BA">
        <w:rPr>
          <w:rFonts w:ascii="Century" w:hAnsi="Century"/>
          <w:rtl/>
        </w:rPr>
        <w:t xml:space="preserve"> </w:t>
      </w:r>
      <w:r w:rsidRPr="005A47BA">
        <w:rPr>
          <w:rFonts w:ascii="Century" w:hAnsi="Century" w:hint="eastAsia"/>
          <w:rtl/>
        </w:rPr>
        <w:t>החושש</w:t>
      </w:r>
      <w:r w:rsidRPr="005A47BA">
        <w:rPr>
          <w:rFonts w:ascii="Century" w:hAnsi="Century"/>
          <w:rtl/>
        </w:rPr>
        <w:t xml:space="preserve"> </w:t>
      </w:r>
      <w:r w:rsidRPr="005A47BA">
        <w:rPr>
          <w:rFonts w:ascii="Century" w:hAnsi="Century" w:hint="eastAsia"/>
          <w:rtl/>
        </w:rPr>
        <w:t>מן</w:t>
      </w:r>
      <w:r w:rsidRPr="005A47BA">
        <w:rPr>
          <w:rFonts w:ascii="Century" w:hAnsi="Century"/>
          <w:rtl/>
        </w:rPr>
        <w:t xml:space="preserve"> </w:t>
      </w:r>
      <w:r w:rsidRPr="005A47BA">
        <w:rPr>
          <w:rFonts w:ascii="Century" w:hAnsi="Century" w:hint="eastAsia"/>
          <w:rtl/>
        </w:rPr>
        <w:t>הנאשם</w:t>
      </w:r>
      <w:r w:rsidRPr="005A47BA">
        <w:rPr>
          <w:rFonts w:ascii="Century" w:hAnsi="Century"/>
          <w:rtl/>
        </w:rPr>
        <w:t xml:space="preserve"> </w:t>
      </w:r>
      <w:r w:rsidRPr="005A47BA">
        <w:rPr>
          <w:rFonts w:ascii="Century" w:hAnsi="Century" w:hint="eastAsia"/>
          <w:rtl/>
        </w:rPr>
        <w:t>ומפגיעתו</w:t>
      </w:r>
      <w:r w:rsidRPr="005A47BA">
        <w:rPr>
          <w:rFonts w:ascii="Century" w:hAnsi="Century"/>
          <w:rtl/>
        </w:rPr>
        <w:t xml:space="preserve"> </w:t>
      </w:r>
      <w:r w:rsidRPr="005A47BA">
        <w:rPr>
          <w:rFonts w:ascii="Century" w:hAnsi="Century" w:hint="eastAsia"/>
          <w:rtl/>
        </w:rPr>
        <w:t>בקופה</w:t>
      </w:r>
      <w:r w:rsidRPr="005A47BA">
        <w:rPr>
          <w:rFonts w:ascii="Century" w:hAnsi="Century"/>
          <w:rtl/>
        </w:rPr>
        <w:t xml:space="preserve"> </w:t>
      </w:r>
      <w:r w:rsidRPr="005A47BA">
        <w:rPr>
          <w:rFonts w:ascii="Century" w:hAnsi="Century" w:hint="eastAsia"/>
          <w:rtl/>
        </w:rPr>
        <w:t>הציבורית</w:t>
      </w:r>
      <w:r w:rsidRPr="005A47BA">
        <w:rPr>
          <w:rFonts w:ascii="Century" w:hAnsi="Century"/>
          <w:rtl/>
        </w:rPr>
        <w:t xml:space="preserve"> </w:t>
      </w:r>
      <w:r w:rsidRPr="005A47BA">
        <w:rPr>
          <w:rFonts w:ascii="Century" w:hAnsi="Century" w:hint="eastAsia"/>
          <w:rtl/>
        </w:rPr>
        <w:t>ויטען</w:t>
      </w:r>
      <w:r w:rsidRPr="005A47BA">
        <w:rPr>
          <w:rFonts w:ascii="Century" w:hAnsi="Century"/>
          <w:rtl/>
        </w:rPr>
        <w:t xml:space="preserve"> </w:t>
      </w:r>
      <w:r w:rsidRPr="005A47BA">
        <w:rPr>
          <w:rFonts w:ascii="Century" w:hAnsi="Century" w:hint="eastAsia"/>
          <w:rtl/>
        </w:rPr>
        <w:t>כי</w:t>
      </w:r>
      <w:r w:rsidRPr="005A47BA">
        <w:rPr>
          <w:rFonts w:ascii="Century" w:hAnsi="Century"/>
          <w:rtl/>
        </w:rPr>
        <w:t xml:space="preserve"> </w:t>
      </w:r>
      <w:r w:rsidRPr="005A47BA">
        <w:rPr>
          <w:rFonts w:ascii="Century" w:hAnsi="Century" w:hint="eastAsia"/>
          <w:rtl/>
        </w:rPr>
        <w:t>קיימת</w:t>
      </w:r>
      <w:r w:rsidRPr="005A47BA">
        <w:rPr>
          <w:rFonts w:ascii="Century" w:hAnsi="Century"/>
          <w:rtl/>
        </w:rPr>
        <w:t xml:space="preserve"> </w:t>
      </w:r>
      <w:r w:rsidRPr="005A47BA">
        <w:rPr>
          <w:rFonts w:ascii="Century" w:hAnsi="Century" w:hint="eastAsia"/>
          <w:rtl/>
        </w:rPr>
        <w:t>בו</w:t>
      </w:r>
      <w:r w:rsidRPr="005A47BA">
        <w:rPr>
          <w:rFonts w:ascii="Century" w:hAnsi="Century"/>
          <w:rtl/>
        </w:rPr>
        <w:t xml:space="preserve"> </w:t>
      </w:r>
      <w:r w:rsidRPr="005A47BA">
        <w:rPr>
          <w:rFonts w:ascii="Century" w:hAnsi="Century" w:hint="eastAsia"/>
          <w:rtl/>
        </w:rPr>
        <w:t>מסוכנות</w:t>
      </w:r>
      <w:r w:rsidRPr="005A47BA">
        <w:rPr>
          <w:rFonts w:ascii="Century" w:hAnsi="Century"/>
          <w:rtl/>
        </w:rPr>
        <w:t xml:space="preserve"> </w:t>
      </w:r>
      <w:r w:rsidRPr="005A47BA">
        <w:rPr>
          <w:rFonts w:ascii="Century" w:hAnsi="Century" w:hint="eastAsia"/>
          <w:rtl/>
        </w:rPr>
        <w:t>בכל</w:t>
      </w:r>
      <w:r w:rsidRPr="005A47BA">
        <w:rPr>
          <w:rFonts w:ascii="Century" w:hAnsi="Century"/>
          <w:rtl/>
        </w:rPr>
        <w:t xml:space="preserve"> </w:t>
      </w:r>
      <w:r w:rsidRPr="005A47BA">
        <w:rPr>
          <w:rFonts w:ascii="Century" w:hAnsi="Century" w:hint="eastAsia"/>
          <w:rtl/>
        </w:rPr>
        <w:t>הכרוך</w:t>
      </w:r>
      <w:r w:rsidRPr="005A47BA">
        <w:rPr>
          <w:rFonts w:ascii="Century" w:hAnsi="Century"/>
          <w:rtl/>
        </w:rPr>
        <w:t xml:space="preserve"> </w:t>
      </w:r>
      <w:r w:rsidRPr="005A47BA">
        <w:rPr>
          <w:rFonts w:ascii="Century" w:hAnsi="Century" w:hint="eastAsia"/>
          <w:rtl/>
        </w:rPr>
        <w:t>במשאו</w:t>
      </w:r>
      <w:r w:rsidRPr="005A47BA">
        <w:rPr>
          <w:rFonts w:ascii="Century" w:hAnsi="Century"/>
          <w:rtl/>
        </w:rPr>
        <w:t xml:space="preserve"> </w:t>
      </w:r>
      <w:r w:rsidRPr="005A47BA">
        <w:rPr>
          <w:rFonts w:ascii="Century" w:hAnsi="Century" w:hint="eastAsia"/>
          <w:rtl/>
        </w:rPr>
        <w:t>ובמתנו</w:t>
      </w:r>
      <w:r w:rsidRPr="005A47BA">
        <w:rPr>
          <w:rFonts w:ascii="Century" w:hAnsi="Century"/>
          <w:rtl/>
        </w:rPr>
        <w:t xml:space="preserve"> </w:t>
      </w:r>
      <w:r w:rsidRPr="005A47BA">
        <w:rPr>
          <w:rFonts w:ascii="Century" w:hAnsi="Century" w:hint="eastAsia"/>
          <w:rtl/>
        </w:rPr>
        <w:t>בענייני</w:t>
      </w:r>
      <w:r w:rsidRPr="005A47BA">
        <w:rPr>
          <w:rFonts w:ascii="Century" w:hAnsi="Century"/>
          <w:rtl/>
        </w:rPr>
        <w:t xml:space="preserve"> </w:t>
      </w:r>
      <w:r w:rsidRPr="005A47BA">
        <w:rPr>
          <w:rFonts w:ascii="Century" w:hAnsi="Century" w:hint="eastAsia"/>
          <w:rtl/>
        </w:rPr>
        <w:t>ממון</w:t>
      </w:r>
      <w:r w:rsidRPr="005A47BA">
        <w:rPr>
          <w:rFonts w:ascii="Century" w:hAnsi="Century"/>
          <w:rtl/>
        </w:rPr>
        <w:t xml:space="preserve"> </w:t>
      </w:r>
      <w:r w:rsidRPr="005A47BA">
        <w:rPr>
          <w:rFonts w:ascii="Century" w:hAnsi="Century" w:hint="eastAsia"/>
          <w:rtl/>
        </w:rPr>
        <w:t>הרבים</w:t>
      </w:r>
      <w:r w:rsidRPr="005A47BA">
        <w:rPr>
          <w:rFonts w:ascii="Century" w:hAnsi="Century"/>
          <w:rtl/>
        </w:rPr>
        <w:t xml:space="preserve"> </w:t>
      </w:r>
      <w:r w:rsidRPr="005A47BA">
        <w:rPr>
          <w:rFonts w:ascii="Century" w:hAnsi="Century" w:hint="eastAsia"/>
          <w:rtl/>
        </w:rPr>
        <w:t>או</w:t>
      </w:r>
      <w:r w:rsidRPr="005A47BA">
        <w:rPr>
          <w:rFonts w:ascii="Century" w:hAnsi="Century"/>
          <w:rtl/>
        </w:rPr>
        <w:t xml:space="preserve"> </w:t>
      </w:r>
      <w:r w:rsidRPr="005A47BA">
        <w:rPr>
          <w:rFonts w:ascii="Century" w:hAnsi="Century" w:hint="eastAsia"/>
          <w:rtl/>
        </w:rPr>
        <w:t>היחיד</w:t>
      </w:r>
      <w:r w:rsidRPr="005A47BA">
        <w:rPr>
          <w:rFonts w:ascii="Century" w:hAnsi="Century"/>
          <w:rtl/>
        </w:rPr>
        <w:t xml:space="preserve"> – </w:t>
      </w:r>
      <w:r w:rsidRPr="005A47BA">
        <w:rPr>
          <w:rFonts w:ascii="Century" w:hAnsi="Century" w:hint="eastAsia"/>
          <w:rtl/>
        </w:rPr>
        <w:t>יוכל</w:t>
      </w:r>
      <w:r w:rsidRPr="005A47BA">
        <w:rPr>
          <w:rFonts w:ascii="Century" w:hAnsi="Century"/>
          <w:rtl/>
        </w:rPr>
        <w:t xml:space="preserve"> </w:t>
      </w:r>
      <w:r w:rsidRPr="005A47BA">
        <w:rPr>
          <w:rFonts w:ascii="Century" w:hAnsi="Century" w:hint="eastAsia"/>
          <w:rtl/>
        </w:rPr>
        <w:t>למצוא</w:t>
      </w:r>
      <w:r w:rsidRPr="005A47BA">
        <w:rPr>
          <w:rFonts w:ascii="Century" w:hAnsi="Century"/>
          <w:rtl/>
        </w:rPr>
        <w:t xml:space="preserve"> </w:t>
      </w:r>
      <w:r w:rsidRPr="005A47BA">
        <w:rPr>
          <w:rFonts w:ascii="Century" w:hAnsi="Century" w:hint="eastAsia"/>
          <w:rtl/>
        </w:rPr>
        <w:t>מנוח</w:t>
      </w:r>
      <w:r w:rsidRPr="005A47BA">
        <w:rPr>
          <w:rFonts w:ascii="Century" w:hAnsi="Century"/>
          <w:rtl/>
        </w:rPr>
        <w:t xml:space="preserve"> </w:t>
      </w:r>
      <w:r w:rsidRPr="005A47BA">
        <w:rPr>
          <w:rFonts w:ascii="Century" w:hAnsi="Century" w:hint="eastAsia"/>
          <w:rtl/>
        </w:rPr>
        <w:t>לחשש</w:t>
      </w:r>
      <w:r w:rsidRPr="005A47BA">
        <w:rPr>
          <w:rFonts w:ascii="Century" w:hAnsi="Century"/>
          <w:rtl/>
        </w:rPr>
        <w:t xml:space="preserve"> </w:t>
      </w:r>
      <w:r w:rsidRPr="00E36899">
        <w:rPr>
          <w:rFonts w:ascii="Century" w:hAnsi="Century" w:hint="eastAsia"/>
          <w:rtl/>
        </w:rPr>
        <w:t>זה</w:t>
      </w:r>
      <w:r w:rsidRPr="00E36899">
        <w:rPr>
          <w:rFonts w:ascii="Century" w:hAnsi="Century"/>
          <w:rtl/>
        </w:rPr>
        <w:t xml:space="preserve"> </w:t>
      </w:r>
      <w:r w:rsidRPr="00D44934">
        <w:rPr>
          <w:rFonts w:ascii="Century" w:hAnsi="Century" w:hint="eastAsia"/>
          <w:rtl/>
        </w:rPr>
        <w:t>ולומר</w:t>
      </w:r>
      <w:r w:rsidRPr="00D44934">
        <w:rPr>
          <w:rFonts w:ascii="Century" w:hAnsi="Century"/>
          <w:rtl/>
        </w:rPr>
        <w:t xml:space="preserve"> </w:t>
      </w:r>
      <w:r w:rsidRPr="00E36899">
        <w:rPr>
          <w:rFonts w:ascii="Century" w:hAnsi="Century" w:cs="Miriam" w:hint="eastAsia"/>
          <w:b/>
          <w:spacing w:val="0"/>
          <w:szCs w:val="24"/>
          <w:rtl/>
        </w:rPr>
        <w:t>בוודאות</w:t>
      </w:r>
      <w:r w:rsidRPr="00D44934">
        <w:rPr>
          <w:rFonts w:ascii="Century" w:hAnsi="Century"/>
          <w:rtl/>
        </w:rPr>
        <w:t xml:space="preserve"> </w:t>
      </w:r>
      <w:r w:rsidRPr="00D44934">
        <w:rPr>
          <w:rFonts w:ascii="Century" w:hAnsi="Century" w:hint="eastAsia"/>
          <w:rtl/>
        </w:rPr>
        <w:t>כי</w:t>
      </w:r>
      <w:r w:rsidRPr="00D44934">
        <w:rPr>
          <w:rFonts w:ascii="Century" w:hAnsi="Century"/>
          <w:rtl/>
        </w:rPr>
        <w:t xml:space="preserve"> </w:t>
      </w:r>
      <w:r w:rsidRPr="00D44934">
        <w:rPr>
          <w:rFonts w:ascii="Century" w:hAnsi="Century" w:hint="eastAsia"/>
          <w:rtl/>
        </w:rPr>
        <w:t>הנאשם</w:t>
      </w:r>
      <w:r w:rsidRPr="00D44934">
        <w:rPr>
          <w:rFonts w:ascii="Century" w:hAnsi="Century"/>
          <w:rtl/>
        </w:rPr>
        <w:t xml:space="preserve"> </w:t>
      </w:r>
      <w:r w:rsidRPr="00E36899">
        <w:rPr>
          <w:rFonts w:ascii="Century" w:hAnsi="Century" w:cs="Miriam" w:hint="eastAsia"/>
          <w:b/>
          <w:spacing w:val="0"/>
          <w:szCs w:val="24"/>
          <w:rtl/>
        </w:rPr>
        <w:t>לא</w:t>
      </w:r>
      <w:r w:rsidRPr="00E36899">
        <w:rPr>
          <w:rFonts w:ascii="Century" w:hAnsi="Century" w:cs="Miriam"/>
          <w:b/>
          <w:spacing w:val="0"/>
          <w:szCs w:val="24"/>
          <w:rtl/>
        </w:rPr>
        <w:t xml:space="preserve"> </w:t>
      </w:r>
      <w:r w:rsidRPr="00E36899">
        <w:rPr>
          <w:rFonts w:ascii="Century" w:hAnsi="Century" w:cs="Miriam" w:hint="eastAsia"/>
          <w:b/>
          <w:spacing w:val="0"/>
          <w:szCs w:val="24"/>
          <w:rtl/>
        </w:rPr>
        <w:t>ייגע</w:t>
      </w:r>
      <w:r w:rsidRPr="00E36899">
        <w:rPr>
          <w:rFonts w:ascii="Century" w:hAnsi="Century" w:cs="Miriam"/>
          <w:b/>
          <w:spacing w:val="0"/>
          <w:szCs w:val="24"/>
          <w:rtl/>
        </w:rPr>
        <w:t xml:space="preserve"> </w:t>
      </w:r>
      <w:r w:rsidRPr="00E36899">
        <w:rPr>
          <w:rFonts w:ascii="Century" w:hAnsi="Century" w:cs="Miriam" w:hint="eastAsia"/>
          <w:b/>
          <w:spacing w:val="0"/>
          <w:szCs w:val="24"/>
          <w:rtl/>
        </w:rPr>
        <w:t>עוד</w:t>
      </w:r>
      <w:r w:rsidRPr="00D44934">
        <w:rPr>
          <w:rFonts w:ascii="Century" w:hAnsi="Century"/>
          <w:rtl/>
        </w:rPr>
        <w:t xml:space="preserve"> </w:t>
      </w:r>
      <w:r w:rsidRPr="00D44934">
        <w:rPr>
          <w:rFonts w:ascii="Century" w:hAnsi="Century" w:hint="eastAsia"/>
          <w:rtl/>
        </w:rPr>
        <w:t>בצרכי</w:t>
      </w:r>
      <w:r w:rsidRPr="00D44934">
        <w:rPr>
          <w:rFonts w:ascii="Century" w:hAnsi="Century"/>
          <w:rtl/>
        </w:rPr>
        <w:t xml:space="preserve"> </w:t>
      </w:r>
      <w:r w:rsidRPr="00D44934">
        <w:rPr>
          <w:rFonts w:ascii="Century" w:hAnsi="Century" w:hint="eastAsia"/>
          <w:rtl/>
        </w:rPr>
        <w:t>ציבור</w:t>
      </w:r>
      <w:r w:rsidRPr="00D44934">
        <w:rPr>
          <w:rFonts w:ascii="Century" w:hAnsi="Century"/>
          <w:rtl/>
        </w:rPr>
        <w:t xml:space="preserve"> </w:t>
      </w:r>
      <w:r w:rsidRPr="00D44934">
        <w:rPr>
          <w:rFonts w:ascii="Century" w:hAnsi="Century" w:hint="eastAsia"/>
          <w:rtl/>
        </w:rPr>
        <w:t>הכורכים</w:t>
      </w:r>
      <w:r w:rsidRPr="00D44934">
        <w:rPr>
          <w:rFonts w:ascii="Century" w:hAnsi="Century"/>
          <w:rtl/>
        </w:rPr>
        <w:t xml:space="preserve"> </w:t>
      </w:r>
      <w:r w:rsidRPr="00D44934">
        <w:rPr>
          <w:rFonts w:ascii="Century" w:hAnsi="Century" w:hint="eastAsia"/>
          <w:rtl/>
        </w:rPr>
        <w:t>בתוכם</w:t>
      </w:r>
      <w:r w:rsidRPr="00D44934">
        <w:rPr>
          <w:rFonts w:ascii="Century" w:hAnsi="Century"/>
          <w:rtl/>
        </w:rPr>
        <w:t xml:space="preserve"> </w:t>
      </w:r>
      <w:r w:rsidRPr="00D44934">
        <w:rPr>
          <w:rFonts w:ascii="Century" w:hAnsi="Century" w:hint="eastAsia"/>
          <w:rtl/>
        </w:rPr>
        <w:t>עיסוק</w:t>
      </w:r>
      <w:r w:rsidRPr="00D44934">
        <w:rPr>
          <w:rFonts w:ascii="Century" w:hAnsi="Century"/>
          <w:rtl/>
        </w:rPr>
        <w:t xml:space="preserve"> </w:t>
      </w:r>
      <w:r w:rsidRPr="00D44934">
        <w:rPr>
          <w:rFonts w:ascii="Century" w:hAnsi="Century" w:hint="eastAsia"/>
          <w:rtl/>
        </w:rPr>
        <w:t>כלכלי</w:t>
      </w:r>
      <w:r w:rsidRPr="00D44934">
        <w:rPr>
          <w:rFonts w:ascii="Century" w:hAnsi="Century"/>
          <w:rtl/>
        </w:rPr>
        <w:t xml:space="preserve">, </w:t>
      </w:r>
      <w:r w:rsidRPr="00D44934">
        <w:rPr>
          <w:rFonts w:ascii="Century" w:hAnsi="Century" w:hint="eastAsia"/>
          <w:rtl/>
        </w:rPr>
        <w:t>וזאת</w:t>
      </w:r>
      <w:r w:rsidRPr="00D44934">
        <w:rPr>
          <w:rFonts w:ascii="Century" w:hAnsi="Century"/>
          <w:rtl/>
        </w:rPr>
        <w:t xml:space="preserve"> </w:t>
      </w:r>
      <w:r w:rsidRPr="00D44934">
        <w:rPr>
          <w:rFonts w:ascii="Century" w:hAnsi="Century" w:hint="eastAsia"/>
          <w:rtl/>
        </w:rPr>
        <w:t>בשל</w:t>
      </w:r>
      <w:r w:rsidRPr="00D44934">
        <w:rPr>
          <w:rFonts w:ascii="Century" w:hAnsi="Century"/>
          <w:rtl/>
        </w:rPr>
        <w:t xml:space="preserve"> </w:t>
      </w:r>
      <w:r w:rsidRPr="00E36899">
        <w:rPr>
          <w:rFonts w:ascii="Century" w:hAnsi="Century" w:cs="Miriam" w:hint="eastAsia"/>
          <w:b/>
          <w:spacing w:val="0"/>
          <w:szCs w:val="24"/>
          <w:rtl/>
        </w:rPr>
        <w:t>התרחקותו</w:t>
      </w:r>
      <w:r w:rsidRPr="00E36899">
        <w:rPr>
          <w:rFonts w:ascii="Century" w:hAnsi="Century" w:cs="Miriam"/>
          <w:b/>
          <w:spacing w:val="0"/>
          <w:szCs w:val="24"/>
          <w:rtl/>
        </w:rPr>
        <w:t xml:space="preserve"> </w:t>
      </w:r>
      <w:r w:rsidRPr="00E36899">
        <w:rPr>
          <w:rFonts w:ascii="Century" w:hAnsi="Century" w:cs="Miriam" w:hint="eastAsia"/>
          <w:b/>
          <w:spacing w:val="0"/>
          <w:szCs w:val="24"/>
          <w:rtl/>
        </w:rPr>
        <w:t>מהזירה</w:t>
      </w:r>
      <w:r w:rsidRPr="00E36899">
        <w:rPr>
          <w:rFonts w:ascii="Century" w:hAnsi="Century" w:cs="Miriam"/>
          <w:b/>
          <w:spacing w:val="0"/>
          <w:szCs w:val="24"/>
          <w:rtl/>
        </w:rPr>
        <w:t xml:space="preserve"> </w:t>
      </w:r>
      <w:r w:rsidRPr="00E36899">
        <w:rPr>
          <w:rFonts w:ascii="Century" w:hAnsi="Century" w:cs="Miriam" w:hint="eastAsia"/>
          <w:b/>
          <w:spacing w:val="0"/>
          <w:szCs w:val="24"/>
          <w:rtl/>
        </w:rPr>
        <w:t>הציבורית</w:t>
      </w:r>
      <w:r w:rsidRPr="00E36899">
        <w:rPr>
          <w:rFonts w:ascii="Century" w:hAnsi="Century" w:hint="cs"/>
          <w:rtl/>
        </w:rPr>
        <w:t>" (</w:t>
      </w:r>
      <w:r>
        <w:rPr>
          <w:rFonts w:ascii="Century" w:hAnsi="Century" w:hint="cs"/>
          <w:rtl/>
        </w:rPr>
        <w:t>עמ' 7 לגזר הדין, ההדגשות הוספו)</w:t>
      </w:r>
      <w:r w:rsidRPr="00C46531">
        <w:rPr>
          <w:rFonts w:ascii="Century" w:hAnsi="Century" w:hint="cs"/>
          <w:rtl/>
        </w:rPr>
        <w:t>.</w:t>
      </w:r>
    </w:p>
    <w:p w14:paraId="103061FD" w14:textId="77777777" w:rsidR="00437A63" w:rsidRDefault="00437A63" w:rsidP="00437A63">
      <w:pPr>
        <w:pStyle w:val="af0"/>
        <w:spacing w:line="360" w:lineRule="auto"/>
        <w:ind w:left="0"/>
        <w:jc w:val="both"/>
        <w:rPr>
          <w:rFonts w:ascii="FrankRuehl" w:hAnsi="FrankRuehl" w:cs="FrankRuehl"/>
          <w:sz w:val="28"/>
          <w:szCs w:val="28"/>
          <w:rtl/>
        </w:rPr>
      </w:pPr>
    </w:p>
    <w:p w14:paraId="2B2BE806" w14:textId="77777777" w:rsidR="00437A63" w:rsidRDefault="00437A63" w:rsidP="00437A63">
      <w:pPr>
        <w:pStyle w:val="af0"/>
        <w:spacing w:line="360" w:lineRule="auto"/>
        <w:ind w:left="0"/>
        <w:jc w:val="both"/>
        <w:rPr>
          <w:rFonts w:ascii="Century" w:hAnsi="Century" w:cs="FrankRuehl"/>
          <w:spacing w:val="10"/>
          <w:szCs w:val="28"/>
          <w:rtl/>
        </w:rPr>
      </w:pPr>
      <w:r w:rsidRPr="005A47BA">
        <w:rPr>
          <w:rFonts w:ascii="Century" w:hAnsi="Century" w:cs="FrankRuehl"/>
          <w:spacing w:val="10"/>
          <w:szCs w:val="28"/>
          <w:rtl/>
        </w:rPr>
        <w:tab/>
      </w:r>
      <w:r w:rsidRPr="005A47BA">
        <w:rPr>
          <w:rFonts w:ascii="Century" w:hAnsi="Century" w:cs="FrankRuehl" w:hint="eastAsia"/>
          <w:spacing w:val="10"/>
          <w:szCs w:val="28"/>
          <w:rtl/>
        </w:rPr>
        <w:t>גם</w:t>
      </w:r>
      <w:r w:rsidRPr="005A47BA">
        <w:rPr>
          <w:rFonts w:ascii="Century" w:hAnsi="Century" w:cs="FrankRuehl"/>
          <w:spacing w:val="10"/>
          <w:szCs w:val="28"/>
          <w:rtl/>
        </w:rPr>
        <w:t xml:space="preserve"> בהמשך דבריו חזר </w:t>
      </w:r>
      <w:r>
        <w:rPr>
          <w:rFonts w:ascii="Century" w:hAnsi="Century" w:cs="FrankRuehl" w:hint="cs"/>
          <w:spacing w:val="10"/>
          <w:szCs w:val="28"/>
          <w:rtl/>
        </w:rPr>
        <w:t>ו</w:t>
      </w:r>
      <w:r w:rsidRPr="005A47BA">
        <w:rPr>
          <w:rFonts w:ascii="Century" w:hAnsi="Century" w:cs="FrankRuehl" w:hint="eastAsia"/>
          <w:spacing w:val="10"/>
          <w:szCs w:val="28"/>
          <w:rtl/>
        </w:rPr>
        <w:t>ציין</w:t>
      </w:r>
      <w:r w:rsidRPr="005A47BA">
        <w:rPr>
          <w:rFonts w:ascii="Century" w:hAnsi="Century" w:cs="FrankRuehl"/>
          <w:spacing w:val="10"/>
          <w:szCs w:val="28"/>
          <w:rtl/>
        </w:rPr>
        <w:t xml:space="preserve"> </w:t>
      </w:r>
      <w:r w:rsidRPr="005A47BA">
        <w:rPr>
          <w:rFonts w:ascii="Century" w:hAnsi="Century" w:cs="FrankRuehl" w:hint="eastAsia"/>
          <w:spacing w:val="10"/>
          <w:szCs w:val="28"/>
          <w:rtl/>
        </w:rPr>
        <w:t>בית</w:t>
      </w:r>
      <w:r w:rsidRPr="005A47BA">
        <w:rPr>
          <w:rFonts w:ascii="Century" w:hAnsi="Century" w:cs="FrankRuehl"/>
          <w:spacing w:val="10"/>
          <w:szCs w:val="28"/>
          <w:rtl/>
        </w:rPr>
        <w:t xml:space="preserve"> </w:t>
      </w:r>
      <w:r w:rsidRPr="005A47BA">
        <w:rPr>
          <w:rFonts w:ascii="Century" w:hAnsi="Century" w:cs="FrankRuehl" w:hint="eastAsia"/>
          <w:spacing w:val="10"/>
          <w:szCs w:val="28"/>
          <w:rtl/>
        </w:rPr>
        <w:t>משפט</w:t>
      </w:r>
      <w:r w:rsidRPr="005A47BA">
        <w:rPr>
          <w:rFonts w:ascii="Century" w:hAnsi="Century" w:cs="FrankRuehl"/>
          <w:spacing w:val="10"/>
          <w:szCs w:val="28"/>
          <w:rtl/>
        </w:rPr>
        <w:t xml:space="preserve"> </w:t>
      </w:r>
      <w:r w:rsidRPr="005A47BA">
        <w:rPr>
          <w:rFonts w:ascii="Century" w:hAnsi="Century" w:cs="FrankRuehl" w:hint="eastAsia"/>
          <w:spacing w:val="10"/>
          <w:szCs w:val="28"/>
          <w:rtl/>
        </w:rPr>
        <w:t>השלום</w:t>
      </w:r>
      <w:r w:rsidRPr="005A47BA">
        <w:rPr>
          <w:rFonts w:ascii="Century" w:hAnsi="Century" w:cs="FrankRuehl"/>
          <w:spacing w:val="10"/>
          <w:szCs w:val="28"/>
          <w:rtl/>
        </w:rPr>
        <w:t xml:space="preserve"> </w:t>
      </w:r>
      <w:r w:rsidRPr="005A47BA">
        <w:rPr>
          <w:rFonts w:ascii="Century" w:hAnsi="Century" w:cs="FrankRuehl" w:hint="eastAsia"/>
          <w:spacing w:val="10"/>
          <w:szCs w:val="28"/>
          <w:rtl/>
        </w:rPr>
        <w:t>כי</w:t>
      </w:r>
      <w:r w:rsidRPr="005A47BA">
        <w:rPr>
          <w:rFonts w:ascii="Century" w:hAnsi="Century" w:cs="FrankRuehl"/>
          <w:spacing w:val="10"/>
          <w:szCs w:val="28"/>
          <w:rtl/>
        </w:rPr>
        <w:t xml:space="preserve"> </w:t>
      </w:r>
      <w:r w:rsidRPr="005A47BA">
        <w:rPr>
          <w:rFonts w:ascii="Century" w:hAnsi="Century" w:cs="FrankRuehl" w:hint="eastAsia"/>
          <w:spacing w:val="10"/>
          <w:szCs w:val="28"/>
          <w:rtl/>
        </w:rPr>
        <w:t>לזכותו</w:t>
      </w:r>
      <w:r w:rsidRPr="005A47BA">
        <w:rPr>
          <w:rFonts w:ascii="Century" w:hAnsi="Century" w:cs="FrankRuehl"/>
          <w:spacing w:val="10"/>
          <w:szCs w:val="28"/>
          <w:rtl/>
        </w:rPr>
        <w:t xml:space="preserve"> </w:t>
      </w:r>
      <w:r w:rsidRPr="005A47BA">
        <w:rPr>
          <w:rFonts w:ascii="Century" w:hAnsi="Century" w:cs="FrankRuehl" w:hint="eastAsia"/>
          <w:spacing w:val="10"/>
          <w:szCs w:val="28"/>
          <w:rtl/>
        </w:rPr>
        <w:t>של</w:t>
      </w:r>
      <w:r w:rsidRPr="005A47BA">
        <w:rPr>
          <w:rFonts w:ascii="Century" w:hAnsi="Century" w:cs="FrankRuehl"/>
          <w:spacing w:val="10"/>
          <w:szCs w:val="28"/>
          <w:rtl/>
        </w:rPr>
        <w:t xml:space="preserve"> </w:t>
      </w:r>
      <w:r w:rsidRPr="005A47BA">
        <w:rPr>
          <w:rFonts w:ascii="Century" w:hAnsi="Century" w:cs="FrankRuehl" w:hint="eastAsia"/>
          <w:spacing w:val="10"/>
          <w:szCs w:val="28"/>
          <w:rtl/>
        </w:rPr>
        <w:t>דרעי</w:t>
      </w:r>
      <w:r w:rsidRPr="005A47BA">
        <w:rPr>
          <w:rFonts w:ascii="Century" w:hAnsi="Century" w:cs="FrankRuehl"/>
          <w:spacing w:val="10"/>
          <w:szCs w:val="28"/>
          <w:rtl/>
        </w:rPr>
        <w:t xml:space="preserve"> </w:t>
      </w:r>
      <w:r w:rsidRPr="005A47BA">
        <w:rPr>
          <w:rFonts w:ascii="Century" w:hAnsi="Century" w:cs="FrankRuehl" w:hint="eastAsia"/>
          <w:spacing w:val="10"/>
          <w:szCs w:val="28"/>
          <w:rtl/>
        </w:rPr>
        <w:t>ניצבת</w:t>
      </w:r>
      <w:r w:rsidRPr="005A47BA">
        <w:rPr>
          <w:rFonts w:ascii="Century" w:hAnsi="Century" w:cs="FrankRuehl"/>
          <w:spacing w:val="10"/>
          <w:szCs w:val="28"/>
          <w:rtl/>
        </w:rPr>
        <w:t xml:space="preserve">, </w:t>
      </w:r>
      <w:r w:rsidRPr="005A47BA">
        <w:rPr>
          <w:rFonts w:ascii="Century" w:hAnsi="Century" w:cs="FrankRuehl" w:hint="eastAsia"/>
          <w:spacing w:val="10"/>
          <w:szCs w:val="28"/>
          <w:rtl/>
        </w:rPr>
        <w:t>בין</w:t>
      </w:r>
      <w:r w:rsidRPr="005A47BA">
        <w:rPr>
          <w:rFonts w:ascii="Century" w:hAnsi="Century" w:cs="FrankRuehl"/>
          <w:spacing w:val="10"/>
          <w:szCs w:val="28"/>
          <w:rtl/>
        </w:rPr>
        <w:t xml:space="preserve"> </w:t>
      </w:r>
      <w:r w:rsidRPr="005A47BA">
        <w:rPr>
          <w:rFonts w:ascii="Century" w:hAnsi="Century" w:cs="FrankRuehl" w:hint="eastAsia"/>
          <w:spacing w:val="10"/>
          <w:szCs w:val="28"/>
          <w:rtl/>
        </w:rPr>
        <w:t>השאר</w:t>
      </w:r>
      <w:r w:rsidRPr="005A47BA">
        <w:rPr>
          <w:rFonts w:ascii="Century" w:hAnsi="Century" w:cs="FrankRuehl"/>
          <w:spacing w:val="10"/>
          <w:szCs w:val="28"/>
          <w:rtl/>
        </w:rPr>
        <w:t>, "</w:t>
      </w:r>
      <w:r w:rsidRPr="005D7C93">
        <w:rPr>
          <w:rFonts w:ascii="Century" w:hAnsi="Century" w:cs="Miriam" w:hint="eastAsia"/>
          <w:b/>
          <w:rtl/>
        </w:rPr>
        <w:t>עזיבתו</w:t>
      </w:r>
      <w:r w:rsidRPr="005D7C93">
        <w:rPr>
          <w:rFonts w:ascii="Century" w:hAnsi="Century" w:cs="Miriam"/>
          <w:b/>
          <w:rtl/>
        </w:rPr>
        <w:t xml:space="preserve"> </w:t>
      </w:r>
      <w:r w:rsidRPr="005D7C93">
        <w:rPr>
          <w:rFonts w:ascii="Century" w:hAnsi="Century" w:cs="Miriam" w:hint="eastAsia"/>
          <w:b/>
          <w:rtl/>
        </w:rPr>
        <w:t>את</w:t>
      </w:r>
      <w:r w:rsidRPr="005D7C93">
        <w:rPr>
          <w:rFonts w:ascii="Century" w:hAnsi="Century" w:cs="Miriam"/>
          <w:b/>
          <w:rtl/>
        </w:rPr>
        <w:t xml:space="preserve"> </w:t>
      </w:r>
      <w:r w:rsidRPr="005D7C93">
        <w:rPr>
          <w:rFonts w:ascii="Century" w:hAnsi="Century" w:cs="Miriam" w:hint="eastAsia"/>
          <w:b/>
          <w:rtl/>
        </w:rPr>
        <w:t>הזירה</w:t>
      </w:r>
      <w:r w:rsidRPr="005D7C93">
        <w:rPr>
          <w:rFonts w:ascii="Century" w:hAnsi="Century" w:cs="Miriam"/>
          <w:b/>
          <w:rtl/>
        </w:rPr>
        <w:t xml:space="preserve"> </w:t>
      </w:r>
      <w:r w:rsidRPr="005D7C93">
        <w:rPr>
          <w:rFonts w:ascii="Century" w:hAnsi="Century" w:cs="Miriam" w:hint="eastAsia"/>
          <w:b/>
          <w:rtl/>
        </w:rPr>
        <w:t>הציבורית</w:t>
      </w:r>
      <w:r w:rsidRPr="005A47BA">
        <w:rPr>
          <w:rFonts w:ascii="Century" w:hAnsi="Century" w:cs="FrankRuehl"/>
          <w:spacing w:val="10"/>
          <w:szCs w:val="28"/>
          <w:rtl/>
        </w:rPr>
        <w:t>"</w:t>
      </w:r>
      <w:r>
        <w:rPr>
          <w:rFonts w:ascii="Century" w:hAnsi="Century" w:cs="FrankRuehl" w:hint="cs"/>
          <w:spacing w:val="10"/>
          <w:szCs w:val="28"/>
          <w:rtl/>
        </w:rPr>
        <w:t xml:space="preserve"> (עמ' 8 לגזר הדין)</w:t>
      </w:r>
      <w:r w:rsidRPr="005A47BA">
        <w:rPr>
          <w:rFonts w:ascii="Century" w:hAnsi="Century" w:cs="FrankRuehl"/>
          <w:spacing w:val="10"/>
          <w:szCs w:val="28"/>
          <w:rtl/>
        </w:rPr>
        <w:t xml:space="preserve">. </w:t>
      </w:r>
      <w:r>
        <w:rPr>
          <w:rFonts w:ascii="Century" w:hAnsi="Century" w:cs="FrankRuehl" w:hint="cs"/>
          <w:spacing w:val="10"/>
          <w:szCs w:val="28"/>
          <w:rtl/>
        </w:rPr>
        <w:t>על רקע זה, לא ניתן לחלוק על כך ש</w:t>
      </w:r>
      <w:r w:rsidRPr="005A47BA">
        <w:rPr>
          <w:rFonts w:ascii="Century" w:hAnsi="Century" w:cs="FrankRuehl" w:hint="eastAsia"/>
          <w:spacing w:val="10"/>
          <w:szCs w:val="28"/>
          <w:rtl/>
        </w:rPr>
        <w:t>בגזר</w:t>
      </w:r>
      <w:r w:rsidRPr="005A47BA">
        <w:rPr>
          <w:rFonts w:ascii="Century" w:hAnsi="Century" w:cs="FrankRuehl"/>
          <w:spacing w:val="10"/>
          <w:szCs w:val="28"/>
          <w:rtl/>
        </w:rPr>
        <w:t xml:space="preserve"> </w:t>
      </w:r>
      <w:r w:rsidRPr="005A47BA">
        <w:rPr>
          <w:rFonts w:ascii="Century" w:hAnsi="Century" w:cs="FrankRuehl" w:hint="eastAsia"/>
          <w:spacing w:val="10"/>
          <w:szCs w:val="28"/>
          <w:rtl/>
        </w:rPr>
        <w:t>הדין</w:t>
      </w:r>
      <w:r w:rsidRPr="005A47BA">
        <w:rPr>
          <w:rFonts w:ascii="Century" w:hAnsi="Century" w:cs="FrankRuehl"/>
          <w:spacing w:val="10"/>
          <w:szCs w:val="28"/>
          <w:rtl/>
        </w:rPr>
        <w:t xml:space="preserve"> </w:t>
      </w:r>
      <w:r w:rsidRPr="005A47BA">
        <w:rPr>
          <w:rFonts w:ascii="Century" w:hAnsi="Century" w:cs="FrankRuehl" w:hint="eastAsia"/>
          <w:spacing w:val="10"/>
          <w:szCs w:val="28"/>
          <w:rtl/>
        </w:rPr>
        <w:t>ניתן</w:t>
      </w:r>
      <w:r w:rsidRPr="005A47BA">
        <w:rPr>
          <w:rFonts w:ascii="Century" w:hAnsi="Century" w:cs="FrankRuehl"/>
          <w:spacing w:val="10"/>
          <w:szCs w:val="28"/>
          <w:rtl/>
        </w:rPr>
        <w:t xml:space="preserve"> </w:t>
      </w:r>
      <w:r w:rsidRPr="005A47BA">
        <w:rPr>
          <w:rFonts w:ascii="Century" w:hAnsi="Century" w:cs="FrankRuehl" w:hint="eastAsia"/>
          <w:spacing w:val="10"/>
          <w:szCs w:val="28"/>
          <w:rtl/>
        </w:rPr>
        <w:t>משקל</w:t>
      </w:r>
      <w:r w:rsidRPr="005A47BA">
        <w:rPr>
          <w:rFonts w:ascii="Century" w:hAnsi="Century" w:cs="FrankRuehl"/>
          <w:spacing w:val="10"/>
          <w:szCs w:val="28"/>
          <w:rtl/>
        </w:rPr>
        <w:t xml:space="preserve"> </w:t>
      </w:r>
      <w:r w:rsidRPr="005A47BA">
        <w:rPr>
          <w:rFonts w:ascii="Century" w:hAnsi="Century" w:cs="FrankRuehl" w:hint="eastAsia"/>
          <w:spacing w:val="10"/>
          <w:szCs w:val="28"/>
          <w:rtl/>
        </w:rPr>
        <w:t>ברור</w:t>
      </w:r>
      <w:r>
        <w:rPr>
          <w:rFonts w:ascii="Century" w:hAnsi="Century" w:cs="FrankRuehl" w:hint="cs"/>
          <w:spacing w:val="10"/>
          <w:szCs w:val="28"/>
          <w:rtl/>
        </w:rPr>
        <w:t xml:space="preserve"> לקולא להתפטרותו של דרעי מהכנסת ו</w:t>
      </w:r>
      <w:r w:rsidRPr="005A47BA">
        <w:rPr>
          <w:rFonts w:ascii="Century" w:hAnsi="Century" w:cs="FrankRuehl" w:hint="eastAsia"/>
          <w:spacing w:val="10"/>
          <w:szCs w:val="28"/>
          <w:rtl/>
        </w:rPr>
        <w:t>להצהרתו</w:t>
      </w:r>
      <w:r w:rsidRPr="005A47BA">
        <w:rPr>
          <w:rFonts w:ascii="Century" w:hAnsi="Century" w:cs="FrankRuehl"/>
          <w:spacing w:val="10"/>
          <w:szCs w:val="28"/>
          <w:rtl/>
        </w:rPr>
        <w:t xml:space="preserve"> </w:t>
      </w:r>
      <w:r>
        <w:rPr>
          <w:rFonts w:ascii="Century" w:hAnsi="Century" w:cs="FrankRuehl" w:hint="cs"/>
          <w:spacing w:val="10"/>
          <w:szCs w:val="28"/>
          <w:rtl/>
        </w:rPr>
        <w:t>האמורה ביחס לעתידו</w:t>
      </w:r>
      <w:r w:rsidRPr="005A47BA">
        <w:rPr>
          <w:rFonts w:ascii="Century" w:hAnsi="Century" w:cs="FrankRuehl"/>
          <w:spacing w:val="10"/>
          <w:szCs w:val="28"/>
          <w:rtl/>
        </w:rPr>
        <w:t xml:space="preserve">, </w:t>
      </w:r>
      <w:r>
        <w:rPr>
          <w:rFonts w:ascii="Century" w:hAnsi="Century" w:cs="FrankRuehl" w:hint="cs"/>
          <w:spacing w:val="10"/>
          <w:szCs w:val="28"/>
          <w:rtl/>
        </w:rPr>
        <w:t>שהוגדרו כ"</w:t>
      </w:r>
      <w:r w:rsidRPr="003E4E9C">
        <w:rPr>
          <w:rFonts w:ascii="Century" w:hAnsi="Century" w:cs="Miriam" w:hint="cs"/>
          <w:b/>
          <w:rtl/>
        </w:rPr>
        <w:t>נסיבה חשובה</w:t>
      </w:r>
      <w:r>
        <w:rPr>
          <w:rFonts w:ascii="Century" w:hAnsi="Century" w:cs="FrankRuehl" w:hint="cs"/>
          <w:spacing w:val="10"/>
          <w:szCs w:val="28"/>
          <w:rtl/>
        </w:rPr>
        <w:t xml:space="preserve">". פעולות אלה הובנו כמהלך הטומן בחובו ויתור משמעותי מצדו על פעילותו הציבורית העתידית בגדרי הכנסת או הממשלה. יתרה מכך, הדברים נתפסו על-ידי בית משפט השלום כצעד מניעתי שיש בו להפחית באופן ודאי את הסיכון העתידי הנשקף מדרעי. </w:t>
      </w:r>
    </w:p>
    <w:p w14:paraId="4E710219"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606A63B4" w14:textId="77777777" w:rsidR="00437A63" w:rsidRPr="005A47BA"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13</w:t>
      </w:r>
      <w:r w:rsidRPr="005A47BA">
        <w:rPr>
          <w:rFonts w:ascii="Century" w:hAnsi="Century" w:cs="FrankRuehl"/>
          <w:spacing w:val="10"/>
          <w:szCs w:val="28"/>
          <w:rtl/>
        </w:rPr>
        <w:t xml:space="preserve">. </w:t>
      </w:r>
      <w:r w:rsidRPr="005A47BA">
        <w:rPr>
          <w:rFonts w:ascii="Century" w:hAnsi="Century" w:cs="FrankRuehl"/>
          <w:spacing w:val="10"/>
          <w:szCs w:val="28"/>
          <w:rtl/>
        </w:rPr>
        <w:tab/>
      </w:r>
      <w:r w:rsidRPr="005A47BA">
        <w:rPr>
          <w:rFonts w:ascii="Century" w:hAnsi="Century" w:cs="FrankRuehl" w:hint="eastAsia"/>
          <w:spacing w:val="10"/>
          <w:szCs w:val="28"/>
          <w:rtl/>
        </w:rPr>
        <w:t>ומה</w:t>
      </w:r>
      <w:r w:rsidRPr="005A47BA">
        <w:rPr>
          <w:rFonts w:ascii="Century" w:hAnsi="Century" w:cs="FrankRuehl"/>
          <w:spacing w:val="10"/>
          <w:szCs w:val="28"/>
          <w:rtl/>
        </w:rPr>
        <w:t xml:space="preserve"> קרה לאחר מעשה? כאמור, ביום 1.</w:t>
      </w:r>
      <w:r>
        <w:rPr>
          <w:rFonts w:ascii="Century" w:hAnsi="Century" w:cs="FrankRuehl" w:hint="cs"/>
          <w:spacing w:val="10"/>
          <w:szCs w:val="28"/>
          <w:rtl/>
        </w:rPr>
        <w:t>2</w:t>
      </w:r>
      <w:r w:rsidRPr="005A47BA">
        <w:rPr>
          <w:rFonts w:ascii="Century" w:hAnsi="Century" w:cs="FrankRuehl"/>
          <w:spacing w:val="10"/>
          <w:szCs w:val="28"/>
          <w:rtl/>
        </w:rPr>
        <w:t xml:space="preserve">.2022 גזר בית משפט השלום את דינו של דרעי. </w:t>
      </w:r>
      <w:r w:rsidRPr="005A47BA">
        <w:rPr>
          <w:rFonts w:ascii="Century" w:hAnsi="Century" w:cs="FrankRuehl" w:hint="eastAsia"/>
          <w:spacing w:val="10"/>
          <w:szCs w:val="28"/>
          <w:rtl/>
        </w:rPr>
        <w:t>כבר</w:t>
      </w:r>
      <w:r w:rsidRPr="005A47BA">
        <w:rPr>
          <w:rFonts w:ascii="Century" w:hAnsi="Century" w:cs="FrankRuehl"/>
          <w:spacing w:val="10"/>
          <w:szCs w:val="28"/>
          <w:rtl/>
        </w:rPr>
        <w:t xml:space="preserve"> </w:t>
      </w:r>
      <w:r w:rsidRPr="005A47BA">
        <w:rPr>
          <w:rFonts w:ascii="Century" w:hAnsi="Century" w:cs="FrankRuehl" w:hint="eastAsia"/>
          <w:spacing w:val="10"/>
          <w:szCs w:val="28"/>
          <w:rtl/>
        </w:rPr>
        <w:t>למחרת</w:t>
      </w:r>
      <w:r w:rsidRPr="005A47BA">
        <w:rPr>
          <w:rFonts w:ascii="Century" w:hAnsi="Century" w:cs="FrankRuehl"/>
          <w:spacing w:val="10"/>
          <w:szCs w:val="28"/>
          <w:rtl/>
        </w:rPr>
        <w:t xml:space="preserve"> היום,</w:t>
      </w:r>
      <w:r>
        <w:rPr>
          <w:rFonts w:ascii="Century" w:hAnsi="Century" w:cs="FrankRuehl" w:hint="cs"/>
          <w:spacing w:val="10"/>
          <w:szCs w:val="28"/>
          <w:rtl/>
        </w:rPr>
        <w:t xml:space="preserve"> כפי שהודגש על-ידי העותרים,</w:t>
      </w:r>
      <w:r w:rsidRPr="005A47BA">
        <w:rPr>
          <w:rFonts w:ascii="Century" w:hAnsi="Century" w:cs="FrankRuehl"/>
          <w:spacing w:val="10"/>
          <w:szCs w:val="28"/>
          <w:rtl/>
        </w:rPr>
        <w:t xml:space="preserve"> כינס דרעי מסיבת עיתונאים בכנסת, </w:t>
      </w:r>
      <w:r>
        <w:rPr>
          <w:rFonts w:ascii="Century" w:hAnsi="Century" w:cs="FrankRuehl" w:hint="cs"/>
          <w:spacing w:val="10"/>
          <w:szCs w:val="28"/>
          <w:rtl/>
        </w:rPr>
        <w:t xml:space="preserve">שבה </w:t>
      </w:r>
      <w:r w:rsidRPr="005A47BA">
        <w:rPr>
          <w:rFonts w:ascii="Century" w:hAnsi="Century" w:cs="FrankRuehl"/>
          <w:spacing w:val="10"/>
          <w:szCs w:val="28"/>
          <w:rtl/>
        </w:rPr>
        <w:t xml:space="preserve">הוא התייחס להליך הפלילי וכן להמשך עשייתו הציבורית. </w:t>
      </w:r>
      <w:r w:rsidRPr="005A47BA">
        <w:rPr>
          <w:rFonts w:ascii="Century" w:hAnsi="Century" w:cs="FrankRuehl" w:hint="eastAsia"/>
          <w:spacing w:val="10"/>
          <w:szCs w:val="28"/>
          <w:rtl/>
        </w:rPr>
        <w:t>באותו</w:t>
      </w:r>
      <w:r w:rsidRPr="005A47BA">
        <w:rPr>
          <w:rFonts w:ascii="Century" w:hAnsi="Century" w:cs="FrankRuehl"/>
          <w:spacing w:val="10"/>
          <w:szCs w:val="28"/>
          <w:rtl/>
        </w:rPr>
        <w:t xml:space="preserve"> </w:t>
      </w:r>
      <w:r w:rsidRPr="005A47BA">
        <w:rPr>
          <w:rFonts w:ascii="Century" w:hAnsi="Century" w:cs="FrankRuehl" w:hint="eastAsia"/>
          <w:spacing w:val="10"/>
          <w:szCs w:val="28"/>
          <w:rtl/>
        </w:rPr>
        <w:t>מעמד</w:t>
      </w:r>
      <w:r w:rsidRPr="005A47BA">
        <w:rPr>
          <w:rFonts w:ascii="Century" w:hAnsi="Century" w:cs="FrankRuehl"/>
          <w:spacing w:val="10"/>
          <w:szCs w:val="28"/>
          <w:rtl/>
        </w:rPr>
        <w:t xml:space="preserve"> </w:t>
      </w:r>
      <w:r w:rsidRPr="005A47BA">
        <w:rPr>
          <w:rFonts w:ascii="Century" w:hAnsi="Century" w:cs="FrankRuehl" w:hint="eastAsia"/>
          <w:spacing w:val="10"/>
          <w:szCs w:val="28"/>
          <w:rtl/>
        </w:rPr>
        <w:t>אמר</w:t>
      </w:r>
      <w:r w:rsidRPr="005A47BA">
        <w:rPr>
          <w:rFonts w:ascii="Century" w:hAnsi="Century" w:cs="FrankRuehl"/>
          <w:spacing w:val="10"/>
          <w:szCs w:val="28"/>
          <w:rtl/>
        </w:rPr>
        <w:t xml:space="preserve"> </w:t>
      </w:r>
      <w:r w:rsidRPr="005A47BA">
        <w:rPr>
          <w:rFonts w:ascii="Century" w:hAnsi="Century" w:cs="FrankRuehl" w:hint="eastAsia"/>
          <w:spacing w:val="10"/>
          <w:szCs w:val="28"/>
          <w:rtl/>
        </w:rPr>
        <w:t>דרעי</w:t>
      </w:r>
      <w:r>
        <w:rPr>
          <w:rFonts w:ascii="Century" w:hAnsi="Century" w:cs="FrankRuehl" w:hint="cs"/>
          <w:spacing w:val="10"/>
          <w:szCs w:val="28"/>
          <w:rtl/>
        </w:rPr>
        <w:t>, בין השאר, את הדברים הבאים</w:t>
      </w:r>
      <w:r w:rsidRPr="005A47BA">
        <w:rPr>
          <w:rFonts w:ascii="Century" w:hAnsi="Century" w:cs="FrankRuehl"/>
          <w:spacing w:val="10"/>
          <w:szCs w:val="28"/>
          <w:rtl/>
        </w:rPr>
        <w:t>:</w:t>
      </w:r>
    </w:p>
    <w:p w14:paraId="6C7FDC6F"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00388BAF" w14:textId="77777777" w:rsidR="00437A63" w:rsidRPr="00E45BB4" w:rsidRDefault="00437A63" w:rsidP="00437A63">
      <w:pPr>
        <w:pStyle w:val="Ruller5"/>
        <w:rPr>
          <w:rFonts w:ascii="Century" w:hAnsi="Century"/>
          <w:rtl/>
        </w:rPr>
      </w:pPr>
      <w:r w:rsidRPr="005A47BA">
        <w:rPr>
          <w:rFonts w:ascii="Century" w:hAnsi="Century"/>
          <w:rtl/>
        </w:rPr>
        <w:t>"</w:t>
      </w:r>
      <w:r w:rsidRPr="00E45BB4">
        <w:rPr>
          <w:rFonts w:ascii="Century" w:hAnsi="Century" w:hint="cs"/>
          <w:rtl/>
        </w:rPr>
        <w:t>כפי שאולי הבנתם בשבוע האחרון, ומבלי לגרוע בחשיבות שאני מייחס להסדר הטיעון שלקחתי עליו אחריות, אני לא הולך לשום מקום. אני ניצב על משמרתי כיו</w:t>
      </w:r>
      <w:r>
        <w:rPr>
          <w:rFonts w:ascii="Century" w:hAnsi="Century" w:hint="cs"/>
          <w:rtl/>
        </w:rPr>
        <w:t xml:space="preserve">שב ראש </w:t>
      </w:r>
      <w:r w:rsidRPr="00E45BB4">
        <w:rPr>
          <w:rFonts w:ascii="Century" w:hAnsi="Century" w:hint="cs"/>
          <w:rtl/>
        </w:rPr>
        <w:t xml:space="preserve">תנועת ש"ס וממשיך לנהל את ענייני הציבור מכל מקום </w:t>
      </w:r>
      <w:r w:rsidRPr="00E45BB4">
        <w:rPr>
          <w:rFonts w:ascii="Century" w:hAnsi="Century"/>
          <w:rtl/>
        </w:rPr>
        <w:t>–</w:t>
      </w:r>
      <w:r w:rsidRPr="00E45BB4">
        <w:rPr>
          <w:rFonts w:ascii="Century" w:hAnsi="Century" w:hint="cs"/>
          <w:rtl/>
        </w:rPr>
        <w:t xml:space="preserve"> מהכנסת, ממשרדי התנועה, מסיורים בשטח ומכל מקום שארגיש צורך להיות בו. אמשיך להשתתף בישיבות ראשי מפלגות האופוזיציה, לנהל את ישיבות סיעת ש"ס".</w:t>
      </w:r>
    </w:p>
    <w:p w14:paraId="145367B5"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5EBE47E5" w14:textId="77777777" w:rsidR="00437A63" w:rsidRPr="005A47BA" w:rsidRDefault="00437A63" w:rsidP="00437A63">
      <w:pPr>
        <w:pStyle w:val="af0"/>
        <w:spacing w:line="360" w:lineRule="auto"/>
        <w:ind w:left="0"/>
        <w:jc w:val="both"/>
        <w:rPr>
          <w:rFonts w:ascii="Century" w:hAnsi="Century" w:cs="FrankRuehl"/>
          <w:spacing w:val="10"/>
          <w:szCs w:val="28"/>
          <w:rtl/>
        </w:rPr>
      </w:pPr>
      <w:r w:rsidRPr="005A47BA">
        <w:rPr>
          <w:rFonts w:ascii="Century" w:hAnsi="Century" w:cs="FrankRuehl"/>
          <w:spacing w:val="10"/>
          <w:szCs w:val="28"/>
          <w:rtl/>
        </w:rPr>
        <w:tab/>
      </w:r>
      <w:r w:rsidRPr="00BC75B4">
        <w:rPr>
          <w:rFonts w:ascii="Century" w:hAnsi="Century" w:cs="FrankRuehl" w:hint="eastAsia"/>
          <w:spacing w:val="10"/>
          <w:szCs w:val="28"/>
          <w:rtl/>
        </w:rPr>
        <w:t>בהמשך</w:t>
      </w:r>
      <w:r w:rsidRPr="00BC75B4">
        <w:rPr>
          <w:rFonts w:ascii="Century" w:hAnsi="Century" w:cs="FrankRuehl"/>
          <w:spacing w:val="10"/>
          <w:szCs w:val="28"/>
          <w:rtl/>
        </w:rPr>
        <w:t xml:space="preserve"> </w:t>
      </w:r>
      <w:r w:rsidRPr="00BC75B4">
        <w:rPr>
          <w:rFonts w:ascii="Century" w:hAnsi="Century" w:cs="FrankRuehl" w:hint="cs"/>
          <w:spacing w:val="10"/>
          <w:szCs w:val="28"/>
          <w:rtl/>
        </w:rPr>
        <w:t xml:space="preserve">לכך, הוא הוסיף והבהיר </w:t>
      </w:r>
      <w:r>
        <w:rPr>
          <w:rFonts w:ascii="Century" w:hAnsi="Century" w:cs="FrankRuehl" w:hint="cs"/>
          <w:spacing w:val="10"/>
          <w:szCs w:val="28"/>
          <w:rtl/>
        </w:rPr>
        <w:t>מהן</w:t>
      </w:r>
      <w:r w:rsidRPr="00BC75B4">
        <w:rPr>
          <w:rFonts w:ascii="Century" w:hAnsi="Century" w:cs="FrankRuehl" w:hint="cs"/>
          <w:spacing w:val="10"/>
          <w:szCs w:val="28"/>
          <w:rtl/>
        </w:rPr>
        <w:t xml:space="preserve"> כוונותיו העתידיות</w:t>
      </w:r>
      <w:r w:rsidRPr="005A47BA">
        <w:rPr>
          <w:rFonts w:ascii="Century" w:hAnsi="Century" w:cs="FrankRuehl"/>
          <w:spacing w:val="10"/>
          <w:szCs w:val="28"/>
          <w:rtl/>
        </w:rPr>
        <w:t>:</w:t>
      </w:r>
    </w:p>
    <w:p w14:paraId="44D90CCA"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55CC8350" w14:textId="77777777" w:rsidR="00437A63" w:rsidRPr="0047352B" w:rsidRDefault="00437A63" w:rsidP="00437A63">
      <w:pPr>
        <w:pStyle w:val="Ruller5"/>
        <w:rPr>
          <w:rFonts w:ascii="Century" w:hAnsi="Century"/>
          <w:rtl/>
        </w:rPr>
      </w:pPr>
      <w:r w:rsidRPr="005A47BA">
        <w:rPr>
          <w:rFonts w:ascii="Century" w:hAnsi="Century"/>
          <w:rtl/>
        </w:rPr>
        <w:t>"</w:t>
      </w:r>
      <w:r w:rsidRPr="0047352B">
        <w:rPr>
          <w:rFonts w:ascii="Century" w:hAnsi="Century" w:hint="cs"/>
          <w:rtl/>
        </w:rPr>
        <w:t xml:space="preserve">ההסדר שהגענו אליו אין בו קלון. </w:t>
      </w:r>
      <w:r w:rsidRPr="005A47BA">
        <w:rPr>
          <w:rFonts w:ascii="Century" w:hAnsi="Century" w:cs="Miriam" w:hint="eastAsia"/>
          <w:b/>
          <w:spacing w:val="0"/>
          <w:szCs w:val="24"/>
          <w:rtl/>
        </w:rPr>
        <w:t>אני</w:t>
      </w:r>
      <w:r w:rsidRPr="005A47BA">
        <w:rPr>
          <w:rFonts w:ascii="Century" w:hAnsi="Century" w:cs="Miriam"/>
          <w:b/>
          <w:spacing w:val="0"/>
          <w:szCs w:val="24"/>
          <w:rtl/>
        </w:rPr>
        <w:t xml:space="preserve"> </w:t>
      </w:r>
      <w:r w:rsidRPr="005A47BA">
        <w:rPr>
          <w:rFonts w:ascii="Century" w:hAnsi="Century" w:cs="Miriam" w:hint="eastAsia"/>
          <w:b/>
          <w:spacing w:val="0"/>
          <w:szCs w:val="24"/>
          <w:rtl/>
        </w:rPr>
        <w:t>מודיע</w:t>
      </w:r>
      <w:r w:rsidRPr="005A47BA">
        <w:rPr>
          <w:rFonts w:ascii="Century" w:hAnsi="Century" w:cs="Miriam"/>
          <w:b/>
          <w:spacing w:val="0"/>
          <w:szCs w:val="24"/>
          <w:rtl/>
        </w:rPr>
        <w:t xml:space="preserve"> </w:t>
      </w:r>
      <w:r w:rsidRPr="005A47BA">
        <w:rPr>
          <w:rFonts w:ascii="Century" w:hAnsi="Century" w:cs="Miriam" w:hint="eastAsia"/>
          <w:b/>
          <w:spacing w:val="0"/>
          <w:szCs w:val="24"/>
          <w:rtl/>
        </w:rPr>
        <w:t>כבר</w:t>
      </w:r>
      <w:r w:rsidRPr="005A47BA">
        <w:rPr>
          <w:rFonts w:ascii="Century" w:hAnsi="Century" w:cs="Miriam"/>
          <w:b/>
          <w:spacing w:val="0"/>
          <w:szCs w:val="24"/>
          <w:rtl/>
        </w:rPr>
        <w:t xml:space="preserve"> </w:t>
      </w:r>
      <w:r w:rsidRPr="005A47BA">
        <w:rPr>
          <w:rFonts w:ascii="Century" w:hAnsi="Century" w:cs="Miriam" w:hint="eastAsia"/>
          <w:b/>
          <w:spacing w:val="0"/>
          <w:szCs w:val="24"/>
          <w:rtl/>
        </w:rPr>
        <w:t>מעכשיו</w:t>
      </w:r>
      <w:r w:rsidRPr="005A47BA">
        <w:rPr>
          <w:rFonts w:ascii="Century" w:hAnsi="Century" w:cs="Miriam"/>
          <w:b/>
          <w:spacing w:val="0"/>
          <w:szCs w:val="24"/>
          <w:rtl/>
        </w:rPr>
        <w:t xml:space="preserve"> </w:t>
      </w:r>
      <w:r w:rsidRPr="005A47BA">
        <w:rPr>
          <w:rFonts w:ascii="Century" w:hAnsi="Century" w:cs="Miriam" w:hint="eastAsia"/>
          <w:b/>
          <w:spacing w:val="0"/>
          <w:szCs w:val="24"/>
          <w:rtl/>
        </w:rPr>
        <w:t>שאני</w:t>
      </w:r>
      <w:r w:rsidRPr="005A47BA">
        <w:rPr>
          <w:rFonts w:ascii="Century" w:hAnsi="Century" w:cs="Miriam"/>
          <w:b/>
          <w:spacing w:val="0"/>
          <w:szCs w:val="24"/>
          <w:rtl/>
        </w:rPr>
        <w:t xml:space="preserve"> </w:t>
      </w:r>
      <w:r w:rsidRPr="005A47BA">
        <w:rPr>
          <w:rFonts w:ascii="Century" w:hAnsi="Century" w:cs="Miriam" w:hint="eastAsia"/>
          <w:b/>
          <w:spacing w:val="0"/>
          <w:szCs w:val="24"/>
          <w:rtl/>
        </w:rPr>
        <w:t>בעזרת</w:t>
      </w:r>
      <w:r w:rsidRPr="005A47BA">
        <w:rPr>
          <w:rFonts w:ascii="Century" w:hAnsi="Century" w:cs="Miriam"/>
          <w:b/>
          <w:spacing w:val="0"/>
          <w:szCs w:val="24"/>
          <w:rtl/>
        </w:rPr>
        <w:t xml:space="preserve"> </w:t>
      </w:r>
      <w:r w:rsidRPr="005A47BA">
        <w:rPr>
          <w:rFonts w:ascii="Century" w:hAnsi="Century" w:cs="Miriam" w:hint="eastAsia"/>
          <w:b/>
          <w:spacing w:val="0"/>
          <w:szCs w:val="24"/>
          <w:rtl/>
        </w:rPr>
        <w:t>השם</w:t>
      </w:r>
      <w:r w:rsidRPr="005A47BA">
        <w:rPr>
          <w:rFonts w:ascii="Century" w:hAnsi="Century" w:cs="Miriam"/>
          <w:b/>
          <w:spacing w:val="0"/>
          <w:szCs w:val="24"/>
          <w:rtl/>
        </w:rPr>
        <w:t xml:space="preserve"> </w:t>
      </w:r>
      <w:r w:rsidRPr="005A47BA">
        <w:rPr>
          <w:rFonts w:ascii="Century" w:hAnsi="Century" w:cs="Miriam" w:hint="eastAsia"/>
          <w:b/>
          <w:spacing w:val="0"/>
          <w:szCs w:val="24"/>
          <w:rtl/>
        </w:rPr>
        <w:t>בבחירות</w:t>
      </w:r>
      <w:r w:rsidRPr="005A47BA">
        <w:rPr>
          <w:rFonts w:ascii="Century" w:hAnsi="Century" w:cs="Miriam"/>
          <w:b/>
          <w:spacing w:val="0"/>
          <w:szCs w:val="24"/>
          <w:rtl/>
        </w:rPr>
        <w:t xml:space="preserve"> </w:t>
      </w:r>
      <w:r w:rsidRPr="005A47BA">
        <w:rPr>
          <w:rFonts w:ascii="Century" w:hAnsi="Century" w:cs="Miriam" w:hint="eastAsia"/>
          <w:b/>
          <w:spacing w:val="0"/>
          <w:szCs w:val="24"/>
          <w:rtl/>
        </w:rPr>
        <w:t>הקרובות</w:t>
      </w:r>
      <w:r w:rsidRPr="0047352B">
        <w:rPr>
          <w:rFonts w:ascii="Century" w:hAnsi="Century" w:hint="cs"/>
          <w:rtl/>
        </w:rPr>
        <w:t xml:space="preserve">, ואני מקווה שהן יהיו </w:t>
      </w:r>
      <w:r w:rsidRPr="005D7C93">
        <w:rPr>
          <w:rFonts w:ascii="Century" w:hAnsi="Century" w:cs="Miriam" w:hint="eastAsia"/>
          <w:b/>
          <w:spacing w:val="0"/>
          <w:szCs w:val="24"/>
          <w:rtl/>
        </w:rPr>
        <w:lastRenderedPageBreak/>
        <w:t>מהר</w:t>
      </w:r>
      <w:r w:rsidRPr="005D7C93">
        <w:rPr>
          <w:rFonts w:ascii="Century" w:hAnsi="Century" w:cs="Miriam"/>
          <w:b/>
          <w:spacing w:val="0"/>
          <w:szCs w:val="24"/>
          <w:rtl/>
        </w:rPr>
        <w:t xml:space="preserve"> </w:t>
      </w:r>
      <w:r w:rsidRPr="005D7C93">
        <w:rPr>
          <w:rFonts w:ascii="Century" w:hAnsi="Century" w:cs="Miriam" w:hint="eastAsia"/>
          <w:b/>
          <w:spacing w:val="0"/>
          <w:szCs w:val="24"/>
          <w:rtl/>
        </w:rPr>
        <w:t>מאוד</w:t>
      </w:r>
      <w:r w:rsidRPr="0047352B">
        <w:rPr>
          <w:rFonts w:ascii="Century" w:hAnsi="Century" w:hint="cs"/>
          <w:rtl/>
        </w:rPr>
        <w:t xml:space="preserve">, אעמוד בראש תנועת ש"ס </w:t>
      </w:r>
      <w:r w:rsidRPr="00A55866">
        <w:rPr>
          <w:rFonts w:ascii="Century" w:hAnsi="Century" w:cs="Miriam" w:hint="eastAsia"/>
          <w:b/>
          <w:spacing w:val="0"/>
          <w:szCs w:val="24"/>
          <w:rtl/>
        </w:rPr>
        <w:t>וארוץ</w:t>
      </w:r>
      <w:r w:rsidRPr="00A55866">
        <w:rPr>
          <w:rFonts w:ascii="Century" w:hAnsi="Century" w:cs="Miriam"/>
          <w:b/>
          <w:spacing w:val="0"/>
          <w:szCs w:val="24"/>
          <w:rtl/>
        </w:rPr>
        <w:t xml:space="preserve"> </w:t>
      </w:r>
      <w:r w:rsidRPr="00A55866">
        <w:rPr>
          <w:rFonts w:ascii="Century" w:hAnsi="Century" w:cs="Miriam" w:hint="eastAsia"/>
          <w:b/>
          <w:spacing w:val="0"/>
          <w:szCs w:val="24"/>
          <w:rtl/>
        </w:rPr>
        <w:t>לכנסת</w:t>
      </w:r>
      <w:r w:rsidRPr="00A55866">
        <w:rPr>
          <w:rFonts w:ascii="Century" w:hAnsi="Century" w:cs="Miriam"/>
          <w:b/>
          <w:spacing w:val="0"/>
          <w:szCs w:val="24"/>
          <w:rtl/>
        </w:rPr>
        <w:t xml:space="preserve"> </w:t>
      </w:r>
      <w:r w:rsidRPr="00A55866">
        <w:rPr>
          <w:rFonts w:ascii="Century" w:hAnsi="Century" w:cs="Miriam" w:hint="eastAsia"/>
          <w:b/>
          <w:spacing w:val="0"/>
          <w:szCs w:val="24"/>
          <w:rtl/>
        </w:rPr>
        <w:t>ואשרת</w:t>
      </w:r>
      <w:r w:rsidRPr="00A55866">
        <w:rPr>
          <w:rFonts w:ascii="Century" w:hAnsi="Century" w:cs="Miriam"/>
          <w:b/>
          <w:spacing w:val="0"/>
          <w:szCs w:val="24"/>
          <w:rtl/>
        </w:rPr>
        <w:t xml:space="preserve"> </w:t>
      </w:r>
      <w:r w:rsidRPr="00A55866">
        <w:rPr>
          <w:rFonts w:ascii="Century" w:hAnsi="Century" w:cs="Miriam" w:hint="eastAsia"/>
          <w:b/>
          <w:spacing w:val="0"/>
          <w:szCs w:val="24"/>
          <w:rtl/>
        </w:rPr>
        <w:t>בעזרת</w:t>
      </w:r>
      <w:r w:rsidRPr="00A55866">
        <w:rPr>
          <w:rFonts w:ascii="Century" w:hAnsi="Century" w:cs="Miriam"/>
          <w:b/>
          <w:spacing w:val="0"/>
          <w:szCs w:val="24"/>
          <w:rtl/>
        </w:rPr>
        <w:t xml:space="preserve"> </w:t>
      </w:r>
      <w:r w:rsidRPr="00A55866">
        <w:rPr>
          <w:rFonts w:ascii="Century" w:hAnsi="Century" w:cs="Miriam" w:hint="eastAsia"/>
          <w:b/>
          <w:spacing w:val="0"/>
          <w:szCs w:val="24"/>
          <w:rtl/>
        </w:rPr>
        <w:t>השם</w:t>
      </w:r>
      <w:r w:rsidRPr="00A55866">
        <w:rPr>
          <w:rFonts w:ascii="Century" w:hAnsi="Century" w:cs="Miriam"/>
          <w:b/>
          <w:spacing w:val="0"/>
          <w:szCs w:val="24"/>
          <w:rtl/>
        </w:rPr>
        <w:t xml:space="preserve"> </w:t>
      </w:r>
      <w:r w:rsidRPr="00A55866">
        <w:rPr>
          <w:rFonts w:ascii="Century" w:hAnsi="Century" w:cs="Miriam" w:hint="eastAsia"/>
          <w:b/>
          <w:spacing w:val="0"/>
          <w:szCs w:val="24"/>
          <w:rtl/>
        </w:rPr>
        <w:t>בתפקיד</w:t>
      </w:r>
      <w:r w:rsidRPr="00A55866">
        <w:rPr>
          <w:rFonts w:ascii="Century" w:hAnsi="Century" w:cs="Miriam"/>
          <w:b/>
          <w:spacing w:val="0"/>
          <w:szCs w:val="24"/>
          <w:rtl/>
        </w:rPr>
        <w:t xml:space="preserve"> </w:t>
      </w:r>
      <w:r w:rsidRPr="00A55866">
        <w:rPr>
          <w:rFonts w:ascii="Century" w:hAnsi="Century" w:cs="Miriam" w:hint="eastAsia"/>
          <w:b/>
          <w:spacing w:val="0"/>
          <w:szCs w:val="24"/>
          <w:rtl/>
        </w:rPr>
        <w:t>של</w:t>
      </w:r>
      <w:r w:rsidRPr="00A55866">
        <w:rPr>
          <w:rFonts w:ascii="Century" w:hAnsi="Century" w:cs="Miriam"/>
          <w:b/>
          <w:spacing w:val="0"/>
          <w:szCs w:val="24"/>
          <w:rtl/>
        </w:rPr>
        <w:t xml:space="preserve"> </w:t>
      </w:r>
      <w:r w:rsidRPr="00A55866">
        <w:rPr>
          <w:rFonts w:ascii="Century" w:hAnsi="Century" w:cs="Miriam" w:hint="eastAsia"/>
          <w:b/>
          <w:spacing w:val="0"/>
          <w:szCs w:val="24"/>
          <w:rtl/>
        </w:rPr>
        <w:t>שר</w:t>
      </w:r>
      <w:r w:rsidRPr="0047352B">
        <w:rPr>
          <w:rFonts w:ascii="Century" w:hAnsi="Century" w:hint="cs"/>
          <w:rtl/>
        </w:rPr>
        <w:t>. אני לא רואה שום מניעה"</w:t>
      </w:r>
      <w:r>
        <w:rPr>
          <w:rFonts w:ascii="Century" w:hAnsi="Century" w:hint="cs"/>
          <w:rtl/>
        </w:rPr>
        <w:t xml:space="preserve"> (ההדגשות הוספו)</w:t>
      </w:r>
      <w:r w:rsidRPr="0047352B">
        <w:rPr>
          <w:rFonts w:ascii="Century" w:hAnsi="Century" w:hint="cs"/>
          <w:rtl/>
        </w:rPr>
        <w:t>.</w:t>
      </w:r>
    </w:p>
    <w:p w14:paraId="21D67D6A" w14:textId="77777777" w:rsidR="00437A63" w:rsidRDefault="00437A63" w:rsidP="00437A63">
      <w:pPr>
        <w:pStyle w:val="af0"/>
        <w:spacing w:line="360" w:lineRule="auto"/>
        <w:ind w:left="0"/>
        <w:jc w:val="both"/>
        <w:rPr>
          <w:rFonts w:ascii="Century" w:hAnsi="Century" w:cs="FrankRuehl"/>
          <w:spacing w:val="10"/>
          <w:szCs w:val="28"/>
          <w:rtl/>
        </w:rPr>
      </w:pPr>
    </w:p>
    <w:p w14:paraId="3C960DD2"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spacing w:val="10"/>
          <w:szCs w:val="28"/>
          <w:rtl/>
        </w:rPr>
        <w:tab/>
      </w:r>
      <w:r>
        <w:rPr>
          <w:rFonts w:ascii="Century" w:hAnsi="Century" w:cs="FrankRuehl" w:hint="cs"/>
          <w:spacing w:val="10"/>
          <w:szCs w:val="28"/>
          <w:rtl/>
        </w:rPr>
        <w:t xml:space="preserve">אם כן, יממה בלבד לאחר אישורו של הסדר הטיעון, התבטאויותיו הציבוריות של דרעי, שנאמרו מחוץ לבית המשפט, היו שונות באופן ניכר מאלה שנאמרו בתוך אולם הדיונים ואשר באו בסופו של דבר לידי ביטוי בנוסחו של גזר הדין. להשלמת התמונה, יצוין כי חרף הקושי הברור, לא הוגשה כל הבהרה נוספת מצדו של דרעי בגדרי ההליך הפלילי </w:t>
      </w:r>
      <w:r>
        <w:rPr>
          <w:rFonts w:ascii="Century" w:hAnsi="Century" w:cs="FrankRuehl"/>
          <w:spacing w:val="10"/>
          <w:szCs w:val="28"/>
          <w:rtl/>
        </w:rPr>
        <w:t>–</w:t>
      </w:r>
      <w:r>
        <w:rPr>
          <w:rFonts w:ascii="Century" w:hAnsi="Century" w:cs="FrankRuehl" w:hint="cs"/>
          <w:spacing w:val="10"/>
          <w:szCs w:val="28"/>
          <w:rtl/>
        </w:rPr>
        <w:t xml:space="preserve"> לא בשלב של הקראת גזר הדין ואף לא במועד מאוחר יותר. </w:t>
      </w:r>
    </w:p>
    <w:p w14:paraId="639D019C" w14:textId="77777777" w:rsidR="00437A63" w:rsidRPr="005A47BA" w:rsidRDefault="00437A63" w:rsidP="00437A63">
      <w:pPr>
        <w:pStyle w:val="af0"/>
        <w:spacing w:line="360" w:lineRule="auto"/>
        <w:ind w:left="0"/>
        <w:jc w:val="both"/>
        <w:rPr>
          <w:rFonts w:ascii="Century" w:hAnsi="Century" w:cs="FrankRuehl"/>
          <w:spacing w:val="10"/>
          <w:szCs w:val="28"/>
          <w:rtl/>
        </w:rPr>
      </w:pPr>
    </w:p>
    <w:p w14:paraId="1953B316"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14</w:t>
      </w:r>
      <w:r w:rsidRPr="005A47BA">
        <w:rPr>
          <w:rFonts w:ascii="Century" w:hAnsi="Century" w:cs="FrankRuehl"/>
          <w:spacing w:val="10"/>
          <w:szCs w:val="28"/>
          <w:rtl/>
        </w:rPr>
        <w:t>.</w:t>
      </w:r>
      <w:r w:rsidRPr="005A47BA">
        <w:rPr>
          <w:rFonts w:ascii="Century" w:hAnsi="Century" w:cs="FrankRuehl"/>
          <w:spacing w:val="10"/>
          <w:szCs w:val="28"/>
          <w:rtl/>
        </w:rPr>
        <w:tab/>
      </w:r>
      <w:r w:rsidRPr="005A47BA">
        <w:rPr>
          <w:rFonts w:ascii="Century" w:hAnsi="Century" w:cs="FrankRuehl" w:hint="eastAsia"/>
          <w:spacing w:val="10"/>
          <w:szCs w:val="28"/>
          <w:rtl/>
        </w:rPr>
        <w:t>בעתירות</w:t>
      </w:r>
      <w:r w:rsidRPr="005A47BA">
        <w:rPr>
          <w:rFonts w:ascii="Century" w:hAnsi="Century" w:cs="FrankRuehl"/>
          <w:spacing w:val="10"/>
          <w:szCs w:val="28"/>
          <w:rtl/>
        </w:rPr>
        <w:t xml:space="preserve"> </w:t>
      </w:r>
      <w:r w:rsidRPr="005A47BA">
        <w:rPr>
          <w:rFonts w:ascii="Century" w:hAnsi="Century" w:cs="FrankRuehl" w:hint="eastAsia"/>
          <w:spacing w:val="10"/>
          <w:szCs w:val="28"/>
          <w:rtl/>
        </w:rPr>
        <w:t>שבפנינו</w:t>
      </w:r>
      <w:r w:rsidRPr="005A47BA">
        <w:rPr>
          <w:rFonts w:ascii="Century" w:hAnsi="Century" w:cs="FrankRuehl"/>
          <w:spacing w:val="10"/>
          <w:szCs w:val="28"/>
          <w:rtl/>
        </w:rPr>
        <w:t xml:space="preserve"> </w:t>
      </w:r>
      <w:r w:rsidRPr="005A47BA">
        <w:rPr>
          <w:rFonts w:ascii="Century" w:hAnsi="Century" w:cs="FrankRuehl" w:hint="eastAsia"/>
          <w:spacing w:val="10"/>
          <w:szCs w:val="28"/>
          <w:rtl/>
        </w:rPr>
        <w:t>נטען</w:t>
      </w:r>
      <w:r w:rsidRPr="005A47BA">
        <w:rPr>
          <w:rFonts w:ascii="Century" w:hAnsi="Century" w:cs="FrankRuehl"/>
          <w:spacing w:val="10"/>
          <w:szCs w:val="28"/>
          <w:rtl/>
        </w:rPr>
        <w:t xml:space="preserve"> </w:t>
      </w:r>
      <w:r w:rsidRPr="005A47BA">
        <w:rPr>
          <w:rFonts w:ascii="Century" w:hAnsi="Century" w:cs="FrankRuehl" w:hint="eastAsia"/>
          <w:spacing w:val="10"/>
          <w:szCs w:val="28"/>
          <w:rtl/>
        </w:rPr>
        <w:t>כי</w:t>
      </w:r>
      <w:r w:rsidRPr="005A47BA">
        <w:rPr>
          <w:rFonts w:ascii="Century" w:hAnsi="Century" w:cs="FrankRuehl"/>
          <w:spacing w:val="10"/>
          <w:szCs w:val="28"/>
          <w:rtl/>
        </w:rPr>
        <w:t xml:space="preserve"> </w:t>
      </w:r>
      <w:r w:rsidRPr="005A47BA">
        <w:rPr>
          <w:rFonts w:ascii="Century" w:hAnsi="Century" w:cs="FrankRuehl" w:hint="eastAsia"/>
          <w:spacing w:val="10"/>
          <w:szCs w:val="28"/>
          <w:rtl/>
        </w:rPr>
        <w:t>דברים</w:t>
      </w:r>
      <w:r w:rsidRPr="005A47BA">
        <w:rPr>
          <w:rFonts w:ascii="Century" w:hAnsi="Century" w:cs="FrankRuehl"/>
          <w:spacing w:val="10"/>
          <w:szCs w:val="28"/>
          <w:rtl/>
        </w:rPr>
        <w:t xml:space="preserve"> </w:t>
      </w:r>
      <w:r w:rsidRPr="005A47BA">
        <w:rPr>
          <w:rFonts w:ascii="Century" w:hAnsi="Century" w:cs="FrankRuehl" w:hint="eastAsia"/>
          <w:spacing w:val="10"/>
          <w:szCs w:val="28"/>
          <w:rtl/>
        </w:rPr>
        <w:t>אלו</w:t>
      </w:r>
      <w:r w:rsidRPr="005A47BA">
        <w:rPr>
          <w:rFonts w:ascii="Century" w:hAnsi="Century" w:cs="FrankRuehl"/>
          <w:spacing w:val="10"/>
          <w:szCs w:val="28"/>
          <w:rtl/>
        </w:rPr>
        <w:t xml:space="preserve">, </w:t>
      </w:r>
      <w:r w:rsidRPr="005A47BA">
        <w:rPr>
          <w:rFonts w:ascii="Century" w:hAnsi="Century" w:cs="FrankRuehl" w:hint="eastAsia"/>
          <w:spacing w:val="10"/>
          <w:szCs w:val="28"/>
          <w:rtl/>
        </w:rPr>
        <w:t>כמו</w:t>
      </w:r>
      <w:r w:rsidRPr="005A47BA">
        <w:rPr>
          <w:rFonts w:ascii="Century" w:hAnsi="Century" w:cs="FrankRuehl"/>
          <w:spacing w:val="10"/>
          <w:szCs w:val="28"/>
          <w:rtl/>
        </w:rPr>
        <w:t xml:space="preserve"> </w:t>
      </w:r>
      <w:r w:rsidRPr="005A47BA">
        <w:rPr>
          <w:rFonts w:ascii="Century" w:hAnsi="Century" w:cs="FrankRuehl" w:hint="eastAsia"/>
          <w:spacing w:val="10"/>
          <w:szCs w:val="28"/>
          <w:rtl/>
        </w:rPr>
        <w:t>גם</w:t>
      </w:r>
      <w:r w:rsidRPr="005A47BA">
        <w:rPr>
          <w:rFonts w:ascii="Century" w:hAnsi="Century" w:cs="FrankRuehl"/>
          <w:spacing w:val="10"/>
          <w:szCs w:val="28"/>
          <w:rtl/>
        </w:rPr>
        <w:t xml:space="preserve"> </w:t>
      </w:r>
      <w:r w:rsidRPr="005A47BA">
        <w:rPr>
          <w:rFonts w:ascii="Century" w:hAnsi="Century" w:cs="FrankRuehl" w:hint="eastAsia"/>
          <w:spacing w:val="10"/>
          <w:szCs w:val="28"/>
          <w:rtl/>
        </w:rPr>
        <w:t>פרסומים</w:t>
      </w:r>
      <w:r w:rsidRPr="005A47BA">
        <w:rPr>
          <w:rFonts w:ascii="Century" w:hAnsi="Century" w:cs="FrankRuehl"/>
          <w:spacing w:val="10"/>
          <w:szCs w:val="28"/>
          <w:rtl/>
        </w:rPr>
        <w:t xml:space="preserve"> </w:t>
      </w:r>
      <w:r w:rsidRPr="005A47BA">
        <w:rPr>
          <w:rFonts w:ascii="Century" w:hAnsi="Century" w:cs="FrankRuehl" w:hint="eastAsia"/>
          <w:spacing w:val="10"/>
          <w:szCs w:val="28"/>
          <w:rtl/>
        </w:rPr>
        <w:t>אחרים</w:t>
      </w:r>
      <w:r w:rsidRPr="005A47BA">
        <w:rPr>
          <w:rFonts w:ascii="Century" w:hAnsi="Century" w:cs="FrankRuehl"/>
          <w:spacing w:val="10"/>
          <w:szCs w:val="28"/>
          <w:rtl/>
        </w:rPr>
        <w:t xml:space="preserve"> </w:t>
      </w:r>
      <w:r w:rsidRPr="005A47BA">
        <w:rPr>
          <w:rFonts w:ascii="Century" w:hAnsi="Century" w:cs="FrankRuehl" w:hint="eastAsia"/>
          <w:spacing w:val="10"/>
          <w:szCs w:val="28"/>
          <w:rtl/>
        </w:rPr>
        <w:t>שעסקו</w:t>
      </w:r>
      <w:r w:rsidRPr="005A47BA">
        <w:rPr>
          <w:rFonts w:ascii="Century" w:hAnsi="Century" w:cs="FrankRuehl"/>
          <w:spacing w:val="10"/>
          <w:szCs w:val="28"/>
          <w:rtl/>
        </w:rPr>
        <w:t xml:space="preserve"> </w:t>
      </w:r>
      <w:r w:rsidRPr="005A47BA">
        <w:rPr>
          <w:rFonts w:ascii="Century" w:hAnsi="Century" w:cs="FrankRuehl" w:hint="eastAsia"/>
          <w:spacing w:val="10"/>
          <w:szCs w:val="28"/>
          <w:rtl/>
        </w:rPr>
        <w:t>בחזרתו</w:t>
      </w:r>
      <w:r w:rsidRPr="005A47BA">
        <w:rPr>
          <w:rFonts w:ascii="Century" w:hAnsi="Century" w:cs="FrankRuehl"/>
          <w:spacing w:val="10"/>
          <w:szCs w:val="28"/>
          <w:rtl/>
        </w:rPr>
        <w:t xml:space="preserve"> </w:t>
      </w:r>
      <w:r w:rsidRPr="005A47BA">
        <w:rPr>
          <w:rFonts w:ascii="Century" w:hAnsi="Century" w:cs="FrankRuehl" w:hint="eastAsia"/>
          <w:spacing w:val="10"/>
          <w:szCs w:val="28"/>
          <w:rtl/>
        </w:rPr>
        <w:t>של</w:t>
      </w:r>
      <w:r w:rsidRPr="005A47BA">
        <w:rPr>
          <w:rFonts w:ascii="Century" w:hAnsi="Century" w:cs="FrankRuehl"/>
          <w:spacing w:val="10"/>
          <w:szCs w:val="28"/>
          <w:rtl/>
        </w:rPr>
        <w:t xml:space="preserve"> </w:t>
      </w:r>
      <w:r w:rsidRPr="005A47BA">
        <w:rPr>
          <w:rFonts w:ascii="Century" w:hAnsi="Century" w:cs="FrankRuehl" w:hint="eastAsia"/>
          <w:spacing w:val="10"/>
          <w:szCs w:val="28"/>
          <w:rtl/>
        </w:rPr>
        <w:t>דרעי</w:t>
      </w:r>
      <w:r w:rsidRPr="005A47BA">
        <w:rPr>
          <w:rFonts w:ascii="Century" w:hAnsi="Century" w:cs="FrankRuehl"/>
          <w:spacing w:val="10"/>
          <w:szCs w:val="28"/>
          <w:rtl/>
        </w:rPr>
        <w:t xml:space="preserve"> </w:t>
      </w:r>
      <w:r w:rsidRPr="005A47BA">
        <w:rPr>
          <w:rFonts w:ascii="Century" w:hAnsi="Century" w:cs="FrankRuehl" w:hint="eastAsia"/>
          <w:spacing w:val="10"/>
          <w:szCs w:val="28"/>
          <w:rtl/>
        </w:rPr>
        <w:t>לכנסת</w:t>
      </w:r>
      <w:r>
        <w:rPr>
          <w:rFonts w:ascii="Century" w:hAnsi="Century" w:cs="FrankRuehl" w:hint="cs"/>
          <w:spacing w:val="10"/>
          <w:szCs w:val="28"/>
          <w:rtl/>
        </w:rPr>
        <w:t>,</w:t>
      </w:r>
      <w:r w:rsidRPr="005A47BA">
        <w:rPr>
          <w:rFonts w:ascii="Century" w:hAnsi="Century" w:cs="FrankRuehl"/>
          <w:spacing w:val="10"/>
          <w:szCs w:val="28"/>
          <w:rtl/>
        </w:rPr>
        <w:t xml:space="preserve"> מלמדים על </w:t>
      </w:r>
      <w:r>
        <w:rPr>
          <w:rFonts w:ascii="Century" w:hAnsi="Century" w:cs="FrankRuehl" w:hint="cs"/>
          <w:spacing w:val="10"/>
          <w:szCs w:val="28"/>
          <w:rtl/>
        </w:rPr>
        <w:t>תכניתו, כבר במועד גזר הדין,</w:t>
      </w:r>
      <w:r w:rsidRPr="005A47BA">
        <w:rPr>
          <w:rFonts w:ascii="Century" w:hAnsi="Century" w:cs="FrankRuehl"/>
          <w:spacing w:val="10"/>
          <w:szCs w:val="28"/>
          <w:rtl/>
        </w:rPr>
        <w:t xml:space="preserve"> לשוב ולפעול בזירה הציבורית והפוליטית בניגוד ל</w:t>
      </w:r>
      <w:r>
        <w:rPr>
          <w:rFonts w:ascii="Century" w:hAnsi="Century" w:cs="FrankRuehl" w:hint="cs"/>
          <w:spacing w:val="10"/>
          <w:szCs w:val="28"/>
          <w:rtl/>
        </w:rPr>
        <w:t xml:space="preserve">מצג שעליו הסתמך </w:t>
      </w:r>
      <w:r w:rsidRPr="005A47BA">
        <w:rPr>
          <w:rFonts w:ascii="Century" w:hAnsi="Century" w:cs="FrankRuehl"/>
          <w:spacing w:val="10"/>
          <w:szCs w:val="28"/>
          <w:rtl/>
        </w:rPr>
        <w:t xml:space="preserve">בית משפט השלום. </w:t>
      </w:r>
    </w:p>
    <w:p w14:paraId="3B0A1EAC" w14:textId="77777777" w:rsidR="00437A63" w:rsidRDefault="00437A63" w:rsidP="00437A63">
      <w:pPr>
        <w:pStyle w:val="af0"/>
        <w:spacing w:line="360" w:lineRule="auto"/>
        <w:ind w:left="0"/>
        <w:jc w:val="both"/>
        <w:rPr>
          <w:rFonts w:ascii="Century" w:hAnsi="Century" w:cs="FrankRuehl"/>
          <w:spacing w:val="10"/>
          <w:szCs w:val="28"/>
          <w:rtl/>
        </w:rPr>
      </w:pPr>
    </w:p>
    <w:p w14:paraId="0E47717F" w14:textId="77777777" w:rsidR="00437A63" w:rsidRDefault="00437A63" w:rsidP="00437A63">
      <w:pPr>
        <w:pStyle w:val="af0"/>
        <w:spacing w:line="360" w:lineRule="auto"/>
        <w:ind w:left="0" w:firstLine="720"/>
        <w:jc w:val="both"/>
        <w:rPr>
          <w:rFonts w:ascii="Century" w:hAnsi="Century" w:cs="FrankRuehl"/>
          <w:spacing w:val="10"/>
          <w:szCs w:val="28"/>
          <w:rtl/>
        </w:rPr>
      </w:pPr>
      <w:r>
        <w:rPr>
          <w:rFonts w:ascii="Century" w:hAnsi="Century" w:cs="FrankRuehl" w:hint="cs"/>
          <w:spacing w:val="10"/>
          <w:szCs w:val="28"/>
          <w:rtl/>
        </w:rPr>
        <w:t xml:space="preserve">בכלל זה, בבג"ץ 8948/22, שחלק ניכר מהטענות בו הוקדשו לסוגיה זו, נטען בין השאר כי </w:t>
      </w:r>
      <w:r>
        <w:rPr>
          <w:rFonts w:ascii="Century" w:hAnsi="Century" w:cs="FrankRuehl"/>
          <w:spacing w:val="10"/>
          <w:szCs w:val="28"/>
          <w:rtl/>
        </w:rPr>
        <w:t>–</w:t>
      </w:r>
    </w:p>
    <w:p w14:paraId="65D9D3C6" w14:textId="77777777" w:rsidR="00437A63" w:rsidRDefault="00437A63" w:rsidP="00437A63">
      <w:pPr>
        <w:pStyle w:val="af0"/>
        <w:spacing w:line="360" w:lineRule="auto"/>
        <w:ind w:left="0"/>
        <w:jc w:val="both"/>
        <w:rPr>
          <w:rFonts w:ascii="Century" w:hAnsi="Century" w:cs="FrankRuehl"/>
          <w:spacing w:val="10"/>
          <w:szCs w:val="28"/>
          <w:rtl/>
        </w:rPr>
      </w:pPr>
    </w:p>
    <w:p w14:paraId="709E4D6F" w14:textId="77777777" w:rsidR="00437A63" w:rsidRDefault="00437A63" w:rsidP="00437A63">
      <w:pPr>
        <w:pStyle w:val="Ruller5"/>
        <w:rPr>
          <w:rtl/>
        </w:rPr>
      </w:pPr>
      <w:r>
        <w:rPr>
          <w:rFonts w:ascii="Century" w:hAnsi="Century" w:hint="cs"/>
          <w:rtl/>
        </w:rPr>
        <w:t>"מינויו של [דרעי] לשר פנים וכן לכל תפקיד נוסף ברשות המבצעת תהווה ביזיון בית משפט והפרה בוטה של ההתחייבות שהשתמעה מדבריהם של [דרעי] ושל בא כוחו בפני בית המשפט...</w:t>
      </w:r>
      <w:r>
        <w:rPr>
          <w:rFonts w:hint="cs"/>
          <w:rtl/>
        </w:rPr>
        <w:t>" (בפסקה 36 לעתירה זו)</w:t>
      </w:r>
      <w:r w:rsidRPr="0085294E">
        <w:rPr>
          <w:rtl/>
        </w:rPr>
        <w:t>.</w:t>
      </w:r>
    </w:p>
    <w:p w14:paraId="040D9ADB" w14:textId="77777777" w:rsidR="00437A63" w:rsidRDefault="00437A63" w:rsidP="00437A63">
      <w:pPr>
        <w:pStyle w:val="af0"/>
        <w:spacing w:line="360" w:lineRule="auto"/>
        <w:ind w:left="0"/>
        <w:jc w:val="both"/>
        <w:rPr>
          <w:rFonts w:ascii="Century" w:hAnsi="Century" w:cs="FrankRuehl"/>
          <w:spacing w:val="10"/>
          <w:szCs w:val="28"/>
          <w:rtl/>
        </w:rPr>
      </w:pPr>
    </w:p>
    <w:p w14:paraId="18FA7D08"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spacing w:val="10"/>
          <w:szCs w:val="28"/>
          <w:rtl/>
        </w:rPr>
        <w:tab/>
      </w:r>
      <w:r>
        <w:rPr>
          <w:rFonts w:ascii="Century" w:hAnsi="Century" w:cs="FrankRuehl" w:hint="cs"/>
          <w:spacing w:val="10"/>
          <w:szCs w:val="28"/>
          <w:rtl/>
        </w:rPr>
        <w:t xml:space="preserve">עוד נטען כי </w:t>
      </w:r>
      <w:r>
        <w:rPr>
          <w:rFonts w:ascii="Century" w:hAnsi="Century" w:cs="FrankRuehl"/>
          <w:spacing w:val="10"/>
          <w:szCs w:val="28"/>
          <w:rtl/>
        </w:rPr>
        <w:t>–</w:t>
      </w:r>
    </w:p>
    <w:p w14:paraId="5C9B5B98" w14:textId="77777777" w:rsidR="00437A63" w:rsidRDefault="00437A63" w:rsidP="00437A63">
      <w:pPr>
        <w:pStyle w:val="af0"/>
        <w:spacing w:line="360" w:lineRule="auto"/>
        <w:ind w:left="0"/>
        <w:jc w:val="both"/>
        <w:rPr>
          <w:rFonts w:ascii="Century" w:hAnsi="Century" w:cs="FrankRuehl"/>
          <w:spacing w:val="10"/>
          <w:szCs w:val="28"/>
          <w:rtl/>
        </w:rPr>
      </w:pPr>
    </w:p>
    <w:p w14:paraId="4F15BF31" w14:textId="77777777" w:rsidR="00437A63" w:rsidRDefault="00437A63" w:rsidP="00437A63">
      <w:pPr>
        <w:pStyle w:val="Ruller5"/>
        <w:rPr>
          <w:rFonts w:ascii="Century" w:hAnsi="Century"/>
          <w:rtl/>
        </w:rPr>
      </w:pPr>
      <w:r>
        <w:rPr>
          <w:rFonts w:ascii="Century" w:hAnsi="Century" w:hint="cs"/>
          <w:rtl/>
        </w:rPr>
        <w:t>"התנהלות זו מחייבת את המסקנה לפיה התפטרותו מהכנסת, יומיים לפני הכרעת הדין במשפטו הפלילי, וההתחייבות שנתן לבית המשפט לעזיבת החיים הציבוריים, כפי שתוארו לעיל, נעשו אך ורק לשם השגת התועלות האישיות, כאמור.</w:t>
      </w:r>
    </w:p>
    <w:p w14:paraId="1054A700" w14:textId="77777777" w:rsidR="00437A63" w:rsidRPr="00763960" w:rsidRDefault="00437A63" w:rsidP="00437A63">
      <w:pPr>
        <w:pStyle w:val="Ruller5"/>
        <w:rPr>
          <w:rFonts w:ascii="Century" w:hAnsi="Century"/>
          <w:rtl/>
        </w:rPr>
      </w:pPr>
      <w:r>
        <w:rPr>
          <w:rFonts w:ascii="Century" w:hAnsi="Century" w:hint="cs"/>
          <w:rtl/>
        </w:rPr>
        <w:t>כל זאת כאשר מלכתחילה התכוון [דרעי] להפר באופן מידי את התחייבותו. לפיכך פעל [דרעי] במרמה, בתחבולה, בחוסר תום לב מוחלט, תוך הטעיה מכוונת של בית המשפט ומשיקולים זרים, בעת שאמר את דבריו לבית המשפט</w:t>
      </w:r>
      <w:r w:rsidRPr="00C46531">
        <w:rPr>
          <w:rFonts w:ascii="Century" w:hAnsi="Century" w:hint="cs"/>
          <w:rtl/>
        </w:rPr>
        <w:t>"</w:t>
      </w:r>
      <w:r>
        <w:rPr>
          <w:rFonts w:ascii="Century" w:hAnsi="Century" w:hint="cs"/>
          <w:rtl/>
        </w:rPr>
        <w:t xml:space="preserve"> (בפסקה 38 לעתירה זו)</w:t>
      </w:r>
      <w:r w:rsidRPr="00C46531">
        <w:rPr>
          <w:rFonts w:ascii="Century" w:hAnsi="Century" w:hint="cs"/>
          <w:rtl/>
        </w:rPr>
        <w:t>.</w:t>
      </w:r>
    </w:p>
    <w:p w14:paraId="1A976991" w14:textId="77777777" w:rsidR="00437A63" w:rsidRDefault="00437A63" w:rsidP="00437A63">
      <w:pPr>
        <w:pStyle w:val="af0"/>
        <w:spacing w:line="360" w:lineRule="auto"/>
        <w:ind w:left="0"/>
        <w:jc w:val="both"/>
        <w:rPr>
          <w:rFonts w:ascii="Century" w:hAnsi="Century" w:cs="FrankRuehl"/>
          <w:spacing w:val="10"/>
          <w:szCs w:val="28"/>
          <w:rtl/>
        </w:rPr>
      </w:pPr>
    </w:p>
    <w:p w14:paraId="3DB9ACDA" w14:textId="77777777" w:rsidR="00437A63" w:rsidRDefault="00437A63" w:rsidP="00437A63">
      <w:pPr>
        <w:pStyle w:val="af0"/>
        <w:spacing w:line="360" w:lineRule="auto"/>
        <w:ind w:left="0" w:firstLine="720"/>
        <w:jc w:val="both"/>
        <w:rPr>
          <w:rFonts w:ascii="Century" w:hAnsi="Century" w:cs="FrankRuehl"/>
          <w:spacing w:val="10"/>
          <w:szCs w:val="28"/>
          <w:rtl/>
        </w:rPr>
      </w:pPr>
      <w:r w:rsidRPr="00194908">
        <w:rPr>
          <w:rFonts w:ascii="Century" w:hAnsi="Century" w:cs="FrankRuehl" w:hint="cs"/>
          <w:spacing w:val="10"/>
          <w:szCs w:val="28"/>
          <w:rtl/>
        </w:rPr>
        <w:t>בבג"ץ 8982/22 הועלו טענות דומות</w:t>
      </w:r>
      <w:r>
        <w:rPr>
          <w:rFonts w:ascii="Century" w:hAnsi="Century" w:cs="FrankRuehl" w:hint="cs"/>
          <w:spacing w:val="10"/>
          <w:szCs w:val="28"/>
          <w:rtl/>
        </w:rPr>
        <w:t xml:space="preserve">, בדגשים מעט שונים, כך נטען </w:t>
      </w:r>
      <w:r>
        <w:rPr>
          <w:rFonts w:ascii="Century" w:hAnsi="Century" w:cs="FrankRuehl"/>
          <w:spacing w:val="10"/>
          <w:szCs w:val="28"/>
          <w:rtl/>
        </w:rPr>
        <w:t>–</w:t>
      </w:r>
    </w:p>
    <w:p w14:paraId="1729047C" w14:textId="77777777" w:rsidR="00437A63" w:rsidRPr="00194908" w:rsidRDefault="00437A63" w:rsidP="00437A63">
      <w:pPr>
        <w:pStyle w:val="af0"/>
        <w:spacing w:line="360" w:lineRule="auto"/>
        <w:ind w:left="0" w:firstLine="720"/>
        <w:jc w:val="both"/>
        <w:rPr>
          <w:rFonts w:ascii="Century" w:hAnsi="Century" w:cs="FrankRuehl"/>
          <w:spacing w:val="10"/>
          <w:szCs w:val="28"/>
          <w:rtl/>
        </w:rPr>
      </w:pPr>
    </w:p>
    <w:p w14:paraId="1B9DC1FF" w14:textId="77777777" w:rsidR="00437A63" w:rsidRDefault="00437A63" w:rsidP="00437A63">
      <w:pPr>
        <w:pStyle w:val="Ruller5"/>
        <w:rPr>
          <w:rFonts w:ascii="Century" w:hAnsi="Century"/>
          <w:rtl/>
        </w:rPr>
      </w:pPr>
      <w:r>
        <w:rPr>
          <w:rFonts w:ascii="Century" w:hAnsi="Century" w:hint="cs"/>
          <w:rtl/>
        </w:rPr>
        <w:t>"</w:t>
      </w:r>
      <w:r>
        <w:rPr>
          <w:rFonts w:hint="cs"/>
          <w:rtl/>
        </w:rPr>
        <w:t xml:space="preserve">בעת הדיון באישור הסדר הטיעון בתיק עבירות המס הצהיר [דרעי] בפני בית המשפט דברים, אשר ניתן היה ללמוד מהם כי בכוונתו לפרוש מן החיים הציבוריים. </w:t>
      </w:r>
      <w:r>
        <w:rPr>
          <w:rFonts w:hint="cs"/>
          <w:rtl/>
        </w:rPr>
        <w:lastRenderedPageBreak/>
        <w:t>דומה, כי כך הובנו דבריו גם ע"י ב"כ המאשימה... נוסח הדברים... אף הביא את כב' הנשיא הרבסט לקבוע כי ניתן '</w:t>
      </w:r>
      <w:r>
        <w:rPr>
          <w:rFonts w:ascii="Century" w:hAnsi="Century" w:cs="Miriam" w:hint="cs"/>
          <w:b/>
          <w:spacing w:val="0"/>
          <w:szCs w:val="24"/>
          <w:rtl/>
        </w:rPr>
        <w:t>לומר בוודאות כי הנאשם לא ייגע עוד בצרכי ציבור הכורכים בתוכם עיסוק כלכלי</w:t>
      </w:r>
      <w:r>
        <w:rPr>
          <w:rFonts w:ascii="Century" w:hAnsi="Century" w:hint="cs"/>
          <w:rtl/>
        </w:rPr>
        <w:t>'...</w:t>
      </w:r>
    </w:p>
    <w:p w14:paraId="0E2808EA" w14:textId="77777777" w:rsidR="00437A63" w:rsidRDefault="00437A63" w:rsidP="00437A63">
      <w:pPr>
        <w:pStyle w:val="Ruller5"/>
        <w:rPr>
          <w:rFonts w:ascii="Century" w:hAnsi="Century"/>
          <w:rtl/>
        </w:rPr>
      </w:pPr>
      <w:r>
        <w:rPr>
          <w:rFonts w:hint="cs"/>
          <w:rtl/>
        </w:rPr>
        <w:t xml:space="preserve">הצהרותיו של [דרעי] בדבר כוונת פרישה מן החיים הציבוריים הובילו לקבלת הסדר הטיעון, ואפשר שאף להקלה בעונשו. לפיכך </w:t>
      </w:r>
      <w:r>
        <w:rPr>
          <w:rFonts w:ascii="Century" w:hAnsi="Century" w:cs="Miriam" w:hint="cs"/>
          <w:b/>
          <w:spacing w:val="0"/>
          <w:szCs w:val="24"/>
          <w:rtl/>
        </w:rPr>
        <w:t>מושתק [דרעי] היום מלטעון בדבר זכותו לבחור ולהיבחר לתפקיד שר</w:t>
      </w:r>
      <w:r>
        <w:rPr>
          <w:rFonts w:ascii="Century" w:hAnsi="Century" w:hint="cs"/>
          <w:rtl/>
        </w:rPr>
        <w:t>" (בפסקאות 59 ו-62 לעתירה זו, ההדגשות במקור).</w:t>
      </w:r>
    </w:p>
    <w:p w14:paraId="30EAB21B" w14:textId="77777777" w:rsidR="00437A63" w:rsidRDefault="00437A63" w:rsidP="00437A63">
      <w:pPr>
        <w:pStyle w:val="af0"/>
        <w:spacing w:line="360" w:lineRule="auto"/>
        <w:ind w:left="0"/>
        <w:jc w:val="both"/>
        <w:rPr>
          <w:rFonts w:ascii="FrankRuehl" w:hAnsi="FrankRuehl" w:cs="FrankRuehl"/>
          <w:sz w:val="28"/>
          <w:szCs w:val="28"/>
          <w:rtl/>
        </w:rPr>
      </w:pPr>
    </w:p>
    <w:p w14:paraId="36BF7905"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15</w:t>
      </w:r>
      <w:r w:rsidRPr="00A46782">
        <w:rPr>
          <w:rFonts w:ascii="Century" w:hAnsi="Century" w:cs="FrankRuehl" w:hint="cs"/>
          <w:spacing w:val="10"/>
          <w:szCs w:val="28"/>
          <w:rtl/>
        </w:rPr>
        <w:t>.</w:t>
      </w:r>
      <w:r w:rsidRPr="00A46782">
        <w:rPr>
          <w:rFonts w:ascii="Century" w:hAnsi="Century" w:cs="FrankRuehl" w:hint="cs"/>
          <w:spacing w:val="10"/>
          <w:szCs w:val="28"/>
          <w:rtl/>
        </w:rPr>
        <w:tab/>
      </w:r>
      <w:r>
        <w:rPr>
          <w:rFonts w:ascii="Century" w:hAnsi="Century" w:cs="FrankRuehl" w:hint="cs"/>
          <w:spacing w:val="10"/>
          <w:szCs w:val="28"/>
          <w:rtl/>
        </w:rPr>
        <w:t xml:space="preserve">מנגד, בתשובתו לעתירות דוחה דרעי כל טענה למצג שווא שהופנה מצדו כלפי רשויות התביעה או בית המשפט עצמו, וטוען כי אין שחר לניסיונם של העותרים להרחיב את הודעתו בדבר ההתפטרות מהכנסת ולציירה כהודעה על פרישה מהחיים הפוליטיים לצמיתות. דרעי מוסיף כי לשיטתו "אין כל מקום לבנות תילי תילים של עתירות וטענות מרחיקות לכת על יסוד אי הבנה וטעות שאולי נפלה בגזר הדין" (פסקה 107 לתשובה). הוא אף מדגיש כי הדברים שנאמרו מטעמו בבית משפט השלום, כמו גם בבג"ץ 8954/21 שנזכר לעיל, "אינם מתיישבים כלל עם מצג על פרישה </w:t>
      </w:r>
      <w:r>
        <w:rPr>
          <w:rFonts w:ascii="Century" w:hAnsi="Century" w:cs="Miriam" w:hint="cs"/>
          <w:b/>
          <w:rtl/>
        </w:rPr>
        <w:t>לצמיתות</w:t>
      </w:r>
      <w:r>
        <w:rPr>
          <w:rFonts w:ascii="Century" w:hAnsi="Century" w:cs="FrankRuehl" w:hint="cs"/>
          <w:spacing w:val="10"/>
          <w:szCs w:val="28"/>
          <w:rtl/>
        </w:rPr>
        <w:t xml:space="preserve"> מהחיים הפוליטיים, אלא מלמדים דווקא על התפטרות </w:t>
      </w:r>
      <w:r>
        <w:rPr>
          <w:rFonts w:ascii="Century" w:hAnsi="Century" w:cs="Miriam" w:hint="cs"/>
          <w:b/>
          <w:rtl/>
        </w:rPr>
        <w:t>לתקופת זמן לא ידועה</w:t>
      </w:r>
      <w:r>
        <w:rPr>
          <w:rFonts w:ascii="Century" w:hAnsi="Century" w:cs="FrankRuehl" w:hint="cs"/>
          <w:spacing w:val="10"/>
          <w:szCs w:val="28"/>
          <w:rtl/>
        </w:rPr>
        <w:t xml:space="preserve">, תוך צפי לחזרה אפשרית בעתיד" (פסקה 114 לתשובה, ההדגשות במקור). </w:t>
      </w:r>
    </w:p>
    <w:p w14:paraId="6A928C08" w14:textId="77777777" w:rsidR="00437A63" w:rsidRPr="000E0C4D" w:rsidRDefault="00437A63" w:rsidP="00437A63">
      <w:pPr>
        <w:pStyle w:val="af0"/>
        <w:spacing w:line="360" w:lineRule="auto"/>
        <w:ind w:left="0"/>
        <w:jc w:val="both"/>
        <w:rPr>
          <w:rFonts w:ascii="Century" w:hAnsi="Century" w:cs="FrankRuehl"/>
          <w:spacing w:val="10"/>
          <w:szCs w:val="28"/>
          <w:rtl/>
        </w:rPr>
      </w:pPr>
    </w:p>
    <w:p w14:paraId="1312F93C" w14:textId="77777777" w:rsidR="00437A63" w:rsidRPr="004B1E65" w:rsidRDefault="00437A63" w:rsidP="00437A63">
      <w:pPr>
        <w:pStyle w:val="Ruller41"/>
        <w:rPr>
          <w:rFonts w:eastAsia="Calibri" w:cs="Arial TUR"/>
          <w:rtl/>
        </w:rPr>
      </w:pPr>
      <w:r>
        <w:rPr>
          <w:rFonts w:ascii="Century" w:hAnsi="Century" w:hint="cs"/>
          <w:rtl/>
        </w:rPr>
        <w:t>16.</w:t>
      </w:r>
      <w:r>
        <w:rPr>
          <w:rFonts w:ascii="Century" w:hAnsi="Century" w:hint="cs"/>
          <w:rtl/>
        </w:rPr>
        <w:tab/>
        <w:t xml:space="preserve">בהמשך לכך, </w:t>
      </w:r>
      <w:r w:rsidRPr="00A46782">
        <w:rPr>
          <w:rFonts w:ascii="Century" w:hAnsi="Century" w:hint="cs"/>
          <w:rtl/>
        </w:rPr>
        <w:t xml:space="preserve">בדיון שהתקיים בפנינו </w:t>
      </w:r>
      <w:r>
        <w:rPr>
          <w:rFonts w:ascii="Century" w:hAnsi="Century" w:hint="cs"/>
          <w:rtl/>
        </w:rPr>
        <w:t>שב וטען</w:t>
      </w:r>
      <w:r w:rsidRPr="00A46782">
        <w:rPr>
          <w:rFonts w:ascii="Century" w:hAnsi="Century" w:hint="cs"/>
          <w:rtl/>
        </w:rPr>
        <w:t xml:space="preserve"> בא-כוחו של דרעי </w:t>
      </w:r>
      <w:r>
        <w:rPr>
          <w:rFonts w:ascii="Century" w:hAnsi="Century" w:hint="cs"/>
          <w:rtl/>
        </w:rPr>
        <w:t>כי הסדר הטיעון בעניינו</w:t>
      </w:r>
      <w:r w:rsidRPr="00A46782">
        <w:rPr>
          <w:rFonts w:ascii="Century" w:hAnsi="Century" w:hint="cs"/>
          <w:rtl/>
        </w:rPr>
        <w:t xml:space="preserve"> לא כלל שום התחייבות בעניין זה, באומרו כי "דרעי לא התחייב מעולם ולא הציג</w:t>
      </w:r>
      <w:r>
        <w:rPr>
          <w:rFonts w:ascii="Century" w:hAnsi="Century" w:hint="cs"/>
          <w:rtl/>
        </w:rPr>
        <w:t>ו</w:t>
      </w:r>
      <w:r w:rsidRPr="00A46782">
        <w:rPr>
          <w:rFonts w:ascii="Century" w:hAnsi="Century" w:hint="cs"/>
          <w:rtl/>
        </w:rPr>
        <w:t xml:space="preserve"> </w:t>
      </w:r>
      <w:r>
        <w:rPr>
          <w:rFonts w:ascii="Century" w:hAnsi="Century" w:hint="cs"/>
          <w:rtl/>
        </w:rPr>
        <w:t xml:space="preserve">[כך במקור – </w:t>
      </w:r>
      <w:r w:rsidRPr="00A55866">
        <w:rPr>
          <w:rFonts w:ascii="Century" w:hAnsi="Century" w:cs="Miriam" w:hint="eastAsia"/>
          <w:b/>
          <w:spacing w:val="0"/>
          <w:szCs w:val="24"/>
          <w:rtl/>
        </w:rPr>
        <w:t>ד</w:t>
      </w:r>
      <w:r w:rsidRPr="00A55866">
        <w:rPr>
          <w:rFonts w:ascii="Century" w:hAnsi="Century" w:cs="Miriam"/>
          <w:b/>
          <w:spacing w:val="0"/>
          <w:szCs w:val="24"/>
          <w:rtl/>
        </w:rPr>
        <w:t xml:space="preserve">' </w:t>
      </w:r>
      <w:r w:rsidRPr="00A55866">
        <w:rPr>
          <w:rFonts w:ascii="Century" w:hAnsi="Century" w:cs="Miriam" w:hint="eastAsia"/>
          <w:b/>
          <w:spacing w:val="0"/>
          <w:szCs w:val="24"/>
          <w:rtl/>
        </w:rPr>
        <w:t>ב</w:t>
      </w:r>
      <w:r w:rsidRPr="00A55866">
        <w:rPr>
          <w:rFonts w:ascii="Century" w:hAnsi="Century" w:cs="Miriam"/>
          <w:b/>
          <w:spacing w:val="0"/>
          <w:szCs w:val="24"/>
          <w:rtl/>
        </w:rPr>
        <w:t xml:space="preserve">' </w:t>
      </w:r>
      <w:r w:rsidRPr="00A55866">
        <w:rPr>
          <w:rFonts w:ascii="Century" w:hAnsi="Century" w:cs="Miriam" w:hint="eastAsia"/>
          <w:b/>
          <w:spacing w:val="0"/>
          <w:szCs w:val="24"/>
          <w:rtl/>
        </w:rPr>
        <w:t>א</w:t>
      </w:r>
      <w:r w:rsidRPr="00A55866">
        <w:rPr>
          <w:rFonts w:ascii="Century" w:hAnsi="Century" w:cs="Miriam"/>
          <w:b/>
          <w:spacing w:val="0"/>
          <w:szCs w:val="24"/>
          <w:rtl/>
        </w:rPr>
        <w:t>'</w:t>
      </w:r>
      <w:r>
        <w:rPr>
          <w:rFonts w:ascii="Century" w:hAnsi="Century" w:hint="cs"/>
          <w:rtl/>
        </w:rPr>
        <w:t xml:space="preserve">] </w:t>
      </w:r>
      <w:r w:rsidRPr="00A46782">
        <w:rPr>
          <w:rFonts w:ascii="Century" w:hAnsi="Century" w:hint="cs"/>
          <w:rtl/>
        </w:rPr>
        <w:t>לנו מעולם מצג של פרישה לצמיתות מחיים פוליטיים... הסדר הטיעון נסגר ונושא הפרישה לא היה חלק ממנו"</w:t>
      </w:r>
      <w:r>
        <w:rPr>
          <w:rFonts w:ascii="Century" w:hAnsi="Century" w:hint="cs"/>
          <w:rtl/>
        </w:rPr>
        <w:t xml:space="preserve"> (עמ' 24-23 לפרוטוקול הדיון בפנינו)</w:t>
      </w:r>
      <w:r w:rsidRPr="00A46782">
        <w:rPr>
          <w:rFonts w:ascii="Century" w:hAnsi="Century" w:hint="cs"/>
          <w:rtl/>
        </w:rPr>
        <w:t>.</w:t>
      </w:r>
      <w:r>
        <w:rPr>
          <w:rFonts w:ascii="Century" w:hAnsi="Century" w:hint="cs"/>
          <w:rtl/>
        </w:rPr>
        <w:t xml:space="preserve"> בא-כוחו של דרעי ציין כי אף נציגי הפרקליטות הבינו את הדברים כך. כמו כן, הוא חזר וטען כי הבהרתו בבית משפט השלום לעניין ההפסד הכספי שצפוי להיגרם לדרעי נבעה מהצפי להמשך כהונתה של הממשלה דאז, לתקופה של שלוש או ארבע שנים נוספות. במובן זה נטען כי </w:t>
      </w:r>
      <w:r w:rsidRPr="00A46782">
        <w:rPr>
          <w:rFonts w:ascii="Century" w:hAnsi="Century" w:hint="cs"/>
          <w:rtl/>
        </w:rPr>
        <w:t xml:space="preserve">חזרתו הזריזה לחיים הפוליטיים </w:t>
      </w:r>
      <w:r>
        <w:rPr>
          <w:rFonts w:ascii="Century" w:hAnsi="Century" w:hint="cs"/>
          <w:rtl/>
        </w:rPr>
        <w:t xml:space="preserve">היא תולדה של </w:t>
      </w:r>
      <w:r w:rsidRPr="00A46782">
        <w:rPr>
          <w:rFonts w:ascii="Century" w:hAnsi="Century" w:hint="cs"/>
          <w:rtl/>
        </w:rPr>
        <w:t>התפזרות</w:t>
      </w:r>
      <w:r>
        <w:rPr>
          <w:rFonts w:ascii="Century" w:hAnsi="Century" w:hint="cs"/>
          <w:rtl/>
        </w:rPr>
        <w:t>ה הלא צפויה</w:t>
      </w:r>
      <w:r w:rsidRPr="00A46782">
        <w:rPr>
          <w:rFonts w:ascii="Century" w:hAnsi="Century" w:hint="cs"/>
          <w:rtl/>
        </w:rPr>
        <w:t xml:space="preserve"> </w:t>
      </w:r>
      <w:r>
        <w:rPr>
          <w:rFonts w:ascii="Century" w:hAnsi="Century" w:hint="cs"/>
          <w:rtl/>
        </w:rPr>
        <w:t xml:space="preserve">של </w:t>
      </w:r>
      <w:r w:rsidRPr="00A46782">
        <w:rPr>
          <w:rFonts w:ascii="Century" w:hAnsi="Century" w:hint="cs"/>
          <w:rtl/>
        </w:rPr>
        <w:t>הכנסת חודשים אחדים לאחר מכן.</w:t>
      </w:r>
      <w:r>
        <w:rPr>
          <w:rFonts w:ascii="Century" w:hAnsi="Century" w:hint="cs"/>
          <w:rtl/>
        </w:rPr>
        <w:t xml:space="preserve"> לצד דברים אלו, בהתייחסו ללשונו של גזר הדין ובמענה לשאלות בית המשפט, מצא בא-כוחו של דרעי להבהיר כי ייתכן שניסוח הדברים בבית משפט השלום היה "</w:t>
      </w:r>
      <w:r w:rsidRPr="00067C99">
        <w:rPr>
          <w:rFonts w:ascii="Century" w:hAnsi="Century" w:cs="Miriam" w:hint="eastAsia"/>
          <w:b/>
          <w:szCs w:val="24"/>
          <w:rtl/>
        </w:rPr>
        <w:t>לא</w:t>
      </w:r>
      <w:r w:rsidRPr="00067C99">
        <w:rPr>
          <w:rFonts w:ascii="Century" w:hAnsi="Century" w:cs="Miriam"/>
          <w:b/>
          <w:szCs w:val="24"/>
          <w:rtl/>
        </w:rPr>
        <w:t xml:space="preserve"> </w:t>
      </w:r>
      <w:r w:rsidRPr="00067C99">
        <w:rPr>
          <w:rFonts w:ascii="Century" w:hAnsi="Century" w:cs="Miriam" w:hint="eastAsia"/>
          <w:b/>
          <w:szCs w:val="24"/>
          <w:rtl/>
        </w:rPr>
        <w:t>מוצלח</w:t>
      </w:r>
      <w:r>
        <w:rPr>
          <w:rFonts w:ascii="Century" w:hAnsi="Century" w:hint="cs"/>
          <w:rtl/>
        </w:rPr>
        <w:t>" וכי מדובר ב"</w:t>
      </w:r>
      <w:r w:rsidRPr="00067C99">
        <w:rPr>
          <w:rFonts w:ascii="Century" w:hAnsi="Century" w:cs="Miriam" w:hint="eastAsia"/>
          <w:b/>
          <w:szCs w:val="24"/>
          <w:rtl/>
        </w:rPr>
        <w:t>אירוע</w:t>
      </w:r>
      <w:r w:rsidRPr="00067C99">
        <w:rPr>
          <w:rFonts w:ascii="Century" w:hAnsi="Century" w:cs="Miriam"/>
          <w:b/>
          <w:szCs w:val="24"/>
          <w:rtl/>
        </w:rPr>
        <w:t xml:space="preserve"> </w:t>
      </w:r>
      <w:r w:rsidRPr="00067C99">
        <w:rPr>
          <w:rFonts w:ascii="Century" w:hAnsi="Century" w:cs="Miriam" w:hint="eastAsia"/>
          <w:b/>
          <w:szCs w:val="24"/>
          <w:rtl/>
        </w:rPr>
        <w:t>נדיר</w:t>
      </w:r>
      <w:r w:rsidRPr="00067C99">
        <w:rPr>
          <w:rFonts w:ascii="Century" w:hAnsi="Century" w:cs="Miriam"/>
          <w:b/>
          <w:szCs w:val="24"/>
          <w:rtl/>
        </w:rPr>
        <w:t xml:space="preserve"> </w:t>
      </w:r>
      <w:r w:rsidRPr="00067C99">
        <w:rPr>
          <w:rFonts w:ascii="Century" w:hAnsi="Century" w:cs="Miriam" w:hint="eastAsia"/>
          <w:b/>
          <w:szCs w:val="24"/>
          <w:rtl/>
        </w:rPr>
        <w:t>של</w:t>
      </w:r>
      <w:r w:rsidRPr="00067C99">
        <w:rPr>
          <w:rFonts w:ascii="Century" w:hAnsi="Century" w:cs="Miriam"/>
          <w:b/>
          <w:szCs w:val="24"/>
          <w:rtl/>
        </w:rPr>
        <w:t xml:space="preserve"> </w:t>
      </w:r>
      <w:r w:rsidRPr="00067C99">
        <w:rPr>
          <w:rFonts w:ascii="Century" w:hAnsi="Century" w:cs="Miriam" w:hint="eastAsia"/>
          <w:b/>
          <w:szCs w:val="24"/>
          <w:rtl/>
        </w:rPr>
        <w:t>אי</w:t>
      </w:r>
      <w:r w:rsidRPr="00067C99">
        <w:rPr>
          <w:rFonts w:ascii="Century" w:hAnsi="Century" w:cs="Miriam"/>
          <w:b/>
          <w:szCs w:val="24"/>
          <w:rtl/>
        </w:rPr>
        <w:t xml:space="preserve"> </w:t>
      </w:r>
      <w:r w:rsidRPr="00067C99">
        <w:rPr>
          <w:rFonts w:ascii="Century" w:hAnsi="Century" w:cs="Miriam" w:hint="eastAsia"/>
          <w:b/>
          <w:szCs w:val="24"/>
          <w:rtl/>
        </w:rPr>
        <w:t>הבנה</w:t>
      </w:r>
      <w:r>
        <w:rPr>
          <w:rFonts w:ascii="Century" w:hAnsi="Century" w:hint="cs"/>
          <w:rtl/>
        </w:rPr>
        <w:t xml:space="preserve">" </w:t>
      </w:r>
      <w:proofErr w:type="spellStart"/>
      <w:r>
        <w:rPr>
          <w:rFonts w:ascii="Century" w:hAnsi="Century" w:hint="cs"/>
          <w:rtl/>
        </w:rPr>
        <w:t>וב"</w:t>
      </w:r>
      <w:r w:rsidRPr="004B1E65">
        <w:rPr>
          <w:rFonts w:ascii="Century" w:eastAsia="Calibri" w:hAnsi="Century" w:cs="Miriam"/>
          <w:b/>
          <w:spacing w:val="0"/>
          <w:szCs w:val="24"/>
          <w:rtl/>
        </w:rPr>
        <w:t>קֶצֶר</w:t>
      </w:r>
      <w:proofErr w:type="spellEnd"/>
      <w:r>
        <w:rPr>
          <w:rFonts w:ascii="Century" w:hAnsi="Century" w:hint="cs"/>
          <w:rtl/>
        </w:rPr>
        <w:t xml:space="preserve">" שעליו יש להצר, אך מכל מקום לשיטתו אין מדובר בהטעיה. </w:t>
      </w:r>
    </w:p>
    <w:p w14:paraId="59F01C9B" w14:textId="77777777" w:rsidR="00437A63" w:rsidRDefault="00437A63" w:rsidP="00437A63">
      <w:pPr>
        <w:pStyle w:val="af0"/>
        <w:spacing w:line="360" w:lineRule="auto"/>
        <w:ind w:left="0"/>
        <w:jc w:val="both"/>
        <w:rPr>
          <w:rFonts w:ascii="FrankRuehl" w:hAnsi="FrankRuehl" w:cs="FrankRuehl"/>
          <w:sz w:val="28"/>
          <w:szCs w:val="28"/>
          <w:rtl/>
        </w:rPr>
      </w:pPr>
    </w:p>
    <w:p w14:paraId="6B864DC8"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17</w:t>
      </w:r>
      <w:r w:rsidRPr="000D390B">
        <w:rPr>
          <w:rFonts w:ascii="Century" w:hAnsi="Century" w:cs="FrankRuehl"/>
          <w:spacing w:val="10"/>
          <w:szCs w:val="28"/>
          <w:rtl/>
        </w:rPr>
        <w:t xml:space="preserve">. </w:t>
      </w:r>
      <w:r w:rsidRPr="000D390B">
        <w:rPr>
          <w:rFonts w:ascii="Century" w:hAnsi="Century" w:cs="FrankRuehl"/>
          <w:spacing w:val="10"/>
          <w:szCs w:val="28"/>
          <w:rtl/>
        </w:rPr>
        <w:tab/>
      </w:r>
      <w:r w:rsidRPr="000D390B">
        <w:rPr>
          <w:rFonts w:ascii="Century" w:hAnsi="Century" w:cs="FrankRuehl" w:hint="eastAsia"/>
          <w:spacing w:val="10"/>
          <w:szCs w:val="28"/>
          <w:rtl/>
        </w:rPr>
        <w:t>כעת</w:t>
      </w:r>
      <w:r w:rsidRPr="000D390B">
        <w:rPr>
          <w:rFonts w:ascii="Century" w:hAnsi="Century" w:cs="FrankRuehl"/>
          <w:spacing w:val="10"/>
          <w:szCs w:val="28"/>
          <w:rtl/>
        </w:rPr>
        <w:t xml:space="preserve">, השאלה שמתעוררת היא באיזה מובן </w:t>
      </w:r>
      <w:r w:rsidRPr="000D390B">
        <w:rPr>
          <w:rFonts w:ascii="Century" w:hAnsi="Century" w:cs="FrankRuehl" w:hint="eastAsia"/>
          <w:spacing w:val="10"/>
          <w:szCs w:val="28"/>
          <w:rtl/>
        </w:rPr>
        <w:t>יש</w:t>
      </w:r>
      <w:r w:rsidRPr="000D390B">
        <w:rPr>
          <w:rFonts w:ascii="Century" w:hAnsi="Century" w:cs="FrankRuehl"/>
          <w:spacing w:val="10"/>
          <w:szCs w:val="28"/>
          <w:rtl/>
        </w:rPr>
        <w:t xml:space="preserve"> בעובדות אלה </w:t>
      </w:r>
      <w:r>
        <w:rPr>
          <w:rFonts w:ascii="Century" w:hAnsi="Century" w:cs="FrankRuehl" w:hint="cs"/>
          <w:spacing w:val="10"/>
          <w:szCs w:val="28"/>
          <w:rtl/>
        </w:rPr>
        <w:t xml:space="preserve">כדי </w:t>
      </w:r>
      <w:r w:rsidRPr="000D390B">
        <w:rPr>
          <w:rFonts w:ascii="Century" w:hAnsi="Century" w:cs="FrankRuehl"/>
          <w:spacing w:val="10"/>
          <w:szCs w:val="28"/>
          <w:rtl/>
        </w:rPr>
        <w:t xml:space="preserve">להשליך על </w:t>
      </w:r>
      <w:r>
        <w:rPr>
          <w:rFonts w:ascii="Century" w:hAnsi="Century" w:cs="FrankRuehl" w:hint="cs"/>
          <w:spacing w:val="10"/>
          <w:szCs w:val="28"/>
          <w:rtl/>
        </w:rPr>
        <w:t xml:space="preserve">מינויו של </w:t>
      </w:r>
      <w:r w:rsidRPr="000D390B">
        <w:rPr>
          <w:rFonts w:ascii="Century" w:hAnsi="Century" w:cs="FrankRuehl"/>
          <w:spacing w:val="10"/>
          <w:szCs w:val="28"/>
          <w:rtl/>
        </w:rPr>
        <w:t xml:space="preserve">דרעי </w:t>
      </w:r>
      <w:r>
        <w:rPr>
          <w:rFonts w:ascii="Century" w:hAnsi="Century" w:cs="FrankRuehl" w:hint="cs"/>
          <w:spacing w:val="10"/>
          <w:szCs w:val="28"/>
          <w:rtl/>
        </w:rPr>
        <w:t>כ</w:t>
      </w:r>
      <w:r w:rsidRPr="000D390B">
        <w:rPr>
          <w:rFonts w:ascii="Century" w:hAnsi="Century" w:cs="FrankRuehl"/>
          <w:spacing w:val="10"/>
          <w:szCs w:val="28"/>
          <w:rtl/>
        </w:rPr>
        <w:t xml:space="preserve">שר בממשלה, ובהתאמה על החלטתו </w:t>
      </w:r>
      <w:r w:rsidRPr="000D390B">
        <w:rPr>
          <w:rFonts w:ascii="Century" w:hAnsi="Century" w:cs="FrankRuehl" w:hint="eastAsia"/>
          <w:spacing w:val="10"/>
          <w:szCs w:val="28"/>
          <w:rtl/>
        </w:rPr>
        <w:t>שלו</w:t>
      </w:r>
      <w:r w:rsidRPr="000D390B">
        <w:rPr>
          <w:rFonts w:ascii="Century" w:hAnsi="Century" w:cs="FrankRuehl"/>
          <w:spacing w:val="10"/>
          <w:szCs w:val="28"/>
          <w:rtl/>
        </w:rPr>
        <w:t xml:space="preserve"> </w:t>
      </w:r>
      <w:r w:rsidRPr="000D390B">
        <w:rPr>
          <w:rFonts w:ascii="Century" w:hAnsi="Century" w:cs="FrankRuehl" w:hint="eastAsia"/>
          <w:spacing w:val="10"/>
          <w:szCs w:val="28"/>
          <w:rtl/>
        </w:rPr>
        <w:t>לקבל</w:t>
      </w:r>
      <w:r w:rsidRPr="000D390B">
        <w:rPr>
          <w:rFonts w:ascii="Century" w:hAnsi="Century" w:cs="FrankRuehl"/>
          <w:spacing w:val="10"/>
          <w:szCs w:val="28"/>
          <w:rtl/>
        </w:rPr>
        <w:t xml:space="preserve"> על עצמו תפקיד </w:t>
      </w:r>
      <w:r w:rsidRPr="000D390B">
        <w:rPr>
          <w:rFonts w:ascii="Century" w:hAnsi="Century" w:cs="FrankRuehl" w:hint="eastAsia"/>
          <w:spacing w:val="10"/>
          <w:szCs w:val="28"/>
          <w:rtl/>
        </w:rPr>
        <w:t>זה</w:t>
      </w:r>
      <w:r w:rsidRPr="000D390B">
        <w:rPr>
          <w:rFonts w:ascii="Century" w:hAnsi="Century" w:cs="FrankRuehl"/>
          <w:spacing w:val="10"/>
          <w:szCs w:val="28"/>
          <w:rtl/>
        </w:rPr>
        <w:t>.</w:t>
      </w:r>
    </w:p>
    <w:p w14:paraId="1A62EBF1" w14:textId="77777777" w:rsidR="00437A63" w:rsidRDefault="00437A63" w:rsidP="00437A63">
      <w:pPr>
        <w:pStyle w:val="af0"/>
        <w:spacing w:line="360" w:lineRule="auto"/>
        <w:ind w:left="0"/>
        <w:jc w:val="both"/>
        <w:rPr>
          <w:rFonts w:ascii="FrankRuehl" w:hAnsi="FrankRuehl" w:cs="FrankRuehl"/>
          <w:sz w:val="28"/>
          <w:szCs w:val="28"/>
          <w:rtl/>
        </w:rPr>
      </w:pPr>
    </w:p>
    <w:p w14:paraId="600240CF" w14:textId="77777777" w:rsidR="00437A63"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hint="cs"/>
          <w:sz w:val="28"/>
          <w:szCs w:val="28"/>
          <w:rtl/>
        </w:rPr>
        <w:lastRenderedPageBreak/>
        <w:t xml:space="preserve">18. </w:t>
      </w:r>
      <w:r>
        <w:rPr>
          <w:rFonts w:ascii="FrankRuehl" w:hAnsi="FrankRuehl" w:cs="FrankRuehl" w:hint="cs"/>
          <w:sz w:val="28"/>
          <w:szCs w:val="28"/>
          <w:rtl/>
        </w:rPr>
        <w:tab/>
      </w:r>
      <w:r w:rsidRPr="000D390B">
        <w:rPr>
          <w:rFonts w:ascii="Century" w:hAnsi="Century" w:cs="FrankRuehl" w:hint="eastAsia"/>
          <w:spacing w:val="10"/>
          <w:szCs w:val="28"/>
          <w:rtl/>
        </w:rPr>
        <w:t>כפי</w:t>
      </w:r>
      <w:r w:rsidRPr="000D390B">
        <w:rPr>
          <w:rFonts w:ascii="Century" w:hAnsi="Century" w:cs="FrankRuehl"/>
          <w:spacing w:val="10"/>
          <w:szCs w:val="28"/>
          <w:rtl/>
        </w:rPr>
        <w:t xml:space="preserve"> שציינתי בפתח דברי, </w:t>
      </w:r>
      <w:r w:rsidRPr="000D390B">
        <w:rPr>
          <w:rFonts w:ascii="Century" w:hAnsi="Century" w:cs="FrankRuehl" w:hint="eastAsia"/>
          <w:spacing w:val="10"/>
          <w:szCs w:val="28"/>
          <w:rtl/>
        </w:rPr>
        <w:t>אני</w:t>
      </w:r>
      <w:r w:rsidRPr="000D390B">
        <w:rPr>
          <w:rFonts w:ascii="Century" w:hAnsi="Century" w:cs="FrankRuehl"/>
          <w:spacing w:val="10"/>
          <w:szCs w:val="28"/>
          <w:rtl/>
        </w:rPr>
        <w:t xml:space="preserve"> </w:t>
      </w:r>
      <w:r w:rsidRPr="000D390B">
        <w:rPr>
          <w:rFonts w:ascii="Century" w:hAnsi="Century" w:cs="FrankRuehl" w:hint="eastAsia"/>
          <w:spacing w:val="10"/>
          <w:szCs w:val="28"/>
          <w:rtl/>
        </w:rPr>
        <w:t>סבורה</w:t>
      </w:r>
      <w:r w:rsidRPr="000D390B">
        <w:rPr>
          <w:rFonts w:ascii="Century" w:hAnsi="Century" w:cs="FrankRuehl"/>
          <w:spacing w:val="10"/>
          <w:szCs w:val="28"/>
          <w:rtl/>
        </w:rPr>
        <w:t xml:space="preserve"> כי נוכח העובדות המתוארות, שלהן היו כאמור השלכות משפטיות קונקרטיות בעולם המעשה, תוך מתן הטבה </w:t>
      </w:r>
      <w:r>
        <w:rPr>
          <w:rFonts w:ascii="Century" w:hAnsi="Century" w:cs="FrankRuehl" w:hint="cs"/>
          <w:spacing w:val="10"/>
          <w:szCs w:val="28"/>
          <w:rtl/>
        </w:rPr>
        <w:t>פוטנציאלית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לדרעי</w:t>
      </w:r>
      <w:r w:rsidRPr="000D390B">
        <w:rPr>
          <w:rFonts w:ascii="Century" w:hAnsi="Century" w:cs="FrankRuehl"/>
          <w:spacing w:val="10"/>
          <w:szCs w:val="28"/>
          <w:rtl/>
        </w:rPr>
        <w:t xml:space="preserve"> </w:t>
      </w:r>
      <w:r w:rsidRPr="000D390B">
        <w:rPr>
          <w:rFonts w:ascii="Century" w:hAnsi="Century" w:cs="FrankRuehl" w:hint="eastAsia"/>
          <w:spacing w:val="10"/>
          <w:szCs w:val="28"/>
          <w:rtl/>
        </w:rPr>
        <w:t>מבחינת</w:t>
      </w:r>
      <w:r w:rsidRPr="000D390B">
        <w:rPr>
          <w:rFonts w:ascii="Century" w:hAnsi="Century" w:cs="FrankRuehl"/>
          <w:spacing w:val="10"/>
          <w:szCs w:val="28"/>
          <w:rtl/>
        </w:rPr>
        <w:t xml:space="preserve"> </w:t>
      </w:r>
      <w:r w:rsidRPr="000D390B">
        <w:rPr>
          <w:rFonts w:ascii="Century" w:hAnsi="Century" w:cs="FrankRuehl" w:hint="eastAsia"/>
          <w:spacing w:val="10"/>
          <w:szCs w:val="28"/>
          <w:rtl/>
        </w:rPr>
        <w:t>תוצאותיו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ההליך</w:t>
      </w:r>
      <w:r w:rsidRPr="000D390B">
        <w:rPr>
          <w:rFonts w:ascii="Century" w:hAnsi="Century" w:cs="FrankRuehl"/>
          <w:spacing w:val="10"/>
          <w:szCs w:val="28"/>
          <w:rtl/>
        </w:rPr>
        <w:t xml:space="preserve"> </w:t>
      </w:r>
      <w:r w:rsidRPr="000D390B">
        <w:rPr>
          <w:rFonts w:ascii="Century" w:hAnsi="Century" w:cs="FrankRuehl" w:hint="eastAsia"/>
          <w:spacing w:val="10"/>
          <w:szCs w:val="28"/>
          <w:rtl/>
        </w:rPr>
        <w:t>הפלילי</w:t>
      </w:r>
      <w:r w:rsidRPr="000D390B">
        <w:rPr>
          <w:rFonts w:ascii="Century" w:hAnsi="Century" w:cs="FrankRuehl"/>
          <w:spacing w:val="10"/>
          <w:szCs w:val="28"/>
          <w:rtl/>
        </w:rPr>
        <w:t xml:space="preserve">, </w:t>
      </w:r>
      <w:r w:rsidRPr="000D390B">
        <w:rPr>
          <w:rFonts w:ascii="Century" w:hAnsi="Century" w:cs="FrankRuehl" w:hint="eastAsia"/>
          <w:spacing w:val="10"/>
          <w:szCs w:val="28"/>
          <w:rtl/>
        </w:rPr>
        <w:t>יש</w:t>
      </w:r>
      <w:r w:rsidRPr="000D390B">
        <w:rPr>
          <w:rFonts w:ascii="Century" w:hAnsi="Century" w:cs="FrankRuehl"/>
          <w:spacing w:val="10"/>
          <w:szCs w:val="28"/>
          <w:rtl/>
        </w:rPr>
        <w:t xml:space="preserve"> </w:t>
      </w:r>
      <w:r w:rsidRPr="000D390B">
        <w:rPr>
          <w:rFonts w:ascii="Century" w:hAnsi="Century" w:cs="FrankRuehl" w:hint="eastAsia"/>
          <w:spacing w:val="10"/>
          <w:szCs w:val="28"/>
          <w:rtl/>
        </w:rPr>
        <w:t>לומר</w:t>
      </w:r>
      <w:r w:rsidRPr="000D390B">
        <w:rPr>
          <w:rFonts w:ascii="Century" w:hAnsi="Century" w:cs="FrankRuehl"/>
          <w:spacing w:val="10"/>
          <w:szCs w:val="28"/>
          <w:rtl/>
        </w:rPr>
        <w:t xml:space="preserve"> </w:t>
      </w:r>
      <w:r w:rsidRPr="000D390B">
        <w:rPr>
          <w:rFonts w:ascii="Century" w:hAnsi="Century" w:cs="FrankRuehl" w:hint="eastAsia"/>
          <w:spacing w:val="10"/>
          <w:szCs w:val="28"/>
          <w:rtl/>
        </w:rPr>
        <w:t>שקמה</w:t>
      </w:r>
      <w:r w:rsidRPr="000D390B">
        <w:rPr>
          <w:rFonts w:ascii="Century" w:hAnsi="Century" w:cs="FrankRuehl"/>
          <w:spacing w:val="10"/>
          <w:szCs w:val="28"/>
          <w:rtl/>
        </w:rPr>
        <w:t xml:space="preserve"> </w:t>
      </w:r>
      <w:r w:rsidRPr="000D390B">
        <w:rPr>
          <w:rFonts w:ascii="Century" w:hAnsi="Century" w:cs="FrankRuehl" w:hint="eastAsia"/>
          <w:spacing w:val="10"/>
          <w:szCs w:val="28"/>
          <w:rtl/>
        </w:rPr>
        <w:t>מניעות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לפיה</w:t>
      </w:r>
      <w:r w:rsidRPr="000D390B">
        <w:rPr>
          <w:rFonts w:ascii="Century" w:hAnsi="Century" w:cs="FrankRuehl"/>
          <w:spacing w:val="10"/>
          <w:szCs w:val="28"/>
          <w:rtl/>
        </w:rPr>
        <w:t xml:space="preserve"> </w:t>
      </w:r>
      <w:r w:rsidRPr="000D390B">
        <w:rPr>
          <w:rFonts w:ascii="Century" w:hAnsi="Century" w:cs="FrankRuehl" w:hint="eastAsia"/>
          <w:spacing w:val="10"/>
          <w:szCs w:val="28"/>
          <w:rtl/>
        </w:rPr>
        <w:t>דרעי</w:t>
      </w:r>
      <w:r w:rsidRPr="000D390B">
        <w:rPr>
          <w:rFonts w:ascii="Century" w:hAnsi="Century" w:cs="FrankRuehl"/>
          <w:spacing w:val="10"/>
          <w:szCs w:val="28"/>
          <w:rtl/>
        </w:rPr>
        <w:t xml:space="preserve"> מנוע מלקבל על עצמו תפקיד של שר, לפחות</w:t>
      </w:r>
      <w:r>
        <w:rPr>
          <w:rFonts w:ascii="Century" w:hAnsi="Century" w:cs="FrankRuehl" w:hint="cs"/>
          <w:spacing w:val="10"/>
          <w:szCs w:val="28"/>
          <w:rtl/>
        </w:rPr>
        <w:t xml:space="preserve"> לתקופה מסוימת, כמפורט בהמשך הדברים</w:t>
      </w:r>
      <w:r w:rsidRPr="000D390B">
        <w:rPr>
          <w:rFonts w:ascii="Century" w:hAnsi="Century" w:cs="FrankRuehl"/>
          <w:spacing w:val="10"/>
          <w:szCs w:val="28"/>
          <w:rtl/>
        </w:rPr>
        <w:t xml:space="preserve">, </w:t>
      </w:r>
      <w:r>
        <w:rPr>
          <w:rFonts w:ascii="Century" w:hAnsi="Century" w:cs="FrankRuehl" w:hint="cs"/>
          <w:spacing w:val="10"/>
          <w:szCs w:val="28"/>
          <w:rtl/>
        </w:rPr>
        <w:t xml:space="preserve">וזאת </w:t>
      </w:r>
      <w:r w:rsidRPr="000D390B">
        <w:rPr>
          <w:rFonts w:ascii="Century" w:hAnsi="Century" w:cs="FrankRuehl" w:hint="eastAsia"/>
          <w:spacing w:val="10"/>
          <w:szCs w:val="28"/>
          <w:rtl/>
        </w:rPr>
        <w:t>מכוח</w:t>
      </w:r>
      <w:r w:rsidRPr="000D390B">
        <w:rPr>
          <w:rFonts w:ascii="Century" w:hAnsi="Century" w:cs="FrankRuehl"/>
          <w:spacing w:val="10"/>
          <w:szCs w:val="28"/>
          <w:rtl/>
        </w:rPr>
        <w:t xml:space="preserve"> </w:t>
      </w:r>
      <w:r>
        <w:rPr>
          <w:rFonts w:ascii="Century" w:hAnsi="Century" w:cs="FrankRuehl" w:hint="cs"/>
          <w:spacing w:val="10"/>
          <w:szCs w:val="28"/>
          <w:rtl/>
        </w:rPr>
        <w:t>הצהרותיו</w:t>
      </w:r>
      <w:r w:rsidRPr="000D390B">
        <w:rPr>
          <w:rFonts w:ascii="Century" w:hAnsi="Century" w:cs="FrankRuehl"/>
          <w:spacing w:val="10"/>
          <w:szCs w:val="28"/>
          <w:rtl/>
        </w:rPr>
        <w:t xml:space="preserve"> והתנהלותו הדיונית. </w:t>
      </w:r>
      <w:r w:rsidRPr="000D390B">
        <w:rPr>
          <w:rFonts w:ascii="Century" w:hAnsi="Century" w:cs="FrankRuehl" w:hint="eastAsia"/>
          <w:spacing w:val="10"/>
          <w:szCs w:val="28"/>
          <w:rtl/>
        </w:rPr>
        <w:t>ויודגש</w:t>
      </w:r>
      <w:r w:rsidRPr="000D390B">
        <w:rPr>
          <w:rFonts w:ascii="Century" w:hAnsi="Century" w:cs="FrankRuehl"/>
          <w:spacing w:val="10"/>
          <w:szCs w:val="28"/>
          <w:rtl/>
        </w:rPr>
        <w:t xml:space="preserve"> כבר עתה – מניעות משפטית זו חלה כלפי דרעי </w:t>
      </w:r>
      <w:r w:rsidRPr="000D390B">
        <w:rPr>
          <w:rFonts w:ascii="Century" w:hAnsi="Century" w:cs="Miriam" w:hint="eastAsia"/>
          <w:b/>
          <w:rtl/>
        </w:rPr>
        <w:t>עצמו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במובן</w:t>
      </w:r>
      <w:r w:rsidRPr="000D390B">
        <w:rPr>
          <w:rFonts w:ascii="Century" w:hAnsi="Century" w:cs="FrankRuehl"/>
          <w:spacing w:val="10"/>
          <w:szCs w:val="28"/>
          <w:rtl/>
        </w:rPr>
        <w:t xml:space="preserve"> של </w:t>
      </w:r>
      <w:r w:rsidRPr="000D390B">
        <w:rPr>
          <w:rFonts w:ascii="Century" w:hAnsi="Century" w:cs="FrankRuehl" w:hint="eastAsia"/>
          <w:spacing w:val="10"/>
          <w:szCs w:val="28"/>
          <w:rtl/>
        </w:rPr>
        <w:t>יכולתו</w:t>
      </w:r>
      <w:r w:rsidRPr="000D390B">
        <w:rPr>
          <w:rFonts w:ascii="Century" w:hAnsi="Century" w:cs="FrankRuehl"/>
          <w:spacing w:val="10"/>
          <w:szCs w:val="28"/>
          <w:rtl/>
        </w:rPr>
        <w:t xml:space="preserve"> המשפטית להסכים למינוי, </w:t>
      </w:r>
      <w:r w:rsidRPr="000D390B">
        <w:rPr>
          <w:rFonts w:ascii="Century" w:hAnsi="Century" w:cs="FrankRuehl" w:hint="eastAsia"/>
          <w:spacing w:val="10"/>
          <w:szCs w:val="28"/>
          <w:rtl/>
        </w:rPr>
        <w:t>ומשכך</w:t>
      </w:r>
      <w:r w:rsidRPr="000D390B">
        <w:rPr>
          <w:rFonts w:ascii="Century" w:hAnsi="Century" w:cs="FrankRuehl"/>
          <w:spacing w:val="10"/>
          <w:szCs w:val="28"/>
          <w:rtl/>
        </w:rPr>
        <w:t xml:space="preserve"> </w:t>
      </w:r>
      <w:r>
        <w:rPr>
          <w:rFonts w:ascii="Century" w:hAnsi="Century" w:cs="FrankRuehl" w:hint="cs"/>
          <w:spacing w:val="10"/>
          <w:szCs w:val="28"/>
          <w:rtl/>
        </w:rPr>
        <w:t xml:space="preserve">אני סבורה כי </w:t>
      </w:r>
      <w:r w:rsidRPr="000D390B">
        <w:rPr>
          <w:rFonts w:ascii="Century" w:hAnsi="Century" w:cs="FrankRuehl" w:hint="eastAsia"/>
          <w:spacing w:val="10"/>
          <w:szCs w:val="28"/>
          <w:rtl/>
        </w:rPr>
        <w:t>איננו</w:t>
      </w:r>
      <w:r w:rsidRPr="000D390B">
        <w:rPr>
          <w:rFonts w:ascii="Century" w:hAnsi="Century" w:cs="FrankRuehl"/>
          <w:spacing w:val="10"/>
          <w:szCs w:val="28"/>
          <w:rtl/>
        </w:rPr>
        <w:t xml:space="preserve"> </w:t>
      </w:r>
      <w:r w:rsidRPr="000D390B">
        <w:rPr>
          <w:rFonts w:ascii="Century" w:hAnsi="Century" w:cs="FrankRuehl" w:hint="eastAsia"/>
          <w:spacing w:val="10"/>
          <w:szCs w:val="28"/>
          <w:rtl/>
        </w:rPr>
        <w:t>נדרשים</w:t>
      </w:r>
      <w:r w:rsidRPr="000D390B">
        <w:rPr>
          <w:rFonts w:ascii="Century" w:hAnsi="Century" w:cs="FrankRuehl"/>
          <w:spacing w:val="10"/>
          <w:szCs w:val="28"/>
          <w:rtl/>
        </w:rPr>
        <w:t xml:space="preserve"> כלל לבחון את </w:t>
      </w:r>
      <w:r w:rsidRPr="000D390B">
        <w:rPr>
          <w:rFonts w:ascii="Century" w:hAnsi="Century" w:cs="FrankRuehl" w:hint="eastAsia"/>
          <w:spacing w:val="10"/>
          <w:szCs w:val="28"/>
          <w:rtl/>
        </w:rPr>
        <w:t>מישור</w:t>
      </w:r>
      <w:r w:rsidRPr="000D390B">
        <w:rPr>
          <w:rFonts w:ascii="Century" w:hAnsi="Century" w:cs="FrankRuehl"/>
          <w:spacing w:val="10"/>
          <w:szCs w:val="28"/>
          <w:rtl/>
        </w:rPr>
        <w:t xml:space="preserve"> </w:t>
      </w:r>
      <w:r w:rsidRPr="000D390B">
        <w:rPr>
          <w:rFonts w:ascii="Century" w:hAnsi="Century" w:cs="FrankRuehl" w:hint="eastAsia"/>
          <w:spacing w:val="10"/>
          <w:szCs w:val="28"/>
          <w:rtl/>
        </w:rPr>
        <w:t>שיקול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הדעת</w:t>
      </w:r>
      <w:r w:rsidRPr="000D390B">
        <w:rPr>
          <w:rFonts w:ascii="Century" w:hAnsi="Century" w:cs="FrankRuehl"/>
          <w:spacing w:val="10"/>
          <w:szCs w:val="28"/>
          <w:rtl/>
        </w:rPr>
        <w:t xml:space="preserve"> שהפעיל ראש הממשלה בהתייחס למינוי</w:t>
      </w:r>
      <w:r>
        <w:rPr>
          <w:rFonts w:ascii="Century" w:hAnsi="Century" w:cs="FrankRuehl" w:hint="cs"/>
          <w:spacing w:val="10"/>
          <w:szCs w:val="28"/>
          <w:rtl/>
        </w:rPr>
        <w:t xml:space="preserve"> או את משמעויותיו המשפטיות של התיקון לחוק יסוד: הממשלה שעומד ברקע הדברים</w:t>
      </w:r>
      <w:r w:rsidRPr="000D390B">
        <w:rPr>
          <w:rFonts w:ascii="Century" w:hAnsi="Century" w:cs="FrankRuehl"/>
          <w:spacing w:val="10"/>
          <w:szCs w:val="28"/>
          <w:rtl/>
        </w:rPr>
        <w:t xml:space="preserve">. </w:t>
      </w:r>
      <w:r>
        <w:rPr>
          <w:rFonts w:ascii="Century" w:hAnsi="Century" w:cs="FrankRuehl" w:hint="cs"/>
          <w:spacing w:val="10"/>
          <w:szCs w:val="28"/>
          <w:rtl/>
        </w:rPr>
        <w:t xml:space="preserve">עוד אבהיר כי הכרעתי אף אינה מבוססת על ביקורת שיפוטית ביחס לשיקול דעתו של דרעי בהחלטתו להסכים להתמנות. בית משפט זה עמד בעבר על הקושי הכרוך בביקורת שיפוטית הממוקדת בשיקול הדעת של אדם המסכים לקבל על עצמו תפקיד (ראו והשוו: </w:t>
      </w:r>
      <w:r w:rsidRPr="00181A72">
        <w:rPr>
          <w:rFonts w:ascii="FrankRuehl" w:hAnsi="FrankRuehl" w:cs="FrankRuehl"/>
          <w:color w:val="000000"/>
          <w:spacing w:val="10"/>
          <w:sz w:val="28"/>
          <w:szCs w:val="28"/>
          <w:rtl/>
        </w:rPr>
        <w:t>בג"ץ 2592/20 ‏</w:t>
      </w:r>
      <w:r w:rsidRPr="000D390B">
        <w:rPr>
          <w:rFonts w:ascii="Century" w:hAnsi="Century" w:cs="Miriam"/>
          <w:b/>
          <w:rtl/>
        </w:rPr>
        <w:t>התנועה למען איכות השלטון בישראל נ' היועץ המשפטי לממשלה</w:t>
      </w:r>
      <w:r>
        <w:rPr>
          <w:rFonts w:ascii="FrankRuehl" w:hAnsi="FrankRuehl" w:cs="FrankRuehl"/>
          <w:color w:val="000000"/>
          <w:spacing w:val="10"/>
          <w:sz w:val="28"/>
          <w:szCs w:val="28"/>
          <w:rtl/>
        </w:rPr>
        <w:t xml:space="preserve">, פסקה </w:t>
      </w:r>
      <w:r>
        <w:rPr>
          <w:rFonts w:ascii="FrankRuehl" w:hAnsi="FrankRuehl" w:cs="FrankRuehl" w:hint="cs"/>
          <w:color w:val="000000"/>
          <w:spacing w:val="10"/>
          <w:sz w:val="28"/>
          <w:szCs w:val="28"/>
          <w:rtl/>
        </w:rPr>
        <w:t>14</w:t>
      </w:r>
      <w:r>
        <w:rPr>
          <w:rFonts w:ascii="FrankRuehl" w:hAnsi="FrankRuehl" w:cs="FrankRuehl"/>
          <w:color w:val="000000"/>
          <w:spacing w:val="10"/>
          <w:sz w:val="28"/>
          <w:szCs w:val="28"/>
          <w:rtl/>
        </w:rPr>
        <w:t xml:space="preserve"> לפסק דינה של הנשיאה </w:t>
      </w:r>
      <w:r w:rsidRPr="000D390B">
        <w:rPr>
          <w:rFonts w:ascii="Century" w:hAnsi="Century" w:cs="Miriam"/>
          <w:b/>
          <w:rtl/>
        </w:rPr>
        <w:t>חיות</w:t>
      </w:r>
      <w:r w:rsidRPr="00181A72">
        <w:rPr>
          <w:rFonts w:ascii="FrankRuehl" w:hAnsi="FrankRuehl" w:cs="FrankRuehl"/>
          <w:color w:val="000000"/>
          <w:spacing w:val="10"/>
          <w:sz w:val="28"/>
          <w:szCs w:val="28"/>
          <w:rtl/>
        </w:rPr>
        <w:t xml:space="preserve"> (6.5.2020)</w:t>
      </w:r>
      <w:r>
        <w:rPr>
          <w:rFonts w:ascii="FrankRuehl" w:hAnsi="FrankRuehl" w:cs="FrankRuehl" w:hint="cs"/>
          <w:color w:val="000000"/>
          <w:spacing w:val="10"/>
          <w:sz w:val="28"/>
          <w:szCs w:val="28"/>
          <w:rtl/>
        </w:rPr>
        <w:t xml:space="preserve"> (להלן: </w:t>
      </w:r>
      <w:r w:rsidRPr="00516E7E">
        <w:rPr>
          <w:rFonts w:ascii="Century" w:hAnsi="Century" w:cs="FrankRuehl" w:hint="eastAsia"/>
          <w:spacing w:val="10"/>
          <w:szCs w:val="28"/>
          <w:rtl/>
        </w:rPr>
        <w:t>עניין</w:t>
      </w:r>
      <w:r w:rsidRPr="00516E7E">
        <w:rPr>
          <w:rFonts w:ascii="Century" w:hAnsi="Century" w:cs="FrankRuehl"/>
          <w:spacing w:val="10"/>
          <w:szCs w:val="28"/>
          <w:rtl/>
        </w:rPr>
        <w:t xml:space="preserve"> </w:t>
      </w:r>
      <w:r w:rsidRPr="00C624A7">
        <w:rPr>
          <w:rFonts w:ascii="Century" w:hAnsi="Century" w:cs="Miriam" w:hint="eastAsia"/>
          <w:b/>
          <w:rtl/>
        </w:rPr>
        <w:t>הטלת</w:t>
      </w:r>
      <w:r w:rsidRPr="00C624A7">
        <w:rPr>
          <w:rFonts w:ascii="Century" w:hAnsi="Century" w:cs="Miriam"/>
          <w:b/>
          <w:rtl/>
        </w:rPr>
        <w:t xml:space="preserve"> </w:t>
      </w:r>
      <w:r w:rsidRPr="00C624A7">
        <w:rPr>
          <w:rFonts w:ascii="Century" w:hAnsi="Century" w:cs="Miriam" w:hint="eastAsia"/>
          <w:b/>
          <w:rtl/>
        </w:rPr>
        <w:t>המנדט</w:t>
      </w:r>
      <w:r>
        <w:rPr>
          <w:rFonts w:ascii="FrankRuehl" w:hAnsi="FrankRuehl" w:cs="FrankRuehl" w:hint="cs"/>
          <w:color w:val="000000"/>
          <w:spacing w:val="10"/>
          <w:sz w:val="28"/>
          <w:szCs w:val="28"/>
          <w:rtl/>
        </w:rPr>
        <w:t>)</w:t>
      </w:r>
      <w:r>
        <w:rPr>
          <w:rFonts w:ascii="Century" w:hAnsi="Century" w:cs="FrankRuehl" w:hint="cs"/>
          <w:spacing w:val="10"/>
          <w:szCs w:val="28"/>
          <w:rtl/>
        </w:rPr>
        <w:t>). בשונה מכך, הדיון בכלל המניעות בהקשרנו מבוסס על קיומו של מחסום משפטי למתן ההסכמה, ללא דיון נוסף בשיקולים שהנחו את דרעי בנסיבות העניין.</w:t>
      </w:r>
      <w:r w:rsidRPr="00CF0C3D">
        <w:rPr>
          <w:rFonts w:ascii="Century" w:hAnsi="Century" w:cs="FrankRuehl" w:hint="eastAsia"/>
          <w:spacing w:val="10"/>
          <w:szCs w:val="28"/>
          <w:rtl/>
        </w:rPr>
        <w:t xml:space="preserve"> </w:t>
      </w:r>
    </w:p>
    <w:p w14:paraId="517D313F" w14:textId="77777777" w:rsidR="00437A63" w:rsidRDefault="00437A63" w:rsidP="00437A63">
      <w:pPr>
        <w:pStyle w:val="af0"/>
        <w:spacing w:line="360" w:lineRule="auto"/>
        <w:ind w:left="0"/>
        <w:jc w:val="both"/>
        <w:rPr>
          <w:rFonts w:ascii="Century" w:hAnsi="Century" w:cs="FrankRuehl"/>
          <w:spacing w:val="10"/>
          <w:szCs w:val="28"/>
          <w:rtl/>
        </w:rPr>
      </w:pPr>
    </w:p>
    <w:p w14:paraId="4AD714E1"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 xml:space="preserve">19. </w:t>
      </w:r>
      <w:r>
        <w:rPr>
          <w:rFonts w:ascii="Century" w:hAnsi="Century" w:cs="FrankRuehl" w:hint="cs"/>
          <w:spacing w:val="10"/>
          <w:szCs w:val="28"/>
          <w:rtl/>
        </w:rPr>
        <w:tab/>
        <w:t>אוסיף ואומר עוד זאת: בהתאם לגישתי, לנוכח השפעתן הפוטנציאלית והממשית של הצהרות דרעי על ההליך הפלילי, אין חשיבות לכך שעל-פי חוק היסוד במתכונתו המתוקנת מתקיימים בו תנאי הכשירות הפורמליים לכהונה בתפקיד שר. במובן זה, תיקון מס' 11 לא מעלה ולא מוריד בכל הקשור לסוגיית המניעות החלה על דרעי. יחד עם זאת, ולמען הסר ספק, אציין כי אני מסכימה להנמקתה של חברתי הנשיאה באשר לכך שהתיקון לחוק היסוד אכן שינה מן המצב המשפטי הקודם, ולא היה בבחינת "חוק מבהיר" בלבד. בשלב זה, אפנה להצגת גישתי</w:t>
      </w:r>
      <w:r w:rsidRPr="000D390B">
        <w:rPr>
          <w:rFonts w:ascii="Century" w:hAnsi="Century" w:cs="FrankRuehl"/>
          <w:spacing w:val="10"/>
          <w:szCs w:val="28"/>
          <w:rtl/>
        </w:rPr>
        <w:t>.</w:t>
      </w:r>
    </w:p>
    <w:p w14:paraId="3848D128" w14:textId="77777777" w:rsidR="00437A63" w:rsidRPr="000D390B" w:rsidRDefault="00437A63" w:rsidP="00437A63">
      <w:pPr>
        <w:pStyle w:val="af0"/>
        <w:spacing w:line="360" w:lineRule="auto"/>
        <w:ind w:left="0"/>
        <w:jc w:val="both"/>
        <w:rPr>
          <w:rFonts w:ascii="Century" w:hAnsi="Century" w:cs="Miriam"/>
          <w:b/>
          <w:rtl/>
        </w:rPr>
      </w:pPr>
    </w:p>
    <w:p w14:paraId="5C8CC811" w14:textId="77777777" w:rsidR="00437A63" w:rsidRPr="000D390B" w:rsidRDefault="00437A63" w:rsidP="00437A63">
      <w:pPr>
        <w:pStyle w:val="af0"/>
        <w:spacing w:line="360" w:lineRule="auto"/>
        <w:ind w:left="0"/>
        <w:jc w:val="both"/>
        <w:rPr>
          <w:rFonts w:ascii="Century" w:hAnsi="Century" w:cs="Miriam"/>
          <w:b/>
          <w:rtl/>
        </w:rPr>
      </w:pPr>
      <w:r w:rsidRPr="000D390B">
        <w:rPr>
          <w:rFonts w:ascii="Century" w:hAnsi="Century" w:cs="Miriam" w:hint="eastAsia"/>
          <w:b/>
          <w:rtl/>
        </w:rPr>
        <w:t>השתק</w:t>
      </w:r>
      <w:r w:rsidRPr="000D390B">
        <w:rPr>
          <w:rFonts w:ascii="Century" w:hAnsi="Century" w:cs="Miriam"/>
          <w:b/>
          <w:rtl/>
        </w:rPr>
        <w:t xml:space="preserve">, </w:t>
      </w:r>
      <w:r w:rsidRPr="000D390B">
        <w:rPr>
          <w:rFonts w:ascii="Century" w:hAnsi="Century" w:cs="Miriam" w:hint="eastAsia"/>
          <w:b/>
          <w:rtl/>
        </w:rPr>
        <w:t>תום</w:t>
      </w:r>
      <w:r w:rsidRPr="000D390B">
        <w:rPr>
          <w:rFonts w:ascii="Century" w:hAnsi="Century" w:cs="Miriam"/>
          <w:b/>
          <w:rtl/>
        </w:rPr>
        <w:t xml:space="preserve"> </w:t>
      </w:r>
      <w:r w:rsidRPr="000D390B">
        <w:rPr>
          <w:rFonts w:ascii="Century" w:hAnsi="Century" w:cs="Miriam" w:hint="eastAsia"/>
          <w:b/>
          <w:rtl/>
        </w:rPr>
        <w:t>לב</w:t>
      </w:r>
      <w:r w:rsidRPr="000D390B">
        <w:rPr>
          <w:rFonts w:ascii="Century" w:hAnsi="Century" w:cs="Miriam"/>
          <w:b/>
          <w:rtl/>
        </w:rPr>
        <w:t xml:space="preserve"> </w:t>
      </w:r>
      <w:r w:rsidRPr="000D390B">
        <w:rPr>
          <w:rFonts w:ascii="Century" w:hAnsi="Century" w:cs="Miriam" w:hint="eastAsia"/>
          <w:b/>
          <w:rtl/>
        </w:rPr>
        <w:t>וחובת</w:t>
      </w:r>
      <w:r w:rsidRPr="000D390B">
        <w:rPr>
          <w:rFonts w:ascii="Century" w:hAnsi="Century" w:cs="Miriam"/>
          <w:b/>
          <w:rtl/>
        </w:rPr>
        <w:t xml:space="preserve"> </w:t>
      </w:r>
      <w:r w:rsidRPr="000D390B">
        <w:rPr>
          <w:rFonts w:ascii="Century" w:hAnsi="Century" w:cs="Miriam" w:hint="eastAsia"/>
          <w:b/>
          <w:rtl/>
        </w:rPr>
        <w:t>הגינות</w:t>
      </w:r>
      <w:r w:rsidRPr="000D390B">
        <w:rPr>
          <w:rFonts w:ascii="Century" w:hAnsi="Century" w:cs="Miriam"/>
          <w:b/>
          <w:rtl/>
        </w:rPr>
        <w:t xml:space="preserve"> </w:t>
      </w:r>
      <w:r w:rsidRPr="000D390B">
        <w:rPr>
          <w:rFonts w:ascii="Century" w:hAnsi="Century" w:cs="Miriam" w:hint="eastAsia"/>
          <w:b/>
          <w:rtl/>
        </w:rPr>
        <w:t>של</w:t>
      </w:r>
      <w:r w:rsidRPr="000D390B">
        <w:rPr>
          <w:rFonts w:ascii="Century" w:hAnsi="Century" w:cs="Miriam"/>
          <w:b/>
          <w:rtl/>
        </w:rPr>
        <w:t xml:space="preserve"> </w:t>
      </w:r>
      <w:r w:rsidRPr="000D390B">
        <w:rPr>
          <w:rFonts w:ascii="Century" w:hAnsi="Century" w:cs="Miriam" w:hint="eastAsia"/>
          <w:b/>
          <w:rtl/>
        </w:rPr>
        <w:t>הפרט</w:t>
      </w:r>
    </w:p>
    <w:p w14:paraId="1FE41A88" w14:textId="77777777" w:rsidR="00437A63" w:rsidRDefault="00437A63" w:rsidP="00437A63">
      <w:pPr>
        <w:pStyle w:val="af0"/>
        <w:spacing w:line="360" w:lineRule="auto"/>
        <w:ind w:left="0"/>
        <w:jc w:val="both"/>
        <w:rPr>
          <w:rFonts w:ascii="FrankRuehl" w:hAnsi="FrankRuehl" w:cs="FrankRuehl"/>
          <w:sz w:val="28"/>
          <w:szCs w:val="28"/>
          <w:rtl/>
        </w:rPr>
      </w:pPr>
    </w:p>
    <w:p w14:paraId="0CDA8B88" w14:textId="77777777" w:rsidR="00437A63" w:rsidRDefault="00437A63" w:rsidP="00437A63">
      <w:pPr>
        <w:pStyle w:val="af0"/>
        <w:spacing w:line="360" w:lineRule="auto"/>
        <w:ind w:left="0"/>
        <w:jc w:val="both"/>
        <w:rPr>
          <w:rFonts w:ascii="FrankRuehl" w:hAnsi="FrankRuehl" w:cs="FrankRuehl"/>
          <w:sz w:val="28"/>
          <w:szCs w:val="28"/>
          <w:rtl/>
        </w:rPr>
      </w:pPr>
      <w:r>
        <w:rPr>
          <w:rFonts w:ascii="FrankRuehl" w:hAnsi="FrankRuehl" w:cs="FrankRuehl" w:hint="cs"/>
          <w:sz w:val="28"/>
          <w:szCs w:val="28"/>
          <w:rtl/>
        </w:rPr>
        <w:t xml:space="preserve">20. </w:t>
      </w:r>
      <w:r>
        <w:rPr>
          <w:rFonts w:ascii="FrankRuehl" w:hAnsi="FrankRuehl" w:cs="FrankRuehl" w:hint="cs"/>
          <w:sz w:val="28"/>
          <w:szCs w:val="28"/>
          <w:rtl/>
        </w:rPr>
        <w:tab/>
      </w:r>
      <w:r w:rsidRPr="000D390B">
        <w:rPr>
          <w:rFonts w:ascii="Century" w:hAnsi="Century" w:cs="FrankRuehl" w:hint="eastAsia"/>
          <w:spacing w:val="10"/>
          <w:szCs w:val="28"/>
          <w:rtl/>
        </w:rPr>
        <w:t>בעיקרו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דבר</w:t>
      </w:r>
      <w:r w:rsidRPr="000D390B">
        <w:rPr>
          <w:rFonts w:ascii="Century" w:hAnsi="Century" w:cs="FrankRuehl"/>
          <w:spacing w:val="10"/>
          <w:szCs w:val="28"/>
          <w:rtl/>
        </w:rPr>
        <w:t xml:space="preserve">, </w:t>
      </w:r>
      <w:r w:rsidRPr="000D390B">
        <w:rPr>
          <w:rFonts w:ascii="Century" w:hAnsi="Century" w:cs="FrankRuehl" w:hint="eastAsia"/>
          <w:spacing w:val="10"/>
          <w:szCs w:val="28"/>
          <w:rtl/>
        </w:rPr>
        <w:t>אני</w:t>
      </w:r>
      <w:r w:rsidRPr="000D390B">
        <w:rPr>
          <w:rFonts w:ascii="Century" w:hAnsi="Century" w:cs="FrankRuehl"/>
          <w:spacing w:val="10"/>
          <w:szCs w:val="28"/>
          <w:rtl/>
        </w:rPr>
        <w:t xml:space="preserve"> </w:t>
      </w:r>
      <w:r w:rsidRPr="000D390B">
        <w:rPr>
          <w:rFonts w:ascii="Century" w:hAnsi="Century" w:cs="FrankRuehl" w:hint="eastAsia"/>
          <w:spacing w:val="10"/>
          <w:szCs w:val="28"/>
          <w:rtl/>
        </w:rPr>
        <w:t>סבורה</w:t>
      </w:r>
      <w:r w:rsidRPr="000D390B">
        <w:rPr>
          <w:rFonts w:ascii="Century" w:hAnsi="Century" w:cs="FrankRuehl"/>
          <w:spacing w:val="10"/>
          <w:szCs w:val="28"/>
          <w:rtl/>
        </w:rPr>
        <w:t xml:space="preserve"> </w:t>
      </w:r>
      <w:r w:rsidRPr="000D390B">
        <w:rPr>
          <w:rFonts w:ascii="Century" w:hAnsi="Century" w:cs="FrankRuehl" w:hint="eastAsia"/>
          <w:spacing w:val="10"/>
          <w:szCs w:val="28"/>
          <w:rtl/>
        </w:rPr>
        <w:t>שעניינו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דרעי</w:t>
      </w:r>
      <w:r w:rsidRPr="000D390B">
        <w:rPr>
          <w:rFonts w:ascii="Century" w:hAnsi="Century" w:cs="FrankRuehl"/>
          <w:spacing w:val="10"/>
          <w:szCs w:val="28"/>
          <w:rtl/>
        </w:rPr>
        <w:t xml:space="preserve"> </w:t>
      </w:r>
      <w:r w:rsidRPr="000D390B">
        <w:rPr>
          <w:rFonts w:ascii="Century" w:hAnsi="Century" w:cs="FrankRuehl" w:hint="eastAsia"/>
          <w:spacing w:val="10"/>
          <w:szCs w:val="28"/>
          <w:rtl/>
        </w:rPr>
        <w:t>נופל</w:t>
      </w:r>
      <w:r w:rsidRPr="000D390B">
        <w:rPr>
          <w:rFonts w:ascii="Century" w:hAnsi="Century" w:cs="FrankRuehl"/>
          <w:spacing w:val="10"/>
          <w:szCs w:val="28"/>
          <w:rtl/>
        </w:rPr>
        <w:t xml:space="preserve"> </w:t>
      </w:r>
      <w:r w:rsidRPr="000D390B">
        <w:rPr>
          <w:rFonts w:ascii="Century" w:hAnsi="Century" w:cs="FrankRuehl" w:hint="eastAsia"/>
          <w:spacing w:val="10"/>
          <w:szCs w:val="28"/>
          <w:rtl/>
        </w:rPr>
        <w:t>לגדרו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עיקרון</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משפטי</w:t>
      </w:r>
      <w:r w:rsidRPr="000D390B">
        <w:rPr>
          <w:rFonts w:ascii="Century" w:hAnsi="Century" w:cs="FrankRuehl"/>
          <w:spacing w:val="10"/>
          <w:szCs w:val="28"/>
          <w:rtl/>
        </w:rPr>
        <w:t xml:space="preserve"> </w:t>
      </w:r>
      <w:r w:rsidRPr="000D390B">
        <w:rPr>
          <w:rFonts w:ascii="Century" w:hAnsi="Century" w:cs="FrankRuehl" w:hint="eastAsia"/>
          <w:spacing w:val="10"/>
          <w:szCs w:val="28"/>
          <w:rtl/>
        </w:rPr>
        <w:t>ותיק</w:t>
      </w:r>
      <w:r w:rsidRPr="000D390B">
        <w:rPr>
          <w:rFonts w:ascii="Century" w:hAnsi="Century" w:cs="FrankRuehl"/>
          <w:spacing w:val="10"/>
          <w:szCs w:val="28"/>
          <w:rtl/>
        </w:rPr>
        <w:t xml:space="preserve"> שנים שנקלט לשיטתנו עוד מ</w:t>
      </w:r>
      <w:r w:rsidRPr="000D390B">
        <w:rPr>
          <w:rFonts w:ascii="Century" w:hAnsi="Century" w:cs="FrankRuehl" w:hint="eastAsia"/>
          <w:spacing w:val="10"/>
          <w:szCs w:val="28"/>
          <w:rtl/>
        </w:rPr>
        <w:t>דיני</w:t>
      </w:r>
      <w:r w:rsidRPr="000D390B">
        <w:rPr>
          <w:rFonts w:ascii="Century" w:hAnsi="Century" w:cs="FrankRuehl"/>
          <w:spacing w:val="10"/>
          <w:szCs w:val="28"/>
          <w:rtl/>
        </w:rPr>
        <w:t xml:space="preserve"> </w:t>
      </w:r>
      <w:r w:rsidRPr="000D390B">
        <w:rPr>
          <w:rFonts w:ascii="Century" w:hAnsi="Century" w:cs="FrankRuehl" w:hint="eastAsia"/>
          <w:spacing w:val="10"/>
          <w:szCs w:val="28"/>
          <w:rtl/>
        </w:rPr>
        <w:t>היושר</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המשפט האנגלי, הוא עקרון </w:t>
      </w:r>
      <w:r w:rsidRPr="000D390B">
        <w:rPr>
          <w:rFonts w:ascii="Century" w:hAnsi="Century" w:cs="FrankRuehl" w:hint="eastAsia"/>
          <w:spacing w:val="10"/>
          <w:szCs w:val="28"/>
          <w:rtl/>
        </w:rPr>
        <w:t>ההשתק</w:t>
      </w:r>
      <w:r w:rsidRPr="000D390B">
        <w:rPr>
          <w:rFonts w:ascii="Century" w:hAnsi="Century" w:cs="FrankRuehl"/>
          <w:spacing w:val="10"/>
          <w:szCs w:val="28"/>
          <w:rtl/>
        </w:rPr>
        <w:t xml:space="preserve"> (ראו: ע"א 23/49</w:t>
      </w:r>
      <w:r w:rsidRPr="00A35C52">
        <w:rPr>
          <w:rFonts w:ascii="FrankRuehl" w:hAnsi="FrankRuehl" w:cs="FrankRuehl"/>
          <w:sz w:val="28"/>
          <w:szCs w:val="28"/>
          <w:rtl/>
        </w:rPr>
        <w:t xml:space="preserve"> </w:t>
      </w:r>
      <w:r>
        <w:rPr>
          <w:rFonts w:ascii="Century" w:hAnsi="Century" w:cs="Miriam" w:hint="cs"/>
          <w:b/>
          <w:rtl/>
        </w:rPr>
        <w:t xml:space="preserve">חברת י. </w:t>
      </w:r>
      <w:proofErr w:type="spellStart"/>
      <w:r w:rsidRPr="000D390B">
        <w:rPr>
          <w:rFonts w:ascii="Century" w:hAnsi="Century" w:cs="Miriam"/>
          <w:b/>
          <w:rtl/>
        </w:rPr>
        <w:t>צגלה</w:t>
      </w:r>
      <w:proofErr w:type="spellEnd"/>
      <w:r w:rsidRPr="000D390B">
        <w:rPr>
          <w:rFonts w:ascii="Century" w:hAnsi="Century" w:cs="Miriam"/>
          <w:b/>
          <w:rtl/>
        </w:rPr>
        <w:t xml:space="preserve"> ושות' בע"מ נ' אהרון חיות בע"מ</w:t>
      </w:r>
      <w:r w:rsidRPr="000D390B">
        <w:rPr>
          <w:rFonts w:ascii="Century" w:hAnsi="Century" w:cs="FrankRuehl"/>
          <w:spacing w:val="10"/>
          <w:szCs w:val="28"/>
          <w:rtl/>
        </w:rPr>
        <w:t>, פ"ד ד 475, 485-484 (1950) (להלן: עניין</w:t>
      </w:r>
      <w:r w:rsidRPr="00A35C52">
        <w:rPr>
          <w:rFonts w:ascii="FrankRuehl" w:hAnsi="FrankRuehl" w:cs="FrankRuehl" w:hint="cs"/>
          <w:sz w:val="28"/>
          <w:szCs w:val="28"/>
          <w:rtl/>
        </w:rPr>
        <w:t xml:space="preserve"> </w:t>
      </w:r>
      <w:proofErr w:type="spellStart"/>
      <w:r w:rsidRPr="000D390B">
        <w:rPr>
          <w:rFonts w:ascii="Century" w:hAnsi="Century" w:cs="Miriam" w:hint="eastAsia"/>
          <w:b/>
          <w:rtl/>
        </w:rPr>
        <w:t>צגלה</w:t>
      </w:r>
      <w:proofErr w:type="spellEnd"/>
      <w:r w:rsidRPr="000D390B">
        <w:rPr>
          <w:rFonts w:ascii="Century" w:hAnsi="Century" w:cs="FrankRuehl"/>
          <w:spacing w:val="10"/>
          <w:szCs w:val="28"/>
          <w:rtl/>
        </w:rPr>
        <w:t xml:space="preserve">)). </w:t>
      </w:r>
      <w:r w:rsidRPr="000D390B">
        <w:rPr>
          <w:rFonts w:ascii="Century" w:hAnsi="Century" w:cs="FrankRuehl" w:hint="eastAsia"/>
          <w:spacing w:val="10"/>
          <w:szCs w:val="28"/>
          <w:rtl/>
        </w:rPr>
        <w:t>כידוע</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משמעותו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המשפטית</w:t>
      </w:r>
      <w:r w:rsidRPr="000D390B">
        <w:rPr>
          <w:rFonts w:ascii="Century" w:hAnsi="Century" w:cs="FrankRuehl"/>
          <w:spacing w:val="10"/>
          <w:szCs w:val="28"/>
          <w:rtl/>
        </w:rPr>
        <w:t xml:space="preserve"> </w:t>
      </w:r>
      <w:r>
        <w:rPr>
          <w:rFonts w:ascii="Century" w:hAnsi="Century" w:cs="FrankRuehl" w:hint="cs"/>
          <w:spacing w:val="10"/>
          <w:szCs w:val="28"/>
          <w:rtl/>
        </w:rPr>
        <w:t>המסורתית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עקרון </w:t>
      </w:r>
      <w:r w:rsidRPr="000D390B">
        <w:rPr>
          <w:rFonts w:ascii="Century" w:hAnsi="Century" w:cs="FrankRuehl" w:hint="eastAsia"/>
          <w:spacing w:val="10"/>
          <w:szCs w:val="28"/>
          <w:rtl/>
        </w:rPr>
        <w:t>ההשתק</w:t>
      </w:r>
      <w:r w:rsidRPr="000D390B">
        <w:rPr>
          <w:rFonts w:ascii="Century" w:hAnsi="Century" w:cs="FrankRuehl"/>
          <w:spacing w:val="10"/>
          <w:szCs w:val="28"/>
          <w:rtl/>
        </w:rPr>
        <w:t xml:space="preserve"> היא פשוטה: כאשר אדם יוצר מצג מסוים </w:t>
      </w:r>
      <w:r>
        <w:rPr>
          <w:rFonts w:ascii="Century" w:hAnsi="Century" w:cs="FrankRuehl" w:hint="cs"/>
          <w:spacing w:val="10"/>
          <w:szCs w:val="28"/>
          <w:rtl/>
        </w:rPr>
        <w:t>ב</w:t>
      </w:r>
      <w:r w:rsidRPr="000D390B">
        <w:rPr>
          <w:rFonts w:ascii="Century" w:hAnsi="Century" w:cs="FrankRuehl" w:hint="eastAsia"/>
          <w:spacing w:val="10"/>
          <w:szCs w:val="28"/>
          <w:rtl/>
        </w:rPr>
        <w:t>כוונה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להשפיע</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התנהלותו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הזולת</w:t>
      </w:r>
      <w:r w:rsidRPr="000D390B">
        <w:rPr>
          <w:rFonts w:ascii="Century" w:hAnsi="Century" w:cs="FrankRuehl"/>
          <w:spacing w:val="10"/>
          <w:szCs w:val="28"/>
          <w:rtl/>
        </w:rPr>
        <w:t xml:space="preserve">, ואחרים </w:t>
      </w:r>
      <w:r w:rsidRPr="000D390B">
        <w:rPr>
          <w:rFonts w:ascii="Century" w:hAnsi="Century" w:cs="FrankRuehl" w:hint="eastAsia"/>
          <w:spacing w:val="10"/>
          <w:szCs w:val="28"/>
          <w:rtl/>
        </w:rPr>
        <w:t>אכן</w:t>
      </w:r>
      <w:r w:rsidRPr="000D390B">
        <w:rPr>
          <w:rFonts w:ascii="Century" w:hAnsi="Century" w:cs="FrankRuehl"/>
          <w:spacing w:val="10"/>
          <w:szCs w:val="28"/>
          <w:rtl/>
        </w:rPr>
        <w:t xml:space="preserve"> </w:t>
      </w:r>
      <w:r w:rsidRPr="000D390B">
        <w:rPr>
          <w:rFonts w:ascii="Century" w:hAnsi="Century" w:cs="FrankRuehl" w:hint="eastAsia"/>
          <w:spacing w:val="10"/>
          <w:szCs w:val="28"/>
          <w:rtl/>
        </w:rPr>
        <w:t>הסתמכו</w:t>
      </w:r>
      <w:r w:rsidRPr="000D390B">
        <w:rPr>
          <w:rFonts w:ascii="Century" w:hAnsi="Century" w:cs="FrankRuehl"/>
          <w:spacing w:val="10"/>
          <w:szCs w:val="28"/>
          <w:rtl/>
        </w:rPr>
        <w:t xml:space="preserve"> עליו, </w:t>
      </w:r>
      <w:r>
        <w:rPr>
          <w:rFonts w:ascii="Century" w:hAnsi="Century" w:cs="FrankRuehl" w:hint="cs"/>
          <w:spacing w:val="10"/>
          <w:szCs w:val="28"/>
          <w:rtl/>
        </w:rPr>
        <w:t>אותו אדם</w:t>
      </w:r>
      <w:r w:rsidRPr="000D390B">
        <w:rPr>
          <w:rFonts w:ascii="Century" w:hAnsi="Century" w:cs="FrankRuehl"/>
          <w:spacing w:val="10"/>
          <w:szCs w:val="28"/>
          <w:rtl/>
        </w:rPr>
        <w:t xml:space="preserve"> יהיה מנוע מלהתכחש לו </w:t>
      </w:r>
      <w:r w:rsidRPr="000D390B">
        <w:rPr>
          <w:rFonts w:ascii="Century" w:hAnsi="Century" w:cs="FrankRuehl" w:hint="eastAsia"/>
          <w:spacing w:val="10"/>
          <w:szCs w:val="28"/>
          <w:rtl/>
        </w:rPr>
        <w:t>בדיעבד</w:t>
      </w:r>
      <w:r>
        <w:rPr>
          <w:rFonts w:ascii="Century" w:hAnsi="Century" w:cs="FrankRuehl" w:hint="cs"/>
          <w:spacing w:val="10"/>
          <w:szCs w:val="28"/>
          <w:rtl/>
        </w:rPr>
        <w:t xml:space="preserve"> ול</w:t>
      </w:r>
      <w:r w:rsidRPr="000D390B">
        <w:rPr>
          <w:rFonts w:ascii="Century" w:hAnsi="Century" w:cs="FrankRuehl" w:hint="eastAsia"/>
          <w:spacing w:val="10"/>
          <w:szCs w:val="28"/>
          <w:rtl/>
        </w:rPr>
        <w:t>פעול</w:t>
      </w:r>
      <w:r w:rsidRPr="000D390B">
        <w:rPr>
          <w:rFonts w:ascii="Century" w:hAnsi="Century" w:cs="FrankRuehl"/>
          <w:spacing w:val="10"/>
          <w:szCs w:val="28"/>
          <w:rtl/>
        </w:rPr>
        <w:t xml:space="preserve"> </w:t>
      </w:r>
      <w:r w:rsidRPr="000D390B">
        <w:rPr>
          <w:rFonts w:ascii="Century" w:hAnsi="Century" w:cs="FrankRuehl" w:hint="eastAsia"/>
          <w:spacing w:val="10"/>
          <w:szCs w:val="28"/>
          <w:rtl/>
        </w:rPr>
        <w:t>בניגוד</w:t>
      </w:r>
      <w:r w:rsidRPr="000D390B">
        <w:rPr>
          <w:rFonts w:ascii="Century" w:hAnsi="Century" w:cs="FrankRuehl"/>
          <w:spacing w:val="10"/>
          <w:szCs w:val="28"/>
          <w:rtl/>
        </w:rPr>
        <w:t xml:space="preserve"> </w:t>
      </w:r>
      <w:r w:rsidRPr="000D390B">
        <w:rPr>
          <w:rFonts w:ascii="Century" w:hAnsi="Century" w:cs="FrankRuehl" w:hint="eastAsia"/>
          <w:spacing w:val="10"/>
          <w:szCs w:val="28"/>
          <w:rtl/>
        </w:rPr>
        <w:t>אליו</w:t>
      </w:r>
      <w:r w:rsidRPr="000D390B">
        <w:rPr>
          <w:rFonts w:ascii="Century" w:hAnsi="Century" w:cs="FrankRuehl"/>
          <w:spacing w:val="10"/>
          <w:szCs w:val="28"/>
          <w:rtl/>
        </w:rPr>
        <w:t xml:space="preserve"> (ראו: גבריאלה שלו "הבטחה, השתק ותום</w:t>
      </w:r>
      <w:r>
        <w:rPr>
          <w:rFonts w:ascii="Century" w:hAnsi="Century" w:cs="FrankRuehl" w:hint="cs"/>
          <w:spacing w:val="10"/>
          <w:szCs w:val="28"/>
          <w:rtl/>
        </w:rPr>
        <w:t>-</w:t>
      </w:r>
      <w:r w:rsidRPr="000D390B">
        <w:rPr>
          <w:rFonts w:ascii="Century" w:hAnsi="Century" w:cs="FrankRuehl"/>
          <w:spacing w:val="10"/>
          <w:szCs w:val="28"/>
          <w:rtl/>
        </w:rPr>
        <w:t>לב"</w:t>
      </w:r>
      <w:r w:rsidRPr="00A35C52">
        <w:rPr>
          <w:rFonts w:ascii="FrankRuehl" w:hAnsi="FrankRuehl" w:cs="FrankRuehl"/>
          <w:sz w:val="28"/>
          <w:szCs w:val="28"/>
          <w:rtl/>
        </w:rPr>
        <w:t xml:space="preserve"> </w:t>
      </w:r>
      <w:r w:rsidRPr="000D390B">
        <w:rPr>
          <w:rFonts w:ascii="Century" w:hAnsi="Century" w:cs="Miriam"/>
          <w:b/>
          <w:rtl/>
        </w:rPr>
        <w:t>משפטים</w:t>
      </w:r>
      <w:r w:rsidRPr="00A35C52">
        <w:rPr>
          <w:rFonts w:ascii="FrankRuehl" w:hAnsi="FrankRuehl" w:cs="FrankRuehl"/>
          <w:sz w:val="28"/>
          <w:szCs w:val="28"/>
          <w:rtl/>
        </w:rPr>
        <w:t xml:space="preserve"> </w:t>
      </w:r>
      <w:r w:rsidRPr="000D390B">
        <w:rPr>
          <w:rFonts w:ascii="Century" w:hAnsi="Century" w:cs="FrankRuehl"/>
          <w:spacing w:val="10"/>
          <w:szCs w:val="28"/>
          <w:rtl/>
        </w:rPr>
        <w:t>טז 295, 310 (</w:t>
      </w:r>
      <w:r>
        <w:rPr>
          <w:rFonts w:ascii="Century" w:hAnsi="Century" w:cs="FrankRuehl" w:hint="cs"/>
          <w:spacing w:val="10"/>
          <w:szCs w:val="28"/>
          <w:rtl/>
        </w:rPr>
        <w:t>1986</w:t>
      </w:r>
      <w:r w:rsidRPr="000D390B">
        <w:rPr>
          <w:rFonts w:ascii="Century" w:hAnsi="Century" w:cs="FrankRuehl"/>
          <w:spacing w:val="10"/>
          <w:szCs w:val="28"/>
          <w:rtl/>
        </w:rPr>
        <w:t xml:space="preserve">)). </w:t>
      </w:r>
      <w:r w:rsidRPr="000D390B">
        <w:rPr>
          <w:rFonts w:ascii="Century" w:hAnsi="Century" w:cs="FrankRuehl" w:hint="eastAsia"/>
          <w:spacing w:val="10"/>
          <w:szCs w:val="28"/>
          <w:rtl/>
        </w:rPr>
        <w:t>ע</w:t>
      </w:r>
      <w:r>
        <w:rPr>
          <w:rFonts w:ascii="Century" w:hAnsi="Century" w:cs="FrankRuehl" w:hint="cs"/>
          <w:spacing w:val="10"/>
          <w:szCs w:val="28"/>
          <w:rtl/>
        </w:rPr>
        <w:t>י</w:t>
      </w:r>
      <w:r w:rsidRPr="000D390B">
        <w:rPr>
          <w:rFonts w:ascii="Century" w:hAnsi="Century" w:cs="FrankRuehl" w:hint="eastAsia"/>
          <w:spacing w:val="10"/>
          <w:szCs w:val="28"/>
          <w:rtl/>
        </w:rPr>
        <w:t>קרון</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משפטי</w:t>
      </w:r>
      <w:r w:rsidRPr="000D390B">
        <w:rPr>
          <w:rFonts w:ascii="Century" w:hAnsi="Century" w:cs="FrankRuehl"/>
          <w:spacing w:val="10"/>
          <w:szCs w:val="28"/>
          <w:rtl/>
        </w:rPr>
        <w:t xml:space="preserve"> זה מושתת על אדנים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צדק</w:t>
      </w:r>
      <w:r w:rsidRPr="000D390B">
        <w:rPr>
          <w:rFonts w:ascii="Century" w:hAnsi="Century" w:cs="FrankRuehl"/>
          <w:spacing w:val="10"/>
          <w:szCs w:val="28"/>
          <w:rtl/>
        </w:rPr>
        <w:t xml:space="preserve"> ו</w:t>
      </w:r>
      <w:r w:rsidRPr="000D390B">
        <w:rPr>
          <w:rFonts w:ascii="Century" w:hAnsi="Century" w:cs="FrankRuehl" w:hint="eastAsia"/>
          <w:spacing w:val="10"/>
          <w:szCs w:val="28"/>
          <w:rtl/>
        </w:rPr>
        <w:t>יושר</w:t>
      </w:r>
      <w:r w:rsidRPr="000D390B">
        <w:rPr>
          <w:rFonts w:ascii="Century" w:hAnsi="Century" w:cs="FrankRuehl"/>
          <w:spacing w:val="10"/>
          <w:szCs w:val="28"/>
          <w:rtl/>
        </w:rPr>
        <w:t xml:space="preserve">, </w:t>
      </w:r>
      <w:r w:rsidRPr="000D390B">
        <w:rPr>
          <w:rFonts w:ascii="Century" w:hAnsi="Century" w:cs="FrankRuehl" w:hint="eastAsia"/>
          <w:spacing w:val="10"/>
          <w:szCs w:val="28"/>
          <w:rtl/>
        </w:rPr>
        <w:t>מתוך</w:t>
      </w:r>
      <w:r w:rsidRPr="000D390B">
        <w:rPr>
          <w:rFonts w:ascii="Century" w:hAnsi="Century" w:cs="FrankRuehl"/>
          <w:spacing w:val="10"/>
          <w:szCs w:val="28"/>
          <w:rtl/>
        </w:rPr>
        <w:t xml:space="preserve"> </w:t>
      </w:r>
      <w:r w:rsidRPr="000D390B">
        <w:rPr>
          <w:rFonts w:ascii="Century" w:hAnsi="Century" w:cs="FrankRuehl" w:hint="eastAsia"/>
          <w:spacing w:val="10"/>
          <w:szCs w:val="28"/>
          <w:rtl/>
        </w:rPr>
        <w:t>הבנה</w:t>
      </w:r>
      <w:r w:rsidRPr="000D390B">
        <w:rPr>
          <w:rFonts w:ascii="Century" w:hAnsi="Century" w:cs="FrankRuehl"/>
          <w:spacing w:val="10"/>
          <w:szCs w:val="28"/>
          <w:rtl/>
        </w:rPr>
        <w:t xml:space="preserve"> יסודית כי "אין זה מן </w:t>
      </w:r>
      <w:r w:rsidRPr="000D390B">
        <w:rPr>
          <w:rFonts w:ascii="Century" w:hAnsi="Century" w:cs="FrankRuehl"/>
          <w:spacing w:val="10"/>
          <w:szCs w:val="28"/>
          <w:rtl/>
        </w:rPr>
        <w:lastRenderedPageBreak/>
        <w:t>הראוי</w:t>
      </w:r>
      <w:r>
        <w:rPr>
          <w:rFonts w:ascii="Century" w:hAnsi="Century" w:cs="FrankRuehl" w:hint="cs"/>
          <w:spacing w:val="10"/>
          <w:szCs w:val="28"/>
          <w:rtl/>
        </w:rPr>
        <w:t>,</w:t>
      </w:r>
      <w:r w:rsidRPr="000D390B">
        <w:rPr>
          <w:rFonts w:ascii="Century" w:hAnsi="Century" w:cs="FrankRuehl"/>
          <w:spacing w:val="10"/>
          <w:szCs w:val="28"/>
          <w:rtl/>
        </w:rPr>
        <w:t xml:space="preserve"> כי המתאר </w:t>
      </w:r>
      <w:proofErr w:type="spellStart"/>
      <w:r w:rsidRPr="000D390B">
        <w:rPr>
          <w:rFonts w:ascii="Century" w:hAnsi="Century" w:cs="FrankRuehl"/>
          <w:spacing w:val="10"/>
          <w:szCs w:val="28"/>
          <w:rtl/>
        </w:rPr>
        <w:t>יהנה</w:t>
      </w:r>
      <w:proofErr w:type="spellEnd"/>
      <w:r w:rsidRPr="000D390B">
        <w:rPr>
          <w:rFonts w:ascii="Century" w:hAnsi="Century" w:cs="FrankRuehl"/>
          <w:spacing w:val="10"/>
          <w:szCs w:val="28"/>
          <w:rtl/>
        </w:rPr>
        <w:t xml:space="preserve"> מהתיאור המוטעה, אם ע״י תאורו הביא אדם אחר לידי מעשה מסוים" (עניין </w:t>
      </w:r>
      <w:proofErr w:type="spellStart"/>
      <w:r w:rsidRPr="000D390B">
        <w:rPr>
          <w:rFonts w:ascii="Century" w:hAnsi="Century" w:cs="Miriam" w:hint="eastAsia"/>
          <w:b/>
          <w:rtl/>
        </w:rPr>
        <w:t>צגלה</w:t>
      </w:r>
      <w:proofErr w:type="spellEnd"/>
      <w:r w:rsidRPr="000D390B">
        <w:rPr>
          <w:rFonts w:ascii="Century" w:hAnsi="Century" w:cs="FrankRuehl"/>
          <w:spacing w:val="10"/>
          <w:szCs w:val="28"/>
          <w:rtl/>
        </w:rPr>
        <w:t xml:space="preserve">, </w:t>
      </w:r>
      <w:r>
        <w:rPr>
          <w:rFonts w:ascii="Century" w:hAnsi="Century" w:cs="FrankRuehl" w:hint="cs"/>
          <w:spacing w:val="10"/>
          <w:szCs w:val="28"/>
          <w:rtl/>
        </w:rPr>
        <w:t>ב</w:t>
      </w:r>
      <w:r w:rsidRPr="000D390B">
        <w:rPr>
          <w:rFonts w:ascii="Century" w:hAnsi="Century" w:cs="FrankRuehl" w:hint="eastAsia"/>
          <w:spacing w:val="10"/>
          <w:szCs w:val="28"/>
          <w:rtl/>
        </w:rPr>
        <w:t>עמ</w:t>
      </w:r>
      <w:r w:rsidRPr="000D390B">
        <w:rPr>
          <w:rFonts w:ascii="Century" w:hAnsi="Century" w:cs="FrankRuehl"/>
          <w:spacing w:val="10"/>
          <w:szCs w:val="28"/>
          <w:rtl/>
        </w:rPr>
        <w:t xml:space="preserve">' 485). </w:t>
      </w:r>
      <w:r w:rsidRPr="000D390B">
        <w:rPr>
          <w:rFonts w:ascii="Century" w:hAnsi="Century" w:cs="FrankRuehl" w:hint="eastAsia"/>
          <w:spacing w:val="10"/>
          <w:szCs w:val="28"/>
          <w:rtl/>
        </w:rPr>
        <w:t>במובן</w:t>
      </w:r>
      <w:r w:rsidRPr="000D390B">
        <w:rPr>
          <w:rFonts w:ascii="Century" w:hAnsi="Century" w:cs="FrankRuehl"/>
          <w:spacing w:val="10"/>
          <w:szCs w:val="28"/>
          <w:rtl/>
        </w:rPr>
        <w:t xml:space="preserve"> </w:t>
      </w:r>
      <w:r w:rsidRPr="000D390B">
        <w:rPr>
          <w:rFonts w:ascii="Century" w:hAnsi="Century" w:cs="FrankRuehl" w:hint="eastAsia"/>
          <w:spacing w:val="10"/>
          <w:szCs w:val="28"/>
          <w:rtl/>
        </w:rPr>
        <w:t>זה</w:t>
      </w:r>
      <w:r w:rsidRPr="000D390B">
        <w:rPr>
          <w:rFonts w:ascii="Century" w:hAnsi="Century" w:cs="FrankRuehl"/>
          <w:spacing w:val="10"/>
          <w:szCs w:val="28"/>
          <w:rtl/>
        </w:rPr>
        <w:t xml:space="preserve">, </w:t>
      </w:r>
      <w:r w:rsidRPr="000D390B">
        <w:rPr>
          <w:rFonts w:ascii="Century" w:hAnsi="Century" w:cs="FrankRuehl" w:hint="eastAsia"/>
          <w:spacing w:val="10"/>
          <w:szCs w:val="28"/>
          <w:rtl/>
        </w:rPr>
        <w:t>תחולתה</w:t>
      </w:r>
      <w:r w:rsidRPr="000D390B">
        <w:rPr>
          <w:rFonts w:ascii="Century" w:hAnsi="Century" w:cs="FrankRuehl"/>
          <w:spacing w:val="10"/>
          <w:szCs w:val="28"/>
          <w:rtl/>
        </w:rPr>
        <w:t xml:space="preserve"> של </w:t>
      </w:r>
      <w:r w:rsidRPr="000D390B">
        <w:rPr>
          <w:rFonts w:ascii="Century" w:hAnsi="Century" w:cs="FrankRuehl" w:hint="eastAsia"/>
          <w:spacing w:val="10"/>
          <w:szCs w:val="28"/>
          <w:rtl/>
        </w:rPr>
        <w:t>דוקטרינת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ההשתק</w:t>
      </w:r>
      <w:r w:rsidRPr="000D390B">
        <w:rPr>
          <w:rFonts w:ascii="Century" w:hAnsi="Century" w:cs="FrankRuehl"/>
          <w:spacing w:val="10"/>
          <w:szCs w:val="28"/>
          <w:rtl/>
        </w:rPr>
        <w:t xml:space="preserve"> מתקשר</w:t>
      </w:r>
      <w:r w:rsidRPr="000D390B">
        <w:rPr>
          <w:rFonts w:ascii="Century" w:hAnsi="Century" w:cs="FrankRuehl" w:hint="eastAsia"/>
          <w:spacing w:val="10"/>
          <w:szCs w:val="28"/>
          <w:rtl/>
        </w:rPr>
        <w:t>ת</w:t>
      </w:r>
      <w:r w:rsidRPr="000D390B">
        <w:rPr>
          <w:rFonts w:ascii="Century" w:hAnsi="Century" w:cs="FrankRuehl"/>
          <w:spacing w:val="10"/>
          <w:szCs w:val="28"/>
          <w:rtl/>
        </w:rPr>
        <w:t xml:space="preserve"> אף לפריסתו הרחבה של עקרון תום הלב </w:t>
      </w:r>
      <w:r w:rsidRPr="000D390B">
        <w:rPr>
          <w:rFonts w:ascii="Century" w:hAnsi="Century" w:cs="FrankRuehl" w:hint="eastAsia"/>
          <w:spacing w:val="10"/>
          <w:szCs w:val="28"/>
          <w:rtl/>
        </w:rPr>
        <w:t>במשפט</w:t>
      </w:r>
      <w:r w:rsidRPr="000D390B">
        <w:rPr>
          <w:rFonts w:ascii="Century" w:hAnsi="Century" w:cs="FrankRuehl"/>
          <w:spacing w:val="10"/>
          <w:szCs w:val="28"/>
          <w:rtl/>
        </w:rPr>
        <w:t xml:space="preserve"> הישראלי (ראו למשל: </w:t>
      </w:r>
      <w:r w:rsidRPr="00034D49">
        <w:rPr>
          <w:rFonts w:ascii="Century" w:hAnsi="Century" w:cs="FrankRuehl"/>
          <w:spacing w:val="10"/>
          <w:szCs w:val="28"/>
          <w:rtl/>
        </w:rPr>
        <w:t xml:space="preserve">רע"א 4928/92 </w:t>
      </w:r>
      <w:r w:rsidRPr="00516E7E">
        <w:rPr>
          <w:rFonts w:ascii="Century" w:hAnsi="Century" w:cs="Miriam" w:hint="eastAsia"/>
          <w:b/>
          <w:rtl/>
        </w:rPr>
        <w:t>עזרא</w:t>
      </w:r>
      <w:r w:rsidRPr="00516E7E">
        <w:rPr>
          <w:rFonts w:ascii="Century" w:hAnsi="Century" w:cs="Miriam"/>
          <w:b/>
          <w:rtl/>
        </w:rPr>
        <w:t xml:space="preserve"> </w:t>
      </w:r>
      <w:r w:rsidRPr="00516E7E">
        <w:rPr>
          <w:rFonts w:ascii="Century" w:hAnsi="Century" w:cs="Miriam" w:hint="eastAsia"/>
          <w:b/>
          <w:rtl/>
        </w:rPr>
        <w:t>נ</w:t>
      </w:r>
      <w:r w:rsidRPr="00516E7E">
        <w:rPr>
          <w:rFonts w:ascii="Century" w:hAnsi="Century" w:cs="Miriam"/>
          <w:b/>
          <w:rtl/>
        </w:rPr>
        <w:t xml:space="preserve">' </w:t>
      </w:r>
      <w:r w:rsidRPr="00516E7E">
        <w:rPr>
          <w:rFonts w:ascii="Century" w:hAnsi="Century" w:cs="Miriam" w:hint="eastAsia"/>
          <w:b/>
          <w:rtl/>
        </w:rPr>
        <w:t>המועצה</w:t>
      </w:r>
      <w:r w:rsidRPr="00516E7E">
        <w:rPr>
          <w:rFonts w:ascii="Century" w:hAnsi="Century" w:cs="Miriam"/>
          <w:b/>
          <w:rtl/>
        </w:rPr>
        <w:t xml:space="preserve"> </w:t>
      </w:r>
      <w:r w:rsidRPr="00516E7E">
        <w:rPr>
          <w:rFonts w:ascii="Century" w:hAnsi="Century" w:cs="Miriam" w:hint="eastAsia"/>
          <w:b/>
          <w:rtl/>
        </w:rPr>
        <w:t>המקומית</w:t>
      </w:r>
      <w:r w:rsidRPr="00516E7E">
        <w:rPr>
          <w:rFonts w:ascii="Century" w:hAnsi="Century" w:cs="Miriam"/>
          <w:b/>
          <w:rtl/>
        </w:rPr>
        <w:t xml:space="preserve"> </w:t>
      </w:r>
      <w:r w:rsidRPr="00516E7E">
        <w:rPr>
          <w:rFonts w:ascii="Century" w:hAnsi="Century" w:cs="Miriam" w:hint="eastAsia"/>
          <w:b/>
          <w:rtl/>
        </w:rPr>
        <w:t>תל</w:t>
      </w:r>
      <w:r w:rsidRPr="00516E7E">
        <w:rPr>
          <w:rFonts w:ascii="Century" w:hAnsi="Century" w:cs="Miriam"/>
          <w:b/>
          <w:rtl/>
        </w:rPr>
        <w:t>-</w:t>
      </w:r>
      <w:proofErr w:type="spellStart"/>
      <w:r w:rsidRPr="00516E7E">
        <w:rPr>
          <w:rFonts w:ascii="Century" w:hAnsi="Century" w:cs="Miriam" w:hint="eastAsia"/>
          <w:b/>
          <w:rtl/>
        </w:rPr>
        <w:t>מונד</w:t>
      </w:r>
      <w:proofErr w:type="spellEnd"/>
      <w:r w:rsidRPr="00034D49">
        <w:rPr>
          <w:rFonts w:ascii="Century" w:hAnsi="Century" w:cs="FrankRuehl"/>
          <w:spacing w:val="10"/>
          <w:szCs w:val="28"/>
          <w:rtl/>
        </w:rPr>
        <w:t xml:space="preserve">, פ"ד </w:t>
      </w:r>
      <w:proofErr w:type="spellStart"/>
      <w:r w:rsidRPr="00034D49">
        <w:rPr>
          <w:rFonts w:ascii="Century" w:hAnsi="Century" w:cs="FrankRuehl"/>
          <w:spacing w:val="10"/>
          <w:szCs w:val="28"/>
          <w:rtl/>
        </w:rPr>
        <w:t>מז</w:t>
      </w:r>
      <w:proofErr w:type="spellEnd"/>
      <w:r w:rsidRPr="00034D49">
        <w:rPr>
          <w:rFonts w:ascii="Century" w:hAnsi="Century" w:cs="FrankRuehl"/>
          <w:spacing w:val="10"/>
          <w:szCs w:val="28"/>
          <w:rtl/>
        </w:rPr>
        <w:t>(5) 94</w:t>
      </w:r>
      <w:r>
        <w:rPr>
          <w:rFonts w:ascii="Century" w:hAnsi="Century" w:cs="FrankRuehl" w:hint="cs"/>
          <w:spacing w:val="10"/>
          <w:szCs w:val="28"/>
          <w:rtl/>
        </w:rPr>
        <w:t>, 101-100</w:t>
      </w:r>
      <w:r w:rsidRPr="00034D49">
        <w:rPr>
          <w:rFonts w:ascii="Century" w:hAnsi="Century" w:cs="FrankRuehl"/>
          <w:spacing w:val="10"/>
          <w:szCs w:val="28"/>
          <w:rtl/>
        </w:rPr>
        <w:t xml:space="preserve"> (1993)</w:t>
      </w:r>
      <w:r>
        <w:rPr>
          <w:rFonts w:ascii="Century" w:hAnsi="Century" w:cs="FrankRuehl" w:hint="cs"/>
          <w:spacing w:val="10"/>
          <w:szCs w:val="28"/>
          <w:rtl/>
        </w:rPr>
        <w:t xml:space="preserve">; </w:t>
      </w:r>
      <w:r w:rsidRPr="000D390B">
        <w:rPr>
          <w:rFonts w:ascii="Century" w:hAnsi="Century" w:cs="FrankRuehl"/>
          <w:spacing w:val="10"/>
          <w:szCs w:val="28"/>
          <w:rtl/>
        </w:rPr>
        <w:t>בג"ץ 7852/98</w:t>
      </w:r>
      <w:r w:rsidRPr="00A35C52">
        <w:rPr>
          <w:rFonts w:ascii="FrankRuehl" w:hAnsi="FrankRuehl" w:cs="FrankRuehl"/>
          <w:sz w:val="28"/>
          <w:szCs w:val="28"/>
          <w:rtl/>
        </w:rPr>
        <w:t xml:space="preserve"> </w:t>
      </w:r>
      <w:r w:rsidRPr="000D390B">
        <w:rPr>
          <w:rFonts w:ascii="Century" w:hAnsi="Century" w:cs="Miriam"/>
          <w:b/>
          <w:rtl/>
        </w:rPr>
        <w:t>ערוצי זהב ושות' נ' שרת התקשורת</w:t>
      </w:r>
      <w:r w:rsidRPr="000D390B">
        <w:rPr>
          <w:rFonts w:ascii="Century" w:hAnsi="Century" w:cs="FrankRuehl"/>
          <w:spacing w:val="10"/>
          <w:szCs w:val="28"/>
          <w:rtl/>
        </w:rPr>
        <w:t>, פ"ד נג(5) 423</w:t>
      </w:r>
      <w:r>
        <w:rPr>
          <w:rFonts w:ascii="Century" w:hAnsi="Century" w:cs="FrankRuehl" w:hint="cs"/>
          <w:spacing w:val="10"/>
          <w:szCs w:val="28"/>
          <w:rtl/>
        </w:rPr>
        <w:t>, 428</w:t>
      </w:r>
      <w:r w:rsidRPr="000D390B">
        <w:rPr>
          <w:rFonts w:ascii="Century" w:hAnsi="Century" w:cs="FrankRuehl"/>
          <w:spacing w:val="10"/>
          <w:szCs w:val="28"/>
          <w:rtl/>
        </w:rPr>
        <w:t xml:space="preserve"> (1999))</w:t>
      </w:r>
      <w:r>
        <w:rPr>
          <w:rFonts w:ascii="Century" w:hAnsi="Century" w:cs="FrankRuehl" w:hint="cs"/>
          <w:spacing w:val="10"/>
          <w:szCs w:val="28"/>
          <w:rtl/>
        </w:rPr>
        <w:t xml:space="preserve"> ובכלל זה גם במשפט הפלילי הדיוני (ראו: </w:t>
      </w:r>
      <w:r w:rsidRPr="008419A2">
        <w:rPr>
          <w:rFonts w:ascii="Century" w:hAnsi="Century" w:cs="FrankRuehl"/>
          <w:spacing w:val="10"/>
          <w:szCs w:val="28"/>
          <w:rtl/>
        </w:rPr>
        <w:t>רע</w:t>
      </w:r>
      <w:r>
        <w:rPr>
          <w:rFonts w:ascii="Century" w:hAnsi="Century" w:cs="FrankRuehl" w:hint="cs"/>
          <w:spacing w:val="10"/>
          <w:szCs w:val="28"/>
          <w:rtl/>
        </w:rPr>
        <w:t>"</w:t>
      </w:r>
      <w:r w:rsidRPr="008419A2">
        <w:rPr>
          <w:rFonts w:ascii="Century" w:hAnsi="Century" w:cs="FrankRuehl"/>
          <w:spacing w:val="10"/>
          <w:szCs w:val="28"/>
          <w:rtl/>
        </w:rPr>
        <w:t>פ 8083/10</w:t>
      </w:r>
      <w:r w:rsidRPr="000D390B">
        <w:rPr>
          <w:rFonts w:ascii="Century" w:hAnsi="Century" w:cs="Miriam"/>
          <w:b/>
          <w:rtl/>
        </w:rPr>
        <w:t xml:space="preserve"> </w:t>
      </w:r>
      <w:r w:rsidRPr="000D390B">
        <w:rPr>
          <w:rFonts w:ascii="Century" w:hAnsi="Century" w:cs="Miriam" w:hint="eastAsia"/>
          <w:b/>
          <w:rtl/>
        </w:rPr>
        <w:t>בכור</w:t>
      </w:r>
      <w:r w:rsidRPr="000D390B">
        <w:rPr>
          <w:rFonts w:ascii="Century" w:hAnsi="Century" w:cs="Miriam"/>
          <w:b/>
          <w:rtl/>
        </w:rPr>
        <w:t xml:space="preserve"> </w:t>
      </w:r>
      <w:r w:rsidRPr="000D390B">
        <w:rPr>
          <w:rFonts w:ascii="Century" w:hAnsi="Century" w:cs="Miriam" w:hint="eastAsia"/>
          <w:b/>
          <w:rtl/>
        </w:rPr>
        <w:t>נ</w:t>
      </w:r>
      <w:r w:rsidRPr="000D390B">
        <w:rPr>
          <w:rFonts w:ascii="Century" w:hAnsi="Century" w:cs="Miriam"/>
          <w:b/>
          <w:rtl/>
        </w:rPr>
        <w:t xml:space="preserve">' </w:t>
      </w:r>
      <w:r w:rsidRPr="000D390B">
        <w:rPr>
          <w:rFonts w:ascii="Century" w:hAnsi="Century" w:cs="Miriam" w:hint="eastAsia"/>
          <w:b/>
          <w:rtl/>
        </w:rPr>
        <w:t>מדינת</w:t>
      </w:r>
      <w:r w:rsidRPr="000D390B">
        <w:rPr>
          <w:rFonts w:ascii="Century" w:hAnsi="Century" w:cs="Miriam"/>
          <w:b/>
          <w:rtl/>
        </w:rPr>
        <w:t xml:space="preserve"> </w:t>
      </w:r>
      <w:r w:rsidRPr="000D390B">
        <w:rPr>
          <w:rFonts w:ascii="Century" w:hAnsi="Century" w:cs="Miriam" w:hint="eastAsia"/>
          <w:b/>
          <w:rtl/>
        </w:rPr>
        <w:t>ישראל</w:t>
      </w:r>
      <w:r w:rsidRPr="008419A2">
        <w:rPr>
          <w:rFonts w:ascii="Century" w:hAnsi="Century" w:cs="FrankRuehl"/>
          <w:spacing w:val="10"/>
          <w:szCs w:val="28"/>
          <w:rtl/>
        </w:rPr>
        <w:t>, פסקה 14 (7.4.2011)</w:t>
      </w:r>
      <w:r>
        <w:rPr>
          <w:rFonts w:ascii="Century" w:hAnsi="Century" w:cs="FrankRuehl" w:hint="cs"/>
          <w:spacing w:val="10"/>
          <w:szCs w:val="28"/>
          <w:rtl/>
        </w:rPr>
        <w:t xml:space="preserve">). </w:t>
      </w:r>
      <w:r w:rsidRPr="000D390B">
        <w:rPr>
          <w:rFonts w:ascii="Century" w:hAnsi="Century" w:cs="FrankRuehl" w:hint="eastAsia"/>
          <w:spacing w:val="10"/>
          <w:szCs w:val="28"/>
          <w:rtl/>
        </w:rPr>
        <w:t>במלים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אחרות</w:t>
      </w:r>
      <w:r w:rsidRPr="000D390B">
        <w:rPr>
          <w:rFonts w:ascii="Century" w:hAnsi="Century" w:cs="FrankRuehl"/>
          <w:spacing w:val="10"/>
          <w:szCs w:val="28"/>
          <w:rtl/>
        </w:rPr>
        <w:t>, עסקינן במחסום משפטי</w:t>
      </w:r>
      <w:r>
        <w:rPr>
          <w:rFonts w:ascii="Century" w:hAnsi="Century" w:cs="FrankRuehl" w:hint="cs"/>
          <w:spacing w:val="10"/>
          <w:szCs w:val="28"/>
          <w:rtl/>
        </w:rPr>
        <w:t xml:space="preserve"> מהותי </w:t>
      </w:r>
      <w:r w:rsidRPr="000D390B">
        <w:rPr>
          <w:rFonts w:ascii="Century" w:hAnsi="Century" w:cs="FrankRuehl"/>
          <w:spacing w:val="10"/>
          <w:szCs w:val="28"/>
          <w:rtl/>
        </w:rPr>
        <w:t>שנועד</w:t>
      </w:r>
      <w:r>
        <w:rPr>
          <w:rFonts w:ascii="Century" w:hAnsi="Century" w:cs="FrankRuehl" w:hint="cs"/>
          <w:spacing w:val="10"/>
          <w:szCs w:val="28"/>
          <w:rtl/>
        </w:rPr>
        <w:t xml:space="preserve"> בעיקרו לשמור על טוהר ההליך המשפטי ו</w:t>
      </w:r>
      <w:r w:rsidRPr="000D390B">
        <w:rPr>
          <w:rFonts w:ascii="Century" w:hAnsi="Century" w:cs="FrankRuehl" w:hint="eastAsia"/>
          <w:spacing w:val="10"/>
          <w:szCs w:val="28"/>
          <w:rtl/>
        </w:rPr>
        <w:t>למנוע</w:t>
      </w:r>
      <w:r w:rsidRPr="000D390B">
        <w:rPr>
          <w:rFonts w:ascii="Century" w:hAnsi="Century" w:cs="FrankRuehl"/>
          <w:spacing w:val="10"/>
          <w:szCs w:val="28"/>
          <w:rtl/>
        </w:rPr>
        <w:t xml:space="preserve"> תוצאות בלתי מוצדקות הנובעות מ</w:t>
      </w:r>
      <w:r w:rsidRPr="000D390B">
        <w:rPr>
          <w:rFonts w:ascii="Century" w:hAnsi="Century" w:cs="FrankRuehl" w:hint="eastAsia"/>
          <w:spacing w:val="10"/>
          <w:szCs w:val="28"/>
          <w:rtl/>
        </w:rPr>
        <w:t>השגת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הקלה</w:t>
      </w:r>
      <w:r w:rsidRPr="000D390B">
        <w:rPr>
          <w:rFonts w:ascii="Century" w:hAnsi="Century" w:cs="FrankRuehl"/>
          <w:spacing w:val="10"/>
          <w:szCs w:val="28"/>
          <w:rtl/>
        </w:rPr>
        <w:t xml:space="preserve"> </w:t>
      </w:r>
      <w:r w:rsidRPr="000D390B">
        <w:rPr>
          <w:rFonts w:ascii="Century" w:hAnsi="Century" w:cs="FrankRuehl" w:hint="eastAsia"/>
          <w:spacing w:val="10"/>
          <w:szCs w:val="28"/>
          <w:rtl/>
        </w:rPr>
        <w:t>או</w:t>
      </w:r>
      <w:r w:rsidRPr="000D390B">
        <w:rPr>
          <w:rFonts w:ascii="Century" w:hAnsi="Century" w:cs="FrankRuehl"/>
          <w:spacing w:val="10"/>
          <w:szCs w:val="28"/>
          <w:rtl/>
        </w:rPr>
        <w:t xml:space="preserve"> </w:t>
      </w:r>
      <w:r w:rsidRPr="000D390B">
        <w:rPr>
          <w:rFonts w:ascii="Century" w:hAnsi="Century" w:cs="FrankRuehl" w:hint="eastAsia"/>
          <w:spacing w:val="10"/>
          <w:szCs w:val="28"/>
          <w:rtl/>
        </w:rPr>
        <w:t>יתרון</w:t>
      </w:r>
      <w:r w:rsidRPr="000D390B">
        <w:rPr>
          <w:rFonts w:ascii="Century" w:hAnsi="Century" w:cs="FrankRuehl"/>
          <w:spacing w:val="10"/>
          <w:szCs w:val="28"/>
          <w:rtl/>
        </w:rPr>
        <w:t xml:space="preserve"> </w:t>
      </w:r>
      <w:r w:rsidRPr="000D390B">
        <w:rPr>
          <w:rFonts w:ascii="Century" w:hAnsi="Century" w:cs="FrankRuehl" w:hint="eastAsia"/>
          <w:spacing w:val="10"/>
          <w:szCs w:val="28"/>
          <w:rtl/>
        </w:rPr>
        <w:t>בדרך</w:t>
      </w:r>
      <w:r w:rsidRPr="000D390B">
        <w:rPr>
          <w:rFonts w:ascii="Century" w:hAnsi="Century" w:cs="FrankRuehl"/>
          <w:spacing w:val="10"/>
          <w:szCs w:val="28"/>
          <w:rtl/>
        </w:rPr>
        <w:t xml:space="preserve"> </w:t>
      </w:r>
      <w:r w:rsidRPr="000D390B">
        <w:rPr>
          <w:rFonts w:ascii="Century" w:hAnsi="Century" w:cs="FrankRuehl" w:hint="eastAsia"/>
          <w:spacing w:val="10"/>
          <w:szCs w:val="28"/>
          <w:rtl/>
        </w:rPr>
        <w:t>פסולה</w:t>
      </w:r>
      <w:r w:rsidRPr="000D390B">
        <w:rPr>
          <w:rFonts w:ascii="Century" w:hAnsi="Century" w:cs="FrankRuehl"/>
          <w:spacing w:val="10"/>
          <w:szCs w:val="28"/>
          <w:rtl/>
        </w:rPr>
        <w:t xml:space="preserve"> (</w:t>
      </w:r>
      <w:r>
        <w:rPr>
          <w:rFonts w:ascii="Century" w:hAnsi="Century" w:cs="FrankRuehl" w:hint="cs"/>
          <w:spacing w:val="10"/>
          <w:szCs w:val="28"/>
          <w:rtl/>
        </w:rPr>
        <w:t xml:space="preserve">באופן כללי, </w:t>
      </w:r>
      <w:r w:rsidRPr="000D390B">
        <w:rPr>
          <w:rFonts w:ascii="Century" w:hAnsi="Century" w:cs="FrankRuehl"/>
          <w:spacing w:val="10"/>
          <w:szCs w:val="28"/>
          <w:rtl/>
        </w:rPr>
        <w:t xml:space="preserve">ראו: </w:t>
      </w:r>
      <w:r w:rsidRPr="00034D49">
        <w:rPr>
          <w:rFonts w:ascii="Century" w:hAnsi="Century" w:cs="FrankRuehl"/>
          <w:spacing w:val="10"/>
          <w:szCs w:val="28"/>
          <w:rtl/>
        </w:rPr>
        <w:t xml:space="preserve">דניאל </w:t>
      </w:r>
      <w:r>
        <w:rPr>
          <w:rFonts w:ascii="Century" w:hAnsi="Century" w:cs="FrankRuehl" w:hint="cs"/>
          <w:spacing w:val="10"/>
          <w:szCs w:val="28"/>
          <w:rtl/>
        </w:rPr>
        <w:t>פ</w:t>
      </w:r>
      <w:r w:rsidRPr="00034D49">
        <w:rPr>
          <w:rFonts w:ascii="Century" w:hAnsi="Century" w:cs="FrankRuehl"/>
          <w:spacing w:val="10"/>
          <w:szCs w:val="28"/>
          <w:rtl/>
        </w:rPr>
        <w:t>רידמן ונילי כהן</w:t>
      </w:r>
      <w:r>
        <w:rPr>
          <w:rFonts w:ascii="Century" w:hAnsi="Century" w:cs="FrankRuehl" w:hint="cs"/>
          <w:spacing w:val="10"/>
          <w:szCs w:val="28"/>
          <w:rtl/>
        </w:rPr>
        <w:t xml:space="preserve"> </w:t>
      </w:r>
      <w:r w:rsidRPr="00516E7E">
        <w:rPr>
          <w:rFonts w:ascii="Century" w:hAnsi="Century" w:cs="Miriam" w:hint="eastAsia"/>
          <w:b/>
          <w:rtl/>
        </w:rPr>
        <w:t>חוזים</w:t>
      </w:r>
      <w:r w:rsidRPr="00034D49">
        <w:rPr>
          <w:rFonts w:ascii="Century" w:hAnsi="Century" w:cs="FrankRuehl"/>
          <w:spacing w:val="10"/>
          <w:szCs w:val="28"/>
          <w:rtl/>
        </w:rPr>
        <w:t xml:space="preserve"> כרך א</w:t>
      </w:r>
      <w:r>
        <w:rPr>
          <w:rFonts w:ascii="Century" w:hAnsi="Century" w:cs="FrankRuehl" w:hint="cs"/>
          <w:spacing w:val="10"/>
          <w:szCs w:val="28"/>
          <w:rtl/>
        </w:rPr>
        <w:t xml:space="preserve"> 99-90</w:t>
      </w:r>
      <w:r w:rsidRPr="00034D49">
        <w:rPr>
          <w:rFonts w:ascii="Century" w:hAnsi="Century" w:cs="FrankRuehl"/>
          <w:spacing w:val="10"/>
          <w:szCs w:val="28"/>
          <w:rtl/>
        </w:rPr>
        <w:t xml:space="preserve"> (מהדורה שנייה 2018)</w:t>
      </w:r>
      <w:r w:rsidRPr="000D390B">
        <w:rPr>
          <w:rFonts w:ascii="Century" w:hAnsi="Century" w:cs="FrankRuehl"/>
          <w:spacing w:val="10"/>
          <w:szCs w:val="28"/>
          <w:rtl/>
        </w:rPr>
        <w:t xml:space="preserve">). </w:t>
      </w:r>
    </w:p>
    <w:p w14:paraId="372795C2" w14:textId="77777777" w:rsidR="00437A63" w:rsidRDefault="00437A63" w:rsidP="00437A63">
      <w:pPr>
        <w:pStyle w:val="af0"/>
        <w:spacing w:line="360" w:lineRule="auto"/>
        <w:ind w:left="0"/>
        <w:jc w:val="both"/>
        <w:rPr>
          <w:rFonts w:ascii="FrankRuehl" w:hAnsi="FrankRuehl" w:cs="FrankRuehl"/>
          <w:sz w:val="28"/>
          <w:szCs w:val="28"/>
          <w:rtl/>
        </w:rPr>
      </w:pPr>
    </w:p>
    <w:p w14:paraId="04A8F38B"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hint="cs"/>
          <w:sz w:val="28"/>
          <w:szCs w:val="28"/>
          <w:rtl/>
        </w:rPr>
        <w:t>21.</w:t>
      </w:r>
      <w:r>
        <w:rPr>
          <w:rFonts w:ascii="FrankRuehl" w:hAnsi="FrankRuehl" w:cs="FrankRuehl" w:hint="cs"/>
          <w:sz w:val="28"/>
          <w:szCs w:val="28"/>
          <w:rtl/>
        </w:rPr>
        <w:tab/>
      </w:r>
      <w:r w:rsidRPr="000D390B">
        <w:rPr>
          <w:rFonts w:ascii="Century" w:hAnsi="Century" w:cs="FrankRuehl" w:hint="eastAsia"/>
          <w:spacing w:val="10"/>
          <w:szCs w:val="28"/>
          <w:rtl/>
        </w:rPr>
        <w:t>מעבר</w:t>
      </w:r>
      <w:r w:rsidRPr="000D390B">
        <w:rPr>
          <w:rFonts w:ascii="Century" w:hAnsi="Century" w:cs="FrankRuehl"/>
          <w:spacing w:val="10"/>
          <w:szCs w:val="28"/>
          <w:rtl/>
        </w:rPr>
        <w:t xml:space="preserve"> לכך, ובמבט רחב יותר, </w:t>
      </w:r>
      <w:r w:rsidRPr="000D390B">
        <w:rPr>
          <w:rFonts w:ascii="Century" w:hAnsi="Century" w:cs="FrankRuehl" w:hint="eastAsia"/>
          <w:spacing w:val="10"/>
          <w:szCs w:val="28"/>
          <w:rtl/>
        </w:rPr>
        <w:t>ניתן</w:t>
      </w:r>
      <w:r w:rsidRPr="000D390B">
        <w:rPr>
          <w:rFonts w:ascii="Century" w:hAnsi="Century" w:cs="FrankRuehl"/>
          <w:spacing w:val="10"/>
          <w:szCs w:val="28"/>
          <w:rtl/>
        </w:rPr>
        <w:t xml:space="preserve"> לומר כי עקרון </w:t>
      </w:r>
      <w:r w:rsidRPr="000D390B">
        <w:rPr>
          <w:rFonts w:ascii="Century" w:hAnsi="Century" w:cs="FrankRuehl" w:hint="eastAsia"/>
          <w:spacing w:val="10"/>
          <w:szCs w:val="28"/>
          <w:rtl/>
        </w:rPr>
        <w:t>ההשתק</w:t>
      </w:r>
      <w:r w:rsidRPr="000D390B">
        <w:rPr>
          <w:rFonts w:ascii="Century" w:hAnsi="Century" w:cs="FrankRuehl"/>
          <w:spacing w:val="10"/>
          <w:szCs w:val="28"/>
          <w:rtl/>
        </w:rPr>
        <w:t xml:space="preserve"> בהקשר הנדון בפנינו, דהיינו </w:t>
      </w:r>
      <w:r w:rsidRPr="000D390B">
        <w:rPr>
          <w:rFonts w:ascii="Century" w:hAnsi="Century" w:cs="FrankRuehl" w:hint="eastAsia"/>
          <w:spacing w:val="10"/>
          <w:szCs w:val="28"/>
          <w:rtl/>
        </w:rPr>
        <w:t>בהתנהלותו</w:t>
      </w:r>
      <w:r w:rsidRPr="000D390B">
        <w:rPr>
          <w:rFonts w:ascii="Century" w:hAnsi="Century" w:cs="FrankRuehl"/>
          <w:spacing w:val="10"/>
          <w:szCs w:val="28"/>
          <w:rtl/>
        </w:rPr>
        <w:t xml:space="preserve"> של </w:t>
      </w:r>
      <w:r w:rsidRPr="000D390B">
        <w:rPr>
          <w:rFonts w:ascii="Century" w:hAnsi="Century" w:cs="FrankRuehl" w:hint="eastAsia"/>
          <w:spacing w:val="10"/>
          <w:szCs w:val="28"/>
          <w:rtl/>
        </w:rPr>
        <w:t>הפרט</w:t>
      </w:r>
      <w:r w:rsidRPr="000D390B">
        <w:rPr>
          <w:rFonts w:ascii="Century" w:hAnsi="Century" w:cs="FrankRuehl"/>
          <w:spacing w:val="10"/>
          <w:szCs w:val="28"/>
          <w:rtl/>
        </w:rPr>
        <w:t xml:space="preserve"> </w:t>
      </w:r>
      <w:r w:rsidRPr="000D390B">
        <w:rPr>
          <w:rFonts w:ascii="Century" w:hAnsi="Century" w:cs="FrankRuehl" w:hint="eastAsia"/>
          <w:spacing w:val="10"/>
          <w:szCs w:val="28"/>
          <w:rtl/>
        </w:rPr>
        <w:t>אל</w:t>
      </w:r>
      <w:r w:rsidRPr="000D390B">
        <w:rPr>
          <w:rFonts w:ascii="Century" w:hAnsi="Century" w:cs="FrankRuehl"/>
          <w:spacing w:val="10"/>
          <w:szCs w:val="28"/>
          <w:rtl/>
        </w:rPr>
        <w:t xml:space="preserve"> </w:t>
      </w:r>
      <w:r w:rsidRPr="000D390B">
        <w:rPr>
          <w:rFonts w:ascii="Century" w:hAnsi="Century" w:cs="FrankRuehl" w:hint="eastAsia"/>
          <w:spacing w:val="10"/>
          <w:szCs w:val="28"/>
          <w:rtl/>
        </w:rPr>
        <w:t>מול</w:t>
      </w:r>
      <w:r w:rsidRPr="000D390B">
        <w:rPr>
          <w:rFonts w:ascii="Century" w:hAnsi="Century" w:cs="FrankRuehl"/>
          <w:spacing w:val="10"/>
          <w:szCs w:val="28"/>
          <w:rtl/>
        </w:rPr>
        <w:t xml:space="preserve"> גופי המדינה, קשור בטבורו בהכרה המשפטית, </w:t>
      </w:r>
      <w:r>
        <w:rPr>
          <w:rFonts w:ascii="Century" w:hAnsi="Century" w:cs="FrankRuehl" w:hint="cs"/>
          <w:spacing w:val="10"/>
          <w:szCs w:val="28"/>
          <w:rtl/>
        </w:rPr>
        <w:t>ולו הכרה מתוחמת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בקיומה</w:t>
      </w:r>
      <w:r w:rsidRPr="000D390B">
        <w:rPr>
          <w:rFonts w:ascii="Century" w:hAnsi="Century" w:cs="FrankRuehl"/>
          <w:spacing w:val="10"/>
          <w:szCs w:val="28"/>
          <w:rtl/>
        </w:rPr>
        <w:t xml:space="preserve"> של חובת הגינות המוטלת על הפרט כלפי רשויות השלטון, </w:t>
      </w:r>
      <w:r w:rsidRPr="000D390B">
        <w:rPr>
          <w:rFonts w:ascii="Century" w:hAnsi="Century" w:cs="FrankRuehl" w:hint="eastAsia"/>
          <w:spacing w:val="10"/>
          <w:szCs w:val="28"/>
          <w:rtl/>
        </w:rPr>
        <w:t>לצד</w:t>
      </w:r>
      <w:r w:rsidRPr="000D390B">
        <w:rPr>
          <w:rFonts w:ascii="Century" w:hAnsi="Century" w:cs="FrankRuehl"/>
          <w:spacing w:val="10"/>
          <w:szCs w:val="28"/>
          <w:rtl/>
        </w:rPr>
        <w:t xml:space="preserve"> חובת ההגינות (הנרחבת יותר) שחלה על הרשויות כלפי כל אחד ואחד מיחידי הציבור. </w:t>
      </w:r>
      <w:r w:rsidRPr="000D390B">
        <w:rPr>
          <w:rFonts w:ascii="Century" w:hAnsi="Century" w:cs="FrankRuehl" w:hint="eastAsia"/>
          <w:spacing w:val="10"/>
          <w:szCs w:val="28"/>
          <w:rtl/>
        </w:rPr>
        <w:t>חובת</w:t>
      </w:r>
      <w:r w:rsidRPr="000D390B">
        <w:rPr>
          <w:rFonts w:ascii="Century" w:hAnsi="Century" w:cs="FrankRuehl"/>
          <w:spacing w:val="10"/>
          <w:szCs w:val="28"/>
          <w:rtl/>
        </w:rPr>
        <w:t xml:space="preserve"> ההגינות המוטלת על הפרט, במצבים מסוימים, נדונה בהרחבה בבג"ץ 164/97</w:t>
      </w:r>
      <w:r w:rsidRPr="00841ED5">
        <w:rPr>
          <w:rFonts w:ascii="FrankRuehl" w:hAnsi="FrankRuehl" w:cs="FrankRuehl"/>
          <w:sz w:val="28"/>
          <w:szCs w:val="28"/>
          <w:rtl/>
        </w:rPr>
        <w:t xml:space="preserve"> </w:t>
      </w:r>
      <w:proofErr w:type="spellStart"/>
      <w:r w:rsidRPr="000D390B">
        <w:rPr>
          <w:rFonts w:ascii="Century" w:hAnsi="Century" w:cs="Miriam"/>
          <w:b/>
          <w:rtl/>
        </w:rPr>
        <w:t>קונטרם</w:t>
      </w:r>
      <w:proofErr w:type="spellEnd"/>
      <w:r w:rsidRPr="000D390B">
        <w:rPr>
          <w:rFonts w:ascii="Century" w:hAnsi="Century" w:cs="Miriam"/>
          <w:b/>
          <w:rtl/>
        </w:rPr>
        <w:t xml:space="preserve"> בע"מ נ' משרד האוצר, אגף המכס והמע"מ</w:t>
      </w:r>
      <w:r w:rsidRPr="000D390B">
        <w:rPr>
          <w:rFonts w:ascii="Century" w:hAnsi="Century" w:cs="FrankRuehl"/>
          <w:spacing w:val="10"/>
          <w:szCs w:val="28"/>
          <w:rtl/>
        </w:rPr>
        <w:t>, פ"ד נב(1) 289 (1998)</w:t>
      </w:r>
      <w:r>
        <w:rPr>
          <w:rFonts w:ascii="Century" w:hAnsi="Century" w:cs="FrankRuehl" w:hint="cs"/>
          <w:spacing w:val="10"/>
          <w:szCs w:val="28"/>
          <w:rtl/>
        </w:rPr>
        <w:t xml:space="preserve"> (להלן: עניין </w:t>
      </w:r>
      <w:proofErr w:type="spellStart"/>
      <w:r w:rsidRPr="00516E7E">
        <w:rPr>
          <w:rFonts w:ascii="Century" w:hAnsi="Century" w:cs="Miriam" w:hint="eastAsia"/>
          <w:b/>
          <w:rtl/>
        </w:rPr>
        <w:t>קונטרם</w:t>
      </w:r>
      <w:proofErr w:type="spellEnd"/>
      <w:r>
        <w:rPr>
          <w:rFonts w:ascii="Century" w:hAnsi="Century" w:cs="FrankRuehl" w:hint="cs"/>
          <w:spacing w:val="10"/>
          <w:szCs w:val="28"/>
          <w:rtl/>
        </w:rPr>
        <w:t>)</w:t>
      </w:r>
      <w:r w:rsidRPr="000D390B">
        <w:rPr>
          <w:rFonts w:ascii="Century" w:hAnsi="Century" w:cs="FrankRuehl"/>
          <w:spacing w:val="10"/>
          <w:szCs w:val="28"/>
          <w:rtl/>
        </w:rPr>
        <w:t>. אכן, במהלך השנים</w:t>
      </w:r>
      <w:r>
        <w:rPr>
          <w:rFonts w:ascii="Century" w:hAnsi="Century" w:cs="FrankRuehl" w:hint="cs"/>
          <w:spacing w:val="10"/>
          <w:szCs w:val="28"/>
          <w:rtl/>
        </w:rPr>
        <w:t xml:space="preserve"> שחלפו מאז ניתן פסק הדין</w:t>
      </w:r>
      <w:r w:rsidRPr="000D390B">
        <w:rPr>
          <w:rFonts w:ascii="Century" w:hAnsi="Century" w:cs="FrankRuehl"/>
          <w:spacing w:val="10"/>
          <w:szCs w:val="28"/>
          <w:rtl/>
        </w:rPr>
        <w:t xml:space="preserve">, הובעו דעות שונות ביחס להיקפה הראוי של חובת ההגינות שמוטלת על אדם כלפי הרשות. </w:t>
      </w:r>
      <w:r w:rsidRPr="000D390B">
        <w:rPr>
          <w:rFonts w:ascii="Century" w:hAnsi="Century" w:cs="FrankRuehl" w:hint="eastAsia"/>
          <w:spacing w:val="10"/>
          <w:szCs w:val="28"/>
          <w:rtl/>
        </w:rPr>
        <w:t>מטבע</w:t>
      </w:r>
      <w:r w:rsidRPr="000D390B">
        <w:rPr>
          <w:rFonts w:ascii="Century" w:hAnsi="Century" w:cs="FrankRuehl"/>
          <w:spacing w:val="10"/>
          <w:szCs w:val="28"/>
          <w:rtl/>
        </w:rPr>
        <w:t xml:space="preserve"> הדברים, חובת ההגינות במישור זה עשויה ללבוש צורות שונות בהתאם לאופי ההתנהלות ולמאפייניו הקונקרטיים של המקרה (ראו למשל: </w:t>
      </w:r>
      <w:proofErr w:type="spellStart"/>
      <w:r w:rsidRPr="000D390B">
        <w:rPr>
          <w:rFonts w:ascii="Century" w:hAnsi="Century" w:cs="FrankRuehl"/>
          <w:spacing w:val="10"/>
          <w:szCs w:val="28"/>
          <w:rtl/>
        </w:rPr>
        <w:t>עש"</w:t>
      </w:r>
      <w:r w:rsidRPr="000D390B">
        <w:rPr>
          <w:rFonts w:ascii="Century" w:hAnsi="Century" w:cs="FrankRuehl" w:hint="eastAsia"/>
          <w:spacing w:val="10"/>
          <w:szCs w:val="28"/>
          <w:rtl/>
        </w:rPr>
        <w:t>ם</w:t>
      </w:r>
      <w:proofErr w:type="spellEnd"/>
      <w:r w:rsidRPr="000D390B">
        <w:rPr>
          <w:rFonts w:ascii="Century" w:hAnsi="Century" w:cs="FrankRuehl"/>
          <w:spacing w:val="10"/>
          <w:szCs w:val="28"/>
          <w:rtl/>
        </w:rPr>
        <w:t xml:space="preserve"> 5246/99</w:t>
      </w:r>
      <w:r w:rsidRPr="00A35C52">
        <w:rPr>
          <w:rFonts w:ascii="FrankRuehl" w:hAnsi="FrankRuehl" w:cs="FrankRuehl"/>
          <w:sz w:val="28"/>
          <w:szCs w:val="28"/>
          <w:rtl/>
        </w:rPr>
        <w:t xml:space="preserve"> </w:t>
      </w:r>
      <w:r w:rsidRPr="00A35C52">
        <w:rPr>
          <w:rFonts w:ascii="Century" w:hAnsi="Century" w:cs="Miriam"/>
          <w:b/>
          <w:rtl/>
        </w:rPr>
        <w:t>אהרוני נ' נציבות שירות המדינה</w:t>
      </w:r>
      <w:r w:rsidRPr="000D390B">
        <w:rPr>
          <w:rFonts w:ascii="Century" w:hAnsi="Century" w:cs="FrankRuehl"/>
          <w:spacing w:val="10"/>
          <w:szCs w:val="28"/>
          <w:rtl/>
        </w:rPr>
        <w:t xml:space="preserve">, פ"ד נו(1) 481, 489 (1999)). </w:t>
      </w:r>
      <w:r w:rsidRPr="000D390B">
        <w:rPr>
          <w:rFonts w:ascii="Century" w:hAnsi="Century" w:cs="FrankRuehl" w:hint="eastAsia"/>
          <w:spacing w:val="10"/>
          <w:szCs w:val="28"/>
          <w:rtl/>
        </w:rPr>
        <w:t>יחד</w:t>
      </w:r>
      <w:r w:rsidRPr="000D390B">
        <w:rPr>
          <w:rFonts w:ascii="Century" w:hAnsi="Century" w:cs="FrankRuehl"/>
          <w:spacing w:val="10"/>
          <w:szCs w:val="28"/>
          <w:rtl/>
        </w:rPr>
        <w:t xml:space="preserve"> </w:t>
      </w:r>
      <w:r w:rsidRPr="000D390B">
        <w:rPr>
          <w:rFonts w:ascii="Century" w:hAnsi="Century" w:cs="FrankRuehl" w:hint="eastAsia"/>
          <w:spacing w:val="10"/>
          <w:szCs w:val="28"/>
          <w:rtl/>
        </w:rPr>
        <w:t>עם</w:t>
      </w:r>
      <w:r w:rsidRPr="000D390B">
        <w:rPr>
          <w:rFonts w:ascii="Century" w:hAnsi="Century" w:cs="FrankRuehl"/>
          <w:spacing w:val="10"/>
          <w:szCs w:val="28"/>
          <w:rtl/>
        </w:rPr>
        <w:t xml:space="preserve"> </w:t>
      </w:r>
      <w:r w:rsidRPr="000D390B">
        <w:rPr>
          <w:rFonts w:ascii="Century" w:hAnsi="Century" w:cs="FrankRuehl" w:hint="eastAsia"/>
          <w:spacing w:val="10"/>
          <w:szCs w:val="28"/>
          <w:rtl/>
        </w:rPr>
        <w:t>זאת</w:t>
      </w:r>
      <w:r w:rsidRPr="000D390B">
        <w:rPr>
          <w:rFonts w:ascii="Century" w:hAnsi="Century" w:cs="FrankRuehl"/>
          <w:spacing w:val="10"/>
          <w:szCs w:val="28"/>
          <w:rtl/>
        </w:rPr>
        <w:t xml:space="preserve">, ניתן לומר כי בשלב </w:t>
      </w:r>
      <w:r>
        <w:rPr>
          <w:rFonts w:ascii="Century" w:hAnsi="Century" w:cs="FrankRuehl" w:hint="cs"/>
          <w:spacing w:val="10"/>
          <w:szCs w:val="28"/>
          <w:rtl/>
        </w:rPr>
        <w:t>הנוכחי</w:t>
      </w:r>
      <w:r w:rsidRPr="000D390B">
        <w:rPr>
          <w:rFonts w:ascii="Century" w:hAnsi="Century" w:cs="FrankRuehl"/>
          <w:spacing w:val="10"/>
          <w:szCs w:val="28"/>
          <w:rtl/>
        </w:rPr>
        <w:t>, כבר זכתה חובה זו להכרה במצבי "גרעין" של אי-הגינות בולטת בהתנהלותו של הפרט (ראו: ע"א 8189/11</w:t>
      </w:r>
      <w:r w:rsidRPr="00A35C52">
        <w:rPr>
          <w:rFonts w:ascii="FrankRuehl" w:hAnsi="FrankRuehl" w:cs="FrankRuehl"/>
          <w:sz w:val="28"/>
          <w:szCs w:val="28"/>
          <w:rtl/>
        </w:rPr>
        <w:t xml:space="preserve"> </w:t>
      </w:r>
      <w:r w:rsidRPr="000D390B">
        <w:rPr>
          <w:rFonts w:ascii="Century" w:hAnsi="Century" w:cs="Miriam"/>
          <w:b/>
          <w:rtl/>
        </w:rPr>
        <w:t>דיין נ' מפעל הפיס</w:t>
      </w:r>
      <w:r w:rsidRPr="000D390B">
        <w:rPr>
          <w:rFonts w:ascii="Century" w:hAnsi="Century" w:cs="FrankRuehl"/>
          <w:spacing w:val="10"/>
          <w:szCs w:val="28"/>
          <w:rtl/>
        </w:rPr>
        <w:t xml:space="preserve">, פסקה 40 (21.2.2013); עע"ם 89/13 </w:t>
      </w:r>
      <w:r w:rsidRPr="000D390B">
        <w:rPr>
          <w:rFonts w:ascii="Century" w:hAnsi="Century" w:cs="Miriam"/>
          <w:b/>
          <w:rtl/>
        </w:rPr>
        <w:t xml:space="preserve">עיריית רמת גן נ' הראל </w:t>
      </w:r>
      <w:r w:rsidRPr="000D390B">
        <w:rPr>
          <w:rFonts w:ascii="Century" w:hAnsi="Century" w:cs="FrankRuehl"/>
          <w:spacing w:val="10"/>
          <w:szCs w:val="28"/>
          <w:rtl/>
        </w:rPr>
        <w:t>(25.2.2015); ע"א 3604/13</w:t>
      </w:r>
      <w:r w:rsidRPr="00A35C52">
        <w:rPr>
          <w:rFonts w:ascii="FrankRuehl" w:hAnsi="FrankRuehl" w:cs="FrankRuehl"/>
          <w:sz w:val="28"/>
          <w:szCs w:val="28"/>
          <w:rtl/>
        </w:rPr>
        <w:t xml:space="preserve"> </w:t>
      </w:r>
      <w:r w:rsidRPr="000D390B">
        <w:rPr>
          <w:rFonts w:ascii="Century" w:hAnsi="Century" w:cs="Miriam"/>
          <w:b/>
          <w:rtl/>
        </w:rPr>
        <w:t xml:space="preserve">מנהל רשות </w:t>
      </w:r>
      <w:proofErr w:type="spellStart"/>
      <w:r w:rsidRPr="000D390B">
        <w:rPr>
          <w:rFonts w:ascii="Century" w:hAnsi="Century" w:cs="Miriam"/>
          <w:b/>
          <w:rtl/>
        </w:rPr>
        <w:t>המסים</w:t>
      </w:r>
      <w:proofErr w:type="spellEnd"/>
      <w:r w:rsidRPr="000D390B">
        <w:rPr>
          <w:rFonts w:ascii="Century" w:hAnsi="Century" w:cs="Miriam"/>
          <w:b/>
          <w:rtl/>
        </w:rPr>
        <w:t xml:space="preserve"> נ' </w:t>
      </w:r>
      <w:proofErr w:type="spellStart"/>
      <w:r w:rsidRPr="000D390B">
        <w:rPr>
          <w:rFonts w:ascii="Century" w:hAnsi="Century" w:cs="Miriam"/>
          <w:b/>
          <w:rtl/>
        </w:rPr>
        <w:t>אייזינגר</w:t>
      </w:r>
      <w:proofErr w:type="spellEnd"/>
      <w:r w:rsidRPr="00A35C52">
        <w:rPr>
          <w:rFonts w:ascii="FrankRuehl" w:hAnsi="FrankRuehl" w:cs="FrankRuehl"/>
          <w:sz w:val="28"/>
          <w:szCs w:val="28"/>
          <w:rtl/>
        </w:rPr>
        <w:t xml:space="preserve"> </w:t>
      </w:r>
      <w:r w:rsidRPr="000D390B">
        <w:rPr>
          <w:rFonts w:ascii="Century" w:hAnsi="Century" w:cs="FrankRuehl"/>
          <w:spacing w:val="10"/>
          <w:szCs w:val="28"/>
          <w:rtl/>
        </w:rPr>
        <w:t xml:space="preserve">(10.5.2015)). </w:t>
      </w:r>
      <w:r w:rsidRPr="000E1086">
        <w:rPr>
          <w:rFonts w:ascii="Century" w:hAnsi="Century" w:cs="FrankRuehl" w:hint="cs"/>
          <w:spacing w:val="10"/>
          <w:szCs w:val="28"/>
          <w:rtl/>
        </w:rPr>
        <w:t xml:space="preserve">כך למשל, </w:t>
      </w:r>
      <w:r>
        <w:rPr>
          <w:rFonts w:ascii="Century" w:hAnsi="Century" w:cs="FrankRuehl" w:hint="cs"/>
          <w:spacing w:val="10"/>
          <w:szCs w:val="28"/>
          <w:rtl/>
        </w:rPr>
        <w:t xml:space="preserve">התכחשות להתחייבות או למצג קודם של הפרט בפני הרשויות עשויה לעלות בנסיבות המתאימות לכדי הפרה של חובת ההגינות, המקימה מניעות כלפיו (ראו והשוו: </w:t>
      </w:r>
      <w:r w:rsidRPr="003235C8">
        <w:rPr>
          <w:rFonts w:ascii="Century" w:hAnsi="Century" w:cs="FrankRuehl"/>
          <w:spacing w:val="10"/>
          <w:szCs w:val="28"/>
          <w:rtl/>
        </w:rPr>
        <w:t xml:space="preserve">בג"ץ 1930/94 </w:t>
      </w:r>
      <w:r w:rsidRPr="00516E7E">
        <w:rPr>
          <w:rFonts w:ascii="Century" w:hAnsi="Century" w:cs="Miriam" w:hint="eastAsia"/>
          <w:b/>
          <w:rtl/>
        </w:rPr>
        <w:t>נתן</w:t>
      </w:r>
      <w:r w:rsidRPr="00516E7E">
        <w:rPr>
          <w:rFonts w:ascii="Century" w:hAnsi="Century" w:cs="Miriam"/>
          <w:b/>
          <w:rtl/>
        </w:rPr>
        <w:t xml:space="preserve"> </w:t>
      </w:r>
      <w:r w:rsidRPr="00516E7E">
        <w:rPr>
          <w:rFonts w:ascii="Century" w:hAnsi="Century" w:cs="Miriam" w:hint="eastAsia"/>
          <w:b/>
          <w:rtl/>
        </w:rPr>
        <w:t>נ</w:t>
      </w:r>
      <w:r w:rsidRPr="00516E7E">
        <w:rPr>
          <w:rFonts w:ascii="Century" w:hAnsi="Century" w:cs="Miriam"/>
          <w:b/>
          <w:rtl/>
        </w:rPr>
        <w:t xml:space="preserve">' </w:t>
      </w:r>
      <w:r w:rsidRPr="00516E7E">
        <w:rPr>
          <w:rFonts w:ascii="Century" w:hAnsi="Century" w:cs="Miriam" w:hint="eastAsia"/>
          <w:b/>
          <w:rtl/>
        </w:rPr>
        <w:t>שר</w:t>
      </w:r>
      <w:r w:rsidRPr="00516E7E">
        <w:rPr>
          <w:rFonts w:ascii="Century" w:hAnsi="Century" w:cs="Miriam"/>
          <w:b/>
          <w:rtl/>
        </w:rPr>
        <w:t xml:space="preserve"> </w:t>
      </w:r>
      <w:r w:rsidRPr="00516E7E">
        <w:rPr>
          <w:rFonts w:ascii="Century" w:hAnsi="Century" w:cs="Miriam" w:hint="eastAsia"/>
          <w:b/>
          <w:rtl/>
        </w:rPr>
        <w:t>הביטחון</w:t>
      </w:r>
      <w:r w:rsidRPr="003235C8">
        <w:rPr>
          <w:rFonts w:ascii="Century" w:hAnsi="Century" w:cs="FrankRuehl"/>
          <w:spacing w:val="10"/>
          <w:szCs w:val="28"/>
          <w:rtl/>
        </w:rPr>
        <w:t>, פ"ד מח(4) 643, 657-655 (1994)</w:t>
      </w:r>
      <w:r>
        <w:rPr>
          <w:rFonts w:ascii="Century" w:hAnsi="Century" w:cs="FrankRuehl" w:hint="cs"/>
          <w:spacing w:val="10"/>
          <w:szCs w:val="28"/>
          <w:rtl/>
        </w:rPr>
        <w:t xml:space="preserve">; עניין </w:t>
      </w:r>
      <w:proofErr w:type="spellStart"/>
      <w:r w:rsidRPr="00843A49">
        <w:rPr>
          <w:rFonts w:ascii="Century" w:hAnsi="Century" w:cs="Miriam" w:hint="cs"/>
          <w:b/>
          <w:rtl/>
        </w:rPr>
        <w:t>קונטר</w:t>
      </w:r>
      <w:r w:rsidRPr="00516E7E">
        <w:rPr>
          <w:rFonts w:ascii="Century" w:hAnsi="Century" w:cs="Miriam" w:hint="eastAsia"/>
          <w:b/>
          <w:rtl/>
        </w:rPr>
        <w:t>ם</w:t>
      </w:r>
      <w:proofErr w:type="spellEnd"/>
      <w:r w:rsidRPr="00516E7E">
        <w:rPr>
          <w:rFonts w:ascii="Century" w:hAnsi="Century" w:cs="FrankRuehl"/>
          <w:spacing w:val="10"/>
          <w:szCs w:val="28"/>
          <w:rtl/>
        </w:rPr>
        <w:t xml:space="preserve">, </w:t>
      </w:r>
      <w:r w:rsidRPr="00516E7E">
        <w:rPr>
          <w:rFonts w:ascii="Century" w:hAnsi="Century" w:cs="FrankRuehl" w:hint="eastAsia"/>
          <w:spacing w:val="10"/>
          <w:szCs w:val="28"/>
          <w:rtl/>
        </w:rPr>
        <w:t>בעמ</w:t>
      </w:r>
      <w:r w:rsidRPr="00516E7E">
        <w:rPr>
          <w:rFonts w:ascii="Century" w:hAnsi="Century" w:cs="FrankRuehl"/>
          <w:spacing w:val="10"/>
          <w:szCs w:val="28"/>
          <w:rtl/>
        </w:rPr>
        <w:t>' 322</w:t>
      </w:r>
      <w:r w:rsidRPr="00896F09">
        <w:rPr>
          <w:rFonts w:ascii="Century" w:hAnsi="Century" w:cs="FrankRuehl"/>
          <w:spacing w:val="10"/>
          <w:szCs w:val="28"/>
          <w:rtl/>
        </w:rPr>
        <w:t>;</w:t>
      </w:r>
      <w:r w:rsidRPr="003235C8">
        <w:rPr>
          <w:rFonts w:ascii="Century" w:hAnsi="Century" w:cs="FrankRuehl" w:hint="cs"/>
          <w:spacing w:val="10"/>
          <w:szCs w:val="28"/>
          <w:rtl/>
        </w:rPr>
        <w:t xml:space="preserve"> </w:t>
      </w:r>
      <w:r>
        <w:rPr>
          <w:rFonts w:ascii="Century" w:hAnsi="Century" w:cs="FrankRuehl" w:hint="cs"/>
          <w:spacing w:val="10"/>
          <w:szCs w:val="28"/>
          <w:rtl/>
        </w:rPr>
        <w:t xml:space="preserve">ע"א 8958/10 </w:t>
      </w:r>
      <w:r w:rsidRPr="00516E7E">
        <w:rPr>
          <w:rFonts w:ascii="Century" w:hAnsi="Century" w:cs="Miriam" w:hint="eastAsia"/>
          <w:b/>
          <w:rtl/>
        </w:rPr>
        <w:t>עיריית</w:t>
      </w:r>
      <w:r w:rsidRPr="00516E7E">
        <w:rPr>
          <w:rFonts w:ascii="Century" w:hAnsi="Century" w:cs="Miriam"/>
          <w:b/>
          <w:rtl/>
        </w:rPr>
        <w:t xml:space="preserve"> </w:t>
      </w:r>
      <w:r w:rsidRPr="00516E7E">
        <w:rPr>
          <w:rFonts w:ascii="Century" w:hAnsi="Century" w:cs="Miriam" w:hint="eastAsia"/>
          <w:b/>
          <w:rtl/>
        </w:rPr>
        <w:t>רמת</w:t>
      </w:r>
      <w:r w:rsidRPr="00516E7E">
        <w:rPr>
          <w:rFonts w:ascii="Century" w:hAnsi="Century" w:cs="Miriam"/>
          <w:b/>
          <w:rtl/>
        </w:rPr>
        <w:t xml:space="preserve"> </w:t>
      </w:r>
      <w:r w:rsidRPr="00516E7E">
        <w:rPr>
          <w:rFonts w:ascii="Century" w:hAnsi="Century" w:cs="Miriam" w:hint="eastAsia"/>
          <w:b/>
          <w:rtl/>
        </w:rPr>
        <w:t>השרון</w:t>
      </w:r>
      <w:r w:rsidRPr="00516E7E">
        <w:rPr>
          <w:rFonts w:ascii="Century" w:hAnsi="Century" w:cs="Miriam"/>
          <w:b/>
          <w:rtl/>
        </w:rPr>
        <w:t xml:space="preserve"> </w:t>
      </w:r>
      <w:r w:rsidRPr="00516E7E">
        <w:rPr>
          <w:rFonts w:ascii="Century" w:hAnsi="Century" w:cs="Miriam" w:hint="eastAsia"/>
          <w:b/>
          <w:rtl/>
        </w:rPr>
        <w:t>נ</w:t>
      </w:r>
      <w:r w:rsidRPr="00516E7E">
        <w:rPr>
          <w:rFonts w:ascii="Century" w:hAnsi="Century" w:cs="Miriam"/>
          <w:b/>
          <w:rtl/>
        </w:rPr>
        <w:t xml:space="preserve">' </w:t>
      </w:r>
      <w:r w:rsidRPr="00516E7E">
        <w:rPr>
          <w:rFonts w:ascii="Century" w:hAnsi="Century" w:cs="Miriam" w:hint="eastAsia"/>
          <w:b/>
          <w:rtl/>
        </w:rPr>
        <w:t>טו</w:t>
      </w:r>
      <w:r w:rsidRPr="00516E7E">
        <w:rPr>
          <w:rFonts w:ascii="Century" w:hAnsi="Century" w:cs="Miriam"/>
          <w:b/>
          <w:rtl/>
        </w:rPr>
        <w:t>-</w:t>
      </w:r>
      <w:r w:rsidRPr="00516E7E">
        <w:rPr>
          <w:rFonts w:ascii="Century" w:hAnsi="Century" w:cs="Miriam" w:hint="eastAsia"/>
          <w:b/>
          <w:rtl/>
        </w:rPr>
        <w:t>מז</w:t>
      </w:r>
      <w:r w:rsidRPr="00516E7E">
        <w:rPr>
          <w:rFonts w:ascii="Century" w:hAnsi="Century" w:cs="Miriam"/>
          <w:b/>
          <w:rtl/>
        </w:rPr>
        <w:t xml:space="preserve"> </w:t>
      </w:r>
      <w:r w:rsidRPr="00516E7E">
        <w:rPr>
          <w:rFonts w:ascii="Century" w:hAnsi="Century" w:cs="Miriam" w:hint="eastAsia"/>
          <w:b/>
          <w:rtl/>
        </w:rPr>
        <w:t>חברה</w:t>
      </w:r>
      <w:r w:rsidRPr="00516E7E">
        <w:rPr>
          <w:rFonts w:ascii="Century" w:hAnsi="Century" w:cs="Miriam"/>
          <w:b/>
          <w:rtl/>
        </w:rPr>
        <w:t xml:space="preserve"> </w:t>
      </w:r>
      <w:r w:rsidRPr="00516E7E">
        <w:rPr>
          <w:rFonts w:ascii="Century" w:hAnsi="Century" w:cs="Miriam" w:hint="eastAsia"/>
          <w:b/>
          <w:rtl/>
        </w:rPr>
        <w:t>קבלנית</w:t>
      </w:r>
      <w:r w:rsidRPr="00516E7E">
        <w:rPr>
          <w:rFonts w:ascii="Century" w:hAnsi="Century" w:cs="Miriam"/>
          <w:b/>
          <w:rtl/>
        </w:rPr>
        <w:t xml:space="preserve"> </w:t>
      </w:r>
      <w:r w:rsidRPr="00516E7E">
        <w:rPr>
          <w:rFonts w:ascii="Century" w:hAnsi="Century" w:cs="Miriam" w:hint="eastAsia"/>
          <w:b/>
          <w:rtl/>
        </w:rPr>
        <w:t>בע</w:t>
      </w:r>
      <w:r w:rsidRPr="00516E7E">
        <w:rPr>
          <w:rFonts w:ascii="Century" w:hAnsi="Century" w:cs="Miriam"/>
          <w:b/>
          <w:rtl/>
        </w:rPr>
        <w:t>"</w:t>
      </w:r>
      <w:r w:rsidRPr="00516E7E">
        <w:rPr>
          <w:rFonts w:ascii="Century" w:hAnsi="Century" w:cs="Miriam" w:hint="eastAsia"/>
          <w:b/>
          <w:rtl/>
        </w:rPr>
        <w:t>מ</w:t>
      </w:r>
      <w:r>
        <w:rPr>
          <w:rFonts w:ascii="Century" w:hAnsi="Century" w:cs="FrankRuehl" w:hint="cs"/>
          <w:spacing w:val="10"/>
          <w:szCs w:val="28"/>
          <w:rtl/>
        </w:rPr>
        <w:t xml:space="preserve">, פסקה 16 (9.7.2012); </w:t>
      </w:r>
      <w:r w:rsidRPr="00B608CF">
        <w:rPr>
          <w:rFonts w:ascii="Century" w:hAnsi="Century" w:cs="FrankRuehl"/>
          <w:spacing w:val="10"/>
          <w:szCs w:val="28"/>
          <w:rtl/>
        </w:rPr>
        <w:t>עע"</w:t>
      </w:r>
      <w:r>
        <w:rPr>
          <w:rFonts w:ascii="Century" w:hAnsi="Century" w:cs="FrankRuehl" w:hint="cs"/>
          <w:spacing w:val="10"/>
          <w:szCs w:val="28"/>
          <w:rtl/>
        </w:rPr>
        <w:t>ם</w:t>
      </w:r>
      <w:r w:rsidRPr="00B608CF">
        <w:rPr>
          <w:rFonts w:ascii="Century" w:hAnsi="Century" w:cs="FrankRuehl"/>
          <w:spacing w:val="10"/>
          <w:szCs w:val="28"/>
          <w:rtl/>
        </w:rPr>
        <w:t xml:space="preserve"> 6945/21 </w:t>
      </w:r>
      <w:r w:rsidRPr="00A74C17">
        <w:rPr>
          <w:rFonts w:ascii="Century" w:hAnsi="Century" w:cs="Miriam"/>
          <w:b/>
          <w:rtl/>
        </w:rPr>
        <w:t>ק.מ. מדף 4 בע"מ נ' רשות מקרקעי ישראל</w:t>
      </w:r>
      <w:r w:rsidRPr="00B608CF">
        <w:rPr>
          <w:rFonts w:ascii="Century" w:hAnsi="Century" w:cs="FrankRuehl"/>
          <w:spacing w:val="10"/>
          <w:szCs w:val="28"/>
          <w:rtl/>
        </w:rPr>
        <w:t>, פסקה 18 (18.11.2021)</w:t>
      </w:r>
      <w:r>
        <w:rPr>
          <w:rFonts w:ascii="Century" w:hAnsi="Century" w:cs="FrankRuehl" w:hint="cs"/>
          <w:spacing w:val="10"/>
          <w:szCs w:val="28"/>
          <w:rtl/>
        </w:rPr>
        <w:t>).</w:t>
      </w:r>
    </w:p>
    <w:p w14:paraId="6093DA96" w14:textId="77777777" w:rsidR="00437A63" w:rsidRPr="000D390B" w:rsidRDefault="00437A63" w:rsidP="00437A63">
      <w:pPr>
        <w:pStyle w:val="af0"/>
        <w:spacing w:line="360" w:lineRule="auto"/>
        <w:ind w:left="0"/>
        <w:jc w:val="both"/>
        <w:rPr>
          <w:rFonts w:ascii="Century" w:hAnsi="Century" w:cs="FrankRuehl"/>
          <w:spacing w:val="10"/>
          <w:szCs w:val="28"/>
          <w:rtl/>
        </w:rPr>
      </w:pPr>
    </w:p>
    <w:p w14:paraId="23358416"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22</w:t>
      </w:r>
      <w:r w:rsidRPr="000D390B">
        <w:rPr>
          <w:rFonts w:ascii="Century" w:hAnsi="Century" w:cs="FrankRuehl"/>
          <w:spacing w:val="10"/>
          <w:szCs w:val="28"/>
          <w:rtl/>
        </w:rPr>
        <w:t>.</w:t>
      </w:r>
      <w:r w:rsidRPr="000D390B">
        <w:rPr>
          <w:rFonts w:ascii="Century" w:hAnsi="Century" w:cs="FrankRuehl"/>
          <w:spacing w:val="10"/>
          <w:szCs w:val="28"/>
          <w:rtl/>
        </w:rPr>
        <w:tab/>
      </w:r>
      <w:r w:rsidRPr="000D390B">
        <w:rPr>
          <w:rFonts w:ascii="Century" w:hAnsi="Century" w:cs="FrankRuehl" w:hint="eastAsia"/>
          <w:spacing w:val="10"/>
          <w:szCs w:val="28"/>
          <w:rtl/>
        </w:rPr>
        <w:t>על</w:t>
      </w:r>
      <w:r w:rsidRPr="000D390B">
        <w:rPr>
          <w:rFonts w:ascii="Century" w:hAnsi="Century" w:cs="FrankRuehl"/>
          <w:spacing w:val="10"/>
          <w:szCs w:val="28"/>
          <w:rtl/>
        </w:rPr>
        <w:t xml:space="preserve"> רקע </w:t>
      </w:r>
      <w:r w:rsidRPr="000D390B">
        <w:rPr>
          <w:rFonts w:ascii="Century" w:hAnsi="Century" w:cs="FrankRuehl" w:hint="eastAsia"/>
          <w:spacing w:val="10"/>
          <w:szCs w:val="28"/>
          <w:rtl/>
        </w:rPr>
        <w:t>תשתית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נורמטיבית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זו</w:t>
      </w:r>
      <w:r w:rsidRPr="000D390B">
        <w:rPr>
          <w:rFonts w:ascii="Century" w:hAnsi="Century" w:cs="FrankRuehl"/>
          <w:spacing w:val="10"/>
          <w:szCs w:val="28"/>
          <w:rtl/>
        </w:rPr>
        <w:t>,</w:t>
      </w:r>
      <w:r>
        <w:rPr>
          <w:rFonts w:ascii="Century" w:hAnsi="Century" w:cs="FrankRuehl" w:hint="cs"/>
          <w:spacing w:val="10"/>
          <w:szCs w:val="28"/>
          <w:rtl/>
        </w:rPr>
        <w:t xml:space="preserve"> אפנה עתה לבחון את משמעות התנהלותו של דרעי בבית משפט השלום.</w:t>
      </w:r>
    </w:p>
    <w:p w14:paraId="5719006E" w14:textId="77777777" w:rsidR="00437A63" w:rsidRPr="000D390B" w:rsidRDefault="00437A63" w:rsidP="00437A63">
      <w:pPr>
        <w:pStyle w:val="af0"/>
        <w:spacing w:line="360" w:lineRule="auto"/>
        <w:ind w:left="0"/>
        <w:jc w:val="both"/>
        <w:rPr>
          <w:rFonts w:ascii="Century" w:hAnsi="Century" w:cs="FrankRuehl"/>
          <w:spacing w:val="10"/>
          <w:szCs w:val="28"/>
          <w:rtl/>
        </w:rPr>
      </w:pPr>
    </w:p>
    <w:p w14:paraId="75325DE4" w14:textId="77777777" w:rsidR="00437A63" w:rsidRDefault="00437A63" w:rsidP="00437A63">
      <w:pPr>
        <w:pStyle w:val="Ruller41"/>
        <w:rPr>
          <w:rFonts w:ascii="FrankRuehl" w:hAnsi="FrankRuehl"/>
          <w:sz w:val="28"/>
          <w:rtl/>
        </w:rPr>
      </w:pPr>
      <w:r>
        <w:rPr>
          <w:rFonts w:ascii="Century" w:hAnsi="Century" w:hint="cs"/>
          <w:rtl/>
        </w:rPr>
        <w:lastRenderedPageBreak/>
        <w:t>23</w:t>
      </w:r>
      <w:r w:rsidRPr="000D390B">
        <w:rPr>
          <w:rFonts w:ascii="Century" w:hAnsi="Century"/>
          <w:rtl/>
        </w:rPr>
        <w:t xml:space="preserve">. </w:t>
      </w:r>
      <w:r w:rsidRPr="000D390B">
        <w:rPr>
          <w:rFonts w:ascii="Century" w:hAnsi="Century"/>
          <w:rtl/>
        </w:rPr>
        <w:tab/>
      </w:r>
      <w:r w:rsidRPr="000D390B">
        <w:rPr>
          <w:rFonts w:ascii="Century" w:hAnsi="Century" w:hint="eastAsia"/>
          <w:rtl/>
        </w:rPr>
        <w:t>במקרה</w:t>
      </w:r>
      <w:r w:rsidRPr="000D390B">
        <w:rPr>
          <w:rFonts w:ascii="Century" w:hAnsi="Century"/>
          <w:rtl/>
        </w:rPr>
        <w:t xml:space="preserve"> </w:t>
      </w:r>
      <w:r w:rsidRPr="000D390B">
        <w:rPr>
          <w:rFonts w:ascii="Century" w:hAnsi="Century" w:hint="eastAsia"/>
          <w:rtl/>
        </w:rPr>
        <w:t>דנן</w:t>
      </w:r>
      <w:r w:rsidRPr="000D390B">
        <w:rPr>
          <w:rFonts w:ascii="Century" w:hAnsi="Century"/>
          <w:rtl/>
        </w:rPr>
        <w:t xml:space="preserve">, </w:t>
      </w:r>
      <w:r w:rsidRPr="000D390B">
        <w:rPr>
          <w:rFonts w:ascii="Century" w:hAnsi="Century" w:hint="eastAsia"/>
          <w:rtl/>
        </w:rPr>
        <w:t>כאמור</w:t>
      </w:r>
      <w:r w:rsidRPr="000D390B">
        <w:rPr>
          <w:rFonts w:ascii="Century" w:hAnsi="Century"/>
          <w:rtl/>
        </w:rPr>
        <w:t>, המצ</w:t>
      </w:r>
      <w:r w:rsidRPr="000D390B">
        <w:rPr>
          <w:rFonts w:ascii="Century" w:hAnsi="Century" w:hint="eastAsia"/>
          <w:rtl/>
        </w:rPr>
        <w:t>ג</w:t>
      </w:r>
      <w:r w:rsidRPr="000D390B">
        <w:rPr>
          <w:rFonts w:ascii="Century" w:hAnsi="Century"/>
          <w:rtl/>
        </w:rPr>
        <w:t xml:space="preserve"> שיצר</w:t>
      </w:r>
      <w:r w:rsidRPr="000D390B">
        <w:rPr>
          <w:rFonts w:ascii="Century" w:hAnsi="Century" w:hint="eastAsia"/>
          <w:rtl/>
        </w:rPr>
        <w:t>ו</w:t>
      </w:r>
      <w:r w:rsidRPr="000D390B">
        <w:rPr>
          <w:rFonts w:ascii="Century" w:hAnsi="Century"/>
          <w:rtl/>
        </w:rPr>
        <w:t xml:space="preserve"> דרעי ובא-כוחו בהצהרותיהם נעשה בפני נשיא בית משפט השלום שישב בדין</w:t>
      </w:r>
      <w:r>
        <w:rPr>
          <w:rFonts w:ascii="Century" w:hAnsi="Century" w:hint="cs"/>
          <w:rtl/>
        </w:rPr>
        <w:t>.</w:t>
      </w:r>
      <w:r w:rsidRPr="000D390B">
        <w:rPr>
          <w:rFonts w:ascii="Century" w:hAnsi="Century"/>
          <w:rtl/>
        </w:rPr>
        <w:t xml:space="preserve"> ואולם</w:t>
      </w:r>
      <w:r>
        <w:rPr>
          <w:rFonts w:ascii="Century" w:hAnsi="Century" w:hint="cs"/>
          <w:rtl/>
        </w:rPr>
        <w:t>,</w:t>
      </w:r>
      <w:r w:rsidRPr="000D390B">
        <w:rPr>
          <w:rFonts w:ascii="Century" w:hAnsi="Century"/>
          <w:rtl/>
        </w:rPr>
        <w:t xml:space="preserve"> </w:t>
      </w:r>
      <w:r w:rsidRPr="000D390B">
        <w:rPr>
          <w:rFonts w:ascii="Century" w:hAnsi="Century" w:hint="eastAsia"/>
          <w:rtl/>
        </w:rPr>
        <w:t>הוא</w:t>
      </w:r>
      <w:r w:rsidRPr="000D390B">
        <w:rPr>
          <w:rFonts w:ascii="Century" w:hAnsi="Century"/>
          <w:rtl/>
        </w:rPr>
        <w:t xml:space="preserve"> </w:t>
      </w:r>
      <w:r w:rsidRPr="000D390B">
        <w:rPr>
          <w:rFonts w:ascii="Century" w:hAnsi="Century" w:hint="eastAsia"/>
          <w:rtl/>
        </w:rPr>
        <w:t>לא</w:t>
      </w:r>
      <w:r w:rsidRPr="000D390B">
        <w:rPr>
          <w:rFonts w:ascii="Century" w:hAnsi="Century"/>
          <w:rtl/>
        </w:rPr>
        <w:t xml:space="preserve"> </w:t>
      </w:r>
      <w:r w:rsidRPr="000D390B">
        <w:rPr>
          <w:rFonts w:ascii="Century" w:hAnsi="Century" w:hint="eastAsia"/>
          <w:rtl/>
        </w:rPr>
        <w:t>היה</w:t>
      </w:r>
      <w:r w:rsidRPr="000D390B">
        <w:rPr>
          <w:rFonts w:ascii="Century" w:hAnsi="Century"/>
          <w:rtl/>
        </w:rPr>
        <w:t xml:space="preserve"> </w:t>
      </w:r>
      <w:r w:rsidRPr="000D390B">
        <w:rPr>
          <w:rFonts w:ascii="Century" w:hAnsi="Century" w:hint="eastAsia"/>
          <w:rtl/>
        </w:rPr>
        <w:t>מכוון</w:t>
      </w:r>
      <w:r w:rsidRPr="000D390B">
        <w:rPr>
          <w:rFonts w:ascii="Century" w:hAnsi="Century"/>
          <w:rtl/>
        </w:rPr>
        <w:t xml:space="preserve"> </w:t>
      </w:r>
      <w:r w:rsidRPr="000D390B">
        <w:rPr>
          <w:rFonts w:ascii="Century" w:hAnsi="Century" w:hint="eastAsia"/>
          <w:rtl/>
        </w:rPr>
        <w:t>באופן</w:t>
      </w:r>
      <w:r w:rsidRPr="000D390B">
        <w:rPr>
          <w:rFonts w:ascii="Century" w:hAnsi="Century"/>
          <w:rtl/>
        </w:rPr>
        <w:t xml:space="preserve"> "אישי" </w:t>
      </w:r>
      <w:r w:rsidRPr="000D390B">
        <w:rPr>
          <w:rFonts w:ascii="Century" w:hAnsi="Century" w:hint="eastAsia"/>
          <w:rtl/>
        </w:rPr>
        <w:t>לשופט</w:t>
      </w:r>
      <w:r w:rsidRPr="000D390B">
        <w:rPr>
          <w:rFonts w:ascii="Century" w:hAnsi="Century"/>
          <w:rtl/>
        </w:rPr>
        <w:t xml:space="preserve"> המסוים </w:t>
      </w:r>
      <w:r w:rsidRPr="000D390B">
        <w:rPr>
          <w:rFonts w:ascii="Century" w:hAnsi="Century" w:hint="eastAsia"/>
          <w:rtl/>
        </w:rPr>
        <w:t>שדן</w:t>
      </w:r>
      <w:r w:rsidRPr="000D390B">
        <w:rPr>
          <w:rFonts w:ascii="Century" w:hAnsi="Century"/>
          <w:rtl/>
        </w:rPr>
        <w:t xml:space="preserve"> בתיק. </w:t>
      </w:r>
      <w:r w:rsidRPr="000D390B">
        <w:rPr>
          <w:rFonts w:ascii="Century" w:hAnsi="Century" w:hint="eastAsia"/>
          <w:rtl/>
        </w:rPr>
        <w:t>מ</w:t>
      </w:r>
      <w:r>
        <w:rPr>
          <w:rFonts w:ascii="Century" w:hAnsi="Century" w:hint="cs"/>
          <w:rtl/>
        </w:rPr>
        <w:t>ו</w:t>
      </w:r>
      <w:r w:rsidRPr="000D390B">
        <w:rPr>
          <w:rFonts w:ascii="Century" w:hAnsi="Century" w:hint="eastAsia"/>
          <w:rtl/>
        </w:rPr>
        <w:t>ש</w:t>
      </w:r>
      <w:r>
        <w:rPr>
          <w:rFonts w:ascii="Century" w:hAnsi="Century" w:hint="cs"/>
          <w:rtl/>
        </w:rPr>
        <w:t>כ</w:t>
      </w:r>
      <w:r w:rsidRPr="000D390B">
        <w:rPr>
          <w:rFonts w:ascii="Century" w:hAnsi="Century" w:hint="eastAsia"/>
          <w:rtl/>
        </w:rPr>
        <w:t>לות</w:t>
      </w:r>
      <w:r w:rsidRPr="000D390B">
        <w:rPr>
          <w:rFonts w:ascii="Century" w:hAnsi="Century"/>
          <w:rtl/>
        </w:rPr>
        <w:t xml:space="preserve"> יסוד הן כי </w:t>
      </w:r>
      <w:r w:rsidRPr="000D390B">
        <w:rPr>
          <w:rFonts w:ascii="Century" w:hAnsi="Century" w:hint="eastAsia"/>
          <w:rtl/>
        </w:rPr>
        <w:t>השופט</w:t>
      </w:r>
      <w:r w:rsidRPr="000D390B">
        <w:rPr>
          <w:rFonts w:ascii="Century" w:hAnsi="Century"/>
          <w:rtl/>
        </w:rPr>
        <w:t xml:space="preserve"> שדן בעניינו </w:t>
      </w:r>
      <w:r w:rsidRPr="00ED4F52">
        <w:rPr>
          <w:rFonts w:ascii="Century" w:hAnsi="Century"/>
          <w:rtl/>
        </w:rPr>
        <w:t xml:space="preserve">של </w:t>
      </w:r>
      <w:r w:rsidRPr="00ED4F52">
        <w:rPr>
          <w:rFonts w:ascii="Century" w:hAnsi="Century" w:hint="eastAsia"/>
          <w:rtl/>
        </w:rPr>
        <w:t>כל</w:t>
      </w:r>
      <w:r w:rsidRPr="00ED4F52">
        <w:rPr>
          <w:rFonts w:ascii="Century" w:hAnsi="Century"/>
          <w:rtl/>
        </w:rPr>
        <w:t xml:space="preserve"> </w:t>
      </w:r>
      <w:r w:rsidRPr="00ED4F52">
        <w:rPr>
          <w:rFonts w:ascii="Century" w:hAnsi="Century" w:hint="eastAsia"/>
          <w:rtl/>
        </w:rPr>
        <w:t>אדם</w:t>
      </w:r>
      <w:r w:rsidRPr="00ED4F52">
        <w:rPr>
          <w:rFonts w:ascii="Century" w:hAnsi="Century"/>
          <w:rtl/>
        </w:rPr>
        <w:t xml:space="preserve">, ועל אחת כמה וכמה בעניינים פליליים, </w:t>
      </w:r>
      <w:r w:rsidRPr="00ED4F52">
        <w:rPr>
          <w:rFonts w:ascii="Century" w:hAnsi="Century" w:hint="eastAsia"/>
          <w:rtl/>
        </w:rPr>
        <w:t>אינו</w:t>
      </w:r>
      <w:r w:rsidRPr="00ED4F52">
        <w:rPr>
          <w:rFonts w:ascii="Century" w:hAnsi="Century"/>
          <w:rtl/>
        </w:rPr>
        <w:t xml:space="preserve"> יושב שם </w:t>
      </w:r>
      <w:r w:rsidRPr="00ED4F52">
        <w:rPr>
          <w:rFonts w:ascii="Century" w:hAnsi="Century" w:hint="eastAsia"/>
          <w:rtl/>
        </w:rPr>
        <w:t>ב</w:t>
      </w:r>
      <w:r w:rsidRPr="00ED4F52">
        <w:rPr>
          <w:rFonts w:ascii="Century" w:hAnsi="Century"/>
          <w:rtl/>
        </w:rPr>
        <w:t xml:space="preserve">"כובעו" כאדם פרטי. </w:t>
      </w:r>
      <w:r w:rsidRPr="00ED4F52">
        <w:rPr>
          <w:rFonts w:ascii="Century" w:hAnsi="Century" w:hint="eastAsia"/>
          <w:rtl/>
        </w:rPr>
        <w:t>השופט</w:t>
      </w:r>
      <w:r w:rsidRPr="00ED4F52">
        <w:rPr>
          <w:rFonts w:ascii="Century" w:hAnsi="Century"/>
          <w:rtl/>
        </w:rPr>
        <w:t xml:space="preserve"> </w:t>
      </w:r>
      <w:r w:rsidRPr="00ED4F52">
        <w:rPr>
          <w:rFonts w:ascii="Century" w:hAnsi="Century" w:hint="eastAsia"/>
          <w:rtl/>
        </w:rPr>
        <w:t>הי</w:t>
      </w:r>
      <w:r>
        <w:rPr>
          <w:rFonts w:ascii="Century" w:hAnsi="Century" w:hint="cs"/>
          <w:rtl/>
        </w:rPr>
        <w:t>ו</w:t>
      </w:r>
      <w:r w:rsidRPr="00ED4F52">
        <w:rPr>
          <w:rFonts w:ascii="Century" w:hAnsi="Century" w:hint="eastAsia"/>
          <w:rtl/>
        </w:rPr>
        <w:t>שב</w:t>
      </w:r>
      <w:r w:rsidRPr="00ED4F52">
        <w:rPr>
          <w:rFonts w:ascii="Century" w:hAnsi="Century"/>
          <w:rtl/>
        </w:rPr>
        <w:t xml:space="preserve"> בדין </w:t>
      </w:r>
      <w:r>
        <w:rPr>
          <w:rFonts w:ascii="Century" w:hAnsi="Century" w:hint="cs"/>
          <w:rtl/>
        </w:rPr>
        <w:t>עושה זאת</w:t>
      </w:r>
      <w:r w:rsidRPr="00ED4F52">
        <w:rPr>
          <w:rFonts w:ascii="Century" w:hAnsi="Century"/>
          <w:rtl/>
        </w:rPr>
        <w:t xml:space="preserve"> מכוח הסמכות שהוענקה לו </w:t>
      </w:r>
      <w:r>
        <w:rPr>
          <w:rFonts w:ascii="Century" w:hAnsi="Century" w:hint="cs"/>
          <w:rtl/>
        </w:rPr>
        <w:t>בחוק</w:t>
      </w:r>
      <w:r w:rsidRPr="00ED4F52">
        <w:rPr>
          <w:rFonts w:ascii="Century" w:hAnsi="Century"/>
          <w:rtl/>
        </w:rPr>
        <w:t xml:space="preserve"> וככזה </w:t>
      </w:r>
      <w:r w:rsidRPr="00ED4F52">
        <w:rPr>
          <w:rFonts w:ascii="Century" w:hAnsi="Century" w:hint="eastAsia"/>
          <w:rtl/>
        </w:rPr>
        <w:t>הוא</w:t>
      </w:r>
      <w:r w:rsidRPr="00ED4F52">
        <w:rPr>
          <w:rFonts w:ascii="Century" w:hAnsi="Century"/>
          <w:rtl/>
        </w:rPr>
        <w:t xml:space="preserve"> </w:t>
      </w:r>
      <w:r w:rsidRPr="00A35C52">
        <w:rPr>
          <w:rFonts w:ascii="Century" w:hAnsi="Century" w:hint="cs"/>
          <w:rtl/>
        </w:rPr>
        <w:t>פועל בשם המדינה,</w:t>
      </w:r>
      <w:r w:rsidRPr="00ED4F52">
        <w:rPr>
          <w:rFonts w:ascii="Century" w:hAnsi="Century"/>
          <w:rtl/>
        </w:rPr>
        <w:t xml:space="preserve"> ולמעשה </w:t>
      </w:r>
      <w:r w:rsidRPr="00ED4F52">
        <w:rPr>
          <w:rFonts w:ascii="Century" w:hAnsi="Century" w:hint="eastAsia"/>
          <w:rtl/>
        </w:rPr>
        <w:t>בשם</w:t>
      </w:r>
      <w:r w:rsidRPr="00ED4F52">
        <w:rPr>
          <w:rFonts w:ascii="Century" w:hAnsi="Century"/>
          <w:rtl/>
        </w:rPr>
        <w:t xml:space="preserve"> </w:t>
      </w:r>
      <w:r w:rsidRPr="00ED4F52">
        <w:rPr>
          <w:rFonts w:ascii="Century" w:hAnsi="Century" w:hint="eastAsia"/>
          <w:rtl/>
        </w:rPr>
        <w:t>האינטרס</w:t>
      </w:r>
      <w:r w:rsidRPr="00ED4F52">
        <w:rPr>
          <w:rFonts w:ascii="Century" w:hAnsi="Century"/>
          <w:rtl/>
        </w:rPr>
        <w:t xml:space="preserve"> </w:t>
      </w:r>
      <w:r w:rsidRPr="00ED4F52">
        <w:rPr>
          <w:rFonts w:ascii="Century" w:hAnsi="Century" w:hint="eastAsia"/>
          <w:rtl/>
        </w:rPr>
        <w:t>הציבורי</w:t>
      </w:r>
      <w:r w:rsidRPr="00ED4F52">
        <w:rPr>
          <w:rFonts w:ascii="Century" w:hAnsi="Century"/>
          <w:rtl/>
        </w:rPr>
        <w:t xml:space="preserve"> </w:t>
      </w:r>
      <w:r w:rsidRPr="00ED4F52">
        <w:rPr>
          <w:rFonts w:ascii="Century" w:hAnsi="Century" w:hint="eastAsia"/>
          <w:rtl/>
        </w:rPr>
        <w:t>הכללי</w:t>
      </w:r>
      <w:r w:rsidRPr="00ED4F52">
        <w:rPr>
          <w:rFonts w:ascii="Century" w:hAnsi="Century"/>
          <w:rtl/>
        </w:rPr>
        <w:t xml:space="preserve"> </w:t>
      </w:r>
      <w:r w:rsidRPr="00ED4F52">
        <w:rPr>
          <w:rFonts w:ascii="Century" w:hAnsi="Century" w:hint="eastAsia"/>
          <w:rtl/>
        </w:rPr>
        <w:t>באכיפת</w:t>
      </w:r>
      <w:r w:rsidRPr="00ED4F52">
        <w:rPr>
          <w:rFonts w:ascii="Century" w:hAnsi="Century"/>
          <w:rtl/>
        </w:rPr>
        <w:t xml:space="preserve"> </w:t>
      </w:r>
      <w:r w:rsidRPr="00ED4F52">
        <w:rPr>
          <w:rFonts w:ascii="Century" w:hAnsi="Century" w:hint="eastAsia"/>
          <w:rtl/>
        </w:rPr>
        <w:t>הדין</w:t>
      </w:r>
      <w:r>
        <w:rPr>
          <w:rFonts w:ascii="Century" w:hAnsi="Century" w:hint="cs"/>
          <w:rtl/>
        </w:rPr>
        <w:t>. פסיקתו של בית משפט זה כבר הבהירה כי "</w:t>
      </w:r>
      <w:r>
        <w:rPr>
          <w:rFonts w:ascii="FrankRuehl" w:hAnsi="FrankRuehl"/>
          <w:color w:val="000000"/>
          <w:sz w:val="28"/>
          <w:rtl/>
        </w:rPr>
        <w:t xml:space="preserve">מעת מינויו פועל השופט כנאמן הציבור שדרכו היא </w:t>
      </w:r>
      <w:r>
        <w:rPr>
          <w:rFonts w:ascii="FrankRuehl" w:hAnsi="FrankRuehl" w:hint="cs"/>
          <w:color w:val="000000"/>
          <w:sz w:val="28"/>
          <w:rtl/>
        </w:rPr>
        <w:t>'</w:t>
      </w:r>
      <w:r>
        <w:rPr>
          <w:rFonts w:ascii="FrankRuehl" w:hAnsi="FrankRuehl"/>
          <w:color w:val="000000"/>
          <w:sz w:val="28"/>
          <w:rtl/>
        </w:rPr>
        <w:t>דרך הנאמן, שמשלו אין לו ולא כלום וכל אשר הוא עושה כשליח הציבור עושה הו</w:t>
      </w:r>
      <w:r>
        <w:rPr>
          <w:rFonts w:ascii="FrankRuehl" w:hAnsi="FrankRuehl" w:hint="cs"/>
          <w:color w:val="000000"/>
          <w:sz w:val="28"/>
          <w:rtl/>
        </w:rPr>
        <w:t>א'"</w:t>
      </w:r>
      <w:r w:rsidRPr="00ED4F52">
        <w:rPr>
          <w:rFonts w:ascii="Century" w:hAnsi="Century"/>
          <w:rtl/>
        </w:rPr>
        <w:t xml:space="preserve"> (</w:t>
      </w:r>
      <w:r>
        <w:rPr>
          <w:rFonts w:ascii="FrankRuehl" w:hAnsi="FrankRuehl"/>
          <w:sz w:val="28"/>
          <w:rtl/>
        </w:rPr>
        <w:t xml:space="preserve">בג"ץ 6301/18 </w:t>
      </w:r>
      <w:r w:rsidRPr="007B1BCD">
        <w:rPr>
          <w:rFonts w:ascii="Century" w:hAnsi="Century" w:cs="Miriam"/>
          <w:b/>
          <w:spacing w:val="0"/>
          <w:szCs w:val="24"/>
          <w:rtl/>
        </w:rPr>
        <w:t>פוזננסקי כץ נ' שרת המשפטים</w:t>
      </w:r>
      <w:r>
        <w:rPr>
          <w:rFonts w:ascii="FrankRuehl" w:hAnsi="FrankRuehl"/>
          <w:sz w:val="28"/>
          <w:rtl/>
        </w:rPr>
        <w:t xml:space="preserve">, פסקה 62 לפסק דינו של השופט </w:t>
      </w:r>
      <w:r w:rsidRPr="007B1BCD">
        <w:rPr>
          <w:rFonts w:ascii="Century" w:hAnsi="Century" w:cs="Miriam"/>
          <w:b/>
          <w:spacing w:val="0"/>
          <w:szCs w:val="24"/>
          <w:rtl/>
        </w:rPr>
        <w:t>ע' פוגלמן</w:t>
      </w:r>
      <w:r w:rsidRPr="006C5812">
        <w:rPr>
          <w:rFonts w:ascii="FrankRuehl" w:hAnsi="FrankRuehl"/>
          <w:sz w:val="28"/>
          <w:rtl/>
        </w:rPr>
        <w:t xml:space="preserve"> </w:t>
      </w:r>
      <w:r>
        <w:rPr>
          <w:rFonts w:ascii="FrankRuehl" w:hAnsi="FrankRuehl"/>
          <w:sz w:val="28"/>
          <w:rtl/>
        </w:rPr>
        <w:t>(27.12.2018</w:t>
      </w:r>
      <w:r>
        <w:rPr>
          <w:rFonts w:ascii="FrankRuehl" w:hAnsi="FrankRuehl" w:hint="cs"/>
          <w:sz w:val="28"/>
          <w:rtl/>
        </w:rPr>
        <w:t xml:space="preserve">)). באופן יותר כללי, יפים לענייננו הדברים הבאים: </w:t>
      </w:r>
    </w:p>
    <w:p w14:paraId="2848DD2E" w14:textId="77777777" w:rsidR="00437A63" w:rsidRDefault="00437A63" w:rsidP="00437A63">
      <w:pPr>
        <w:pStyle w:val="Ruller41"/>
        <w:rPr>
          <w:rFonts w:ascii="FrankRuehl" w:hAnsi="FrankRuehl"/>
          <w:sz w:val="28"/>
          <w:rtl/>
        </w:rPr>
      </w:pPr>
    </w:p>
    <w:p w14:paraId="0E59F02D" w14:textId="77777777" w:rsidR="00437A63" w:rsidRDefault="00437A63" w:rsidP="00437A63">
      <w:pPr>
        <w:pStyle w:val="Ruller5"/>
        <w:rPr>
          <w:rtl/>
        </w:rPr>
      </w:pPr>
      <w:r>
        <w:rPr>
          <w:rFonts w:hint="cs"/>
          <w:rtl/>
        </w:rPr>
        <w:t xml:space="preserve">"אכן, בית-המשפט הוא זרוע של המדינה. כאשר בית-המשפט מדבר, המדינה מדברת, וכאשר בית-המשפט פועל, המדינה פועלת" (ראו: </w:t>
      </w:r>
      <w:r>
        <w:rPr>
          <w:rFonts w:ascii="FrankRuehl" w:hAnsi="FrankRuehl"/>
          <w:sz w:val="28"/>
          <w:rtl/>
        </w:rPr>
        <w:t xml:space="preserve">אהרן ברק </w:t>
      </w:r>
      <w:r>
        <w:rPr>
          <w:rFonts w:ascii="Miriam" w:hAnsi="Miriam" w:cs="Miriam"/>
          <w:spacing w:val="0"/>
          <w:sz w:val="24"/>
          <w:szCs w:val="24"/>
          <w:rtl/>
        </w:rPr>
        <w:t>פרשנות במשפט</w:t>
      </w:r>
      <w:r>
        <w:rPr>
          <w:rFonts w:ascii="FrankRuehl" w:hAnsi="FrankRuehl"/>
          <w:sz w:val="28"/>
          <w:rtl/>
        </w:rPr>
        <w:t xml:space="preserve"> כרך שלישי: פרשנות חוקתית 663 (1994)</w:t>
      </w:r>
      <w:r w:rsidRPr="00ED4F52">
        <w:rPr>
          <w:rFonts w:ascii="Century" w:hAnsi="Century"/>
          <w:rtl/>
        </w:rPr>
        <w:t>)</w:t>
      </w:r>
      <w:r>
        <w:rPr>
          <w:rFonts w:hint="cs"/>
          <w:rtl/>
        </w:rPr>
        <w:t>.</w:t>
      </w:r>
    </w:p>
    <w:p w14:paraId="2B5FA63F" w14:textId="77777777" w:rsidR="00437A63" w:rsidRDefault="00437A63" w:rsidP="00437A63">
      <w:pPr>
        <w:pStyle w:val="Ruller41"/>
        <w:rPr>
          <w:rFonts w:ascii="FrankRuehl" w:hAnsi="FrankRuehl"/>
          <w:sz w:val="28"/>
          <w:rtl/>
        </w:rPr>
      </w:pPr>
    </w:p>
    <w:p w14:paraId="0F7985B2" w14:textId="77777777" w:rsidR="00437A63" w:rsidRPr="00D53D27" w:rsidRDefault="00437A63" w:rsidP="00437A63">
      <w:pPr>
        <w:pStyle w:val="Ruller41"/>
        <w:rPr>
          <w:rFonts w:ascii="Century" w:hAnsi="Century"/>
          <w:rtl/>
        </w:rPr>
      </w:pPr>
      <w:r>
        <w:rPr>
          <w:rFonts w:ascii="FrankRuehl" w:hAnsi="FrankRuehl" w:hint="cs"/>
          <w:sz w:val="28"/>
          <w:rtl/>
        </w:rPr>
        <w:t>24.</w:t>
      </w:r>
      <w:r>
        <w:rPr>
          <w:rFonts w:ascii="Century" w:hAnsi="Century"/>
          <w:rtl/>
        </w:rPr>
        <w:tab/>
      </w:r>
      <w:r w:rsidRPr="00A35C52">
        <w:rPr>
          <w:rFonts w:ascii="Century" w:hAnsi="Century" w:hint="cs"/>
          <w:rtl/>
        </w:rPr>
        <w:t>בהתאמה,</w:t>
      </w:r>
      <w:r w:rsidRPr="00ED4F52">
        <w:rPr>
          <w:rFonts w:ascii="Century" w:hAnsi="Century"/>
          <w:rtl/>
        </w:rPr>
        <w:t xml:space="preserve"> </w:t>
      </w:r>
      <w:r w:rsidRPr="00ED4F52">
        <w:rPr>
          <w:rFonts w:ascii="Century" w:hAnsi="Century" w:hint="eastAsia"/>
          <w:rtl/>
        </w:rPr>
        <w:t>ההתחייבויות</w:t>
      </w:r>
      <w:r w:rsidRPr="00ED4F52">
        <w:rPr>
          <w:rFonts w:ascii="Century" w:hAnsi="Century"/>
          <w:rtl/>
        </w:rPr>
        <w:t xml:space="preserve"> שנוטל </w:t>
      </w:r>
      <w:r>
        <w:rPr>
          <w:rFonts w:ascii="Century" w:hAnsi="Century" w:hint="cs"/>
          <w:rtl/>
        </w:rPr>
        <w:t xml:space="preserve">על </w:t>
      </w:r>
      <w:r w:rsidRPr="00ED4F52">
        <w:rPr>
          <w:rFonts w:ascii="Century" w:hAnsi="Century"/>
          <w:rtl/>
        </w:rPr>
        <w:t xml:space="preserve">עצמו בעל דין בהליך פלילי, והמצג שהוא מציג בפני בית המשפט העומד לגזור את דינו, </w:t>
      </w:r>
      <w:r w:rsidRPr="00ED4F52">
        <w:rPr>
          <w:rFonts w:ascii="Century" w:hAnsi="Century" w:hint="eastAsia"/>
          <w:rtl/>
        </w:rPr>
        <w:t>אינם</w:t>
      </w:r>
      <w:r w:rsidRPr="00ED4F52">
        <w:rPr>
          <w:rFonts w:ascii="Century" w:hAnsi="Century"/>
          <w:rtl/>
        </w:rPr>
        <w:t xml:space="preserve"> </w:t>
      </w:r>
      <w:r w:rsidRPr="00ED4F52">
        <w:rPr>
          <w:rFonts w:ascii="Century" w:hAnsi="Century" w:hint="eastAsia"/>
          <w:rtl/>
        </w:rPr>
        <w:t>מכוונים</w:t>
      </w:r>
      <w:r w:rsidRPr="00A35C52">
        <w:rPr>
          <w:rFonts w:ascii="Century" w:hAnsi="Century" w:hint="cs"/>
          <w:rtl/>
        </w:rPr>
        <w:t xml:space="preserve"> אך כלפי השופט</w:t>
      </w:r>
      <w:r>
        <w:rPr>
          <w:rFonts w:ascii="Century" w:hAnsi="Century" w:hint="cs"/>
          <w:rtl/>
        </w:rPr>
        <w:t xml:space="preserve"> באופן אישי</w:t>
      </w:r>
      <w:r w:rsidRPr="00A35C52">
        <w:rPr>
          <w:rFonts w:ascii="Century" w:hAnsi="Century" w:hint="cs"/>
          <w:rtl/>
        </w:rPr>
        <w:t>,</w:t>
      </w:r>
      <w:r w:rsidRPr="00ED4F52">
        <w:rPr>
          <w:rFonts w:ascii="Century" w:hAnsi="Century"/>
          <w:rtl/>
        </w:rPr>
        <w:t xml:space="preserve"> אלא כלפי </w:t>
      </w:r>
      <w:r>
        <w:rPr>
          <w:rFonts w:ascii="Century" w:hAnsi="Century" w:hint="cs"/>
          <w:rtl/>
        </w:rPr>
        <w:t>המדינה בכללותה</w:t>
      </w:r>
      <w:r w:rsidRPr="00ED4F52">
        <w:rPr>
          <w:rFonts w:ascii="Century" w:hAnsi="Century"/>
          <w:rtl/>
        </w:rPr>
        <w:t>.</w:t>
      </w:r>
      <w:r>
        <w:rPr>
          <w:rFonts w:ascii="Century" w:hAnsi="Century" w:hint="cs"/>
          <w:rtl/>
        </w:rPr>
        <w:t xml:space="preserve"> בהיבט זה, בית המשפט מייצג את האינטרס הציבורי שהמדינה ומוסדותיה מופקדים עליו.</w:t>
      </w:r>
      <w:r w:rsidRPr="00ED4F52">
        <w:rPr>
          <w:rFonts w:ascii="Century" w:hAnsi="Century"/>
          <w:rtl/>
        </w:rPr>
        <w:t xml:space="preserve"> </w:t>
      </w:r>
      <w:r>
        <w:rPr>
          <w:rFonts w:ascii="Century" w:hAnsi="Century" w:hint="cs"/>
          <w:rtl/>
        </w:rPr>
        <w:t>על כן</w:t>
      </w:r>
      <w:r w:rsidRPr="00ED4F52">
        <w:rPr>
          <w:rFonts w:ascii="Century" w:hAnsi="Century"/>
          <w:rtl/>
        </w:rPr>
        <w:t xml:space="preserve">, </w:t>
      </w:r>
      <w:r w:rsidRPr="00ED4F52">
        <w:rPr>
          <w:rFonts w:ascii="Century" w:hAnsi="Century" w:hint="eastAsia"/>
          <w:rtl/>
        </w:rPr>
        <w:t>יש</w:t>
      </w:r>
      <w:r w:rsidRPr="00ED4F52">
        <w:rPr>
          <w:rFonts w:ascii="Century" w:hAnsi="Century"/>
          <w:rtl/>
        </w:rPr>
        <w:t xml:space="preserve"> </w:t>
      </w:r>
      <w:r w:rsidRPr="00ED4F52">
        <w:rPr>
          <w:rFonts w:ascii="Century" w:hAnsi="Century" w:hint="eastAsia"/>
          <w:rtl/>
        </w:rPr>
        <w:t>לראות</w:t>
      </w:r>
      <w:r w:rsidRPr="00ED4F52">
        <w:rPr>
          <w:rFonts w:ascii="Century" w:hAnsi="Century"/>
          <w:rtl/>
        </w:rPr>
        <w:t xml:space="preserve"> </w:t>
      </w:r>
      <w:r w:rsidRPr="00ED4F52">
        <w:rPr>
          <w:rFonts w:ascii="Century" w:hAnsi="Century" w:hint="eastAsia"/>
          <w:rtl/>
        </w:rPr>
        <w:t>את</w:t>
      </w:r>
      <w:r w:rsidRPr="00ED4F52">
        <w:rPr>
          <w:rFonts w:ascii="Century" w:hAnsi="Century"/>
          <w:rtl/>
        </w:rPr>
        <w:t xml:space="preserve"> </w:t>
      </w:r>
      <w:r w:rsidRPr="00ED4F52">
        <w:rPr>
          <w:rFonts w:ascii="Century" w:hAnsi="Century" w:hint="eastAsia"/>
          <w:rtl/>
        </w:rPr>
        <w:t>המצג</w:t>
      </w:r>
      <w:r w:rsidRPr="00ED4F52">
        <w:rPr>
          <w:rFonts w:ascii="Century" w:hAnsi="Century"/>
          <w:rtl/>
        </w:rPr>
        <w:t xml:space="preserve"> </w:t>
      </w:r>
      <w:r w:rsidRPr="00ED4F52">
        <w:rPr>
          <w:rFonts w:ascii="Century" w:hAnsi="Century" w:hint="eastAsia"/>
          <w:rtl/>
        </w:rPr>
        <w:t>שיצר</w:t>
      </w:r>
      <w:r w:rsidRPr="00ED4F52">
        <w:rPr>
          <w:rFonts w:ascii="Century" w:hAnsi="Century"/>
          <w:rtl/>
        </w:rPr>
        <w:t xml:space="preserve"> </w:t>
      </w:r>
      <w:r w:rsidRPr="00ED4F52">
        <w:rPr>
          <w:rFonts w:ascii="Century" w:hAnsi="Century" w:hint="eastAsia"/>
          <w:rtl/>
        </w:rPr>
        <w:t>דרעי</w:t>
      </w:r>
      <w:r w:rsidRPr="00ED4F52">
        <w:rPr>
          <w:rFonts w:ascii="Century" w:hAnsi="Century"/>
          <w:rtl/>
        </w:rPr>
        <w:t xml:space="preserve"> </w:t>
      </w:r>
      <w:r w:rsidRPr="00ED4F52">
        <w:rPr>
          <w:rFonts w:ascii="Century" w:hAnsi="Century" w:hint="eastAsia"/>
          <w:rtl/>
        </w:rPr>
        <w:t>ככזה</w:t>
      </w:r>
      <w:r w:rsidRPr="00ED4F52">
        <w:rPr>
          <w:rFonts w:ascii="Century" w:hAnsi="Century"/>
          <w:rtl/>
        </w:rPr>
        <w:t xml:space="preserve"> </w:t>
      </w:r>
      <w:r w:rsidRPr="00ED4F52">
        <w:rPr>
          <w:rFonts w:ascii="Century" w:hAnsi="Century" w:hint="eastAsia"/>
          <w:rtl/>
        </w:rPr>
        <w:t>שנעשה</w:t>
      </w:r>
      <w:r w:rsidRPr="00ED4F52">
        <w:rPr>
          <w:rFonts w:ascii="Century" w:hAnsi="Century"/>
          <w:rtl/>
        </w:rPr>
        <w:t xml:space="preserve"> </w:t>
      </w:r>
      <w:r w:rsidRPr="00ED4F52">
        <w:rPr>
          <w:rFonts w:ascii="Century" w:hAnsi="Century" w:hint="eastAsia"/>
          <w:rtl/>
        </w:rPr>
        <w:t>כלפי</w:t>
      </w:r>
      <w:r w:rsidRPr="00ED4F52">
        <w:rPr>
          <w:rFonts w:ascii="Century" w:hAnsi="Century"/>
          <w:rtl/>
        </w:rPr>
        <w:t xml:space="preserve"> </w:t>
      </w:r>
      <w:r w:rsidRPr="00ED4F52">
        <w:rPr>
          <w:rFonts w:ascii="Century" w:hAnsi="Century" w:hint="eastAsia"/>
          <w:rtl/>
        </w:rPr>
        <w:t>המדינה</w:t>
      </w:r>
      <w:r w:rsidRPr="00ED4F52">
        <w:rPr>
          <w:rFonts w:ascii="Century" w:hAnsi="Century"/>
          <w:rtl/>
        </w:rPr>
        <w:t xml:space="preserve"> </w:t>
      </w:r>
      <w:r w:rsidRPr="00ED4F52">
        <w:rPr>
          <w:rFonts w:ascii="Century" w:hAnsi="Century" w:hint="eastAsia"/>
          <w:rtl/>
        </w:rPr>
        <w:t>ב</w:t>
      </w:r>
      <w:r>
        <w:rPr>
          <w:rFonts w:ascii="Century" w:hAnsi="Century" w:hint="cs"/>
          <w:rtl/>
        </w:rPr>
        <w:t>מובן ה</w:t>
      </w:r>
      <w:r w:rsidRPr="00ED4F52">
        <w:rPr>
          <w:rFonts w:ascii="Century" w:hAnsi="Century" w:hint="eastAsia"/>
          <w:rtl/>
        </w:rPr>
        <w:t>רחב</w:t>
      </w:r>
      <w:r w:rsidRPr="00ED4F52">
        <w:rPr>
          <w:rFonts w:ascii="Century" w:hAnsi="Century"/>
          <w:rtl/>
        </w:rPr>
        <w:t>.</w:t>
      </w:r>
      <w:r>
        <w:rPr>
          <w:rFonts w:ascii="Century" w:hAnsi="Century" w:hint="cs"/>
          <w:rtl/>
        </w:rPr>
        <w:t xml:space="preserve"> בנקודה זו יש לחדד פעם נוספת כי אף הבהרת הפרקליטות באשר למהות ההסכמות בינה ובין דרעי אינה משנה בהקשר זה. לדבריהם של דרעי ובא-כוחו בפני בית משפט השלום יש כוח משל עצמם במנותק מעמדת התביעה, ולמקרא גזר הדין ניתן</w:t>
      </w:r>
      <w:r w:rsidRPr="00A46782">
        <w:rPr>
          <w:rFonts w:ascii="Century" w:hAnsi="Century" w:hint="cs"/>
          <w:rtl/>
        </w:rPr>
        <w:t xml:space="preserve"> להתרשם בבירור כי הם אף הותירו את רישומם מבחינת אופן סיומו של ההליך הפלילי</w:t>
      </w:r>
      <w:r>
        <w:rPr>
          <w:rFonts w:ascii="Century" w:hAnsi="Century" w:hint="cs"/>
          <w:rtl/>
        </w:rPr>
        <w:t xml:space="preserve"> ותוצאותיו</w:t>
      </w:r>
      <w:r w:rsidRPr="00A46782">
        <w:rPr>
          <w:rFonts w:ascii="Century" w:hAnsi="Century" w:hint="cs"/>
          <w:rtl/>
        </w:rPr>
        <w:t>.</w:t>
      </w:r>
      <w:r w:rsidRPr="00ED4F52">
        <w:rPr>
          <w:rFonts w:ascii="Century" w:hAnsi="Century"/>
          <w:rtl/>
        </w:rPr>
        <w:t xml:space="preserve"> </w:t>
      </w:r>
    </w:p>
    <w:p w14:paraId="440ACA17" w14:textId="77777777" w:rsidR="00437A63" w:rsidRDefault="00437A63" w:rsidP="00437A63">
      <w:pPr>
        <w:pStyle w:val="af0"/>
        <w:spacing w:line="360" w:lineRule="auto"/>
        <w:ind w:left="0"/>
        <w:jc w:val="both"/>
        <w:rPr>
          <w:rFonts w:ascii="Century" w:hAnsi="Century" w:cs="FrankRuehl"/>
          <w:spacing w:val="10"/>
          <w:szCs w:val="28"/>
          <w:rtl/>
        </w:rPr>
      </w:pPr>
    </w:p>
    <w:p w14:paraId="6CF7B8AF" w14:textId="77777777" w:rsidR="00437A63" w:rsidRDefault="00437A63" w:rsidP="00437A63">
      <w:pPr>
        <w:spacing w:line="360" w:lineRule="auto"/>
        <w:jc w:val="both"/>
        <w:rPr>
          <w:rFonts w:ascii="Century" w:hAnsi="Century" w:cs="FrankRuehl"/>
          <w:spacing w:val="10"/>
          <w:szCs w:val="28"/>
          <w:rtl/>
        </w:rPr>
      </w:pPr>
      <w:r>
        <w:rPr>
          <w:rFonts w:ascii="Century" w:hAnsi="Century" w:cs="FrankRuehl" w:hint="cs"/>
          <w:spacing w:val="10"/>
          <w:szCs w:val="28"/>
          <w:rtl/>
        </w:rPr>
        <w:t>25.</w:t>
      </w:r>
      <w:r>
        <w:rPr>
          <w:rFonts w:ascii="Century" w:hAnsi="Century" w:cs="FrankRuehl" w:hint="cs"/>
          <w:spacing w:val="10"/>
          <w:szCs w:val="28"/>
          <w:rtl/>
        </w:rPr>
        <w:tab/>
        <w:t xml:space="preserve">כך, הלכה למעשה, וכפי שנלמד מהפירוט של השתלשלות הדברים, אני סבורה כי אופן התנהלותו של דרעי, ובכלל זה ניסוח הדברים מטעמו, הקים יסוד סביר למסקנה לפיה יש בכוונתו לפרוש מעיסוקיו הפוליטיים בכנסת ובממשלה לפרק זמן ממושך ומשמעותי, כזה הנפרס לכל הפחות על פני מספר שנים. לא בכדי כך הובנו הדברים על-ידי בית משפט השלום בציינו כי </w:t>
      </w:r>
      <w:r w:rsidRPr="00005EB5">
        <w:rPr>
          <w:rFonts w:ascii="Century" w:hAnsi="Century" w:cs="FrankRuehl" w:hint="cs"/>
          <w:spacing w:val="10"/>
          <w:szCs w:val="28"/>
          <w:rtl/>
        </w:rPr>
        <w:t>"</w:t>
      </w:r>
      <w:r w:rsidRPr="00005EB5">
        <w:rPr>
          <w:rFonts w:ascii="Century" w:hAnsi="Century" w:cs="FrankRuehl" w:hint="eastAsia"/>
          <w:spacing w:val="10"/>
          <w:szCs w:val="28"/>
          <w:rtl/>
        </w:rPr>
        <w:t>הנאשם</w:t>
      </w:r>
      <w:r w:rsidRPr="00005EB5">
        <w:rPr>
          <w:rFonts w:ascii="Century" w:hAnsi="Century" w:cs="FrankRuehl"/>
          <w:spacing w:val="10"/>
          <w:szCs w:val="28"/>
          <w:rtl/>
        </w:rPr>
        <w:t xml:space="preserve"> </w:t>
      </w:r>
      <w:r w:rsidRPr="002D7BD4">
        <w:rPr>
          <w:rFonts w:ascii="Century" w:hAnsi="Century" w:cs="FrankRuehl" w:hint="eastAsia"/>
          <w:b/>
          <w:szCs w:val="28"/>
          <w:rtl/>
        </w:rPr>
        <w:t>לא</w:t>
      </w:r>
      <w:r w:rsidRPr="002D7BD4">
        <w:rPr>
          <w:rFonts w:ascii="Century" w:hAnsi="Century" w:cs="FrankRuehl"/>
          <w:b/>
          <w:szCs w:val="28"/>
          <w:rtl/>
        </w:rPr>
        <w:t xml:space="preserve"> </w:t>
      </w:r>
      <w:r w:rsidRPr="002D7BD4">
        <w:rPr>
          <w:rFonts w:ascii="Century" w:hAnsi="Century" w:cs="FrankRuehl" w:hint="eastAsia"/>
          <w:b/>
          <w:szCs w:val="28"/>
          <w:rtl/>
        </w:rPr>
        <w:t>ייגע</w:t>
      </w:r>
      <w:r w:rsidRPr="002D7BD4">
        <w:rPr>
          <w:rFonts w:ascii="Century" w:hAnsi="Century" w:cs="FrankRuehl"/>
          <w:b/>
          <w:szCs w:val="28"/>
          <w:rtl/>
        </w:rPr>
        <w:t xml:space="preserve"> </w:t>
      </w:r>
      <w:r w:rsidRPr="002D7BD4">
        <w:rPr>
          <w:rFonts w:ascii="Century" w:hAnsi="Century" w:cs="FrankRuehl" w:hint="eastAsia"/>
          <w:b/>
          <w:szCs w:val="28"/>
          <w:rtl/>
        </w:rPr>
        <w:t>עוד</w:t>
      </w:r>
      <w:r w:rsidRPr="00776BB5">
        <w:rPr>
          <w:rFonts w:ascii="Century" w:hAnsi="Century" w:cs="FrankRuehl"/>
          <w:spacing w:val="10"/>
          <w:szCs w:val="28"/>
          <w:rtl/>
        </w:rPr>
        <w:t xml:space="preserve"> </w:t>
      </w:r>
      <w:r w:rsidRPr="00005EB5">
        <w:rPr>
          <w:rFonts w:ascii="Century" w:hAnsi="Century" w:cs="FrankRuehl" w:hint="eastAsia"/>
          <w:spacing w:val="10"/>
          <w:szCs w:val="28"/>
          <w:rtl/>
        </w:rPr>
        <w:t>בצרכי</w:t>
      </w:r>
      <w:r w:rsidRPr="00005EB5">
        <w:rPr>
          <w:rFonts w:ascii="Century" w:hAnsi="Century" w:cs="FrankRuehl"/>
          <w:spacing w:val="10"/>
          <w:szCs w:val="28"/>
          <w:rtl/>
        </w:rPr>
        <w:t xml:space="preserve"> </w:t>
      </w:r>
      <w:r w:rsidRPr="00005EB5">
        <w:rPr>
          <w:rFonts w:ascii="Century" w:hAnsi="Century" w:cs="FrankRuehl" w:hint="eastAsia"/>
          <w:spacing w:val="10"/>
          <w:szCs w:val="28"/>
          <w:rtl/>
        </w:rPr>
        <w:t>ציבור</w:t>
      </w:r>
      <w:r w:rsidRPr="00005EB5">
        <w:rPr>
          <w:rFonts w:ascii="Century" w:hAnsi="Century" w:cs="FrankRuehl"/>
          <w:spacing w:val="10"/>
          <w:szCs w:val="28"/>
          <w:rtl/>
        </w:rPr>
        <w:t xml:space="preserve"> </w:t>
      </w:r>
      <w:r w:rsidRPr="00005EB5">
        <w:rPr>
          <w:rFonts w:ascii="Century" w:hAnsi="Century" w:cs="FrankRuehl" w:hint="eastAsia"/>
          <w:spacing w:val="10"/>
          <w:szCs w:val="28"/>
          <w:rtl/>
        </w:rPr>
        <w:t>הכורכים</w:t>
      </w:r>
      <w:r w:rsidRPr="00005EB5">
        <w:rPr>
          <w:rFonts w:ascii="Century" w:hAnsi="Century" w:cs="FrankRuehl"/>
          <w:spacing w:val="10"/>
          <w:szCs w:val="28"/>
          <w:rtl/>
        </w:rPr>
        <w:t xml:space="preserve"> </w:t>
      </w:r>
      <w:r w:rsidRPr="00005EB5">
        <w:rPr>
          <w:rFonts w:ascii="Century" w:hAnsi="Century" w:cs="FrankRuehl" w:hint="eastAsia"/>
          <w:spacing w:val="10"/>
          <w:szCs w:val="28"/>
          <w:rtl/>
        </w:rPr>
        <w:t>בתוכם</w:t>
      </w:r>
      <w:r w:rsidRPr="00005EB5">
        <w:rPr>
          <w:rFonts w:ascii="Century" w:hAnsi="Century" w:cs="FrankRuehl"/>
          <w:spacing w:val="10"/>
          <w:szCs w:val="28"/>
          <w:rtl/>
        </w:rPr>
        <w:t xml:space="preserve"> </w:t>
      </w:r>
      <w:r w:rsidRPr="00005EB5">
        <w:rPr>
          <w:rFonts w:ascii="Century" w:hAnsi="Century" w:cs="FrankRuehl" w:hint="eastAsia"/>
          <w:spacing w:val="10"/>
          <w:szCs w:val="28"/>
          <w:rtl/>
        </w:rPr>
        <w:t>עיסוק</w:t>
      </w:r>
      <w:r w:rsidRPr="00005EB5">
        <w:rPr>
          <w:rFonts w:ascii="Century" w:hAnsi="Century" w:cs="FrankRuehl"/>
          <w:spacing w:val="10"/>
          <w:szCs w:val="28"/>
          <w:rtl/>
        </w:rPr>
        <w:t xml:space="preserve"> </w:t>
      </w:r>
      <w:r w:rsidRPr="00005EB5">
        <w:rPr>
          <w:rFonts w:ascii="Century" w:hAnsi="Century" w:cs="FrankRuehl" w:hint="eastAsia"/>
          <w:spacing w:val="10"/>
          <w:szCs w:val="28"/>
          <w:rtl/>
        </w:rPr>
        <w:t>כלכלי</w:t>
      </w:r>
      <w:r w:rsidRPr="00005EB5">
        <w:rPr>
          <w:rFonts w:ascii="Century" w:hAnsi="Century" w:cs="FrankRuehl"/>
          <w:spacing w:val="10"/>
          <w:szCs w:val="28"/>
          <w:rtl/>
        </w:rPr>
        <w:t xml:space="preserve">, </w:t>
      </w:r>
      <w:r w:rsidRPr="00005EB5">
        <w:rPr>
          <w:rFonts w:ascii="Century" w:hAnsi="Century" w:cs="FrankRuehl" w:hint="eastAsia"/>
          <w:spacing w:val="10"/>
          <w:szCs w:val="28"/>
          <w:rtl/>
        </w:rPr>
        <w:t>וזאת</w:t>
      </w:r>
      <w:r w:rsidRPr="00005EB5">
        <w:rPr>
          <w:rFonts w:ascii="Century" w:hAnsi="Century" w:cs="FrankRuehl"/>
          <w:spacing w:val="10"/>
          <w:szCs w:val="28"/>
          <w:rtl/>
        </w:rPr>
        <w:t xml:space="preserve"> </w:t>
      </w:r>
      <w:r w:rsidRPr="00005EB5">
        <w:rPr>
          <w:rFonts w:ascii="Century" w:hAnsi="Century" w:cs="FrankRuehl" w:hint="eastAsia"/>
          <w:spacing w:val="10"/>
          <w:szCs w:val="28"/>
          <w:rtl/>
        </w:rPr>
        <w:t>בשל</w:t>
      </w:r>
      <w:r w:rsidRPr="00005EB5">
        <w:rPr>
          <w:rFonts w:ascii="Century" w:hAnsi="Century" w:cs="FrankRuehl"/>
          <w:spacing w:val="10"/>
          <w:szCs w:val="28"/>
          <w:rtl/>
        </w:rPr>
        <w:t xml:space="preserve"> </w:t>
      </w:r>
      <w:r w:rsidRPr="00005EB5">
        <w:rPr>
          <w:rFonts w:ascii="Century" w:hAnsi="Century" w:cs="FrankRuehl" w:hint="eastAsia"/>
          <w:spacing w:val="10"/>
          <w:szCs w:val="28"/>
          <w:rtl/>
        </w:rPr>
        <w:t>התרחקותו</w:t>
      </w:r>
      <w:r w:rsidRPr="00005EB5">
        <w:rPr>
          <w:rFonts w:ascii="Century" w:hAnsi="Century" w:cs="FrankRuehl"/>
          <w:spacing w:val="10"/>
          <w:szCs w:val="28"/>
          <w:rtl/>
        </w:rPr>
        <w:t xml:space="preserve"> </w:t>
      </w:r>
      <w:r w:rsidRPr="00005EB5">
        <w:rPr>
          <w:rFonts w:ascii="Century" w:hAnsi="Century" w:cs="FrankRuehl" w:hint="eastAsia"/>
          <w:spacing w:val="10"/>
          <w:szCs w:val="28"/>
          <w:rtl/>
        </w:rPr>
        <w:t>מהזירה</w:t>
      </w:r>
      <w:r w:rsidRPr="00005EB5">
        <w:rPr>
          <w:rFonts w:ascii="Century" w:hAnsi="Century" w:cs="FrankRuehl"/>
          <w:spacing w:val="10"/>
          <w:szCs w:val="28"/>
          <w:rtl/>
        </w:rPr>
        <w:t xml:space="preserve"> </w:t>
      </w:r>
      <w:r w:rsidRPr="00005EB5">
        <w:rPr>
          <w:rFonts w:ascii="Century" w:hAnsi="Century" w:cs="FrankRuehl" w:hint="eastAsia"/>
          <w:spacing w:val="10"/>
          <w:szCs w:val="28"/>
          <w:rtl/>
        </w:rPr>
        <w:t>הציבורית</w:t>
      </w:r>
      <w:r w:rsidRPr="00005EB5">
        <w:rPr>
          <w:rFonts w:ascii="Century" w:hAnsi="Century" w:cs="FrankRuehl" w:hint="cs"/>
          <w:spacing w:val="10"/>
          <w:szCs w:val="28"/>
          <w:rtl/>
        </w:rPr>
        <w:t>"</w:t>
      </w:r>
      <w:r>
        <w:rPr>
          <w:rFonts w:ascii="Century" w:hAnsi="Century" w:cs="FrankRuehl" w:hint="cs"/>
          <w:spacing w:val="10"/>
          <w:szCs w:val="28"/>
          <w:rtl/>
        </w:rPr>
        <w:t xml:space="preserve">. בכלל זה יש לחזור ולהדגיש את דבריו של דרעי על ההתלבטות הקשה שליוותה את החלטתו להתפטר מהכנסת ועל שאיפתו להשקיע את הזמן שנשאר לו בצרכי ציבור </w:t>
      </w:r>
      <w:r>
        <w:rPr>
          <w:rFonts w:ascii="Century" w:hAnsi="Century" w:cs="FrankRuehl"/>
          <w:spacing w:val="10"/>
          <w:szCs w:val="28"/>
          <w:rtl/>
        </w:rPr>
        <w:t>–</w:t>
      </w:r>
      <w:r>
        <w:rPr>
          <w:rFonts w:ascii="Century" w:hAnsi="Century" w:cs="FrankRuehl" w:hint="cs"/>
          <w:spacing w:val="10"/>
          <w:szCs w:val="28"/>
          <w:rtl/>
        </w:rPr>
        <w:t xml:space="preserve"> גם אם לא מהכנסת. בחירה זו הוצגה על-ידי בא-כוחו כחלק ממהלך רחב של לקיחת אחריות שיש לו השלכות כבדות </w:t>
      </w:r>
      <w:r>
        <w:rPr>
          <w:rFonts w:ascii="Century" w:hAnsi="Century" w:cs="FrankRuehl" w:hint="cs"/>
          <w:spacing w:val="10"/>
          <w:szCs w:val="28"/>
          <w:rtl/>
        </w:rPr>
        <w:lastRenderedPageBreak/>
        <w:t xml:space="preserve">על דרעי. בנסיבות אלו, אין בידי לקבל את הגרסה לפיה הדברים הובנו באופן שגוי </w:t>
      </w:r>
      <w:r>
        <w:rPr>
          <w:rFonts w:ascii="Century" w:hAnsi="Century" w:cs="FrankRuehl"/>
          <w:spacing w:val="10"/>
          <w:szCs w:val="28"/>
          <w:rtl/>
        </w:rPr>
        <w:t>–</w:t>
      </w:r>
      <w:r>
        <w:rPr>
          <w:rFonts w:ascii="Century" w:hAnsi="Century" w:cs="FrankRuehl" w:hint="cs"/>
          <w:spacing w:val="10"/>
          <w:szCs w:val="28"/>
          <w:rtl/>
        </w:rPr>
        <w:t xml:space="preserve"> אלא, דומה שהם הובנו </w:t>
      </w:r>
      <w:r w:rsidRPr="005C77DD">
        <w:rPr>
          <w:rFonts w:ascii="Century" w:hAnsi="Century" w:cs="FrankRuehl" w:hint="eastAsia"/>
          <w:spacing w:val="10"/>
          <w:szCs w:val="28"/>
          <w:rtl/>
        </w:rPr>
        <w:t>באופן</w:t>
      </w:r>
      <w:r w:rsidRPr="005C77DD">
        <w:rPr>
          <w:rFonts w:ascii="Century" w:hAnsi="Century" w:cs="FrankRuehl"/>
          <w:spacing w:val="10"/>
          <w:szCs w:val="28"/>
          <w:rtl/>
        </w:rPr>
        <w:t xml:space="preserve"> </w:t>
      </w:r>
      <w:r>
        <w:rPr>
          <w:rFonts w:ascii="Century" w:hAnsi="Century" w:cs="Miriam" w:hint="cs"/>
          <w:b/>
          <w:rtl/>
        </w:rPr>
        <w:t xml:space="preserve">המתבקש </w:t>
      </w:r>
      <w:r w:rsidRPr="002D7BD4">
        <w:rPr>
          <w:rFonts w:ascii="Century" w:hAnsi="Century" w:cs="Miriam" w:hint="eastAsia"/>
          <w:b/>
          <w:rtl/>
        </w:rPr>
        <w:t>והפשוט</w:t>
      </w:r>
      <w:r w:rsidRPr="00776BB5">
        <w:rPr>
          <w:rFonts w:ascii="Century" w:hAnsi="Century" w:cs="FrankRuehl" w:hint="cs"/>
          <w:spacing w:val="10"/>
          <w:szCs w:val="28"/>
          <w:rtl/>
        </w:rPr>
        <w:t xml:space="preserve"> </w:t>
      </w:r>
      <w:r w:rsidRPr="005C77DD">
        <w:rPr>
          <w:rFonts w:ascii="Century" w:hAnsi="Century" w:cs="FrankRuehl" w:hint="eastAsia"/>
          <w:spacing w:val="10"/>
          <w:szCs w:val="28"/>
          <w:rtl/>
        </w:rPr>
        <w:t>בנסיבות</w:t>
      </w:r>
      <w:r w:rsidRPr="005C77DD">
        <w:rPr>
          <w:rFonts w:ascii="Century" w:hAnsi="Century" w:cs="FrankRuehl"/>
          <w:spacing w:val="10"/>
          <w:szCs w:val="28"/>
          <w:rtl/>
        </w:rPr>
        <w:t xml:space="preserve"> </w:t>
      </w:r>
      <w:r w:rsidRPr="005C77DD">
        <w:rPr>
          <w:rFonts w:ascii="Century" w:hAnsi="Century" w:cs="FrankRuehl" w:hint="eastAsia"/>
          <w:spacing w:val="10"/>
          <w:szCs w:val="28"/>
          <w:rtl/>
        </w:rPr>
        <w:t>העניין</w:t>
      </w:r>
      <w:r>
        <w:rPr>
          <w:rFonts w:ascii="Century" w:hAnsi="Century" w:cs="FrankRuehl" w:hint="cs"/>
          <w:spacing w:val="10"/>
          <w:szCs w:val="28"/>
          <w:rtl/>
        </w:rPr>
        <w:t xml:space="preserve">. זאת ועוד, בהקשר זה לא ניתן להתעלם מן העובדה כי מדובר בבעל דין שאינו נעדר תחכום וידע, מי שמילא שורה של תפקידים ציבוריים רמים לאורך השנים, ואשר בעברו, כפי ששב והוזכר לאורך ההליך שבפנינו, רקע קודם בהליכים פליליים בבתי המשפט. כל זאת, כאשר הוא מלווה בייצוג משפטי מקצועי ובהכוונה לאורך כל שלבי הגיבוש של הסדר הטיעון ואישורו בבית משפט השלום. בנסיבות אלו ניתן היה לצפות כי כל מילה וכל מצג מצדו של דרעי ובא-כוחו ייעשו בשום שכל ובמחשבה תחילה, תוך הבנה של ההשלכות שעשויות לנבוע מכך ביחס להליך הפלילי ולתוצאותיו. </w:t>
      </w:r>
    </w:p>
    <w:p w14:paraId="7674F3BA" w14:textId="77777777" w:rsidR="00437A63" w:rsidRPr="00ED4F52" w:rsidRDefault="00437A63" w:rsidP="00437A63">
      <w:pPr>
        <w:pStyle w:val="af0"/>
        <w:spacing w:line="360" w:lineRule="auto"/>
        <w:ind w:left="0"/>
        <w:jc w:val="both"/>
        <w:rPr>
          <w:rFonts w:ascii="Century" w:hAnsi="Century" w:cs="FrankRuehl"/>
          <w:spacing w:val="10"/>
          <w:szCs w:val="28"/>
          <w:rtl/>
        </w:rPr>
      </w:pPr>
    </w:p>
    <w:p w14:paraId="7FB724F9" w14:textId="77777777" w:rsidR="00437A63" w:rsidRPr="00A35C52"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26</w:t>
      </w:r>
      <w:r w:rsidRPr="00ED4F52">
        <w:rPr>
          <w:rFonts w:ascii="Century" w:hAnsi="Century" w:cs="FrankRuehl"/>
          <w:spacing w:val="10"/>
          <w:szCs w:val="28"/>
          <w:rtl/>
        </w:rPr>
        <w:t>.</w:t>
      </w:r>
      <w:r w:rsidRPr="00ED4F52">
        <w:rPr>
          <w:rFonts w:ascii="Century" w:hAnsi="Century" w:cs="FrankRuehl"/>
          <w:spacing w:val="10"/>
          <w:szCs w:val="28"/>
          <w:rtl/>
        </w:rPr>
        <w:tab/>
      </w:r>
      <w:r>
        <w:rPr>
          <w:rFonts w:ascii="Century" w:hAnsi="Century" w:cs="FrankRuehl" w:hint="cs"/>
          <w:spacing w:val="10"/>
          <w:szCs w:val="28"/>
          <w:rtl/>
        </w:rPr>
        <w:t>למעשה</w:t>
      </w:r>
      <w:r w:rsidRPr="00ED4F52">
        <w:rPr>
          <w:rFonts w:ascii="Century" w:hAnsi="Century" w:cs="FrankRuehl"/>
          <w:spacing w:val="10"/>
          <w:szCs w:val="28"/>
          <w:rtl/>
        </w:rPr>
        <w:t xml:space="preserve">, </w:t>
      </w:r>
      <w:r>
        <w:rPr>
          <w:rFonts w:ascii="Century" w:hAnsi="Century" w:cs="FrankRuehl" w:hint="cs"/>
          <w:spacing w:val="10"/>
          <w:szCs w:val="28"/>
          <w:rtl/>
        </w:rPr>
        <w:t xml:space="preserve">יש להדגיש כי </w:t>
      </w:r>
      <w:r w:rsidRPr="00ED4F52">
        <w:rPr>
          <w:rFonts w:ascii="Century" w:hAnsi="Century" w:cs="FrankRuehl" w:hint="eastAsia"/>
          <w:spacing w:val="10"/>
          <w:szCs w:val="28"/>
          <w:rtl/>
        </w:rPr>
        <w:t>במקרה</w:t>
      </w:r>
      <w:r w:rsidRPr="00ED4F52">
        <w:rPr>
          <w:rFonts w:ascii="Century" w:hAnsi="Century" w:cs="FrankRuehl"/>
          <w:spacing w:val="10"/>
          <w:szCs w:val="28"/>
          <w:rtl/>
        </w:rPr>
        <w:t xml:space="preserve"> שבפנינו </w:t>
      </w:r>
      <w:r w:rsidRPr="00ED4F52">
        <w:rPr>
          <w:rFonts w:ascii="Century" w:hAnsi="Century" w:cs="FrankRuehl" w:hint="eastAsia"/>
          <w:spacing w:val="10"/>
          <w:szCs w:val="28"/>
          <w:rtl/>
        </w:rPr>
        <w:t>המצג</w:t>
      </w:r>
      <w:r w:rsidRPr="00ED4F52">
        <w:rPr>
          <w:rFonts w:ascii="Century" w:hAnsi="Century" w:cs="FrankRuehl"/>
          <w:spacing w:val="10"/>
          <w:szCs w:val="28"/>
          <w:rtl/>
        </w:rPr>
        <w:t xml:space="preserve"> האמור נעשה </w:t>
      </w:r>
      <w:r w:rsidRPr="00ED4F52">
        <w:rPr>
          <w:rFonts w:ascii="Century" w:hAnsi="Century" w:cs="FrankRuehl" w:hint="eastAsia"/>
          <w:spacing w:val="10"/>
          <w:szCs w:val="28"/>
          <w:rtl/>
        </w:rPr>
        <w:t>כחלק</w:t>
      </w:r>
      <w:r w:rsidRPr="00ED4F52">
        <w:rPr>
          <w:rFonts w:ascii="Century" w:hAnsi="Century" w:cs="FrankRuehl"/>
          <w:spacing w:val="10"/>
          <w:szCs w:val="28"/>
          <w:rtl/>
        </w:rPr>
        <w:t xml:space="preserve"> </w:t>
      </w:r>
      <w:r w:rsidRPr="00ED4F52">
        <w:rPr>
          <w:rFonts w:ascii="Century" w:hAnsi="Century" w:cs="FrankRuehl" w:hint="eastAsia"/>
          <w:spacing w:val="10"/>
          <w:szCs w:val="28"/>
          <w:rtl/>
        </w:rPr>
        <w:t>מרצונם</w:t>
      </w:r>
      <w:r w:rsidRPr="00ED4F52">
        <w:rPr>
          <w:rFonts w:ascii="Century" w:hAnsi="Century" w:cs="FrankRuehl"/>
          <w:spacing w:val="10"/>
          <w:szCs w:val="28"/>
          <w:rtl/>
        </w:rPr>
        <w:t xml:space="preserve"> </w:t>
      </w:r>
      <w:r w:rsidRPr="00ED4F52">
        <w:rPr>
          <w:rFonts w:ascii="Century" w:hAnsi="Century" w:cs="FrankRuehl" w:hint="eastAsia"/>
          <w:spacing w:val="10"/>
          <w:szCs w:val="28"/>
          <w:rtl/>
        </w:rPr>
        <w:t>הברור</w:t>
      </w:r>
      <w:r w:rsidRPr="00ED4F52">
        <w:rPr>
          <w:rFonts w:ascii="Century" w:hAnsi="Century" w:cs="FrankRuehl"/>
          <w:spacing w:val="10"/>
          <w:szCs w:val="28"/>
          <w:rtl/>
        </w:rPr>
        <w:t xml:space="preserve"> </w:t>
      </w:r>
      <w:r w:rsidRPr="00ED4F52">
        <w:rPr>
          <w:rFonts w:ascii="Century" w:hAnsi="Century" w:cs="FrankRuehl" w:hint="eastAsia"/>
          <w:spacing w:val="10"/>
          <w:szCs w:val="28"/>
          <w:rtl/>
        </w:rPr>
        <w:t>של</w:t>
      </w:r>
      <w:r w:rsidRPr="00ED4F52">
        <w:rPr>
          <w:rFonts w:ascii="Century" w:hAnsi="Century" w:cs="FrankRuehl"/>
          <w:spacing w:val="10"/>
          <w:szCs w:val="28"/>
          <w:rtl/>
        </w:rPr>
        <w:t xml:space="preserve"> </w:t>
      </w:r>
      <w:r w:rsidRPr="00ED4F52">
        <w:rPr>
          <w:rFonts w:ascii="Century" w:hAnsi="Century" w:cs="FrankRuehl" w:hint="eastAsia"/>
          <w:spacing w:val="10"/>
          <w:szCs w:val="28"/>
          <w:rtl/>
        </w:rPr>
        <w:t>דרעי</w:t>
      </w:r>
      <w:r w:rsidRPr="00ED4F52">
        <w:rPr>
          <w:rFonts w:ascii="Century" w:hAnsi="Century" w:cs="FrankRuehl"/>
          <w:spacing w:val="10"/>
          <w:szCs w:val="28"/>
          <w:rtl/>
        </w:rPr>
        <w:t xml:space="preserve"> </w:t>
      </w:r>
      <w:r w:rsidRPr="00ED4F52">
        <w:rPr>
          <w:rFonts w:ascii="Century" w:hAnsi="Century" w:cs="FrankRuehl" w:hint="eastAsia"/>
          <w:spacing w:val="10"/>
          <w:szCs w:val="28"/>
          <w:rtl/>
        </w:rPr>
        <w:t>ו</w:t>
      </w:r>
      <w:r>
        <w:rPr>
          <w:rFonts w:ascii="Century" w:hAnsi="Century" w:cs="FrankRuehl" w:hint="cs"/>
          <w:spacing w:val="10"/>
          <w:szCs w:val="28"/>
          <w:rtl/>
        </w:rPr>
        <w:t xml:space="preserve">של </w:t>
      </w:r>
      <w:r w:rsidRPr="00ED4F52">
        <w:rPr>
          <w:rFonts w:ascii="Century" w:hAnsi="Century" w:cs="FrankRuehl" w:hint="eastAsia"/>
          <w:spacing w:val="10"/>
          <w:szCs w:val="28"/>
          <w:rtl/>
        </w:rPr>
        <w:t>בא</w:t>
      </w:r>
      <w:r w:rsidRPr="00ED4F52">
        <w:rPr>
          <w:rFonts w:ascii="Century" w:hAnsi="Century" w:cs="FrankRuehl"/>
          <w:spacing w:val="10"/>
          <w:szCs w:val="28"/>
          <w:rtl/>
        </w:rPr>
        <w:t xml:space="preserve">-כוחו </w:t>
      </w:r>
      <w:r w:rsidRPr="00ED4F52">
        <w:rPr>
          <w:rFonts w:ascii="Century" w:hAnsi="Century" w:cs="FrankRuehl" w:hint="eastAsia"/>
          <w:spacing w:val="10"/>
          <w:szCs w:val="28"/>
          <w:rtl/>
        </w:rPr>
        <w:t>להוביל</w:t>
      </w:r>
      <w:r w:rsidRPr="00ED4F52">
        <w:rPr>
          <w:rFonts w:ascii="Century" w:hAnsi="Century" w:cs="FrankRuehl"/>
          <w:spacing w:val="10"/>
          <w:szCs w:val="28"/>
          <w:rtl/>
        </w:rPr>
        <w:t xml:space="preserve"> </w:t>
      </w:r>
      <w:r w:rsidRPr="00ED4F52">
        <w:rPr>
          <w:rFonts w:ascii="Century" w:hAnsi="Century" w:cs="FrankRuehl" w:hint="eastAsia"/>
          <w:spacing w:val="10"/>
          <w:szCs w:val="28"/>
          <w:rtl/>
        </w:rPr>
        <w:t>לאימוצו</w:t>
      </w:r>
      <w:r w:rsidRPr="00ED4F52">
        <w:rPr>
          <w:rFonts w:ascii="Century" w:hAnsi="Century" w:cs="FrankRuehl"/>
          <w:spacing w:val="10"/>
          <w:szCs w:val="28"/>
          <w:rtl/>
        </w:rPr>
        <w:t xml:space="preserve"> </w:t>
      </w:r>
      <w:r w:rsidRPr="00ED4F52">
        <w:rPr>
          <w:rFonts w:ascii="Century" w:hAnsi="Century" w:cs="FrankRuehl" w:hint="eastAsia"/>
          <w:spacing w:val="10"/>
          <w:szCs w:val="28"/>
          <w:rtl/>
        </w:rPr>
        <w:t>של</w:t>
      </w:r>
      <w:r w:rsidRPr="00ED4F52">
        <w:rPr>
          <w:rFonts w:ascii="Century" w:hAnsi="Century" w:cs="FrankRuehl"/>
          <w:spacing w:val="10"/>
          <w:szCs w:val="28"/>
          <w:rtl/>
        </w:rPr>
        <w:t xml:space="preserve"> </w:t>
      </w:r>
      <w:r w:rsidRPr="00ED4F52">
        <w:rPr>
          <w:rFonts w:ascii="Century" w:hAnsi="Century" w:cs="FrankRuehl" w:hint="eastAsia"/>
          <w:spacing w:val="10"/>
          <w:szCs w:val="28"/>
          <w:rtl/>
        </w:rPr>
        <w:t>הסדר</w:t>
      </w:r>
      <w:r w:rsidRPr="00ED4F52">
        <w:rPr>
          <w:rFonts w:ascii="Century" w:hAnsi="Century" w:cs="FrankRuehl"/>
          <w:spacing w:val="10"/>
          <w:szCs w:val="28"/>
          <w:rtl/>
        </w:rPr>
        <w:t xml:space="preserve"> </w:t>
      </w:r>
      <w:r w:rsidRPr="00ED4F52">
        <w:rPr>
          <w:rFonts w:ascii="Century" w:hAnsi="Century" w:cs="FrankRuehl" w:hint="eastAsia"/>
          <w:spacing w:val="10"/>
          <w:szCs w:val="28"/>
          <w:rtl/>
        </w:rPr>
        <w:t>הטיעון</w:t>
      </w:r>
      <w:r w:rsidRPr="00ED4F52">
        <w:rPr>
          <w:rFonts w:ascii="Century" w:hAnsi="Century" w:cs="FrankRuehl"/>
          <w:spacing w:val="10"/>
          <w:szCs w:val="28"/>
          <w:rtl/>
        </w:rPr>
        <w:t xml:space="preserve"> </w:t>
      </w:r>
      <w:r w:rsidRPr="00ED4F52">
        <w:rPr>
          <w:rFonts w:ascii="Century" w:hAnsi="Century" w:cs="FrankRuehl" w:hint="eastAsia"/>
          <w:spacing w:val="10"/>
          <w:szCs w:val="28"/>
          <w:rtl/>
        </w:rPr>
        <w:t>שהושג</w:t>
      </w:r>
      <w:r w:rsidRPr="00ED4F52">
        <w:rPr>
          <w:rFonts w:ascii="Century" w:hAnsi="Century" w:cs="FrankRuehl"/>
          <w:spacing w:val="10"/>
          <w:szCs w:val="28"/>
          <w:rtl/>
        </w:rPr>
        <w:t xml:space="preserve">, </w:t>
      </w:r>
      <w:r w:rsidRPr="00ED4F52">
        <w:rPr>
          <w:rFonts w:ascii="Century" w:hAnsi="Century" w:cs="FrankRuehl" w:hint="eastAsia"/>
          <w:spacing w:val="10"/>
          <w:szCs w:val="28"/>
          <w:rtl/>
        </w:rPr>
        <w:t>לרבות</w:t>
      </w:r>
      <w:r w:rsidRPr="00ED4F52">
        <w:rPr>
          <w:rFonts w:ascii="Century" w:hAnsi="Century" w:cs="FrankRuehl"/>
          <w:spacing w:val="10"/>
          <w:szCs w:val="28"/>
          <w:rtl/>
        </w:rPr>
        <w:t xml:space="preserve"> </w:t>
      </w:r>
      <w:r w:rsidRPr="00ED4F52">
        <w:rPr>
          <w:rFonts w:ascii="Century" w:hAnsi="Century" w:cs="FrankRuehl" w:hint="eastAsia"/>
          <w:spacing w:val="10"/>
          <w:szCs w:val="28"/>
          <w:rtl/>
        </w:rPr>
        <w:t>לעניין</w:t>
      </w:r>
      <w:r w:rsidRPr="00ED4F52">
        <w:rPr>
          <w:rFonts w:ascii="Century" w:hAnsi="Century" w:cs="FrankRuehl"/>
          <w:spacing w:val="10"/>
          <w:szCs w:val="28"/>
          <w:rtl/>
        </w:rPr>
        <w:t xml:space="preserve"> </w:t>
      </w:r>
      <w:r w:rsidRPr="00ED4F52">
        <w:rPr>
          <w:rFonts w:ascii="Century" w:hAnsi="Century" w:cs="FrankRuehl" w:hint="eastAsia"/>
          <w:spacing w:val="10"/>
          <w:szCs w:val="28"/>
          <w:rtl/>
        </w:rPr>
        <w:t>אי</w:t>
      </w:r>
      <w:r w:rsidRPr="00ED4F52">
        <w:rPr>
          <w:rFonts w:ascii="Century" w:hAnsi="Century" w:cs="FrankRuehl"/>
          <w:spacing w:val="10"/>
          <w:szCs w:val="28"/>
          <w:rtl/>
        </w:rPr>
        <w:t xml:space="preserve">-התערבותו </w:t>
      </w:r>
      <w:r w:rsidRPr="00ED4F52">
        <w:rPr>
          <w:rFonts w:ascii="Century" w:hAnsi="Century" w:cs="FrankRuehl" w:hint="eastAsia"/>
          <w:spacing w:val="10"/>
          <w:szCs w:val="28"/>
          <w:rtl/>
        </w:rPr>
        <w:t>של</w:t>
      </w:r>
      <w:r w:rsidRPr="00ED4F52">
        <w:rPr>
          <w:rFonts w:ascii="Century" w:hAnsi="Century" w:cs="FrankRuehl"/>
          <w:spacing w:val="10"/>
          <w:szCs w:val="28"/>
          <w:rtl/>
        </w:rPr>
        <w:t xml:space="preserve"> </w:t>
      </w:r>
      <w:r w:rsidRPr="00ED4F52">
        <w:rPr>
          <w:rFonts w:ascii="Century" w:hAnsi="Century" w:cs="FrankRuehl" w:hint="eastAsia"/>
          <w:spacing w:val="10"/>
          <w:szCs w:val="28"/>
          <w:rtl/>
        </w:rPr>
        <w:t>בית</w:t>
      </w:r>
      <w:r w:rsidRPr="00ED4F52">
        <w:rPr>
          <w:rFonts w:ascii="Century" w:hAnsi="Century" w:cs="FrankRuehl"/>
          <w:spacing w:val="10"/>
          <w:szCs w:val="28"/>
          <w:rtl/>
        </w:rPr>
        <w:t xml:space="preserve"> </w:t>
      </w:r>
      <w:r w:rsidRPr="00ED4F52">
        <w:rPr>
          <w:rFonts w:ascii="Century" w:hAnsi="Century" w:cs="FrankRuehl" w:hint="eastAsia"/>
          <w:spacing w:val="10"/>
          <w:szCs w:val="28"/>
          <w:rtl/>
        </w:rPr>
        <w:t>משפט</w:t>
      </w:r>
      <w:r w:rsidRPr="00ED4F52">
        <w:rPr>
          <w:rFonts w:ascii="Century" w:hAnsi="Century" w:cs="FrankRuehl"/>
          <w:spacing w:val="10"/>
          <w:szCs w:val="28"/>
          <w:rtl/>
        </w:rPr>
        <w:t xml:space="preserve"> </w:t>
      </w:r>
      <w:r w:rsidRPr="00ED4F52">
        <w:rPr>
          <w:rFonts w:ascii="Century" w:hAnsi="Century" w:cs="FrankRuehl" w:hint="eastAsia"/>
          <w:spacing w:val="10"/>
          <w:szCs w:val="28"/>
          <w:rtl/>
        </w:rPr>
        <w:t>השלום</w:t>
      </w:r>
      <w:r w:rsidRPr="00ED4F52">
        <w:rPr>
          <w:rFonts w:ascii="Century" w:hAnsi="Century" w:cs="FrankRuehl"/>
          <w:spacing w:val="10"/>
          <w:szCs w:val="28"/>
          <w:rtl/>
        </w:rPr>
        <w:t xml:space="preserve"> </w:t>
      </w:r>
      <w:r w:rsidRPr="00ED4F52">
        <w:rPr>
          <w:rFonts w:ascii="Century" w:hAnsi="Century" w:cs="FrankRuehl" w:hint="eastAsia"/>
          <w:spacing w:val="10"/>
          <w:szCs w:val="28"/>
          <w:rtl/>
        </w:rPr>
        <w:t>בעונש</w:t>
      </w:r>
      <w:r w:rsidRPr="00ED4F52">
        <w:rPr>
          <w:rFonts w:ascii="Century" w:hAnsi="Century" w:cs="FrankRuehl"/>
          <w:spacing w:val="10"/>
          <w:szCs w:val="28"/>
          <w:rtl/>
        </w:rPr>
        <w:t xml:space="preserve"> </w:t>
      </w:r>
      <w:r w:rsidRPr="00ED4F52">
        <w:rPr>
          <w:rFonts w:ascii="Century" w:hAnsi="Century" w:cs="FrankRuehl" w:hint="eastAsia"/>
          <w:spacing w:val="10"/>
          <w:szCs w:val="28"/>
          <w:rtl/>
        </w:rPr>
        <w:t>שהוסכם</w:t>
      </w:r>
      <w:r w:rsidRPr="00ED4F52">
        <w:rPr>
          <w:rFonts w:ascii="Century" w:hAnsi="Century" w:cs="FrankRuehl"/>
          <w:spacing w:val="10"/>
          <w:szCs w:val="28"/>
          <w:rtl/>
        </w:rPr>
        <w:t xml:space="preserve"> </w:t>
      </w:r>
      <w:r w:rsidRPr="00ED4F52">
        <w:rPr>
          <w:rFonts w:ascii="Century" w:hAnsi="Century" w:cs="FrankRuehl" w:hint="eastAsia"/>
          <w:spacing w:val="10"/>
          <w:szCs w:val="28"/>
          <w:rtl/>
        </w:rPr>
        <w:t>על</w:t>
      </w:r>
      <w:r w:rsidRPr="00ED4F52">
        <w:rPr>
          <w:rFonts w:ascii="Century" w:hAnsi="Century" w:cs="FrankRuehl"/>
          <w:spacing w:val="10"/>
          <w:szCs w:val="28"/>
          <w:rtl/>
        </w:rPr>
        <w:t xml:space="preserve"> </w:t>
      </w:r>
      <w:r w:rsidRPr="00ED4F52">
        <w:rPr>
          <w:rFonts w:ascii="Century" w:hAnsi="Century" w:cs="FrankRuehl" w:hint="eastAsia"/>
          <w:spacing w:val="10"/>
          <w:szCs w:val="28"/>
          <w:rtl/>
        </w:rPr>
        <w:t>הצדדים</w:t>
      </w:r>
      <w:r w:rsidRPr="00ED4F52">
        <w:rPr>
          <w:rFonts w:ascii="Century" w:hAnsi="Century" w:cs="FrankRuehl"/>
          <w:spacing w:val="10"/>
          <w:szCs w:val="28"/>
          <w:rtl/>
        </w:rPr>
        <w:t>.</w:t>
      </w:r>
      <w:r>
        <w:rPr>
          <w:rFonts w:ascii="Century" w:hAnsi="Century" w:cs="FrankRuehl" w:hint="cs"/>
          <w:spacing w:val="10"/>
          <w:szCs w:val="28"/>
          <w:rtl/>
        </w:rPr>
        <w:t xml:space="preserve"> ויודגש, אימוצו של העונש המוסכם היה בעל חשיבות רבה מבחינתו של דרעי, בשים לב להשלכות הברורות שעלולות היו להיגרם באם היה נגזר דינו לעונש מאסר בפועל, ובכלל זה על כשירותו לכהן בתפקידים ציבוריים. </w:t>
      </w:r>
    </w:p>
    <w:p w14:paraId="30124EC8" w14:textId="77777777" w:rsidR="00437A63" w:rsidRDefault="00437A63" w:rsidP="00437A63">
      <w:pPr>
        <w:pStyle w:val="af0"/>
        <w:spacing w:line="360" w:lineRule="auto"/>
        <w:ind w:left="0"/>
        <w:jc w:val="both"/>
        <w:rPr>
          <w:rFonts w:ascii="Century" w:hAnsi="Century" w:cs="FrankRuehl"/>
          <w:spacing w:val="10"/>
          <w:szCs w:val="28"/>
          <w:rtl/>
        </w:rPr>
      </w:pPr>
    </w:p>
    <w:p w14:paraId="49651EE7" w14:textId="77777777" w:rsidR="00437A63" w:rsidRPr="00ED4F52" w:rsidRDefault="00437A63" w:rsidP="00437A63">
      <w:pPr>
        <w:pStyle w:val="Ruller41"/>
        <w:rPr>
          <w:rtl/>
        </w:rPr>
      </w:pPr>
      <w:r>
        <w:rPr>
          <w:rFonts w:ascii="Century" w:hAnsi="Century" w:hint="cs"/>
          <w:rtl/>
        </w:rPr>
        <w:t>27.</w:t>
      </w:r>
      <w:r>
        <w:rPr>
          <w:rFonts w:ascii="Century" w:hAnsi="Century" w:hint="cs"/>
          <w:rtl/>
        </w:rPr>
        <w:tab/>
      </w:r>
      <w:r w:rsidRPr="00ED4F52">
        <w:rPr>
          <w:rFonts w:ascii="Century" w:hAnsi="Century" w:hint="eastAsia"/>
          <w:rtl/>
        </w:rPr>
        <w:t>כידוע</w:t>
      </w:r>
      <w:r w:rsidRPr="00ED4F52">
        <w:rPr>
          <w:rFonts w:ascii="Century" w:hAnsi="Century"/>
          <w:rtl/>
        </w:rPr>
        <w:t xml:space="preserve">, </w:t>
      </w:r>
      <w:r w:rsidRPr="00ED4F52">
        <w:rPr>
          <w:rFonts w:ascii="Century" w:hAnsi="Century" w:hint="eastAsia"/>
          <w:rtl/>
        </w:rPr>
        <w:t>במסגרת</w:t>
      </w:r>
      <w:r w:rsidRPr="00ED4F52">
        <w:rPr>
          <w:rFonts w:ascii="Century" w:hAnsi="Century"/>
          <w:rtl/>
        </w:rPr>
        <w:t xml:space="preserve"> </w:t>
      </w:r>
      <w:r w:rsidRPr="00ED4F52">
        <w:rPr>
          <w:rFonts w:ascii="Century" w:hAnsi="Century" w:hint="eastAsia"/>
          <w:rtl/>
        </w:rPr>
        <w:t>הוראות</w:t>
      </w:r>
      <w:r w:rsidRPr="00ED4F52">
        <w:rPr>
          <w:rFonts w:ascii="Century" w:hAnsi="Century"/>
          <w:rtl/>
        </w:rPr>
        <w:t xml:space="preserve"> </w:t>
      </w:r>
      <w:r w:rsidRPr="00ED4F52">
        <w:rPr>
          <w:rFonts w:ascii="Century" w:hAnsi="Century" w:hint="eastAsia"/>
          <w:rtl/>
        </w:rPr>
        <w:t>חוק</w:t>
      </w:r>
      <w:r w:rsidRPr="00ED4F52">
        <w:rPr>
          <w:rFonts w:ascii="Century" w:hAnsi="Century"/>
          <w:rtl/>
        </w:rPr>
        <w:t xml:space="preserve"> </w:t>
      </w:r>
      <w:r w:rsidRPr="00ED4F52">
        <w:rPr>
          <w:rFonts w:ascii="Century" w:hAnsi="Century" w:hint="eastAsia"/>
          <w:rtl/>
        </w:rPr>
        <w:t>העונשין</w:t>
      </w:r>
      <w:r w:rsidRPr="00ED4F52">
        <w:rPr>
          <w:rFonts w:ascii="Century" w:hAnsi="Century"/>
          <w:rtl/>
        </w:rPr>
        <w:t xml:space="preserve">, </w:t>
      </w:r>
      <w:r w:rsidRPr="00ED4F52">
        <w:rPr>
          <w:rFonts w:ascii="Century" w:hAnsi="Century" w:hint="eastAsia"/>
          <w:rtl/>
        </w:rPr>
        <w:t>התשל</w:t>
      </w:r>
      <w:r w:rsidRPr="00ED4F52">
        <w:rPr>
          <w:rFonts w:ascii="Century" w:hAnsi="Century"/>
          <w:rtl/>
        </w:rPr>
        <w:t xml:space="preserve">"ז-1977 (להלן: </w:t>
      </w:r>
      <w:r w:rsidRPr="00ED4F52">
        <w:rPr>
          <w:rFonts w:ascii="Century" w:hAnsi="Century" w:cs="Miriam" w:hint="eastAsia"/>
          <w:b/>
          <w:spacing w:val="0"/>
          <w:szCs w:val="24"/>
          <w:rtl/>
        </w:rPr>
        <w:t>חוק</w:t>
      </w:r>
      <w:r w:rsidRPr="00ED4F52">
        <w:rPr>
          <w:rFonts w:ascii="Century" w:hAnsi="Century" w:cs="Miriam"/>
          <w:b/>
          <w:spacing w:val="0"/>
          <w:szCs w:val="24"/>
          <w:rtl/>
        </w:rPr>
        <w:t xml:space="preserve"> </w:t>
      </w:r>
      <w:r w:rsidRPr="00ED4F52">
        <w:rPr>
          <w:rFonts w:ascii="Century" w:hAnsi="Century" w:cs="Miriam" w:hint="eastAsia"/>
          <w:b/>
          <w:spacing w:val="0"/>
          <w:szCs w:val="24"/>
          <w:rtl/>
        </w:rPr>
        <w:t>העונשין</w:t>
      </w:r>
      <w:r w:rsidRPr="00ED4F52">
        <w:rPr>
          <w:rFonts w:ascii="Century" w:hAnsi="Century"/>
          <w:rtl/>
        </w:rPr>
        <w:t>), כפי שעוגנו ב</w:t>
      </w:r>
      <w:r>
        <w:rPr>
          <w:rFonts w:ascii="Century" w:hAnsi="Century" w:hint="cs"/>
          <w:rtl/>
        </w:rPr>
        <w:t xml:space="preserve">חוק העונשין (תיקון מס' 113), התשע"ב-2012 (להלן: </w:t>
      </w:r>
      <w:r>
        <w:rPr>
          <w:rFonts w:ascii="Century" w:hAnsi="Century" w:cs="Miriam" w:hint="cs"/>
          <w:b/>
          <w:spacing w:val="0"/>
          <w:szCs w:val="24"/>
          <w:rtl/>
        </w:rPr>
        <w:t>תיקון מס' 113</w:t>
      </w:r>
      <w:r>
        <w:rPr>
          <w:rFonts w:ascii="Century" w:hAnsi="Century" w:hint="cs"/>
          <w:rtl/>
        </w:rPr>
        <w:t>)</w:t>
      </w:r>
      <w:r w:rsidRPr="00ED4F52">
        <w:rPr>
          <w:rFonts w:ascii="Century" w:hAnsi="Century"/>
          <w:rtl/>
        </w:rPr>
        <w:t xml:space="preserve">, </w:t>
      </w:r>
      <w:r w:rsidRPr="00ED4F52">
        <w:rPr>
          <w:rFonts w:ascii="Century" w:hAnsi="Century" w:hint="eastAsia"/>
          <w:rtl/>
        </w:rPr>
        <w:t>התווה</w:t>
      </w:r>
      <w:r w:rsidRPr="00ED4F52">
        <w:rPr>
          <w:rFonts w:ascii="Century" w:hAnsi="Century"/>
          <w:rtl/>
        </w:rPr>
        <w:t xml:space="preserve"> המחוקק מנגנון סדור של שיקולים לאורם נדרש בית המשפט לקבוע את מתחם העונש </w:t>
      </w:r>
      <w:r w:rsidRPr="00ED4F52">
        <w:rPr>
          <w:rFonts w:ascii="Century" w:hAnsi="Century" w:hint="eastAsia"/>
          <w:rtl/>
        </w:rPr>
        <w:t>ההולם</w:t>
      </w:r>
      <w:r w:rsidRPr="00ED4F52">
        <w:rPr>
          <w:rFonts w:ascii="Century" w:hAnsi="Century"/>
          <w:rtl/>
        </w:rPr>
        <w:t xml:space="preserve"> וכן את העונש המתאים </w:t>
      </w:r>
      <w:r w:rsidRPr="00ED4F52">
        <w:rPr>
          <w:rFonts w:ascii="Century" w:hAnsi="Century" w:hint="eastAsia"/>
          <w:rtl/>
        </w:rPr>
        <w:t>לענייננו</w:t>
      </w:r>
      <w:r w:rsidRPr="00ED4F52">
        <w:rPr>
          <w:rFonts w:ascii="Century" w:hAnsi="Century"/>
          <w:rtl/>
        </w:rPr>
        <w:t xml:space="preserve"> הקונקרטי של הנאשם בתוך אותו המתחם (ראו: סימן א'1 לחוק העונשין</w:t>
      </w:r>
      <w:r>
        <w:rPr>
          <w:rFonts w:ascii="Century" w:hAnsi="Century" w:hint="cs"/>
          <w:rtl/>
        </w:rPr>
        <w:t xml:space="preserve"> שכותרתו היא "הבניית שיקול הדעת השיפוטי בענישה"</w:t>
      </w:r>
      <w:r w:rsidRPr="00ED4F52">
        <w:rPr>
          <w:rFonts w:ascii="Century" w:hAnsi="Century"/>
          <w:rtl/>
        </w:rPr>
        <w:t xml:space="preserve">). </w:t>
      </w:r>
      <w:r w:rsidRPr="00ED4F52">
        <w:rPr>
          <w:rFonts w:ascii="Century" w:hAnsi="Century" w:hint="eastAsia"/>
          <w:rtl/>
        </w:rPr>
        <w:t>בכלל</w:t>
      </w:r>
      <w:r w:rsidRPr="00ED4F52">
        <w:rPr>
          <w:rFonts w:ascii="Century" w:hAnsi="Century"/>
          <w:rtl/>
        </w:rPr>
        <w:t xml:space="preserve"> זה, </w:t>
      </w:r>
      <w:r w:rsidRPr="00ED4F52">
        <w:rPr>
          <w:rFonts w:ascii="Century" w:hAnsi="Century" w:hint="eastAsia"/>
          <w:rtl/>
        </w:rPr>
        <w:t>בבואו</w:t>
      </w:r>
      <w:r w:rsidRPr="00ED4F52">
        <w:rPr>
          <w:rFonts w:ascii="Century" w:hAnsi="Century"/>
          <w:rtl/>
        </w:rPr>
        <w:t xml:space="preserve"> </w:t>
      </w:r>
      <w:r w:rsidRPr="00ED4F52">
        <w:rPr>
          <w:rFonts w:ascii="Century" w:hAnsi="Century" w:hint="eastAsia"/>
          <w:rtl/>
        </w:rPr>
        <w:t>לקבוע</w:t>
      </w:r>
      <w:r w:rsidRPr="00ED4F52">
        <w:rPr>
          <w:rFonts w:ascii="Century" w:hAnsi="Century"/>
          <w:rtl/>
        </w:rPr>
        <w:t xml:space="preserve"> </w:t>
      </w:r>
      <w:r w:rsidRPr="00ED4F52">
        <w:rPr>
          <w:rFonts w:ascii="Century" w:hAnsi="Century" w:hint="eastAsia"/>
          <w:rtl/>
        </w:rPr>
        <w:t>את</w:t>
      </w:r>
      <w:r w:rsidRPr="00ED4F52">
        <w:rPr>
          <w:rFonts w:ascii="Century" w:hAnsi="Century"/>
          <w:rtl/>
        </w:rPr>
        <w:t xml:space="preserve"> </w:t>
      </w:r>
      <w:r w:rsidRPr="00ED4F52">
        <w:rPr>
          <w:rFonts w:ascii="Century" w:hAnsi="Century" w:hint="eastAsia"/>
          <w:rtl/>
        </w:rPr>
        <w:t>העונש</w:t>
      </w:r>
      <w:r w:rsidRPr="00ED4F52">
        <w:rPr>
          <w:rFonts w:ascii="Century" w:hAnsi="Century"/>
          <w:rtl/>
        </w:rPr>
        <w:t xml:space="preserve"> </w:t>
      </w:r>
      <w:r w:rsidRPr="00ED4F52">
        <w:rPr>
          <w:rFonts w:ascii="Century" w:hAnsi="Century" w:hint="eastAsia"/>
          <w:rtl/>
        </w:rPr>
        <w:t>המתאים</w:t>
      </w:r>
      <w:r w:rsidRPr="00ED4F52">
        <w:rPr>
          <w:rFonts w:ascii="Century" w:hAnsi="Century"/>
          <w:rtl/>
        </w:rPr>
        <w:t xml:space="preserve"> </w:t>
      </w:r>
      <w:r w:rsidRPr="00ED4F52">
        <w:rPr>
          <w:rFonts w:ascii="Century" w:hAnsi="Century" w:hint="eastAsia"/>
          <w:rtl/>
        </w:rPr>
        <w:t>רשאי</w:t>
      </w:r>
      <w:r w:rsidRPr="00ED4F52">
        <w:rPr>
          <w:rFonts w:ascii="Century" w:hAnsi="Century"/>
          <w:rtl/>
        </w:rPr>
        <w:t xml:space="preserve"> </w:t>
      </w:r>
      <w:r w:rsidRPr="00ED4F52">
        <w:rPr>
          <w:rFonts w:ascii="Century" w:hAnsi="Century" w:hint="eastAsia"/>
          <w:rtl/>
        </w:rPr>
        <w:t>בית</w:t>
      </w:r>
      <w:r w:rsidRPr="00ED4F52">
        <w:rPr>
          <w:rFonts w:ascii="Century" w:hAnsi="Century"/>
          <w:rtl/>
        </w:rPr>
        <w:t xml:space="preserve"> </w:t>
      </w:r>
      <w:r w:rsidRPr="00ED4F52">
        <w:rPr>
          <w:rFonts w:ascii="Century" w:hAnsi="Century" w:hint="eastAsia"/>
          <w:rtl/>
        </w:rPr>
        <w:t>המשפט</w:t>
      </w:r>
      <w:r w:rsidRPr="00ED4F52">
        <w:rPr>
          <w:rFonts w:ascii="Century" w:hAnsi="Century"/>
          <w:rtl/>
        </w:rPr>
        <w:t xml:space="preserve"> </w:t>
      </w:r>
      <w:r w:rsidRPr="00ED4F52">
        <w:rPr>
          <w:rFonts w:ascii="Century" w:hAnsi="Century" w:hint="eastAsia"/>
          <w:rtl/>
        </w:rPr>
        <w:t>להתייחס</w:t>
      </w:r>
      <w:r w:rsidRPr="00ED4F52">
        <w:rPr>
          <w:rFonts w:ascii="Century" w:hAnsi="Century"/>
          <w:rtl/>
        </w:rPr>
        <w:t xml:space="preserve">, </w:t>
      </w:r>
      <w:r w:rsidRPr="00ED4F52">
        <w:rPr>
          <w:rFonts w:ascii="Century" w:hAnsi="Century" w:hint="eastAsia"/>
          <w:rtl/>
        </w:rPr>
        <w:t>בין</w:t>
      </w:r>
      <w:r w:rsidRPr="00ED4F52">
        <w:rPr>
          <w:rFonts w:ascii="Century" w:hAnsi="Century"/>
          <w:rtl/>
        </w:rPr>
        <w:t xml:space="preserve"> </w:t>
      </w:r>
      <w:r w:rsidRPr="00ED4F52">
        <w:rPr>
          <w:rFonts w:ascii="Century" w:hAnsi="Century" w:hint="eastAsia"/>
          <w:rtl/>
        </w:rPr>
        <w:t>היתר</w:t>
      </w:r>
      <w:r w:rsidRPr="00ED4F52">
        <w:rPr>
          <w:rFonts w:ascii="Century" w:hAnsi="Century"/>
          <w:rtl/>
        </w:rPr>
        <w:t>, ל</w:t>
      </w:r>
      <w:r>
        <w:rPr>
          <w:rFonts w:ascii="Century" w:hAnsi="Century" w:hint="cs"/>
          <w:rtl/>
        </w:rPr>
        <w:t>"פגיעה של העונש בנאשם, לרבות בשל גילו", ל</w:t>
      </w:r>
      <w:r w:rsidRPr="00ED4F52">
        <w:rPr>
          <w:rFonts w:ascii="Century" w:hAnsi="Century"/>
          <w:rtl/>
        </w:rPr>
        <w:t>"נזקים שנגרמו לנאשם מביצוע העבירה ומהרשעתו"</w:t>
      </w:r>
      <w:r>
        <w:rPr>
          <w:rFonts w:ascii="Century" w:hAnsi="Century" w:hint="cs"/>
          <w:rtl/>
        </w:rPr>
        <w:t>;</w:t>
      </w:r>
      <w:r w:rsidRPr="00ED4F52">
        <w:rPr>
          <w:rFonts w:ascii="Century" w:hAnsi="Century"/>
          <w:rtl/>
        </w:rPr>
        <w:t xml:space="preserve"> ל"</w:t>
      </w:r>
      <w:r w:rsidRPr="00ED4F52">
        <w:rPr>
          <w:rFonts w:ascii="Century" w:hAnsi="Century" w:hint="eastAsia"/>
          <w:rtl/>
        </w:rPr>
        <w:t>נ</w:t>
      </w:r>
      <w:r w:rsidRPr="00ED4F52">
        <w:rPr>
          <w:rFonts w:ascii="Century" w:hAnsi="Century"/>
          <w:rtl/>
        </w:rPr>
        <w:t>טילת האחריות של הנאשם על מעשיו, וחזרתו למוטב או מאמציו לחזור למוטב"</w:t>
      </w:r>
      <w:r>
        <w:rPr>
          <w:rFonts w:ascii="Century" w:hAnsi="Century" w:hint="cs"/>
          <w:rtl/>
        </w:rPr>
        <w:t>;</w:t>
      </w:r>
      <w:r w:rsidRPr="00ED4F52">
        <w:rPr>
          <w:rFonts w:ascii="Century" w:hAnsi="Century"/>
          <w:rtl/>
        </w:rPr>
        <w:t xml:space="preserve"> וכן ל"מאמצי הנאשם לתיקון תוצאות העבירה ולפיצוי על הנזק שנגרם בשלה" (</w:t>
      </w:r>
      <w:r w:rsidRPr="00ED4F52">
        <w:rPr>
          <w:rFonts w:ascii="Century" w:hAnsi="Century" w:hint="eastAsia"/>
          <w:rtl/>
        </w:rPr>
        <w:t>ראו</w:t>
      </w:r>
      <w:r w:rsidRPr="00ED4F52">
        <w:rPr>
          <w:rFonts w:ascii="Century" w:hAnsi="Century"/>
          <w:rtl/>
        </w:rPr>
        <w:t xml:space="preserve"> בהתאמה: סעיפים 40יא</w:t>
      </w:r>
      <w:r>
        <w:rPr>
          <w:rFonts w:ascii="Century" w:hAnsi="Century" w:hint="cs"/>
          <w:rtl/>
        </w:rPr>
        <w:t>(1) ו-</w:t>
      </w:r>
      <w:r w:rsidRPr="00ED4F52">
        <w:rPr>
          <w:rFonts w:ascii="Century" w:hAnsi="Century"/>
          <w:rtl/>
        </w:rPr>
        <w:t>(3)-(5)</w:t>
      </w:r>
      <w:r>
        <w:rPr>
          <w:rFonts w:ascii="Century" w:hAnsi="Century" w:hint="cs"/>
          <w:rtl/>
        </w:rPr>
        <w:t xml:space="preserve"> לחוק העונשין</w:t>
      </w:r>
      <w:r w:rsidRPr="00ED4F52">
        <w:rPr>
          <w:rFonts w:ascii="Century" w:hAnsi="Century"/>
          <w:rtl/>
        </w:rPr>
        <w:t xml:space="preserve">). </w:t>
      </w:r>
      <w:r>
        <w:rPr>
          <w:rFonts w:ascii="Century" w:hAnsi="Century" w:hint="cs"/>
          <w:rtl/>
        </w:rPr>
        <w:t xml:space="preserve">על רקע זה, מובן כי להתנהלותו של הנאשם בגדרי ההליך הפלילי, לרבות כפי שבאה לידי ביטוי בהצהרותיו ביחס לכוונותיו העתידיות ולמגבלות שהוא נכון ליטול על עצמו מיוזמתו, עשוי להינתן משקל בגזירת דינו. במלים אחרות, התחייבויותיו של הנאשם, אף כאשר הן נעשות שלא כחלק "רשמי" מן העונש, עשויות ללמד על מידת האחריות שנטל ועל גודל הנזק שצפוי להיגרם לו בהמשך חייו כתוצאה ממעשיו ומההרשעה. כך למשל, ובקרבה לענייננו, הדברים עשויים לבוא לידי ביטוי מעשי במקרים של פרישת הנאשם מתפקידו והפסקת עיסוקו. לעתים הדבר נעשה מיוזמתו של האדם הנוגע בדבר (ראו: </w:t>
      </w:r>
      <w:r>
        <w:rPr>
          <w:rFonts w:hint="cs"/>
          <w:rtl/>
        </w:rPr>
        <w:t xml:space="preserve">ע"פ 9893/06 </w:t>
      </w:r>
      <w:r w:rsidRPr="00A46782">
        <w:rPr>
          <w:rFonts w:ascii="Century" w:hAnsi="Century" w:cs="Miriam" w:hint="cs"/>
          <w:b/>
          <w:spacing w:val="0"/>
          <w:szCs w:val="24"/>
          <w:rtl/>
        </w:rPr>
        <w:t xml:space="preserve">לאופר </w:t>
      </w:r>
      <w:r w:rsidRPr="00A46782">
        <w:rPr>
          <w:rFonts w:ascii="Century" w:hAnsi="Century" w:cs="Miriam" w:hint="cs"/>
          <w:b/>
          <w:spacing w:val="0"/>
          <w:szCs w:val="24"/>
          <w:rtl/>
        </w:rPr>
        <w:lastRenderedPageBreak/>
        <w:t>נ' מדינת ישראל</w:t>
      </w:r>
      <w:r>
        <w:rPr>
          <w:rFonts w:hint="cs"/>
          <w:rtl/>
        </w:rPr>
        <w:t xml:space="preserve">, פסקה 21 לפסק דינה של השופטת </w:t>
      </w:r>
      <w:r w:rsidRPr="00A46782">
        <w:rPr>
          <w:rFonts w:ascii="Century" w:hAnsi="Century" w:cs="Miriam" w:hint="cs"/>
          <w:b/>
          <w:spacing w:val="0"/>
          <w:szCs w:val="24"/>
          <w:rtl/>
        </w:rPr>
        <w:t>א' פרוקצ'יה</w:t>
      </w:r>
      <w:r w:rsidRPr="007F061E">
        <w:rPr>
          <w:rFonts w:hint="cs"/>
          <w:rtl/>
        </w:rPr>
        <w:t xml:space="preserve"> </w:t>
      </w:r>
      <w:r>
        <w:rPr>
          <w:rFonts w:hint="cs"/>
          <w:rtl/>
        </w:rPr>
        <w:t xml:space="preserve">(31.12.2007). להחלטה דומה בהקשר של הליכי משמעת, ראו והשוו: </w:t>
      </w:r>
      <w:proofErr w:type="spellStart"/>
      <w:r>
        <w:rPr>
          <w:rFonts w:hint="cs"/>
          <w:rtl/>
        </w:rPr>
        <w:t>עש"ם</w:t>
      </w:r>
      <w:proofErr w:type="spellEnd"/>
      <w:r>
        <w:rPr>
          <w:rFonts w:hint="cs"/>
          <w:rtl/>
        </w:rPr>
        <w:t xml:space="preserve"> 8431/01 </w:t>
      </w:r>
      <w:r>
        <w:rPr>
          <w:rFonts w:ascii="Century" w:hAnsi="Century" w:cs="Miriam" w:hint="cs"/>
          <w:b/>
          <w:spacing w:val="0"/>
          <w:szCs w:val="24"/>
          <w:rtl/>
        </w:rPr>
        <w:t>מדינת ישראל נ' דנינו</w:t>
      </w:r>
      <w:r>
        <w:rPr>
          <w:rFonts w:ascii="Century" w:hAnsi="Century" w:hint="cs"/>
          <w:rtl/>
        </w:rPr>
        <w:t xml:space="preserve">, פ"ד נו(2) 577, 581-580 (26.12.2001)). במקרים אחרים, מדובר בתולדה של סנקציות ציבוריות שאינן תלויות בהליך הפלילי (ראו: </w:t>
      </w:r>
      <w:r w:rsidRPr="00906410">
        <w:rPr>
          <w:rtl/>
        </w:rPr>
        <w:t xml:space="preserve">ע"פ 2910/94 </w:t>
      </w:r>
      <w:r w:rsidRPr="00ED4F52">
        <w:rPr>
          <w:rFonts w:ascii="Century" w:hAnsi="Century" w:cs="Miriam"/>
          <w:b/>
          <w:spacing w:val="0"/>
          <w:szCs w:val="24"/>
          <w:rtl/>
        </w:rPr>
        <w:t>יפת נ' מדינת ישראל</w:t>
      </w:r>
      <w:r w:rsidRPr="00906410">
        <w:rPr>
          <w:rtl/>
        </w:rPr>
        <w:t>, פ"ד נ(2) 221</w:t>
      </w:r>
      <w:r>
        <w:rPr>
          <w:rFonts w:hint="cs"/>
          <w:rtl/>
        </w:rPr>
        <w:t>, 377</w:t>
      </w:r>
      <w:r w:rsidRPr="00906410">
        <w:rPr>
          <w:rtl/>
        </w:rPr>
        <w:t xml:space="preserve"> (</w:t>
      </w:r>
      <w:r>
        <w:rPr>
          <w:rFonts w:hint="cs"/>
          <w:rtl/>
        </w:rPr>
        <w:t xml:space="preserve">1996) או של </w:t>
      </w:r>
      <w:r>
        <w:rPr>
          <w:rFonts w:ascii="Century" w:hAnsi="Century" w:hint="cs"/>
          <w:rtl/>
        </w:rPr>
        <w:t xml:space="preserve">ההרשעה עצמה (ראו: ע"פ 7024/93 </w:t>
      </w:r>
      <w:r>
        <w:rPr>
          <w:rFonts w:ascii="Century" w:hAnsi="Century" w:cs="Miriam" w:hint="cs"/>
          <w:b/>
          <w:spacing w:val="0"/>
          <w:szCs w:val="24"/>
          <w:rtl/>
        </w:rPr>
        <w:t>פלח נ' מדינת ישראל</w:t>
      </w:r>
      <w:r>
        <w:rPr>
          <w:rFonts w:ascii="Century" w:hAnsi="Century" w:hint="cs"/>
          <w:rtl/>
        </w:rPr>
        <w:t>, פ"ד מט(1) 2, 29 (1995)</w:t>
      </w:r>
      <w:r>
        <w:rPr>
          <w:rFonts w:hint="cs"/>
          <w:rtl/>
        </w:rPr>
        <w:t>).</w:t>
      </w:r>
      <w:r>
        <w:rPr>
          <w:rFonts w:ascii="Century" w:hAnsi="Century" w:hint="cs"/>
          <w:rtl/>
        </w:rPr>
        <w:t xml:space="preserve"> </w:t>
      </w:r>
    </w:p>
    <w:p w14:paraId="475F725D" w14:textId="77777777" w:rsidR="00437A63" w:rsidRDefault="00437A63" w:rsidP="00437A63">
      <w:pPr>
        <w:pStyle w:val="af0"/>
        <w:spacing w:line="360" w:lineRule="auto"/>
        <w:ind w:left="0"/>
        <w:jc w:val="both"/>
        <w:rPr>
          <w:rFonts w:ascii="FrankRuehl" w:hAnsi="FrankRuehl" w:cs="FrankRuehl"/>
          <w:sz w:val="28"/>
          <w:szCs w:val="28"/>
          <w:rtl/>
        </w:rPr>
      </w:pPr>
    </w:p>
    <w:p w14:paraId="33B32996"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28</w:t>
      </w:r>
      <w:r w:rsidRPr="00ED4F52">
        <w:rPr>
          <w:rFonts w:ascii="Century" w:hAnsi="Century" w:cs="FrankRuehl"/>
          <w:spacing w:val="10"/>
          <w:szCs w:val="28"/>
          <w:rtl/>
        </w:rPr>
        <w:t>.</w:t>
      </w:r>
      <w:r w:rsidRPr="00ED4F52">
        <w:rPr>
          <w:rFonts w:ascii="Century" w:hAnsi="Century" w:cs="FrankRuehl"/>
          <w:spacing w:val="10"/>
          <w:szCs w:val="28"/>
          <w:rtl/>
        </w:rPr>
        <w:tab/>
      </w:r>
      <w:r>
        <w:rPr>
          <w:rFonts w:ascii="Century" w:hAnsi="Century" w:cs="FrankRuehl" w:hint="cs"/>
          <w:spacing w:val="10"/>
          <w:szCs w:val="28"/>
          <w:rtl/>
        </w:rPr>
        <w:t>עוד</w:t>
      </w:r>
      <w:r w:rsidRPr="00ED4F52">
        <w:rPr>
          <w:rFonts w:ascii="Century" w:hAnsi="Century" w:cs="FrankRuehl"/>
          <w:spacing w:val="10"/>
          <w:szCs w:val="28"/>
          <w:rtl/>
        </w:rPr>
        <w:t xml:space="preserve"> יש להבהיר כי שיקולים אלו, המתווים ברגיל את מלאכת גזירת הדין, </w:t>
      </w:r>
      <w:r w:rsidRPr="00ED4F52">
        <w:rPr>
          <w:rFonts w:ascii="Century" w:hAnsi="Century" w:cs="FrankRuehl" w:hint="eastAsia"/>
          <w:spacing w:val="10"/>
          <w:szCs w:val="28"/>
          <w:rtl/>
        </w:rPr>
        <w:t>רלוונטיים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אף</w:t>
      </w:r>
      <w:r w:rsidRPr="00ED4F52">
        <w:rPr>
          <w:rFonts w:ascii="Century" w:hAnsi="Century" w:cs="FrankRuehl"/>
          <w:spacing w:val="10"/>
          <w:szCs w:val="28"/>
          <w:rtl/>
        </w:rPr>
        <w:t xml:space="preserve"> </w:t>
      </w:r>
      <w:r w:rsidRPr="00ED4F52">
        <w:rPr>
          <w:rFonts w:ascii="Century" w:hAnsi="Century" w:cs="FrankRuehl" w:hint="eastAsia"/>
          <w:spacing w:val="10"/>
          <w:szCs w:val="28"/>
          <w:rtl/>
        </w:rPr>
        <w:t>כאשר</w:t>
      </w:r>
      <w:r w:rsidRPr="00ED4F52">
        <w:rPr>
          <w:rFonts w:ascii="Century" w:hAnsi="Century" w:cs="FrankRuehl"/>
          <w:spacing w:val="10"/>
          <w:szCs w:val="28"/>
          <w:rtl/>
        </w:rPr>
        <w:t xml:space="preserve"> </w:t>
      </w:r>
      <w:r w:rsidRPr="00ED4F52">
        <w:rPr>
          <w:rFonts w:ascii="Century" w:hAnsi="Century" w:cs="FrankRuehl" w:hint="eastAsia"/>
          <w:spacing w:val="10"/>
          <w:szCs w:val="28"/>
          <w:rtl/>
        </w:rPr>
        <w:t>עסקינן</w:t>
      </w:r>
      <w:r w:rsidRPr="00ED4F52">
        <w:rPr>
          <w:rFonts w:ascii="Century" w:hAnsi="Century" w:cs="FrankRuehl"/>
          <w:spacing w:val="10"/>
          <w:szCs w:val="28"/>
          <w:rtl/>
        </w:rPr>
        <w:t xml:space="preserve"> </w:t>
      </w:r>
      <w:r w:rsidRPr="00ED4F52">
        <w:rPr>
          <w:rFonts w:ascii="Century" w:hAnsi="Century" w:cs="FrankRuehl" w:hint="eastAsia"/>
          <w:spacing w:val="10"/>
          <w:szCs w:val="28"/>
          <w:rtl/>
        </w:rPr>
        <w:t>בהחלטת</w:t>
      </w:r>
      <w:r w:rsidRPr="00A35C52">
        <w:rPr>
          <w:rFonts w:ascii="Century" w:hAnsi="Century" w:cs="FrankRuehl" w:hint="cs"/>
          <w:spacing w:val="10"/>
          <w:szCs w:val="28"/>
          <w:rtl/>
        </w:rPr>
        <w:t xml:space="preserve">ו של בית המשפט לאמץ או לדחות הסדר </w:t>
      </w:r>
      <w:r w:rsidRPr="00ED4F52">
        <w:rPr>
          <w:rFonts w:ascii="Century" w:hAnsi="Century" w:cs="FrankRuehl" w:hint="eastAsia"/>
          <w:spacing w:val="10"/>
          <w:szCs w:val="28"/>
          <w:rtl/>
        </w:rPr>
        <w:t>טיעון</w:t>
      </w:r>
      <w:r>
        <w:rPr>
          <w:rFonts w:ascii="Century" w:hAnsi="Century" w:cs="FrankRuehl" w:hint="cs"/>
          <w:spacing w:val="10"/>
          <w:szCs w:val="28"/>
          <w:rtl/>
        </w:rPr>
        <w:t xml:space="preserve">, לרבות כאשר הוא כולל </w:t>
      </w:r>
      <w:r w:rsidRPr="00ED4F52">
        <w:rPr>
          <w:rFonts w:ascii="Century" w:hAnsi="Century" w:cs="FrankRuehl" w:hint="eastAsia"/>
          <w:spacing w:val="10"/>
          <w:szCs w:val="28"/>
          <w:rtl/>
        </w:rPr>
        <w:t>עונש</w:t>
      </w:r>
      <w:r w:rsidRPr="00ED4F52">
        <w:rPr>
          <w:rFonts w:ascii="Century" w:hAnsi="Century" w:cs="FrankRuehl"/>
          <w:spacing w:val="10"/>
          <w:szCs w:val="28"/>
          <w:rtl/>
        </w:rPr>
        <w:t xml:space="preserve"> </w:t>
      </w:r>
      <w:r w:rsidRPr="00ED4F52">
        <w:rPr>
          <w:rFonts w:ascii="Century" w:hAnsi="Century" w:cs="FrankRuehl" w:hint="eastAsia"/>
          <w:spacing w:val="10"/>
          <w:szCs w:val="28"/>
          <w:rtl/>
        </w:rPr>
        <w:t>מוסכם</w:t>
      </w:r>
      <w:r w:rsidRPr="00ED4F52">
        <w:rPr>
          <w:rFonts w:ascii="Century" w:hAnsi="Century" w:cs="FrankRuehl"/>
          <w:spacing w:val="10"/>
          <w:szCs w:val="28"/>
          <w:rtl/>
        </w:rPr>
        <w:t xml:space="preserve">. </w:t>
      </w:r>
      <w:r>
        <w:rPr>
          <w:rFonts w:ascii="Century" w:hAnsi="Century" w:cs="FrankRuehl" w:hint="cs"/>
          <w:spacing w:val="10"/>
          <w:szCs w:val="28"/>
          <w:rtl/>
        </w:rPr>
        <w:t>כידוע, "</w:t>
      </w:r>
      <w:r>
        <w:rPr>
          <w:rFonts w:ascii="FrankRuehl" w:hAnsi="FrankRuehl" w:cs="FrankRuehl"/>
          <w:color w:val="000000"/>
          <w:spacing w:val="10"/>
          <w:sz w:val="28"/>
          <w:szCs w:val="28"/>
          <w:rtl/>
        </w:rPr>
        <w:t>נקודת המוצא לכל דיון הנוגע להסדרי טיעון הינה כי תפקיד גזירת הדין מוטל על שכמו של בית המשפט. על בית המשפט רובצת האחריות לאזן בין זכויות הנאשם ובין אינטרס הציבור, כך הוא בכל הליך פלילי, וכך הוא גם כאשר בא בפני בית המשפט הסדר טיעון בין הצדדים</w:t>
      </w:r>
      <w:r>
        <w:rPr>
          <w:rFonts w:ascii="FrankRuehl" w:hAnsi="FrankRuehl" w:cs="FrankRuehl" w:hint="cs"/>
          <w:color w:val="000000"/>
          <w:spacing w:val="10"/>
          <w:sz w:val="28"/>
          <w:szCs w:val="28"/>
          <w:rtl/>
        </w:rPr>
        <w:t xml:space="preserve">" (ראו: </w:t>
      </w:r>
      <w:r w:rsidRPr="00A8719B">
        <w:rPr>
          <w:rFonts w:ascii="FrankRuehl" w:hAnsi="FrankRuehl" w:cs="FrankRuehl"/>
          <w:color w:val="000000"/>
          <w:spacing w:val="10"/>
          <w:sz w:val="28"/>
          <w:szCs w:val="28"/>
          <w:rtl/>
        </w:rPr>
        <w:t xml:space="preserve">ע"פ 3193/07 </w:t>
      </w:r>
      <w:proofErr w:type="spellStart"/>
      <w:r w:rsidRPr="00EC508C">
        <w:rPr>
          <w:rFonts w:ascii="Century" w:hAnsi="Century" w:cs="Miriam"/>
          <w:b/>
          <w:rtl/>
        </w:rPr>
        <w:t>טבאגה</w:t>
      </w:r>
      <w:proofErr w:type="spellEnd"/>
      <w:r w:rsidRPr="00EC508C">
        <w:rPr>
          <w:rFonts w:ascii="Century" w:hAnsi="Century" w:cs="Miriam"/>
          <w:b/>
          <w:rtl/>
        </w:rPr>
        <w:t xml:space="preserve"> נ' מדינת ישראל</w:t>
      </w:r>
      <w:r w:rsidRPr="00A8719B">
        <w:rPr>
          <w:rFonts w:ascii="FrankRuehl" w:hAnsi="FrankRuehl" w:cs="FrankRuehl"/>
          <w:color w:val="000000"/>
          <w:spacing w:val="10"/>
          <w:sz w:val="28"/>
          <w:szCs w:val="28"/>
          <w:rtl/>
        </w:rPr>
        <w:t>, פסקה 16 (2.4.2009)</w:t>
      </w:r>
      <w:r>
        <w:rPr>
          <w:rFonts w:ascii="FrankRuehl" w:hAnsi="FrankRuehl" w:cs="FrankRuehl" w:hint="cs"/>
          <w:color w:val="000000"/>
          <w:spacing w:val="10"/>
          <w:sz w:val="28"/>
          <w:szCs w:val="28"/>
          <w:rtl/>
        </w:rPr>
        <w:t>).</w:t>
      </w:r>
      <w:r w:rsidRPr="00C47608">
        <w:rPr>
          <w:rtl/>
        </w:rPr>
        <w:t xml:space="preserve"> </w:t>
      </w:r>
      <w:r w:rsidRPr="00C47608">
        <w:rPr>
          <w:rFonts w:ascii="FrankRuehl" w:hAnsi="FrankRuehl" w:cs="FrankRuehl"/>
          <w:color w:val="000000"/>
          <w:spacing w:val="10"/>
          <w:sz w:val="28"/>
          <w:szCs w:val="28"/>
          <w:rtl/>
        </w:rPr>
        <w:t>אישור הסדר טיעון בידי בית המשפט אינו אוטומטי. בית המשפט הפלילי אינו כבול להסדר הטיעון ובוודאי שאינו משמש חותמת גומי</w:t>
      </w:r>
      <w:r>
        <w:rPr>
          <w:rFonts w:ascii="FrankRuehl" w:hAnsi="FrankRuehl" w:cs="FrankRuehl" w:hint="cs"/>
          <w:color w:val="000000"/>
          <w:spacing w:val="10"/>
          <w:sz w:val="28"/>
          <w:szCs w:val="28"/>
          <w:rtl/>
        </w:rPr>
        <w:t>.</w:t>
      </w:r>
      <w:r w:rsidRPr="00C47608">
        <w:rPr>
          <w:rFonts w:ascii="FrankRuehl" w:hAnsi="FrankRuehl" w:cs="FrankRuehl"/>
          <w:color w:val="000000"/>
          <w:spacing w:val="10"/>
          <w:sz w:val="28"/>
          <w:szCs w:val="28"/>
          <w:rtl/>
        </w:rPr>
        <w:t xml:space="preserve"> ביכולתו לסטות מההסכמות אליהן הגיעו הצדדים בנסיבות שראוי לעשות כן (</w:t>
      </w:r>
      <w:r>
        <w:rPr>
          <w:rFonts w:ascii="FrankRuehl" w:hAnsi="FrankRuehl" w:cs="FrankRuehl" w:hint="cs"/>
          <w:color w:val="000000"/>
          <w:spacing w:val="10"/>
          <w:sz w:val="28"/>
          <w:szCs w:val="28"/>
          <w:rtl/>
        </w:rPr>
        <w:t xml:space="preserve">ראו למשל: </w:t>
      </w:r>
      <w:r w:rsidRPr="00C47608">
        <w:rPr>
          <w:rFonts w:ascii="FrankRuehl" w:hAnsi="FrankRuehl" w:cs="FrankRuehl"/>
          <w:color w:val="000000"/>
          <w:spacing w:val="10"/>
          <w:sz w:val="28"/>
          <w:szCs w:val="28"/>
          <w:rtl/>
        </w:rPr>
        <w:t xml:space="preserve">בג"ץ 5699/07 </w:t>
      </w:r>
      <w:r w:rsidRPr="00896F09">
        <w:rPr>
          <w:rFonts w:ascii="Century" w:hAnsi="Century" w:cs="Miriam"/>
          <w:b/>
          <w:rtl/>
        </w:rPr>
        <w:t>פלונית (א') נ' היועץ המשפטי לממשלה</w:t>
      </w:r>
      <w:r w:rsidRPr="00C47608">
        <w:rPr>
          <w:rFonts w:ascii="FrankRuehl" w:hAnsi="FrankRuehl" w:cs="FrankRuehl"/>
          <w:color w:val="000000"/>
          <w:spacing w:val="10"/>
          <w:sz w:val="28"/>
          <w:szCs w:val="28"/>
          <w:rtl/>
        </w:rPr>
        <w:t>, פ"ד סב(3) 550, 644-643 (2008)</w:t>
      </w:r>
      <w:r>
        <w:rPr>
          <w:rFonts w:ascii="FrankRuehl" w:hAnsi="FrankRuehl" w:cs="FrankRuehl" w:hint="cs"/>
          <w:color w:val="000000"/>
          <w:spacing w:val="10"/>
          <w:sz w:val="28"/>
          <w:szCs w:val="28"/>
          <w:rtl/>
        </w:rPr>
        <w:t xml:space="preserve"> (להלן: </w:t>
      </w:r>
      <w:r w:rsidRPr="002D7BD4">
        <w:rPr>
          <w:rFonts w:ascii="Century" w:hAnsi="Century" w:cs="Miriam"/>
          <w:b/>
          <w:rtl/>
        </w:rPr>
        <w:t>בג"ץ 5699/07</w:t>
      </w:r>
      <w:r>
        <w:rPr>
          <w:rFonts w:ascii="Century" w:hAnsi="Century" w:cs="FrankRuehl" w:hint="cs"/>
          <w:spacing w:val="10"/>
          <w:szCs w:val="28"/>
          <w:rtl/>
        </w:rPr>
        <w:t>)</w:t>
      </w:r>
      <w:r w:rsidRPr="00C47608">
        <w:rPr>
          <w:rFonts w:ascii="FrankRuehl" w:hAnsi="FrankRuehl" w:cs="FrankRuehl"/>
          <w:color w:val="000000"/>
          <w:spacing w:val="10"/>
          <w:sz w:val="28"/>
          <w:szCs w:val="28"/>
          <w:rtl/>
        </w:rPr>
        <w:t>)</w:t>
      </w:r>
      <w:r>
        <w:rPr>
          <w:rFonts w:ascii="FrankRuehl" w:hAnsi="FrankRuehl" w:cs="FrankRuehl" w:hint="cs"/>
          <w:color w:val="000000"/>
          <w:spacing w:val="10"/>
          <w:sz w:val="28"/>
          <w:szCs w:val="28"/>
          <w:rtl/>
        </w:rPr>
        <w:t>. בהתאם</w:t>
      </w:r>
      <w:r w:rsidRPr="00ED4F52">
        <w:rPr>
          <w:rFonts w:ascii="Century" w:hAnsi="Century" w:cs="FrankRuehl"/>
          <w:spacing w:val="10"/>
          <w:szCs w:val="28"/>
          <w:rtl/>
        </w:rPr>
        <w:t xml:space="preserve">, כבר בעבר קבע בית משפט זה כי </w:t>
      </w:r>
      <w:r w:rsidRPr="00A35C52">
        <w:rPr>
          <w:rFonts w:ascii="Century" w:hAnsi="Century" w:cs="FrankRuehl" w:hint="cs"/>
          <w:spacing w:val="10"/>
          <w:szCs w:val="28"/>
          <w:rtl/>
        </w:rPr>
        <w:t>"</w:t>
      </w:r>
      <w:r w:rsidRPr="00ED4F52">
        <w:rPr>
          <w:rFonts w:ascii="Century" w:hAnsi="Century" w:cs="FrankRuehl"/>
          <w:spacing w:val="10"/>
          <w:szCs w:val="28"/>
          <w:rtl/>
        </w:rPr>
        <w:t xml:space="preserve">קיומו של הסדר טיעון הוא שיקול מרכזי בשיקוליו של בית-המשפט הגוזר את העונש. ככלל, בית-המשפט יראה לקיים את הסדר הטיעון בשל הטעמים הקשורים בחשיבותם ובמעמדם של הסדרי הטיעון. </w:t>
      </w:r>
      <w:r w:rsidRPr="00ED4F52">
        <w:rPr>
          <w:rFonts w:ascii="Century" w:hAnsi="Century" w:cs="Miriam"/>
          <w:b/>
          <w:rtl/>
        </w:rPr>
        <w:t xml:space="preserve">עם זאת תמיד חייב בית-המשפט עצמו לשקול את השיקולים הראויים לעונש, </w:t>
      </w:r>
      <w:r w:rsidRPr="00ED4F52">
        <w:rPr>
          <w:rFonts w:ascii="Century" w:hAnsi="Century" w:cs="FrankRuehl"/>
          <w:spacing w:val="10"/>
          <w:szCs w:val="28"/>
          <w:rtl/>
        </w:rPr>
        <w:t>שכן תפקידו ואחריותו אינם מאפשרים לו להסתתר מאחורי גבה של התביעה"</w:t>
      </w:r>
      <w:r>
        <w:rPr>
          <w:rFonts w:ascii="Century" w:hAnsi="Century" w:cs="FrankRuehl" w:hint="cs"/>
          <w:spacing w:val="10"/>
          <w:szCs w:val="28"/>
          <w:rtl/>
        </w:rPr>
        <w:t xml:space="preserve"> (ראו: </w:t>
      </w:r>
      <w:r w:rsidRPr="00ED4F52">
        <w:rPr>
          <w:rFonts w:ascii="Century" w:hAnsi="Century" w:cs="FrankRuehl"/>
          <w:spacing w:val="10"/>
          <w:szCs w:val="28"/>
          <w:rtl/>
        </w:rPr>
        <w:t xml:space="preserve">ע"פ 1958/98 </w:t>
      </w:r>
      <w:r w:rsidRPr="00ED4F52">
        <w:rPr>
          <w:rFonts w:ascii="Century" w:hAnsi="Century" w:cs="Miriam"/>
          <w:b/>
          <w:rtl/>
        </w:rPr>
        <w:t>פלוני נ' מדינת ישראל</w:t>
      </w:r>
      <w:r w:rsidRPr="00ED4F52">
        <w:rPr>
          <w:rFonts w:ascii="Century" w:hAnsi="Century" w:cs="FrankRuehl"/>
          <w:spacing w:val="10"/>
          <w:szCs w:val="28"/>
          <w:rtl/>
        </w:rPr>
        <w:t>, פ"ד נז(1) 577, 608 (2002)</w:t>
      </w:r>
      <w:r>
        <w:rPr>
          <w:rFonts w:ascii="Century" w:hAnsi="Century" w:cs="FrankRuehl" w:hint="cs"/>
          <w:spacing w:val="10"/>
          <w:szCs w:val="28"/>
          <w:rtl/>
        </w:rPr>
        <w:t xml:space="preserve"> (להלן: </w:t>
      </w:r>
      <w:r w:rsidRPr="002D7BD4">
        <w:rPr>
          <w:rFonts w:ascii="Century" w:hAnsi="Century" w:cs="Miriam" w:hint="eastAsia"/>
          <w:b/>
          <w:rtl/>
        </w:rPr>
        <w:t>ע</w:t>
      </w:r>
      <w:r w:rsidRPr="002D7BD4">
        <w:rPr>
          <w:rFonts w:ascii="Century" w:hAnsi="Century" w:cs="Miriam"/>
          <w:b/>
          <w:rtl/>
        </w:rPr>
        <w:t>"</w:t>
      </w:r>
      <w:r w:rsidRPr="002D7BD4">
        <w:rPr>
          <w:rFonts w:ascii="Century" w:hAnsi="Century" w:cs="Miriam" w:hint="eastAsia"/>
          <w:b/>
          <w:rtl/>
        </w:rPr>
        <w:t>פ</w:t>
      </w:r>
      <w:r w:rsidRPr="002D7BD4">
        <w:rPr>
          <w:rFonts w:ascii="Century" w:hAnsi="Century" w:cs="Miriam"/>
          <w:b/>
          <w:rtl/>
        </w:rPr>
        <w:t xml:space="preserve"> 1958/98</w:t>
      </w:r>
      <w:r>
        <w:rPr>
          <w:rFonts w:ascii="Century" w:hAnsi="Century" w:cs="FrankRuehl" w:hint="cs"/>
          <w:spacing w:val="10"/>
          <w:szCs w:val="28"/>
          <w:rtl/>
        </w:rPr>
        <w:t>), ההדגשה הוספה</w:t>
      </w:r>
      <w:r w:rsidRPr="007F061E">
        <w:rPr>
          <w:rFonts w:ascii="Century" w:hAnsi="Century" w:cs="FrankRuehl" w:hint="cs"/>
          <w:spacing w:val="10"/>
          <w:szCs w:val="28"/>
          <w:rtl/>
        </w:rPr>
        <w:t xml:space="preserve">). </w:t>
      </w:r>
      <w:r>
        <w:rPr>
          <w:rFonts w:ascii="Century" w:hAnsi="Century" w:cs="FrankRuehl" w:hint="cs"/>
          <w:spacing w:val="10"/>
          <w:szCs w:val="28"/>
          <w:rtl/>
        </w:rPr>
        <w:t>תפישה זו נותרה על כנה גם לאחר תיקון מס' 113 לחוק העונשין, ובהקשר זה הובהר כי "</w:t>
      </w:r>
      <w:r w:rsidRPr="00AB553F">
        <w:rPr>
          <w:rFonts w:ascii="FrankRuehl" w:hAnsi="FrankRuehl" w:cs="FrankRuehl"/>
          <w:color w:val="000000"/>
          <w:spacing w:val="10"/>
          <w:sz w:val="28"/>
          <w:szCs w:val="28"/>
          <w:rtl/>
        </w:rPr>
        <w:t>אין בקביעת טווח ענישה מוסכם על ידי הצדדים כדי להשפיע על קביעת מתחם</w:t>
      </w:r>
      <w:r>
        <w:rPr>
          <w:rFonts w:ascii="FrankRuehl" w:hAnsi="FrankRuehl" w:cs="FrankRuehl"/>
          <w:color w:val="000000"/>
          <w:spacing w:val="10"/>
          <w:sz w:val="28"/>
          <w:szCs w:val="28"/>
          <w:rtl/>
        </w:rPr>
        <w:t xml:space="preserve"> הענישה ההולם בגין ביצוע העבירה</w:t>
      </w:r>
      <w:r>
        <w:rPr>
          <w:rFonts w:ascii="FrankRuehl" w:hAnsi="FrankRuehl" w:cs="FrankRuehl" w:hint="cs"/>
          <w:color w:val="000000"/>
          <w:spacing w:val="10"/>
          <w:sz w:val="28"/>
          <w:szCs w:val="28"/>
          <w:rtl/>
        </w:rPr>
        <w:t>"</w:t>
      </w:r>
      <w:r w:rsidRPr="00AB553F">
        <w:rPr>
          <w:rFonts w:ascii="FrankRuehl" w:hAnsi="FrankRuehl" w:cs="FrankRuehl" w:hint="cs"/>
          <w:color w:val="000000"/>
          <w:spacing w:val="10"/>
          <w:sz w:val="28"/>
          <w:szCs w:val="28"/>
          <w:rtl/>
        </w:rPr>
        <w:t xml:space="preserve"> </w:t>
      </w:r>
      <w:r>
        <w:rPr>
          <w:rFonts w:ascii="FrankRuehl" w:hAnsi="FrankRuehl" w:cs="FrankRuehl" w:hint="cs"/>
          <w:color w:val="000000"/>
          <w:spacing w:val="10"/>
          <w:sz w:val="28"/>
          <w:szCs w:val="28"/>
          <w:rtl/>
        </w:rPr>
        <w:t xml:space="preserve">(ע"פ 1548/18 </w:t>
      </w:r>
      <w:r>
        <w:rPr>
          <w:rFonts w:ascii="Century" w:hAnsi="Century" w:cs="Miriam" w:hint="cs"/>
          <w:b/>
          <w:rtl/>
        </w:rPr>
        <w:t>גיא נ' מדינת ישראל</w:t>
      </w:r>
      <w:r>
        <w:rPr>
          <w:rFonts w:ascii="Century" w:hAnsi="Century" w:cs="FrankRuehl" w:hint="cs"/>
          <w:spacing w:val="10"/>
          <w:szCs w:val="28"/>
          <w:rtl/>
        </w:rPr>
        <w:t xml:space="preserve">, פסקה 19 (28.11.2018); ראו גם: ע"פ 512/13 </w:t>
      </w:r>
      <w:r>
        <w:rPr>
          <w:rFonts w:ascii="Century" w:hAnsi="Century" w:cs="Miriam" w:hint="cs"/>
          <w:b/>
          <w:rtl/>
        </w:rPr>
        <w:t>פלוני נ' מדינת ישראל</w:t>
      </w:r>
      <w:r>
        <w:rPr>
          <w:rFonts w:ascii="Century" w:hAnsi="Century" w:cs="FrankRuehl" w:hint="cs"/>
          <w:spacing w:val="10"/>
          <w:szCs w:val="28"/>
          <w:rtl/>
        </w:rPr>
        <w:t xml:space="preserve">, פסקאות 19-15 (4.12.2013)). כמו כן, נקבע זה מכבר </w:t>
      </w:r>
      <w:r w:rsidRPr="00A35C52">
        <w:rPr>
          <w:rFonts w:ascii="Century" w:hAnsi="Century" w:cs="FrankRuehl" w:hint="cs"/>
          <w:spacing w:val="10"/>
          <w:szCs w:val="28"/>
          <w:rtl/>
        </w:rPr>
        <w:t xml:space="preserve">כי </w:t>
      </w:r>
      <w:r w:rsidRPr="00ED4F52">
        <w:rPr>
          <w:rFonts w:ascii="Century" w:hAnsi="Century" w:cs="FrankRuehl" w:hint="eastAsia"/>
          <w:spacing w:val="10"/>
          <w:szCs w:val="28"/>
          <w:rtl/>
        </w:rPr>
        <w:t>בטרם</w:t>
      </w:r>
      <w:r w:rsidRPr="00ED4F52">
        <w:rPr>
          <w:rFonts w:ascii="Century" w:hAnsi="Century" w:cs="FrankRuehl"/>
          <w:spacing w:val="10"/>
          <w:szCs w:val="28"/>
          <w:rtl/>
        </w:rPr>
        <w:t xml:space="preserve"> יכריע בית המשפט אם לקבל הסדר טיעון או לדחותו, עליו </w:t>
      </w:r>
      <w:r w:rsidRPr="00ED4F52">
        <w:rPr>
          <w:rFonts w:ascii="Century" w:hAnsi="Century" w:cs="FrankRuehl" w:hint="eastAsia"/>
          <w:spacing w:val="10"/>
          <w:szCs w:val="28"/>
          <w:rtl/>
        </w:rPr>
        <w:t>לתת</w:t>
      </w:r>
      <w:r w:rsidRPr="00ED4F52">
        <w:rPr>
          <w:rFonts w:ascii="Century" w:hAnsi="Century" w:cs="FrankRuehl"/>
          <w:spacing w:val="10"/>
          <w:szCs w:val="28"/>
          <w:rtl/>
        </w:rPr>
        <w:t xml:space="preserve"> דעתו גם ל"אינטרס </w:t>
      </w:r>
      <w:r w:rsidRPr="00ED4F52">
        <w:rPr>
          <w:rFonts w:ascii="Century" w:hAnsi="Century" w:cs="FrankRuehl" w:hint="eastAsia"/>
          <w:spacing w:val="10"/>
          <w:szCs w:val="28"/>
          <w:rtl/>
        </w:rPr>
        <w:t>הציבורי</w:t>
      </w:r>
      <w:r w:rsidRPr="00ED4F52">
        <w:rPr>
          <w:rFonts w:ascii="Century" w:hAnsi="Century" w:cs="FrankRuehl"/>
          <w:spacing w:val="10"/>
          <w:szCs w:val="28"/>
          <w:rtl/>
        </w:rPr>
        <w:t xml:space="preserve"> </w:t>
      </w:r>
      <w:r w:rsidRPr="00ED4F52">
        <w:rPr>
          <w:rFonts w:ascii="Century" w:hAnsi="Century" w:cs="FrankRuehl" w:hint="eastAsia"/>
          <w:spacing w:val="10"/>
          <w:szCs w:val="28"/>
          <w:rtl/>
        </w:rPr>
        <w:t>שבהשגת</w:t>
      </w:r>
      <w:r w:rsidRPr="00ED4F52">
        <w:rPr>
          <w:rFonts w:ascii="Century" w:hAnsi="Century" w:cs="FrankRuehl"/>
          <w:spacing w:val="10"/>
          <w:szCs w:val="28"/>
          <w:rtl/>
        </w:rPr>
        <w:t xml:space="preserve"> </w:t>
      </w:r>
      <w:r w:rsidRPr="00ED4F52">
        <w:rPr>
          <w:rFonts w:ascii="Century" w:hAnsi="Century" w:cs="FrankRuehl" w:hint="eastAsia"/>
          <w:spacing w:val="10"/>
          <w:szCs w:val="28"/>
          <w:rtl/>
        </w:rPr>
        <w:t>הודיית</w:t>
      </w:r>
      <w:r w:rsidRPr="00ED4F52">
        <w:rPr>
          <w:rFonts w:ascii="Century" w:hAnsi="Century" w:cs="FrankRuehl"/>
          <w:spacing w:val="10"/>
          <w:szCs w:val="28"/>
          <w:rtl/>
        </w:rPr>
        <w:t xml:space="preserve"> </w:t>
      </w:r>
      <w:r w:rsidRPr="00ED4F52">
        <w:rPr>
          <w:rFonts w:ascii="Century" w:hAnsi="Century" w:cs="FrankRuehl" w:hint="eastAsia"/>
          <w:spacing w:val="10"/>
          <w:szCs w:val="28"/>
          <w:rtl/>
        </w:rPr>
        <w:t>הנאשם</w:t>
      </w:r>
      <w:r w:rsidRPr="00ED4F52">
        <w:rPr>
          <w:rFonts w:ascii="Century" w:hAnsi="Century" w:cs="FrankRuehl"/>
          <w:spacing w:val="10"/>
          <w:szCs w:val="28"/>
          <w:rtl/>
        </w:rPr>
        <w:t xml:space="preserve"> </w:t>
      </w:r>
      <w:r w:rsidRPr="00ED4F52">
        <w:rPr>
          <w:rFonts w:ascii="Century" w:hAnsi="Century" w:cs="FrankRuehl" w:hint="eastAsia"/>
          <w:spacing w:val="10"/>
          <w:szCs w:val="28"/>
          <w:rtl/>
        </w:rPr>
        <w:t>ובקבלת</w:t>
      </w:r>
      <w:r w:rsidRPr="00ED4F52">
        <w:rPr>
          <w:rFonts w:ascii="Century" w:hAnsi="Century" w:cs="FrankRuehl"/>
          <w:spacing w:val="10"/>
          <w:szCs w:val="28"/>
          <w:rtl/>
        </w:rPr>
        <w:t xml:space="preserve"> </w:t>
      </w:r>
      <w:r w:rsidRPr="00ED4F52">
        <w:rPr>
          <w:rFonts w:ascii="Century" w:hAnsi="Century" w:cs="FrankRuehl" w:hint="eastAsia"/>
          <w:spacing w:val="10"/>
          <w:szCs w:val="28"/>
          <w:rtl/>
        </w:rPr>
        <w:t>אחריותו</w:t>
      </w:r>
      <w:r w:rsidRPr="00ED4F52">
        <w:rPr>
          <w:rFonts w:ascii="Century" w:hAnsi="Century" w:cs="FrankRuehl"/>
          <w:spacing w:val="10"/>
          <w:szCs w:val="28"/>
          <w:rtl/>
        </w:rPr>
        <w:t xml:space="preserve"> </w:t>
      </w:r>
      <w:r w:rsidRPr="00ED4F52">
        <w:rPr>
          <w:rFonts w:ascii="Century" w:hAnsi="Century" w:cs="FrankRuehl" w:hint="eastAsia"/>
          <w:spacing w:val="10"/>
          <w:szCs w:val="28"/>
          <w:rtl/>
        </w:rPr>
        <w:t>למעשיו</w:t>
      </w:r>
      <w:r w:rsidRPr="00ED4F52">
        <w:rPr>
          <w:rFonts w:ascii="Century" w:hAnsi="Century" w:cs="FrankRuehl"/>
          <w:spacing w:val="10"/>
          <w:szCs w:val="28"/>
          <w:rtl/>
        </w:rPr>
        <w:t>"</w:t>
      </w:r>
      <w:r w:rsidRPr="00A35C52">
        <w:rPr>
          <w:rFonts w:ascii="Century" w:hAnsi="Century" w:cs="FrankRuehl" w:hint="cs"/>
          <w:spacing w:val="10"/>
          <w:szCs w:val="28"/>
          <w:rtl/>
        </w:rPr>
        <w:t xml:space="preserve"> (</w:t>
      </w:r>
      <w:r>
        <w:rPr>
          <w:rFonts w:ascii="Century" w:hAnsi="Century" w:cs="FrankRuehl" w:hint="cs"/>
          <w:spacing w:val="10"/>
          <w:szCs w:val="28"/>
          <w:rtl/>
        </w:rPr>
        <w:t xml:space="preserve">ראו: </w:t>
      </w:r>
      <w:r w:rsidRPr="00ED4F52">
        <w:rPr>
          <w:rFonts w:ascii="Century" w:hAnsi="Century" w:cs="FrankRuehl"/>
          <w:spacing w:val="10"/>
          <w:szCs w:val="28"/>
          <w:rtl/>
        </w:rPr>
        <w:t>ע"פ 1958/98</w:t>
      </w:r>
      <w:r>
        <w:rPr>
          <w:rFonts w:ascii="Century" w:hAnsi="Century" w:cs="FrankRuehl" w:hint="cs"/>
          <w:spacing w:val="10"/>
          <w:szCs w:val="28"/>
          <w:rtl/>
        </w:rPr>
        <w:t>, בעמ' 609</w:t>
      </w:r>
      <w:r w:rsidRPr="00A35C52">
        <w:rPr>
          <w:rFonts w:ascii="Century" w:hAnsi="Century" w:cs="FrankRuehl" w:hint="cs"/>
          <w:spacing w:val="10"/>
          <w:szCs w:val="28"/>
          <w:rtl/>
        </w:rPr>
        <w:t xml:space="preserve">. עוד על משקלה של </w:t>
      </w:r>
      <w:r>
        <w:rPr>
          <w:rFonts w:ascii="Century" w:hAnsi="Century" w:cs="FrankRuehl" w:hint="cs"/>
          <w:spacing w:val="10"/>
          <w:szCs w:val="28"/>
          <w:rtl/>
        </w:rPr>
        <w:t>קבלת אחריות והכרה מצד הנאשם במעשיו</w:t>
      </w:r>
      <w:r w:rsidRPr="00A35C52">
        <w:rPr>
          <w:rFonts w:ascii="Century" w:hAnsi="Century" w:cs="FrankRuehl" w:hint="cs"/>
          <w:spacing w:val="10"/>
          <w:szCs w:val="28"/>
          <w:rtl/>
        </w:rPr>
        <w:t xml:space="preserve"> בהחלטה על אישור הסדר טיעון, ראו: </w:t>
      </w:r>
      <w:r w:rsidRPr="00A35C52">
        <w:rPr>
          <w:rFonts w:ascii="Century" w:hAnsi="Century" w:cs="FrankRuehl"/>
          <w:spacing w:val="10"/>
          <w:szCs w:val="28"/>
          <w:rtl/>
        </w:rPr>
        <w:t xml:space="preserve">ע"פ 2021/17 </w:t>
      </w:r>
      <w:r w:rsidRPr="00ED4F52">
        <w:rPr>
          <w:rFonts w:ascii="Century" w:hAnsi="Century" w:cs="Miriam" w:hint="eastAsia"/>
          <w:b/>
          <w:rtl/>
        </w:rPr>
        <w:t>מצגר</w:t>
      </w:r>
      <w:r w:rsidRPr="00ED4F52">
        <w:rPr>
          <w:rFonts w:ascii="Century" w:hAnsi="Century" w:cs="Miriam"/>
          <w:b/>
          <w:rtl/>
        </w:rPr>
        <w:t xml:space="preserve"> </w:t>
      </w:r>
      <w:r w:rsidRPr="00ED4F52">
        <w:rPr>
          <w:rFonts w:ascii="Century" w:hAnsi="Century" w:cs="Miriam" w:hint="eastAsia"/>
          <w:b/>
          <w:rtl/>
        </w:rPr>
        <w:t>נ</w:t>
      </w:r>
      <w:r w:rsidRPr="00ED4F52">
        <w:rPr>
          <w:rFonts w:ascii="Century" w:hAnsi="Century" w:cs="Miriam"/>
          <w:b/>
          <w:rtl/>
        </w:rPr>
        <w:t xml:space="preserve">' </w:t>
      </w:r>
      <w:r w:rsidRPr="00ED4F52">
        <w:rPr>
          <w:rFonts w:ascii="Century" w:hAnsi="Century" w:cs="Miriam" w:hint="eastAsia"/>
          <w:b/>
          <w:rtl/>
        </w:rPr>
        <w:t>מדינת</w:t>
      </w:r>
      <w:r w:rsidRPr="00ED4F52">
        <w:rPr>
          <w:rFonts w:ascii="Century" w:hAnsi="Century" w:cs="Miriam"/>
          <w:b/>
          <w:rtl/>
        </w:rPr>
        <w:t xml:space="preserve"> </w:t>
      </w:r>
      <w:r w:rsidRPr="00ED4F52">
        <w:rPr>
          <w:rFonts w:ascii="Century" w:hAnsi="Century" w:cs="Miriam" w:hint="eastAsia"/>
          <w:b/>
          <w:rtl/>
        </w:rPr>
        <w:t>ישראל</w:t>
      </w:r>
      <w:r w:rsidRPr="004163AC">
        <w:rPr>
          <w:rFonts w:ascii="Century" w:hAnsi="Century" w:cs="FrankRuehl"/>
          <w:spacing w:val="10"/>
          <w:szCs w:val="28"/>
          <w:rtl/>
        </w:rPr>
        <w:t>, פסקאות 24-23 (30.4.2017)</w:t>
      </w:r>
      <w:r>
        <w:rPr>
          <w:rFonts w:ascii="Century" w:hAnsi="Century" w:cs="FrankRuehl" w:hint="cs"/>
          <w:spacing w:val="10"/>
          <w:szCs w:val="28"/>
          <w:rtl/>
        </w:rPr>
        <w:t xml:space="preserve">). בהקשר זה יש להזכיר, בהתייחס לענייננו, כי לעיתים הסדרי טיעון עשויים לכלול אף התחייבות מפורשת מצד הנאשם להתפטר מתפקידו (ראו: </w:t>
      </w:r>
      <w:r w:rsidRPr="00C47608">
        <w:rPr>
          <w:rFonts w:ascii="FrankRuehl" w:hAnsi="FrankRuehl" w:cs="FrankRuehl"/>
          <w:color w:val="000000"/>
          <w:spacing w:val="10"/>
          <w:sz w:val="28"/>
          <w:szCs w:val="28"/>
          <w:rtl/>
        </w:rPr>
        <w:t>בג"ץ 5699/07</w:t>
      </w:r>
      <w:r>
        <w:rPr>
          <w:rFonts w:ascii="Century" w:hAnsi="Century" w:cs="FrankRuehl" w:hint="cs"/>
          <w:spacing w:val="10"/>
          <w:szCs w:val="28"/>
          <w:rtl/>
        </w:rPr>
        <w:t xml:space="preserve">, בעמ' 624. כדוגמה, ראו למשל גם: </w:t>
      </w:r>
      <w:r w:rsidRPr="00FD3755">
        <w:rPr>
          <w:rFonts w:ascii="Century" w:hAnsi="Century" w:cs="FrankRuehl"/>
          <w:spacing w:val="10"/>
          <w:szCs w:val="28"/>
          <w:rtl/>
        </w:rPr>
        <w:lastRenderedPageBreak/>
        <w:t xml:space="preserve">ת"פ (שלום ת"א) 13977-01-17 </w:t>
      </w:r>
      <w:r w:rsidRPr="00ED4F52">
        <w:rPr>
          <w:rFonts w:ascii="Century" w:hAnsi="Century" w:cs="Miriam" w:hint="eastAsia"/>
          <w:b/>
          <w:rtl/>
        </w:rPr>
        <w:t>מדינת</w:t>
      </w:r>
      <w:r w:rsidRPr="00ED4F52">
        <w:rPr>
          <w:rFonts w:ascii="Century" w:hAnsi="Century" w:cs="Miriam"/>
          <w:b/>
          <w:rtl/>
        </w:rPr>
        <w:t xml:space="preserve"> </w:t>
      </w:r>
      <w:r w:rsidRPr="00ED4F52">
        <w:rPr>
          <w:rFonts w:ascii="Century" w:hAnsi="Century" w:cs="Miriam" w:hint="eastAsia"/>
          <w:b/>
          <w:rtl/>
        </w:rPr>
        <w:t>ישראל</w:t>
      </w:r>
      <w:r w:rsidRPr="00ED4F52">
        <w:rPr>
          <w:rFonts w:ascii="Century" w:hAnsi="Century" w:cs="Miriam"/>
          <w:b/>
          <w:rtl/>
        </w:rPr>
        <w:t xml:space="preserve"> </w:t>
      </w:r>
      <w:r w:rsidRPr="00ED4F52">
        <w:rPr>
          <w:rFonts w:ascii="Century" w:hAnsi="Century" w:cs="Miriam" w:hint="eastAsia"/>
          <w:b/>
          <w:rtl/>
        </w:rPr>
        <w:t>נ</w:t>
      </w:r>
      <w:r w:rsidRPr="00ED4F52">
        <w:rPr>
          <w:rFonts w:ascii="Century" w:hAnsi="Century" w:cs="Miriam"/>
          <w:b/>
          <w:rtl/>
        </w:rPr>
        <w:t xml:space="preserve">' </w:t>
      </w:r>
      <w:r w:rsidRPr="00ED4F52">
        <w:rPr>
          <w:rFonts w:ascii="Century" w:hAnsi="Century" w:cs="Miriam" w:hint="eastAsia"/>
          <w:b/>
          <w:rtl/>
        </w:rPr>
        <w:t>ליברזון</w:t>
      </w:r>
      <w:r w:rsidRPr="00FD3755">
        <w:rPr>
          <w:rFonts w:ascii="Century" w:hAnsi="Century" w:cs="FrankRuehl"/>
          <w:spacing w:val="10"/>
          <w:szCs w:val="28"/>
          <w:rtl/>
        </w:rPr>
        <w:t xml:space="preserve"> (7.3.2017)</w:t>
      </w:r>
      <w:r>
        <w:rPr>
          <w:rFonts w:ascii="Century" w:hAnsi="Century" w:cs="FrankRuehl" w:hint="cs"/>
          <w:spacing w:val="10"/>
          <w:szCs w:val="28"/>
          <w:rtl/>
        </w:rPr>
        <w:t xml:space="preserve">). לנוכח זאת, אך מובן הוא כי גם במקרה זה יכול היה בית משפט השלום להחמיר בעונשו של דרעי מעבר לעונש המוסכם בהסדר הטיעון, ככל שהיה מתרשם כי יש מקום לעשות כן. </w:t>
      </w:r>
    </w:p>
    <w:p w14:paraId="7B4F2420" w14:textId="77777777" w:rsidR="00437A63" w:rsidRDefault="00437A63" w:rsidP="00437A63">
      <w:pPr>
        <w:pStyle w:val="af0"/>
        <w:spacing w:line="360" w:lineRule="auto"/>
        <w:ind w:left="0"/>
        <w:jc w:val="both"/>
        <w:rPr>
          <w:rFonts w:ascii="Century" w:hAnsi="Century" w:cs="FrankRuehl"/>
          <w:spacing w:val="10"/>
          <w:szCs w:val="28"/>
          <w:rtl/>
        </w:rPr>
      </w:pPr>
    </w:p>
    <w:p w14:paraId="2629C827" w14:textId="77777777" w:rsidR="00437A63" w:rsidRPr="005C77DD"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29.</w:t>
      </w:r>
      <w:r>
        <w:rPr>
          <w:rFonts w:ascii="Century" w:hAnsi="Century" w:cs="FrankRuehl" w:hint="cs"/>
          <w:spacing w:val="10"/>
          <w:szCs w:val="28"/>
          <w:rtl/>
        </w:rPr>
        <w:tab/>
        <w:t xml:space="preserve">המסקנה הנלמדת מהאמור לעיל היא כי </w:t>
      </w:r>
      <w:r w:rsidRPr="00ED4F52">
        <w:rPr>
          <w:rFonts w:ascii="Century" w:hAnsi="Century" w:cs="FrankRuehl" w:hint="eastAsia"/>
          <w:spacing w:val="10"/>
          <w:szCs w:val="28"/>
          <w:rtl/>
        </w:rPr>
        <w:t>להתנהלותו</w:t>
      </w:r>
      <w:r w:rsidRPr="00ED4F52">
        <w:rPr>
          <w:rFonts w:ascii="Century" w:hAnsi="Century" w:cs="FrankRuehl"/>
          <w:spacing w:val="10"/>
          <w:szCs w:val="28"/>
          <w:rtl/>
        </w:rPr>
        <w:t xml:space="preserve"> </w:t>
      </w:r>
      <w:r w:rsidRPr="00ED4F52">
        <w:rPr>
          <w:rFonts w:ascii="Century" w:hAnsi="Century" w:cs="FrankRuehl" w:hint="eastAsia"/>
          <w:spacing w:val="10"/>
          <w:szCs w:val="28"/>
          <w:rtl/>
        </w:rPr>
        <w:t>של</w:t>
      </w:r>
      <w:r w:rsidRPr="00ED4F52">
        <w:rPr>
          <w:rFonts w:ascii="Century" w:hAnsi="Century" w:cs="FrankRuehl"/>
          <w:spacing w:val="10"/>
          <w:szCs w:val="28"/>
          <w:rtl/>
        </w:rPr>
        <w:t xml:space="preserve"> </w:t>
      </w:r>
      <w:r w:rsidRPr="00ED4F52">
        <w:rPr>
          <w:rFonts w:ascii="Century" w:hAnsi="Century" w:cs="FrankRuehl" w:hint="eastAsia"/>
          <w:spacing w:val="10"/>
          <w:szCs w:val="28"/>
          <w:rtl/>
        </w:rPr>
        <w:t>דרעי</w:t>
      </w:r>
      <w:r w:rsidRPr="00ED4F52">
        <w:rPr>
          <w:rFonts w:ascii="Century" w:hAnsi="Century" w:cs="FrankRuehl"/>
          <w:spacing w:val="10"/>
          <w:szCs w:val="28"/>
          <w:rtl/>
        </w:rPr>
        <w:t xml:space="preserve"> </w:t>
      </w:r>
      <w:r w:rsidRPr="00ED4F52">
        <w:rPr>
          <w:rFonts w:ascii="Century" w:hAnsi="Century" w:cs="FrankRuehl" w:hint="eastAsia"/>
          <w:spacing w:val="10"/>
          <w:szCs w:val="28"/>
          <w:rtl/>
        </w:rPr>
        <w:t>במסגרת</w:t>
      </w:r>
      <w:r w:rsidRPr="00ED4F52">
        <w:rPr>
          <w:rFonts w:ascii="Century" w:hAnsi="Century" w:cs="FrankRuehl"/>
          <w:spacing w:val="10"/>
          <w:szCs w:val="28"/>
          <w:rtl/>
        </w:rPr>
        <w:t xml:space="preserve"> </w:t>
      </w:r>
      <w:r w:rsidRPr="00ED4F52">
        <w:rPr>
          <w:rFonts w:ascii="Century" w:hAnsi="Century" w:cs="FrankRuehl" w:hint="eastAsia"/>
          <w:spacing w:val="10"/>
          <w:szCs w:val="28"/>
          <w:rtl/>
        </w:rPr>
        <w:t>ההליך</w:t>
      </w:r>
      <w:r w:rsidRPr="00ED4F52">
        <w:rPr>
          <w:rFonts w:ascii="Century" w:hAnsi="Century" w:cs="FrankRuehl"/>
          <w:spacing w:val="10"/>
          <w:szCs w:val="28"/>
          <w:rtl/>
        </w:rPr>
        <w:t xml:space="preserve"> </w:t>
      </w:r>
      <w:r w:rsidRPr="002D67A0">
        <w:rPr>
          <w:rFonts w:ascii="Century" w:hAnsi="Century" w:cs="FrankRuehl" w:hint="cs"/>
          <w:spacing w:val="10"/>
          <w:szCs w:val="28"/>
          <w:rtl/>
        </w:rPr>
        <w:t>הפלילי</w:t>
      </w:r>
      <w:r w:rsidRPr="00ED4F52">
        <w:rPr>
          <w:rFonts w:ascii="Century" w:hAnsi="Century" w:cs="FrankRuehl"/>
          <w:spacing w:val="10"/>
          <w:szCs w:val="28"/>
          <w:rtl/>
        </w:rPr>
        <w:t xml:space="preserve">, </w:t>
      </w:r>
      <w:r w:rsidRPr="00ED4F52">
        <w:rPr>
          <w:rFonts w:ascii="Century" w:hAnsi="Century" w:cs="FrankRuehl" w:hint="eastAsia"/>
          <w:spacing w:val="10"/>
          <w:szCs w:val="28"/>
          <w:rtl/>
        </w:rPr>
        <w:t>ובאופן</w:t>
      </w:r>
      <w:r w:rsidRPr="00ED4F52">
        <w:rPr>
          <w:rFonts w:ascii="Century" w:hAnsi="Century" w:cs="FrankRuehl"/>
          <w:spacing w:val="10"/>
          <w:szCs w:val="28"/>
          <w:rtl/>
        </w:rPr>
        <w:t xml:space="preserve"> </w:t>
      </w:r>
      <w:r w:rsidRPr="00ED4F52">
        <w:rPr>
          <w:rFonts w:ascii="Century" w:hAnsi="Century" w:cs="FrankRuehl" w:hint="eastAsia"/>
          <w:spacing w:val="10"/>
          <w:szCs w:val="28"/>
          <w:rtl/>
        </w:rPr>
        <w:t>קונקרטי</w:t>
      </w:r>
      <w:r w:rsidRPr="00ED4F52">
        <w:rPr>
          <w:rFonts w:ascii="Century" w:hAnsi="Century" w:cs="FrankRuehl"/>
          <w:spacing w:val="10"/>
          <w:szCs w:val="28"/>
          <w:rtl/>
        </w:rPr>
        <w:t xml:space="preserve"> </w:t>
      </w:r>
      <w:r w:rsidRPr="00ED4F52">
        <w:rPr>
          <w:rFonts w:ascii="Century" w:hAnsi="Century" w:cs="FrankRuehl" w:hint="eastAsia"/>
          <w:spacing w:val="10"/>
          <w:szCs w:val="28"/>
          <w:rtl/>
        </w:rPr>
        <w:t>למצג</w:t>
      </w:r>
      <w:r w:rsidRPr="002D67A0">
        <w:rPr>
          <w:rFonts w:ascii="Century" w:hAnsi="Century" w:cs="FrankRuehl" w:hint="cs"/>
          <w:spacing w:val="10"/>
          <w:szCs w:val="28"/>
          <w:rtl/>
        </w:rPr>
        <w:t xml:space="preserve"> הברור</w:t>
      </w:r>
      <w:r w:rsidRPr="00ED4F52">
        <w:rPr>
          <w:rFonts w:ascii="Century" w:hAnsi="Century" w:cs="FrankRuehl"/>
          <w:spacing w:val="10"/>
          <w:szCs w:val="28"/>
          <w:rtl/>
        </w:rPr>
        <w:t xml:space="preserve"> </w:t>
      </w:r>
      <w:r w:rsidRPr="00ED4F52">
        <w:rPr>
          <w:rFonts w:ascii="Century" w:hAnsi="Century" w:cs="FrankRuehl" w:hint="eastAsia"/>
          <w:spacing w:val="10"/>
          <w:szCs w:val="28"/>
          <w:rtl/>
        </w:rPr>
        <w:t>שיצר</w:t>
      </w:r>
      <w:r w:rsidRPr="00ED4F52">
        <w:rPr>
          <w:rFonts w:ascii="Century" w:hAnsi="Century" w:cs="FrankRuehl"/>
          <w:spacing w:val="10"/>
          <w:szCs w:val="28"/>
          <w:rtl/>
        </w:rPr>
        <w:t xml:space="preserve"> </w:t>
      </w:r>
      <w:r w:rsidRPr="00ED4F52">
        <w:rPr>
          <w:rFonts w:ascii="Century" w:hAnsi="Century" w:cs="FrankRuehl" w:hint="eastAsia"/>
          <w:spacing w:val="10"/>
          <w:szCs w:val="28"/>
          <w:rtl/>
        </w:rPr>
        <w:t>בפני</w:t>
      </w:r>
      <w:r w:rsidRPr="00ED4F52">
        <w:rPr>
          <w:rFonts w:ascii="Century" w:hAnsi="Century" w:cs="FrankRuehl"/>
          <w:spacing w:val="10"/>
          <w:szCs w:val="28"/>
          <w:rtl/>
        </w:rPr>
        <w:t xml:space="preserve"> </w:t>
      </w:r>
      <w:r w:rsidRPr="00ED4F52">
        <w:rPr>
          <w:rFonts w:ascii="Century" w:hAnsi="Century" w:cs="FrankRuehl" w:hint="eastAsia"/>
          <w:spacing w:val="10"/>
          <w:szCs w:val="28"/>
          <w:rtl/>
        </w:rPr>
        <w:t>בית</w:t>
      </w:r>
      <w:r w:rsidRPr="00ED4F52">
        <w:rPr>
          <w:rFonts w:ascii="Century" w:hAnsi="Century" w:cs="FrankRuehl"/>
          <w:spacing w:val="10"/>
          <w:szCs w:val="28"/>
          <w:rtl/>
        </w:rPr>
        <w:t xml:space="preserve"> </w:t>
      </w:r>
      <w:r w:rsidRPr="00ED4F52">
        <w:rPr>
          <w:rFonts w:ascii="Century" w:hAnsi="Century" w:cs="FrankRuehl" w:hint="eastAsia"/>
          <w:spacing w:val="10"/>
          <w:szCs w:val="28"/>
          <w:rtl/>
        </w:rPr>
        <w:t>משפט</w:t>
      </w:r>
      <w:r w:rsidRPr="00ED4F52">
        <w:rPr>
          <w:rFonts w:ascii="Century" w:hAnsi="Century" w:cs="FrankRuehl"/>
          <w:spacing w:val="10"/>
          <w:szCs w:val="28"/>
          <w:rtl/>
        </w:rPr>
        <w:t xml:space="preserve"> </w:t>
      </w:r>
      <w:r w:rsidRPr="00ED4F52">
        <w:rPr>
          <w:rFonts w:ascii="Century" w:hAnsi="Century" w:cs="FrankRuehl" w:hint="eastAsia"/>
          <w:spacing w:val="10"/>
          <w:szCs w:val="28"/>
          <w:rtl/>
        </w:rPr>
        <w:t>השלום</w:t>
      </w:r>
      <w:r w:rsidRPr="00ED4F52">
        <w:rPr>
          <w:rFonts w:ascii="Century" w:hAnsi="Century" w:cs="FrankRuehl"/>
          <w:spacing w:val="10"/>
          <w:szCs w:val="28"/>
          <w:rtl/>
        </w:rPr>
        <w:t xml:space="preserve"> </w:t>
      </w:r>
      <w:r w:rsidRPr="00ED4F52">
        <w:rPr>
          <w:rFonts w:ascii="Century" w:hAnsi="Century" w:cs="FrankRuehl" w:hint="eastAsia"/>
          <w:spacing w:val="10"/>
          <w:szCs w:val="28"/>
          <w:rtl/>
        </w:rPr>
        <w:t>באשר</w:t>
      </w:r>
      <w:r w:rsidRPr="00ED4F52">
        <w:rPr>
          <w:rFonts w:ascii="Century" w:hAnsi="Century" w:cs="FrankRuehl"/>
          <w:spacing w:val="10"/>
          <w:szCs w:val="28"/>
          <w:rtl/>
        </w:rPr>
        <w:t xml:space="preserve"> </w:t>
      </w:r>
      <w:r w:rsidRPr="00ED4F52">
        <w:rPr>
          <w:rFonts w:ascii="Century" w:hAnsi="Century" w:cs="FrankRuehl" w:hint="eastAsia"/>
          <w:spacing w:val="10"/>
          <w:szCs w:val="28"/>
          <w:rtl/>
        </w:rPr>
        <w:t>לטיב</w:t>
      </w:r>
      <w:r w:rsidRPr="00ED4F52">
        <w:rPr>
          <w:rFonts w:ascii="Century" w:hAnsi="Century" w:cs="FrankRuehl"/>
          <w:spacing w:val="10"/>
          <w:szCs w:val="28"/>
          <w:rtl/>
        </w:rPr>
        <w:t xml:space="preserve"> </w:t>
      </w:r>
      <w:r w:rsidRPr="00ED4F52">
        <w:rPr>
          <w:rFonts w:ascii="Century" w:hAnsi="Century" w:cs="FrankRuehl" w:hint="eastAsia"/>
          <w:spacing w:val="10"/>
          <w:szCs w:val="28"/>
          <w:rtl/>
        </w:rPr>
        <w:t>פרישתו</w:t>
      </w:r>
      <w:r w:rsidRPr="002D67A0">
        <w:rPr>
          <w:rFonts w:ascii="Century" w:hAnsi="Century" w:cs="FrankRuehl" w:hint="cs"/>
          <w:spacing w:val="10"/>
          <w:szCs w:val="28"/>
          <w:rtl/>
        </w:rPr>
        <w:t xml:space="preserve"> </w:t>
      </w:r>
      <w:r>
        <w:rPr>
          <w:rFonts w:ascii="Century" w:hAnsi="Century" w:cs="FrankRuehl" w:hint="cs"/>
          <w:spacing w:val="10"/>
          <w:szCs w:val="28"/>
          <w:rtl/>
        </w:rPr>
        <w:t xml:space="preserve">ולנטילת האחריות </w:t>
      </w:r>
      <w:r w:rsidRPr="002D67A0">
        <w:rPr>
          <w:rFonts w:ascii="Century" w:hAnsi="Century" w:cs="FrankRuehl" w:hint="cs"/>
          <w:spacing w:val="10"/>
          <w:szCs w:val="28"/>
          <w:rtl/>
        </w:rPr>
        <w:t>הנובעת ממנה</w:t>
      </w:r>
      <w:r w:rsidRPr="00ED4F52">
        <w:rPr>
          <w:rFonts w:ascii="Century" w:hAnsi="Century" w:cs="FrankRuehl"/>
          <w:spacing w:val="10"/>
          <w:szCs w:val="28"/>
          <w:rtl/>
        </w:rPr>
        <w:t>,</w:t>
      </w:r>
      <w:r w:rsidRPr="002D67A0">
        <w:rPr>
          <w:rFonts w:ascii="Century" w:hAnsi="Century" w:cs="FrankRuehl" w:hint="cs"/>
          <w:spacing w:val="10"/>
          <w:szCs w:val="28"/>
          <w:rtl/>
        </w:rPr>
        <w:t xml:space="preserve"> ניתן משקל של ממש</w:t>
      </w:r>
      <w:r>
        <w:rPr>
          <w:rFonts w:ascii="Century" w:hAnsi="Century" w:cs="FrankRuehl" w:hint="cs"/>
          <w:spacing w:val="10"/>
          <w:szCs w:val="28"/>
          <w:rtl/>
        </w:rPr>
        <w:t>,</w:t>
      </w:r>
      <w:r w:rsidRPr="002D67A0">
        <w:rPr>
          <w:rFonts w:ascii="Century" w:hAnsi="Century" w:cs="FrankRuehl" w:hint="cs"/>
          <w:spacing w:val="10"/>
          <w:szCs w:val="28"/>
          <w:rtl/>
        </w:rPr>
        <w:t xml:space="preserve"> שפעל לטובת אישורו של הסדר הטיעון שהוצג על-ידי הצדדים. </w:t>
      </w:r>
      <w:r>
        <w:rPr>
          <w:rFonts w:ascii="Century" w:hAnsi="Century" w:cs="FrankRuehl" w:hint="cs"/>
          <w:spacing w:val="10"/>
          <w:szCs w:val="28"/>
          <w:rtl/>
        </w:rPr>
        <w:t xml:space="preserve">בהתחשב בכך, </w:t>
      </w:r>
      <w:r w:rsidRPr="00C47608">
        <w:rPr>
          <w:rFonts w:ascii="Century" w:hAnsi="Century" w:cs="FrankRuehl"/>
          <w:spacing w:val="10"/>
          <w:szCs w:val="28"/>
          <w:rtl/>
        </w:rPr>
        <w:t xml:space="preserve">אין לשלול את האפשרות </w:t>
      </w:r>
      <w:r>
        <w:rPr>
          <w:rFonts w:ascii="Century" w:hAnsi="Century" w:cs="FrankRuehl" w:hint="cs"/>
          <w:spacing w:val="10"/>
          <w:szCs w:val="28"/>
          <w:rtl/>
        </w:rPr>
        <w:t>ש</w:t>
      </w:r>
      <w:r>
        <w:rPr>
          <w:rFonts w:ascii="Century" w:hAnsi="Century" w:cs="FrankRuehl"/>
          <w:spacing w:val="10"/>
          <w:szCs w:val="28"/>
          <w:rtl/>
        </w:rPr>
        <w:t xml:space="preserve">בית </w:t>
      </w:r>
      <w:r w:rsidRPr="00C47608">
        <w:rPr>
          <w:rFonts w:ascii="Century" w:hAnsi="Century" w:cs="FrankRuehl"/>
          <w:spacing w:val="10"/>
          <w:szCs w:val="28"/>
          <w:rtl/>
        </w:rPr>
        <w:t>משפט</w:t>
      </w:r>
      <w:r>
        <w:rPr>
          <w:rFonts w:ascii="Century" w:hAnsi="Century" w:cs="FrankRuehl" w:hint="cs"/>
          <w:spacing w:val="10"/>
          <w:szCs w:val="28"/>
          <w:rtl/>
        </w:rPr>
        <w:t xml:space="preserve"> השלום היה מחמיר בעונשו של דרעי מעבר לעונש שעליו הסכימו הצדדים בהסדר הטיעון,</w:t>
      </w:r>
      <w:r w:rsidRPr="00C47608">
        <w:rPr>
          <w:rFonts w:ascii="Century" w:hAnsi="Century" w:cs="FrankRuehl"/>
          <w:spacing w:val="10"/>
          <w:szCs w:val="28"/>
          <w:rtl/>
        </w:rPr>
        <w:t xml:space="preserve"> </w:t>
      </w:r>
      <w:r>
        <w:rPr>
          <w:rFonts w:ascii="Century" w:hAnsi="Century" w:cs="FrankRuehl" w:hint="cs"/>
          <w:spacing w:val="10"/>
          <w:szCs w:val="28"/>
          <w:rtl/>
        </w:rPr>
        <w:t>אלמלא</w:t>
      </w:r>
      <w:r w:rsidRPr="00C47608">
        <w:rPr>
          <w:rFonts w:ascii="Century" w:hAnsi="Century" w:cs="FrankRuehl"/>
          <w:spacing w:val="10"/>
          <w:szCs w:val="28"/>
          <w:rtl/>
        </w:rPr>
        <w:t xml:space="preserve"> היה </w:t>
      </w:r>
      <w:r>
        <w:rPr>
          <w:rFonts w:ascii="Century" w:hAnsi="Century" w:cs="FrankRuehl" w:hint="cs"/>
          <w:spacing w:val="10"/>
          <w:szCs w:val="28"/>
          <w:rtl/>
        </w:rPr>
        <w:t>מצהיר על פרישה ממושכת</w:t>
      </w:r>
      <w:r w:rsidRPr="00C47608">
        <w:rPr>
          <w:rFonts w:ascii="Century" w:hAnsi="Century" w:cs="FrankRuehl"/>
          <w:spacing w:val="10"/>
          <w:szCs w:val="28"/>
          <w:rtl/>
        </w:rPr>
        <w:t xml:space="preserve"> מהחיים הפוליטיים. </w:t>
      </w:r>
      <w:r>
        <w:rPr>
          <w:rFonts w:ascii="Century" w:hAnsi="Century" w:cs="FrankRuehl" w:hint="cs"/>
          <w:spacing w:val="10"/>
          <w:szCs w:val="28"/>
          <w:rtl/>
        </w:rPr>
        <w:t xml:space="preserve">מאפייניו המיוחדים של מצב דברים זה מבטאים אפוא הפרה של חובת ההגינות של דרעי כלפי בתי המשפט, ולמעשה כלפי רשויות המדינה בכללותן, המונעת ממנו לפעול בניגוד למצג שהציג. למעשה, </w:t>
      </w:r>
      <w:r w:rsidRPr="00ED4F52">
        <w:rPr>
          <w:rFonts w:ascii="Century" w:hAnsi="Century" w:cs="FrankRuehl" w:hint="eastAsia"/>
          <w:spacing w:val="10"/>
          <w:szCs w:val="28"/>
          <w:rtl/>
        </w:rPr>
        <w:t>ענייננו</w:t>
      </w:r>
      <w:r>
        <w:rPr>
          <w:rFonts w:ascii="Century" w:hAnsi="Century" w:cs="FrankRuehl" w:hint="cs"/>
          <w:spacing w:val="10"/>
          <w:szCs w:val="28"/>
          <w:rtl/>
        </w:rPr>
        <w:t xml:space="preserve"> </w:t>
      </w:r>
      <w:r w:rsidRPr="00ED4F52">
        <w:rPr>
          <w:rFonts w:ascii="Century" w:hAnsi="Century" w:cs="FrankRuehl"/>
          <w:spacing w:val="10"/>
          <w:szCs w:val="28"/>
          <w:rtl/>
        </w:rPr>
        <w:t>הוא</w:t>
      </w:r>
      <w:r>
        <w:rPr>
          <w:rFonts w:ascii="Century" w:hAnsi="Century" w:cs="FrankRuehl" w:hint="cs"/>
          <w:spacing w:val="10"/>
          <w:szCs w:val="28"/>
          <w:rtl/>
        </w:rPr>
        <w:t xml:space="preserve"> </w:t>
      </w:r>
      <w:r w:rsidRPr="00ED4F52">
        <w:rPr>
          <w:rFonts w:ascii="Century" w:hAnsi="Century" w:cs="FrankRuehl"/>
          <w:spacing w:val="10"/>
          <w:szCs w:val="28"/>
          <w:rtl/>
        </w:rPr>
        <w:t>מקרה "גרעיני" של הפרת חובת הגינות מצד הפרט – חזרה ממצג ברור, שניתן כדי לקבל הטבה או הקלה במשפט פלילי, וזאת בסמ</w:t>
      </w:r>
      <w:r w:rsidRPr="00ED4F52">
        <w:rPr>
          <w:rFonts w:ascii="Century" w:hAnsi="Century" w:cs="FrankRuehl" w:hint="eastAsia"/>
          <w:spacing w:val="10"/>
          <w:szCs w:val="28"/>
          <w:rtl/>
        </w:rPr>
        <w:t>וך</w:t>
      </w:r>
      <w:r w:rsidRPr="00ED4F52">
        <w:rPr>
          <w:rFonts w:ascii="Century" w:hAnsi="Century" w:cs="FrankRuehl"/>
          <w:spacing w:val="10"/>
          <w:szCs w:val="28"/>
          <w:rtl/>
        </w:rPr>
        <w:t xml:space="preserve"> </w:t>
      </w:r>
      <w:r w:rsidRPr="00ED4F52">
        <w:rPr>
          <w:rFonts w:ascii="Century" w:hAnsi="Century" w:cs="FrankRuehl" w:hint="eastAsia"/>
          <w:spacing w:val="10"/>
          <w:szCs w:val="28"/>
          <w:rtl/>
        </w:rPr>
        <w:t>ל</w:t>
      </w:r>
      <w:r>
        <w:rPr>
          <w:rFonts w:ascii="Century" w:hAnsi="Century" w:cs="FrankRuehl" w:hint="cs"/>
          <w:spacing w:val="10"/>
          <w:szCs w:val="28"/>
          <w:rtl/>
        </w:rPr>
        <w:t xml:space="preserve">אחר </w:t>
      </w:r>
      <w:r w:rsidRPr="00ED4F52">
        <w:rPr>
          <w:rFonts w:ascii="Century" w:hAnsi="Century" w:cs="FrankRuehl" w:hint="eastAsia"/>
          <w:spacing w:val="10"/>
          <w:szCs w:val="28"/>
          <w:rtl/>
        </w:rPr>
        <w:t>סיומו</w:t>
      </w:r>
      <w:r w:rsidRPr="00ED4F52">
        <w:rPr>
          <w:rFonts w:ascii="Century" w:hAnsi="Century" w:cs="FrankRuehl"/>
          <w:spacing w:val="10"/>
          <w:szCs w:val="28"/>
          <w:rtl/>
        </w:rPr>
        <w:t xml:space="preserve"> </w:t>
      </w:r>
      <w:r w:rsidRPr="00ED4F52">
        <w:rPr>
          <w:rFonts w:ascii="Century" w:hAnsi="Century" w:cs="FrankRuehl" w:hint="eastAsia"/>
          <w:spacing w:val="10"/>
          <w:szCs w:val="28"/>
          <w:rtl/>
        </w:rPr>
        <w:t>של</w:t>
      </w:r>
      <w:r w:rsidRPr="00ED4F52">
        <w:rPr>
          <w:rFonts w:ascii="Century" w:hAnsi="Century" w:cs="FrankRuehl"/>
          <w:spacing w:val="10"/>
          <w:szCs w:val="28"/>
          <w:rtl/>
        </w:rPr>
        <w:t xml:space="preserve"> </w:t>
      </w:r>
      <w:r w:rsidRPr="00ED4F52">
        <w:rPr>
          <w:rFonts w:ascii="Century" w:hAnsi="Century" w:cs="FrankRuehl" w:hint="eastAsia"/>
          <w:spacing w:val="10"/>
          <w:szCs w:val="28"/>
          <w:rtl/>
        </w:rPr>
        <w:t>ההליך</w:t>
      </w:r>
      <w:r w:rsidRPr="00ED4F52">
        <w:rPr>
          <w:rFonts w:ascii="Century" w:hAnsi="Century" w:cs="FrankRuehl"/>
          <w:spacing w:val="10"/>
          <w:szCs w:val="28"/>
          <w:rtl/>
        </w:rPr>
        <w:t>.</w:t>
      </w:r>
      <w:r w:rsidRPr="000E28A0">
        <w:rPr>
          <w:rtl/>
        </w:rPr>
        <w:t xml:space="preserve"> </w:t>
      </w:r>
      <w:r>
        <w:rPr>
          <w:rFonts w:ascii="Century" w:hAnsi="Century" w:cs="FrankRuehl" w:hint="cs"/>
          <w:spacing w:val="10"/>
          <w:szCs w:val="28"/>
          <w:rtl/>
        </w:rPr>
        <w:t xml:space="preserve">לכל הפחות, הדברים הטילו על דרעי להסיר בזמן אמת את הרושם שדבריו יצרו, ואשר לשיטתו היה רושם מוטעה. </w:t>
      </w:r>
      <w:r w:rsidRPr="00ED4F52">
        <w:rPr>
          <w:rFonts w:ascii="Century" w:hAnsi="Century" w:cs="FrankRuehl" w:hint="eastAsia"/>
          <w:spacing w:val="10"/>
          <w:szCs w:val="28"/>
          <w:rtl/>
        </w:rPr>
        <w:t>אכן</w:t>
      </w:r>
      <w:r w:rsidRPr="00ED4F52">
        <w:rPr>
          <w:rFonts w:ascii="Century" w:hAnsi="Century" w:cs="FrankRuehl"/>
          <w:spacing w:val="10"/>
          <w:szCs w:val="28"/>
          <w:rtl/>
        </w:rPr>
        <w:t xml:space="preserve">, </w:t>
      </w:r>
      <w:r w:rsidRPr="00ED4F52">
        <w:rPr>
          <w:rFonts w:ascii="Century" w:hAnsi="Century" w:cs="FrankRuehl" w:hint="eastAsia"/>
          <w:spacing w:val="10"/>
          <w:szCs w:val="28"/>
          <w:rtl/>
        </w:rPr>
        <w:t>אילו</w:t>
      </w:r>
      <w:r w:rsidRPr="00ED4F52">
        <w:rPr>
          <w:rFonts w:ascii="Century" w:hAnsi="Century" w:cs="FrankRuehl"/>
          <w:spacing w:val="10"/>
          <w:szCs w:val="28"/>
          <w:rtl/>
        </w:rPr>
        <w:t xml:space="preserve"> </w:t>
      </w:r>
      <w:r w:rsidRPr="00ED4F52">
        <w:rPr>
          <w:rFonts w:ascii="Century" w:hAnsi="Century" w:cs="FrankRuehl" w:hint="eastAsia"/>
          <w:spacing w:val="10"/>
          <w:szCs w:val="28"/>
          <w:rtl/>
        </w:rPr>
        <w:t>עמדו</w:t>
      </w:r>
      <w:r w:rsidRPr="00ED4F52">
        <w:rPr>
          <w:rFonts w:ascii="Century" w:hAnsi="Century" w:cs="FrankRuehl"/>
          <w:spacing w:val="10"/>
          <w:szCs w:val="28"/>
          <w:rtl/>
        </w:rPr>
        <w:t xml:space="preserve"> </w:t>
      </w:r>
      <w:r w:rsidRPr="00ED4F52">
        <w:rPr>
          <w:rFonts w:ascii="Century" w:hAnsi="Century" w:cs="FrankRuehl" w:hint="eastAsia"/>
          <w:spacing w:val="10"/>
          <w:szCs w:val="28"/>
          <w:rtl/>
        </w:rPr>
        <w:t>דבריו</w:t>
      </w:r>
      <w:r w:rsidRPr="00ED4F52">
        <w:rPr>
          <w:rFonts w:ascii="Century" w:hAnsi="Century" w:cs="FrankRuehl"/>
          <w:spacing w:val="10"/>
          <w:szCs w:val="28"/>
          <w:rtl/>
        </w:rPr>
        <w:t xml:space="preserve"> </w:t>
      </w:r>
      <w:r w:rsidRPr="00ED4F52">
        <w:rPr>
          <w:rFonts w:ascii="Century" w:hAnsi="Century" w:cs="FrankRuehl" w:hint="eastAsia"/>
          <w:spacing w:val="10"/>
          <w:szCs w:val="28"/>
          <w:rtl/>
        </w:rPr>
        <w:t>של</w:t>
      </w:r>
      <w:r w:rsidRPr="00ED4F52">
        <w:rPr>
          <w:rFonts w:ascii="Century" w:hAnsi="Century" w:cs="FrankRuehl"/>
          <w:spacing w:val="10"/>
          <w:szCs w:val="28"/>
          <w:rtl/>
        </w:rPr>
        <w:t xml:space="preserve"> </w:t>
      </w:r>
      <w:r w:rsidRPr="00ED4F52">
        <w:rPr>
          <w:rFonts w:ascii="Century" w:hAnsi="Century" w:cs="FrankRuehl" w:hint="eastAsia"/>
          <w:spacing w:val="10"/>
          <w:szCs w:val="28"/>
          <w:rtl/>
        </w:rPr>
        <w:t>השופט</w:t>
      </w:r>
      <w:r w:rsidRPr="00ED4F52">
        <w:rPr>
          <w:rFonts w:ascii="Century" w:hAnsi="Century" w:cs="FrankRuehl"/>
          <w:spacing w:val="10"/>
          <w:szCs w:val="28"/>
          <w:rtl/>
        </w:rPr>
        <w:t xml:space="preserve"> </w:t>
      </w:r>
      <w:r w:rsidRPr="00ED4F52">
        <w:rPr>
          <w:rFonts w:ascii="Century" w:hAnsi="Century" w:cs="FrankRuehl" w:hint="eastAsia"/>
          <w:spacing w:val="10"/>
          <w:szCs w:val="28"/>
          <w:rtl/>
        </w:rPr>
        <w:t>בהליך</w:t>
      </w:r>
      <w:r w:rsidRPr="00ED4F52">
        <w:rPr>
          <w:rFonts w:ascii="Century" w:hAnsi="Century" w:cs="FrankRuehl"/>
          <w:spacing w:val="10"/>
          <w:szCs w:val="28"/>
          <w:rtl/>
        </w:rPr>
        <w:t xml:space="preserve"> </w:t>
      </w:r>
      <w:r w:rsidRPr="00ED4F52">
        <w:rPr>
          <w:rFonts w:ascii="Century" w:hAnsi="Century" w:cs="FrankRuehl" w:hint="eastAsia"/>
          <w:spacing w:val="10"/>
          <w:szCs w:val="28"/>
          <w:rtl/>
        </w:rPr>
        <w:t>הפלילי</w:t>
      </w:r>
      <w:r w:rsidRPr="00ED4F52">
        <w:rPr>
          <w:rFonts w:ascii="Century" w:hAnsi="Century" w:cs="FrankRuehl"/>
          <w:spacing w:val="10"/>
          <w:szCs w:val="28"/>
          <w:rtl/>
        </w:rPr>
        <w:t xml:space="preserve"> </w:t>
      </w:r>
      <w:r w:rsidRPr="00ED4F52">
        <w:rPr>
          <w:rFonts w:ascii="Century" w:hAnsi="Century" w:cs="FrankRuehl" w:hint="eastAsia"/>
          <w:spacing w:val="10"/>
          <w:szCs w:val="28"/>
          <w:rtl/>
        </w:rPr>
        <w:t>לבדם</w:t>
      </w:r>
      <w:r w:rsidRPr="00ED4F52">
        <w:rPr>
          <w:rFonts w:ascii="Century" w:hAnsi="Century" w:cs="FrankRuehl"/>
          <w:spacing w:val="10"/>
          <w:szCs w:val="28"/>
          <w:rtl/>
        </w:rPr>
        <w:t xml:space="preserve">, </w:t>
      </w:r>
      <w:r w:rsidRPr="00ED4F52">
        <w:rPr>
          <w:rFonts w:ascii="Century" w:hAnsi="Century" w:cs="FrankRuehl" w:hint="eastAsia"/>
          <w:spacing w:val="10"/>
          <w:szCs w:val="28"/>
          <w:rtl/>
        </w:rPr>
        <w:t>ניתן</w:t>
      </w:r>
      <w:r w:rsidRPr="00ED4F52">
        <w:rPr>
          <w:rFonts w:ascii="Century" w:hAnsi="Century" w:cs="FrankRuehl"/>
          <w:spacing w:val="10"/>
          <w:szCs w:val="28"/>
          <w:rtl/>
        </w:rPr>
        <w:t xml:space="preserve"> </w:t>
      </w:r>
      <w:r w:rsidRPr="00ED4F52">
        <w:rPr>
          <w:rFonts w:ascii="Century" w:hAnsi="Century" w:cs="FrankRuehl" w:hint="eastAsia"/>
          <w:spacing w:val="10"/>
          <w:szCs w:val="28"/>
          <w:rtl/>
        </w:rPr>
        <w:t>היה</w:t>
      </w:r>
      <w:r w:rsidRPr="00ED4F52">
        <w:rPr>
          <w:rFonts w:ascii="Century" w:hAnsi="Century" w:cs="FrankRuehl"/>
          <w:spacing w:val="10"/>
          <w:szCs w:val="28"/>
          <w:rtl/>
        </w:rPr>
        <w:t xml:space="preserve"> </w:t>
      </w:r>
      <w:r w:rsidRPr="00ED4F52">
        <w:rPr>
          <w:rFonts w:ascii="Century" w:hAnsi="Century" w:cs="FrankRuehl" w:hint="eastAsia"/>
          <w:spacing w:val="10"/>
          <w:szCs w:val="28"/>
          <w:rtl/>
        </w:rPr>
        <w:t>לומר</w:t>
      </w:r>
      <w:r w:rsidRPr="00ED4F52">
        <w:rPr>
          <w:rFonts w:ascii="Century" w:hAnsi="Century" w:cs="FrankRuehl"/>
          <w:spacing w:val="10"/>
          <w:szCs w:val="28"/>
          <w:rtl/>
        </w:rPr>
        <w:t xml:space="preserve"> </w:t>
      </w:r>
      <w:r w:rsidRPr="00ED4F52">
        <w:rPr>
          <w:rFonts w:ascii="Century" w:hAnsi="Century" w:cs="FrankRuehl" w:hint="eastAsia"/>
          <w:spacing w:val="10"/>
          <w:szCs w:val="28"/>
          <w:rtl/>
        </w:rPr>
        <w:t>כי</w:t>
      </w:r>
      <w:r w:rsidRPr="00ED4F52">
        <w:rPr>
          <w:rFonts w:ascii="Century" w:hAnsi="Century" w:cs="FrankRuehl"/>
          <w:spacing w:val="10"/>
          <w:szCs w:val="28"/>
          <w:rtl/>
        </w:rPr>
        <w:t xml:space="preserve"> </w:t>
      </w:r>
      <w:r w:rsidRPr="00ED4F52">
        <w:rPr>
          <w:rFonts w:ascii="Century" w:hAnsi="Century" w:cs="FrankRuehl" w:hint="eastAsia"/>
          <w:spacing w:val="10"/>
          <w:szCs w:val="28"/>
          <w:rtl/>
        </w:rPr>
        <w:t>הם</w:t>
      </w:r>
      <w:r w:rsidRPr="00ED4F52">
        <w:rPr>
          <w:rFonts w:ascii="Century" w:hAnsi="Century" w:cs="FrankRuehl"/>
          <w:spacing w:val="10"/>
          <w:szCs w:val="28"/>
          <w:rtl/>
        </w:rPr>
        <w:t xml:space="preserve"> </w:t>
      </w:r>
      <w:r w:rsidRPr="00ED4F52">
        <w:rPr>
          <w:rFonts w:ascii="Century" w:hAnsi="Century" w:cs="FrankRuehl" w:hint="eastAsia"/>
          <w:spacing w:val="10"/>
          <w:szCs w:val="28"/>
          <w:rtl/>
        </w:rPr>
        <w:t>נאמרו</w:t>
      </w:r>
      <w:r w:rsidRPr="00ED4F52">
        <w:rPr>
          <w:rFonts w:ascii="Century" w:hAnsi="Century" w:cs="FrankRuehl"/>
          <w:spacing w:val="10"/>
          <w:szCs w:val="28"/>
          <w:rtl/>
        </w:rPr>
        <w:t xml:space="preserve"> </w:t>
      </w:r>
      <w:r w:rsidRPr="00ED4F52">
        <w:rPr>
          <w:rFonts w:ascii="Century" w:hAnsi="Century" w:cs="FrankRuehl" w:hint="eastAsia"/>
          <w:spacing w:val="10"/>
          <w:szCs w:val="28"/>
          <w:rtl/>
        </w:rPr>
        <w:t>על</w:t>
      </w:r>
      <w:r w:rsidRPr="00ED4F52">
        <w:rPr>
          <w:rFonts w:ascii="Century" w:hAnsi="Century" w:cs="FrankRuehl"/>
          <w:spacing w:val="10"/>
          <w:szCs w:val="28"/>
          <w:rtl/>
        </w:rPr>
        <w:t xml:space="preserve"> </w:t>
      </w:r>
      <w:r w:rsidRPr="00ED4F52">
        <w:rPr>
          <w:rFonts w:ascii="Century" w:hAnsi="Century" w:cs="FrankRuehl" w:hint="eastAsia"/>
          <w:spacing w:val="10"/>
          <w:szCs w:val="28"/>
          <w:rtl/>
        </w:rPr>
        <w:t>דעתו</w:t>
      </w:r>
      <w:r w:rsidRPr="00ED4F52">
        <w:rPr>
          <w:rFonts w:ascii="Century" w:hAnsi="Century" w:cs="FrankRuehl"/>
          <w:spacing w:val="10"/>
          <w:szCs w:val="28"/>
          <w:rtl/>
        </w:rPr>
        <w:t xml:space="preserve"> </w:t>
      </w:r>
      <w:r w:rsidRPr="00ED4F52">
        <w:rPr>
          <w:rFonts w:ascii="Century" w:hAnsi="Century" w:cs="FrankRuehl" w:hint="eastAsia"/>
          <w:spacing w:val="10"/>
          <w:szCs w:val="28"/>
          <w:rtl/>
        </w:rPr>
        <w:t>בלבד</w:t>
      </w:r>
      <w:r w:rsidRPr="00ED4F52">
        <w:rPr>
          <w:rFonts w:ascii="Century" w:hAnsi="Century" w:cs="FrankRuehl"/>
          <w:spacing w:val="10"/>
          <w:szCs w:val="28"/>
          <w:rtl/>
        </w:rPr>
        <w:t xml:space="preserve">. </w:t>
      </w:r>
      <w:r w:rsidRPr="00ED4F52">
        <w:rPr>
          <w:rFonts w:ascii="Century" w:hAnsi="Century" w:cs="FrankRuehl" w:hint="eastAsia"/>
          <w:spacing w:val="10"/>
          <w:szCs w:val="28"/>
          <w:rtl/>
        </w:rPr>
        <w:t>אולם</w:t>
      </w:r>
      <w:r w:rsidRPr="00ED4F52">
        <w:rPr>
          <w:rFonts w:ascii="Century" w:hAnsi="Century" w:cs="FrankRuehl"/>
          <w:spacing w:val="10"/>
          <w:szCs w:val="28"/>
          <w:rtl/>
        </w:rPr>
        <w:t xml:space="preserve">, </w:t>
      </w:r>
      <w:r w:rsidRPr="00ED4F52">
        <w:rPr>
          <w:rFonts w:ascii="Century" w:hAnsi="Century" w:cs="FrankRuehl" w:hint="eastAsia"/>
          <w:spacing w:val="10"/>
          <w:szCs w:val="28"/>
          <w:rtl/>
        </w:rPr>
        <w:t>כפי</w:t>
      </w:r>
      <w:r w:rsidRPr="00ED4F52">
        <w:rPr>
          <w:rFonts w:ascii="Century" w:hAnsi="Century" w:cs="FrankRuehl"/>
          <w:spacing w:val="10"/>
          <w:szCs w:val="28"/>
          <w:rtl/>
        </w:rPr>
        <w:t xml:space="preserve"> </w:t>
      </w:r>
      <w:r w:rsidRPr="00ED4F52">
        <w:rPr>
          <w:rFonts w:ascii="Century" w:hAnsi="Century" w:cs="FrankRuehl" w:hint="eastAsia"/>
          <w:spacing w:val="10"/>
          <w:szCs w:val="28"/>
          <w:rtl/>
        </w:rPr>
        <w:t>שהראיתי</w:t>
      </w:r>
      <w:r w:rsidRPr="00ED4F52">
        <w:rPr>
          <w:rFonts w:ascii="Century" w:hAnsi="Century" w:cs="FrankRuehl"/>
          <w:spacing w:val="10"/>
          <w:szCs w:val="28"/>
          <w:rtl/>
        </w:rPr>
        <w:t xml:space="preserve">, </w:t>
      </w:r>
      <w:r w:rsidRPr="00ED4F52">
        <w:rPr>
          <w:rFonts w:ascii="Century" w:hAnsi="Century" w:cs="FrankRuehl" w:hint="eastAsia"/>
          <w:spacing w:val="10"/>
          <w:szCs w:val="28"/>
          <w:rtl/>
        </w:rPr>
        <w:t>הדברים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לא</w:t>
      </w:r>
      <w:r w:rsidRPr="00ED4F52">
        <w:rPr>
          <w:rFonts w:ascii="Century" w:hAnsi="Century" w:cs="FrankRuehl"/>
          <w:spacing w:val="10"/>
          <w:szCs w:val="28"/>
          <w:rtl/>
        </w:rPr>
        <w:t xml:space="preserve"> </w:t>
      </w:r>
      <w:r w:rsidRPr="00ED4F52">
        <w:rPr>
          <w:rFonts w:ascii="Century" w:hAnsi="Century" w:cs="FrankRuehl" w:hint="eastAsia"/>
          <w:spacing w:val="10"/>
          <w:szCs w:val="28"/>
          <w:rtl/>
        </w:rPr>
        <w:t>היו</w:t>
      </w:r>
      <w:r w:rsidRPr="00ED4F52">
        <w:rPr>
          <w:rFonts w:ascii="Century" w:hAnsi="Century" w:cs="FrankRuehl"/>
          <w:spacing w:val="10"/>
          <w:szCs w:val="28"/>
          <w:rtl/>
        </w:rPr>
        <w:t xml:space="preserve"> </w:t>
      </w:r>
      <w:r w:rsidRPr="00ED4F52">
        <w:rPr>
          <w:rFonts w:ascii="Century" w:hAnsi="Century" w:cs="FrankRuehl" w:hint="eastAsia"/>
          <w:spacing w:val="10"/>
          <w:szCs w:val="28"/>
          <w:rtl/>
        </w:rPr>
        <w:t>קלוטים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מן</w:t>
      </w:r>
      <w:r w:rsidRPr="00ED4F52">
        <w:rPr>
          <w:rFonts w:ascii="Century" w:hAnsi="Century" w:cs="FrankRuehl"/>
          <w:spacing w:val="10"/>
          <w:szCs w:val="28"/>
          <w:rtl/>
        </w:rPr>
        <w:t xml:space="preserve"> </w:t>
      </w:r>
      <w:r w:rsidRPr="00ED4F52">
        <w:rPr>
          <w:rFonts w:ascii="Century" w:hAnsi="Century" w:cs="FrankRuehl" w:hint="eastAsia"/>
          <w:spacing w:val="10"/>
          <w:szCs w:val="28"/>
          <w:rtl/>
        </w:rPr>
        <w:t>האוויר</w:t>
      </w:r>
      <w:r w:rsidRPr="00ED4F52">
        <w:rPr>
          <w:rFonts w:ascii="Century" w:hAnsi="Century" w:cs="FrankRuehl"/>
          <w:spacing w:val="10"/>
          <w:szCs w:val="28"/>
          <w:rtl/>
        </w:rPr>
        <w:t xml:space="preserve">. </w:t>
      </w:r>
      <w:r w:rsidRPr="00ED4F52">
        <w:rPr>
          <w:rFonts w:ascii="Century" w:hAnsi="Century" w:cs="FrankRuehl" w:hint="eastAsia"/>
          <w:spacing w:val="10"/>
          <w:szCs w:val="28"/>
          <w:rtl/>
        </w:rPr>
        <w:t>הם</w:t>
      </w:r>
      <w:r w:rsidRPr="00ED4F52">
        <w:rPr>
          <w:rFonts w:ascii="Century" w:hAnsi="Century" w:cs="FrankRuehl"/>
          <w:spacing w:val="10"/>
          <w:szCs w:val="28"/>
          <w:rtl/>
        </w:rPr>
        <w:t xml:space="preserve"> </w:t>
      </w:r>
      <w:r w:rsidRPr="00ED4F52">
        <w:rPr>
          <w:rFonts w:ascii="Century" w:hAnsi="Century" w:cs="FrankRuehl" w:hint="eastAsia"/>
          <w:spacing w:val="10"/>
          <w:szCs w:val="28"/>
          <w:rtl/>
        </w:rPr>
        <w:t>מבוססים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על</w:t>
      </w:r>
      <w:r w:rsidRPr="00ED4F52">
        <w:rPr>
          <w:rFonts w:ascii="Century" w:hAnsi="Century" w:cs="FrankRuehl"/>
          <w:spacing w:val="10"/>
          <w:szCs w:val="28"/>
          <w:rtl/>
        </w:rPr>
        <w:t xml:space="preserve"> </w:t>
      </w:r>
      <w:r w:rsidRPr="00ED4F52">
        <w:rPr>
          <w:rFonts w:ascii="Century" w:hAnsi="Century" w:cs="FrankRuehl" w:hint="eastAsia"/>
          <w:spacing w:val="10"/>
          <w:szCs w:val="28"/>
          <w:rtl/>
        </w:rPr>
        <w:t>מצגים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מפורשים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שהוצגו</w:t>
      </w:r>
      <w:r w:rsidRPr="00ED4F52">
        <w:rPr>
          <w:rFonts w:ascii="Century" w:hAnsi="Century" w:cs="FrankRuehl"/>
          <w:spacing w:val="10"/>
          <w:szCs w:val="28"/>
          <w:rtl/>
        </w:rPr>
        <w:t xml:space="preserve"> </w:t>
      </w:r>
      <w:r w:rsidRPr="00ED4F52">
        <w:rPr>
          <w:rFonts w:ascii="Century" w:hAnsi="Century" w:cs="FrankRuehl" w:hint="eastAsia"/>
          <w:spacing w:val="10"/>
          <w:szCs w:val="28"/>
          <w:rtl/>
        </w:rPr>
        <w:t>לבית</w:t>
      </w:r>
      <w:r w:rsidRPr="00ED4F52">
        <w:rPr>
          <w:rFonts w:ascii="Century" w:hAnsi="Century" w:cs="FrankRuehl"/>
          <w:spacing w:val="10"/>
          <w:szCs w:val="28"/>
          <w:rtl/>
        </w:rPr>
        <w:t xml:space="preserve"> </w:t>
      </w:r>
      <w:r w:rsidRPr="00ED4F52">
        <w:rPr>
          <w:rFonts w:ascii="Century" w:hAnsi="Century" w:cs="FrankRuehl" w:hint="eastAsia"/>
          <w:spacing w:val="10"/>
          <w:szCs w:val="28"/>
          <w:rtl/>
        </w:rPr>
        <w:t>המשפט</w:t>
      </w:r>
      <w:r w:rsidRPr="00ED4F52">
        <w:rPr>
          <w:rFonts w:ascii="Century" w:hAnsi="Century" w:cs="FrankRuehl"/>
          <w:spacing w:val="10"/>
          <w:szCs w:val="28"/>
          <w:rtl/>
        </w:rPr>
        <w:t xml:space="preserve"> </w:t>
      </w:r>
      <w:r w:rsidRPr="00ED4F52">
        <w:rPr>
          <w:rFonts w:ascii="Century" w:hAnsi="Century" w:cs="FrankRuehl" w:hint="eastAsia"/>
          <w:spacing w:val="10"/>
          <w:szCs w:val="28"/>
          <w:rtl/>
        </w:rPr>
        <w:t>ונועדו</w:t>
      </w:r>
      <w:r w:rsidRPr="00ED4F52">
        <w:rPr>
          <w:rFonts w:ascii="Century" w:hAnsi="Century" w:cs="FrankRuehl"/>
          <w:spacing w:val="10"/>
          <w:szCs w:val="28"/>
          <w:rtl/>
        </w:rPr>
        <w:t xml:space="preserve"> </w:t>
      </w:r>
      <w:r w:rsidRPr="00ED4F52">
        <w:rPr>
          <w:rFonts w:ascii="Century" w:hAnsi="Century" w:cs="FrankRuehl" w:hint="eastAsia"/>
          <w:spacing w:val="10"/>
          <w:szCs w:val="28"/>
          <w:rtl/>
        </w:rPr>
        <w:t>לשכנעו</w:t>
      </w:r>
      <w:r w:rsidRPr="00ED4F52">
        <w:rPr>
          <w:rFonts w:ascii="Century" w:hAnsi="Century" w:cs="FrankRuehl"/>
          <w:spacing w:val="10"/>
          <w:szCs w:val="28"/>
          <w:rtl/>
        </w:rPr>
        <w:t xml:space="preserve"> </w:t>
      </w:r>
      <w:r>
        <w:rPr>
          <w:rFonts w:ascii="Century" w:hAnsi="Century" w:cs="FrankRuehl" w:hint="cs"/>
          <w:spacing w:val="10"/>
          <w:szCs w:val="28"/>
          <w:rtl/>
        </w:rPr>
        <w:t xml:space="preserve">כי </w:t>
      </w:r>
      <w:r w:rsidRPr="00ED4F52">
        <w:rPr>
          <w:rFonts w:ascii="Century" w:hAnsi="Century" w:cs="FrankRuehl" w:hint="eastAsia"/>
          <w:spacing w:val="10"/>
          <w:szCs w:val="28"/>
          <w:rtl/>
        </w:rPr>
        <w:t>הסדר</w:t>
      </w:r>
      <w:r w:rsidRPr="00ED4F52">
        <w:rPr>
          <w:rFonts w:ascii="Century" w:hAnsi="Century" w:cs="FrankRuehl"/>
          <w:spacing w:val="10"/>
          <w:szCs w:val="28"/>
          <w:rtl/>
        </w:rPr>
        <w:t xml:space="preserve"> </w:t>
      </w:r>
      <w:r w:rsidRPr="00ED4F52">
        <w:rPr>
          <w:rFonts w:ascii="Century" w:hAnsi="Century" w:cs="FrankRuehl" w:hint="eastAsia"/>
          <w:spacing w:val="10"/>
          <w:szCs w:val="28"/>
          <w:rtl/>
        </w:rPr>
        <w:t>הטיעון</w:t>
      </w:r>
      <w:r w:rsidRPr="00ED4F52">
        <w:rPr>
          <w:rFonts w:ascii="Century" w:hAnsi="Century" w:cs="FrankRuehl"/>
          <w:spacing w:val="10"/>
          <w:szCs w:val="28"/>
          <w:rtl/>
        </w:rPr>
        <w:t xml:space="preserve"> </w:t>
      </w:r>
      <w:r w:rsidRPr="00ED4F52">
        <w:rPr>
          <w:rFonts w:ascii="Century" w:hAnsi="Century" w:cs="FrankRuehl" w:hint="eastAsia"/>
          <w:spacing w:val="10"/>
          <w:szCs w:val="28"/>
          <w:rtl/>
        </w:rPr>
        <w:t>הוא</w:t>
      </w:r>
      <w:r w:rsidRPr="00ED4F52">
        <w:rPr>
          <w:rFonts w:ascii="Century" w:hAnsi="Century" w:cs="FrankRuehl"/>
          <w:spacing w:val="10"/>
          <w:szCs w:val="28"/>
          <w:rtl/>
        </w:rPr>
        <w:t xml:space="preserve"> </w:t>
      </w:r>
      <w:r w:rsidRPr="00ED4F52">
        <w:rPr>
          <w:rFonts w:ascii="Century" w:hAnsi="Century" w:cs="FrankRuehl" w:hint="eastAsia"/>
          <w:spacing w:val="10"/>
          <w:szCs w:val="28"/>
          <w:rtl/>
        </w:rPr>
        <w:t>ראוי</w:t>
      </w:r>
      <w:r w:rsidRPr="00ED4F52">
        <w:rPr>
          <w:rFonts w:ascii="Century" w:hAnsi="Century" w:cs="FrankRuehl"/>
          <w:spacing w:val="10"/>
          <w:szCs w:val="28"/>
          <w:rtl/>
        </w:rPr>
        <w:t xml:space="preserve">. </w:t>
      </w:r>
      <w:r>
        <w:rPr>
          <w:rFonts w:ascii="Century" w:hAnsi="Century" w:cs="FrankRuehl" w:hint="cs"/>
          <w:spacing w:val="10"/>
          <w:szCs w:val="28"/>
          <w:rtl/>
        </w:rPr>
        <w:t xml:space="preserve">ואמנם, במישור המעשי, דרעי ובא-כוחו הצליחו בכך, לפחות במובן זה שבית המשפט אכן גזר עליו את העונש שעליו הוסכם במסגרת הסדר הטיעון. </w:t>
      </w:r>
    </w:p>
    <w:p w14:paraId="2BF042A2" w14:textId="77777777" w:rsidR="00437A63" w:rsidRPr="004163AC" w:rsidRDefault="00437A63" w:rsidP="00437A63">
      <w:pPr>
        <w:pStyle w:val="af0"/>
        <w:spacing w:line="360" w:lineRule="auto"/>
        <w:ind w:left="0"/>
        <w:jc w:val="both"/>
        <w:rPr>
          <w:rFonts w:ascii="Century" w:hAnsi="Century" w:cs="FrankRuehl"/>
          <w:spacing w:val="10"/>
          <w:szCs w:val="28"/>
          <w:rtl/>
        </w:rPr>
      </w:pPr>
    </w:p>
    <w:p w14:paraId="3B38F8C0" w14:textId="77777777" w:rsidR="00437A63" w:rsidRPr="004B1E65" w:rsidRDefault="00437A63" w:rsidP="00437A63">
      <w:pPr>
        <w:pStyle w:val="Ruller41"/>
        <w:rPr>
          <w:rFonts w:eastAsia="Calibri" w:cs="Arial TUR"/>
          <w:rtl/>
        </w:rPr>
      </w:pPr>
      <w:r>
        <w:rPr>
          <w:rFonts w:ascii="Century" w:hAnsi="Century" w:hint="cs"/>
          <w:rtl/>
        </w:rPr>
        <w:t>30.</w:t>
      </w:r>
      <w:r>
        <w:rPr>
          <w:rFonts w:ascii="Century" w:hAnsi="Century" w:hint="cs"/>
          <w:rtl/>
        </w:rPr>
        <w:tab/>
        <w:t xml:space="preserve">לבסוף, יש אף להביא בחשבון בענייננו את התנהלותו הדיונית של דרעי לאחר גזירת דינו. במסגרת ההליך דנן ציין בא-כוחו של דרעי בהגינותו, הן בכתב והן בעל פה, כי אכן, ולו בדיעבד, ניתן להבין כי גזר דינו של בית משפט השלום מבטא "אי הבנה" </w:t>
      </w:r>
      <w:proofErr w:type="spellStart"/>
      <w:r>
        <w:rPr>
          <w:rFonts w:ascii="Century" w:hAnsi="Century" w:hint="cs"/>
          <w:rtl/>
        </w:rPr>
        <w:t>ו"</w:t>
      </w:r>
      <w:r w:rsidRPr="00E376C2">
        <w:rPr>
          <w:rFonts w:ascii="FrankRuehl" w:eastAsia="Calibri" w:hAnsi="FrankRuehl"/>
          <w:sz w:val="28"/>
          <w:rtl/>
        </w:rPr>
        <w:t>קֶצֶר</w:t>
      </w:r>
      <w:proofErr w:type="spellEnd"/>
      <w:r>
        <w:rPr>
          <w:rFonts w:ascii="Century" w:hAnsi="Century" w:hint="cs"/>
          <w:rtl/>
        </w:rPr>
        <w:t xml:space="preserve">", על רקע התנסחות "לא מוצלחת". לנוכח הבהרה זו צפה ועולה התהייה </w:t>
      </w:r>
      <w:r>
        <w:rPr>
          <w:rFonts w:ascii="Century" w:hAnsi="Century"/>
          <w:rtl/>
        </w:rPr>
        <w:t>–</w:t>
      </w:r>
      <w:r>
        <w:rPr>
          <w:rFonts w:ascii="Century" w:hAnsi="Century" w:hint="cs"/>
          <w:rtl/>
        </w:rPr>
        <w:t xml:space="preserve"> ככל שאכן לא התכוון דרעי לפרוש מהחיים הציבוריים, מדוע לא מצא לנכון להעמיד את בית משפט השלום על טעותו, אם במעמד של שימוע גזר הדין בבית משפט השלום, ואם בשלב מאוחר יותר לאחר שהתאפשר להם לעיין בגזר הדין במלואו. הדברים מקבלים משנה תוקף בשים לב לאותן הפעולות שכן ננקטו על-ידו מיד לאחר מתן גזר הדין: הכרזה מפורשת לתקשורת ולציבור על כוונתו הנחרצת לשוב ולהתמודד, כמה שיותר מהר, בבחירות הקרובות לכנסת בשאיפה לכהן כשר בממשלה </w:t>
      </w:r>
      <w:r>
        <w:rPr>
          <w:rFonts w:ascii="Century" w:hAnsi="Century"/>
          <w:rtl/>
        </w:rPr>
        <w:t>–</w:t>
      </w:r>
      <w:r>
        <w:rPr>
          <w:rFonts w:ascii="Century" w:hAnsi="Century" w:hint="cs"/>
          <w:rtl/>
        </w:rPr>
        <w:t xml:space="preserve"> הבהרה חד משמעית, אשר מסיבות שלא ניתן להן הסבר של ממש, נעדרה מדבריו של דרעי בבית משפט השלום רק זמן קצר קודם לכן. הפער המשמעותי באופן שבו בחר דרעי להציג את הדברים </w:t>
      </w:r>
      <w:r>
        <w:rPr>
          <w:rFonts w:ascii="Century" w:hAnsi="Century"/>
          <w:rtl/>
        </w:rPr>
        <w:t>–</w:t>
      </w:r>
      <w:r>
        <w:rPr>
          <w:rFonts w:ascii="Century" w:hAnsi="Century" w:hint="cs"/>
          <w:rtl/>
        </w:rPr>
        <w:t xml:space="preserve"> בבית </w:t>
      </w:r>
      <w:r>
        <w:rPr>
          <w:rFonts w:ascii="Century" w:hAnsi="Century" w:hint="cs"/>
          <w:rtl/>
        </w:rPr>
        <w:lastRenderedPageBreak/>
        <w:t>משפט השלום ובמסיבת העיתונאים למחרת מתן גזר הדין – הוא אפוא מהותי ובולט ונובע מבחירתו שלו.</w:t>
      </w:r>
      <w:r w:rsidRPr="00014369">
        <w:rPr>
          <w:rFonts w:ascii="Century" w:hAnsi="Century" w:hint="cs"/>
          <w:rtl/>
        </w:rPr>
        <w:t xml:space="preserve"> </w:t>
      </w:r>
      <w:r>
        <w:rPr>
          <w:rFonts w:ascii="Century" w:hAnsi="Century" w:hint="cs"/>
          <w:rtl/>
        </w:rPr>
        <w:t>כפי שציינה חברתי הנשיאה, הדברים אף מעוררים תהיות קשות לגבי ניקיון כפיו של דרעי בהליך שהתנהל בעניינו. על רקע זה, ההפרה של חובת ההגינות זועקת.</w:t>
      </w:r>
    </w:p>
    <w:p w14:paraId="13ABA48F" w14:textId="77777777" w:rsidR="00437A63" w:rsidRDefault="00437A63" w:rsidP="00437A63">
      <w:pPr>
        <w:pStyle w:val="af0"/>
        <w:spacing w:line="360" w:lineRule="auto"/>
        <w:ind w:left="0"/>
        <w:jc w:val="both"/>
        <w:rPr>
          <w:rFonts w:ascii="Century" w:hAnsi="Century" w:cs="FrankRuehl"/>
          <w:spacing w:val="10"/>
          <w:szCs w:val="28"/>
          <w:rtl/>
        </w:rPr>
      </w:pPr>
    </w:p>
    <w:p w14:paraId="3AD4CE60"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31.</w:t>
      </w:r>
      <w:r>
        <w:rPr>
          <w:rFonts w:ascii="Century" w:hAnsi="Century" w:cs="FrankRuehl" w:hint="cs"/>
          <w:spacing w:val="10"/>
          <w:szCs w:val="28"/>
          <w:rtl/>
        </w:rPr>
        <w:tab/>
        <w:t>לסיכום הדברים, נוכח ה</w:t>
      </w:r>
      <w:r w:rsidRPr="000D390B">
        <w:rPr>
          <w:rFonts w:ascii="Century" w:hAnsi="Century" w:cs="FrankRuehl" w:hint="eastAsia"/>
          <w:spacing w:val="10"/>
          <w:szCs w:val="28"/>
          <w:rtl/>
        </w:rPr>
        <w:t>השתלשלות</w:t>
      </w:r>
      <w:r w:rsidRPr="000D390B">
        <w:rPr>
          <w:rFonts w:ascii="Century" w:hAnsi="Century" w:cs="FrankRuehl"/>
          <w:spacing w:val="10"/>
          <w:szCs w:val="28"/>
          <w:rtl/>
        </w:rPr>
        <w:t xml:space="preserve"> העובדתית </w:t>
      </w:r>
      <w:r>
        <w:rPr>
          <w:rFonts w:ascii="Century" w:hAnsi="Century" w:cs="FrankRuehl" w:hint="cs"/>
          <w:spacing w:val="10"/>
          <w:szCs w:val="28"/>
          <w:rtl/>
        </w:rPr>
        <w:t>ש</w:t>
      </w:r>
      <w:r w:rsidRPr="000D390B">
        <w:rPr>
          <w:rFonts w:ascii="Century" w:hAnsi="Century" w:cs="FrankRuehl"/>
          <w:spacing w:val="10"/>
          <w:szCs w:val="28"/>
          <w:rtl/>
        </w:rPr>
        <w:t xml:space="preserve">עליה עמדתי לעיל, אני סבורה כי </w:t>
      </w:r>
      <w:r w:rsidRPr="000D390B">
        <w:rPr>
          <w:rFonts w:ascii="Century" w:hAnsi="Century" w:cs="FrankRuehl" w:hint="eastAsia"/>
          <w:spacing w:val="10"/>
          <w:szCs w:val="28"/>
          <w:rtl/>
        </w:rPr>
        <w:t>נסיבות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העניין</w:t>
      </w:r>
      <w:r w:rsidRPr="000D390B">
        <w:rPr>
          <w:rFonts w:ascii="Century" w:hAnsi="Century" w:cs="FrankRuehl"/>
          <w:spacing w:val="10"/>
          <w:szCs w:val="28"/>
          <w:rtl/>
        </w:rPr>
        <w:t xml:space="preserve"> ש</w:t>
      </w:r>
      <w:r w:rsidRPr="000D390B">
        <w:rPr>
          <w:rFonts w:ascii="Century" w:hAnsi="Century" w:cs="FrankRuehl" w:hint="eastAsia"/>
          <w:spacing w:val="10"/>
          <w:szCs w:val="28"/>
          <w:rtl/>
        </w:rPr>
        <w:t>בפנינו</w:t>
      </w:r>
      <w:r w:rsidRPr="000D390B">
        <w:rPr>
          <w:rFonts w:ascii="Century" w:hAnsi="Century" w:cs="FrankRuehl"/>
          <w:spacing w:val="10"/>
          <w:szCs w:val="28"/>
          <w:rtl/>
        </w:rPr>
        <w:t xml:space="preserve"> נופל</w:t>
      </w:r>
      <w:r w:rsidRPr="000D390B">
        <w:rPr>
          <w:rFonts w:ascii="Century" w:hAnsi="Century" w:cs="FrankRuehl" w:hint="eastAsia"/>
          <w:spacing w:val="10"/>
          <w:szCs w:val="28"/>
          <w:rtl/>
        </w:rPr>
        <w:t>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באופן</w:t>
      </w:r>
      <w:r w:rsidRPr="000D390B">
        <w:rPr>
          <w:rFonts w:ascii="Century" w:hAnsi="Century" w:cs="FrankRuehl"/>
          <w:spacing w:val="10"/>
          <w:szCs w:val="28"/>
          <w:rtl/>
        </w:rPr>
        <w:t xml:space="preserve"> מובהק לגדר תחולתו של עקרון </w:t>
      </w:r>
      <w:r w:rsidRPr="000D390B">
        <w:rPr>
          <w:rFonts w:ascii="Century" w:hAnsi="Century" w:cs="FrankRuehl" w:hint="eastAsia"/>
          <w:spacing w:val="10"/>
          <w:szCs w:val="28"/>
          <w:rtl/>
        </w:rPr>
        <w:t>ההשתק</w:t>
      </w:r>
      <w:r w:rsidRPr="000D390B">
        <w:rPr>
          <w:rFonts w:ascii="Century" w:hAnsi="Century" w:cs="FrankRuehl"/>
          <w:spacing w:val="10"/>
          <w:szCs w:val="28"/>
          <w:rtl/>
        </w:rPr>
        <w:t>,</w:t>
      </w:r>
      <w:r>
        <w:rPr>
          <w:rFonts w:ascii="Century" w:hAnsi="Century" w:cs="FrankRuehl" w:hint="cs"/>
          <w:spacing w:val="10"/>
          <w:szCs w:val="28"/>
          <w:rtl/>
        </w:rPr>
        <w:t xml:space="preserve"> הנגזר במקרה דנן מחובת ההגינות כלפי הרשויות. המשמעות המעשית של הדברים היא יצירת </w:t>
      </w:r>
      <w:r w:rsidRPr="00ED4F52">
        <w:rPr>
          <w:rFonts w:ascii="Century" w:hAnsi="Century" w:cs="FrankRuehl" w:hint="eastAsia"/>
          <w:spacing w:val="10"/>
          <w:szCs w:val="28"/>
          <w:rtl/>
        </w:rPr>
        <w:t>מניעות</w:t>
      </w:r>
      <w:r w:rsidRPr="00ED4F52">
        <w:rPr>
          <w:rFonts w:ascii="Century" w:hAnsi="Century" w:cs="FrankRuehl"/>
          <w:spacing w:val="10"/>
          <w:szCs w:val="28"/>
          <w:rtl/>
        </w:rPr>
        <w:t xml:space="preserve"> משפטית</w:t>
      </w:r>
      <w:r>
        <w:rPr>
          <w:rFonts w:ascii="Century" w:hAnsi="Century" w:cs="FrankRuehl" w:hint="cs"/>
          <w:spacing w:val="10"/>
          <w:szCs w:val="28"/>
          <w:rtl/>
        </w:rPr>
        <w:t xml:space="preserve"> לכהונה של דרעי בתפקיד ציבורי פורמלי</w:t>
      </w:r>
      <w:r w:rsidRPr="00ED4F52">
        <w:rPr>
          <w:rFonts w:ascii="Century" w:hAnsi="Century" w:cs="FrankRuehl"/>
          <w:spacing w:val="10"/>
          <w:szCs w:val="28"/>
          <w:rtl/>
        </w:rPr>
        <w:t xml:space="preserve">. </w:t>
      </w:r>
      <w:r w:rsidRPr="00ED4F52">
        <w:rPr>
          <w:rFonts w:ascii="Century" w:hAnsi="Century" w:cs="FrankRuehl" w:hint="eastAsia"/>
          <w:spacing w:val="10"/>
          <w:szCs w:val="28"/>
          <w:rtl/>
        </w:rPr>
        <w:t>כמוסבר</w:t>
      </w:r>
      <w:r w:rsidRPr="00ED4F52">
        <w:rPr>
          <w:rFonts w:ascii="Century" w:hAnsi="Century" w:cs="FrankRuehl"/>
          <w:spacing w:val="10"/>
          <w:szCs w:val="28"/>
          <w:rtl/>
        </w:rPr>
        <w:t xml:space="preserve"> </w:t>
      </w:r>
      <w:r w:rsidRPr="00ED4F52">
        <w:rPr>
          <w:rFonts w:ascii="Century" w:hAnsi="Century" w:cs="FrankRuehl" w:hint="eastAsia"/>
          <w:spacing w:val="10"/>
          <w:szCs w:val="28"/>
          <w:rtl/>
        </w:rPr>
        <w:t>להלן</w:t>
      </w:r>
      <w:r w:rsidRPr="00ED4F52">
        <w:rPr>
          <w:rFonts w:ascii="Century" w:hAnsi="Century" w:cs="FrankRuehl"/>
          <w:spacing w:val="10"/>
          <w:szCs w:val="28"/>
          <w:rtl/>
        </w:rPr>
        <w:t xml:space="preserve">, </w:t>
      </w:r>
      <w:r w:rsidRPr="00ED4F52">
        <w:rPr>
          <w:rFonts w:ascii="Century" w:hAnsi="Century" w:cs="FrankRuehl" w:hint="eastAsia"/>
          <w:spacing w:val="10"/>
          <w:szCs w:val="28"/>
          <w:rtl/>
        </w:rPr>
        <w:t>בשלב</w:t>
      </w:r>
      <w:r w:rsidRPr="00ED4F52">
        <w:rPr>
          <w:rFonts w:ascii="Century" w:hAnsi="Century" w:cs="FrankRuehl"/>
          <w:spacing w:val="10"/>
          <w:szCs w:val="28"/>
          <w:rtl/>
        </w:rPr>
        <w:t xml:space="preserve"> </w:t>
      </w:r>
      <w:r w:rsidRPr="00ED4F52">
        <w:rPr>
          <w:rFonts w:ascii="Century" w:hAnsi="Century" w:cs="FrankRuehl" w:hint="eastAsia"/>
          <w:spacing w:val="10"/>
          <w:szCs w:val="28"/>
          <w:rtl/>
        </w:rPr>
        <w:t>זה</w:t>
      </w:r>
      <w:r w:rsidRPr="00ED4F52">
        <w:rPr>
          <w:rFonts w:ascii="Century" w:hAnsi="Century" w:cs="FrankRuehl"/>
          <w:spacing w:val="10"/>
          <w:szCs w:val="28"/>
          <w:rtl/>
        </w:rPr>
        <w:t xml:space="preserve"> </w:t>
      </w:r>
      <w:r>
        <w:rPr>
          <w:rFonts w:ascii="Century" w:hAnsi="Century" w:cs="FrankRuehl" w:hint="cs"/>
          <w:spacing w:val="10"/>
          <w:szCs w:val="28"/>
          <w:rtl/>
        </w:rPr>
        <w:t xml:space="preserve">דרעי מנוע </w:t>
      </w:r>
      <w:r w:rsidRPr="00ED4F52">
        <w:rPr>
          <w:rFonts w:ascii="Century" w:hAnsi="Century" w:cs="FrankRuehl" w:hint="eastAsia"/>
          <w:spacing w:val="10"/>
          <w:szCs w:val="28"/>
          <w:rtl/>
        </w:rPr>
        <w:t>מלהתכחש</w:t>
      </w:r>
      <w:r w:rsidRPr="00ED4F52">
        <w:rPr>
          <w:rFonts w:ascii="Century" w:hAnsi="Century" w:cs="FrankRuehl"/>
          <w:spacing w:val="10"/>
          <w:szCs w:val="28"/>
          <w:rtl/>
        </w:rPr>
        <w:t xml:space="preserve"> </w:t>
      </w:r>
      <w:r w:rsidRPr="00ED4F52">
        <w:rPr>
          <w:rFonts w:ascii="Century" w:hAnsi="Century" w:cs="FrankRuehl" w:hint="eastAsia"/>
          <w:spacing w:val="10"/>
          <w:szCs w:val="28"/>
          <w:rtl/>
        </w:rPr>
        <w:t>למצג</w:t>
      </w:r>
      <w:r w:rsidRPr="00ED4F52">
        <w:rPr>
          <w:rFonts w:ascii="Century" w:hAnsi="Century" w:cs="FrankRuehl"/>
          <w:spacing w:val="10"/>
          <w:szCs w:val="28"/>
          <w:rtl/>
        </w:rPr>
        <w:t xml:space="preserve"> </w:t>
      </w:r>
      <w:r w:rsidRPr="00ED4F52">
        <w:rPr>
          <w:rFonts w:ascii="Century" w:hAnsi="Century" w:cs="FrankRuehl" w:hint="eastAsia"/>
          <w:spacing w:val="10"/>
          <w:szCs w:val="28"/>
          <w:rtl/>
        </w:rPr>
        <w:t>שיצר</w:t>
      </w:r>
      <w:r w:rsidRPr="00ED4F52">
        <w:rPr>
          <w:rFonts w:ascii="Century" w:hAnsi="Century" w:cs="FrankRuehl"/>
          <w:spacing w:val="10"/>
          <w:szCs w:val="28"/>
          <w:rtl/>
        </w:rPr>
        <w:t xml:space="preserve"> </w:t>
      </w:r>
      <w:r w:rsidRPr="00ED4F52">
        <w:rPr>
          <w:rFonts w:ascii="Century" w:hAnsi="Century" w:cs="FrankRuehl" w:hint="eastAsia"/>
          <w:spacing w:val="10"/>
          <w:szCs w:val="28"/>
          <w:rtl/>
        </w:rPr>
        <w:t>בהתנהלותו</w:t>
      </w:r>
      <w:r>
        <w:rPr>
          <w:rFonts w:ascii="Century" w:hAnsi="Century" w:cs="FrankRuehl" w:hint="cs"/>
          <w:spacing w:val="10"/>
          <w:szCs w:val="28"/>
          <w:rtl/>
        </w:rPr>
        <w:t xml:space="preserve"> ולפעול בניגוד אליו</w:t>
      </w:r>
      <w:r w:rsidRPr="00ED4F52">
        <w:rPr>
          <w:rFonts w:ascii="Century" w:hAnsi="Century" w:cs="FrankRuehl"/>
          <w:spacing w:val="10"/>
          <w:szCs w:val="28"/>
          <w:rtl/>
        </w:rPr>
        <w:t xml:space="preserve">, </w:t>
      </w:r>
      <w:r w:rsidRPr="00ED4F52">
        <w:rPr>
          <w:rFonts w:ascii="Century" w:hAnsi="Century" w:cs="FrankRuehl" w:hint="eastAsia"/>
          <w:spacing w:val="10"/>
          <w:szCs w:val="28"/>
          <w:rtl/>
        </w:rPr>
        <w:t>דהיינו</w:t>
      </w:r>
      <w:r w:rsidRPr="00ED4F52">
        <w:rPr>
          <w:rFonts w:ascii="Century" w:hAnsi="Century" w:cs="FrankRuehl"/>
          <w:spacing w:val="10"/>
          <w:szCs w:val="28"/>
          <w:rtl/>
        </w:rPr>
        <w:t xml:space="preserve"> </w:t>
      </w:r>
      <w:r w:rsidRPr="00ED4F52">
        <w:rPr>
          <w:rFonts w:ascii="Century" w:hAnsi="Century" w:cs="FrankRuehl" w:hint="eastAsia"/>
          <w:spacing w:val="10"/>
          <w:szCs w:val="28"/>
          <w:rtl/>
        </w:rPr>
        <w:t>לכך</w:t>
      </w:r>
      <w:r w:rsidRPr="00ED4F52">
        <w:rPr>
          <w:rFonts w:ascii="Century" w:hAnsi="Century" w:cs="FrankRuehl"/>
          <w:spacing w:val="10"/>
          <w:szCs w:val="28"/>
          <w:rtl/>
        </w:rPr>
        <w:t xml:space="preserve"> </w:t>
      </w:r>
      <w:r w:rsidRPr="00ED4F52">
        <w:rPr>
          <w:rFonts w:ascii="Century" w:hAnsi="Century" w:cs="FrankRuehl" w:hint="eastAsia"/>
          <w:spacing w:val="10"/>
          <w:szCs w:val="28"/>
          <w:rtl/>
        </w:rPr>
        <w:t>שלא</w:t>
      </w:r>
      <w:r w:rsidRPr="00ED4F52">
        <w:rPr>
          <w:rFonts w:ascii="Century" w:hAnsi="Century" w:cs="FrankRuehl"/>
          <w:spacing w:val="10"/>
          <w:szCs w:val="28"/>
          <w:rtl/>
        </w:rPr>
        <w:t xml:space="preserve"> </w:t>
      </w:r>
      <w:r w:rsidRPr="00ED4F52">
        <w:rPr>
          <w:rFonts w:ascii="Century" w:hAnsi="Century" w:cs="FrankRuehl" w:hint="eastAsia"/>
          <w:spacing w:val="10"/>
          <w:szCs w:val="28"/>
          <w:rtl/>
        </w:rPr>
        <w:t>ייטול</w:t>
      </w:r>
      <w:r w:rsidRPr="00ED4F52">
        <w:rPr>
          <w:rFonts w:ascii="Century" w:hAnsi="Century" w:cs="FrankRuehl"/>
          <w:spacing w:val="10"/>
          <w:szCs w:val="28"/>
          <w:rtl/>
        </w:rPr>
        <w:t xml:space="preserve"> </w:t>
      </w:r>
      <w:r w:rsidRPr="00ED4F52">
        <w:rPr>
          <w:rFonts w:ascii="Century" w:hAnsi="Century" w:cs="FrankRuehl" w:hint="eastAsia"/>
          <w:spacing w:val="10"/>
          <w:szCs w:val="28"/>
          <w:rtl/>
        </w:rPr>
        <w:t>על</w:t>
      </w:r>
      <w:r w:rsidRPr="00ED4F52">
        <w:rPr>
          <w:rFonts w:ascii="Century" w:hAnsi="Century" w:cs="FrankRuehl"/>
          <w:spacing w:val="10"/>
          <w:szCs w:val="28"/>
          <w:rtl/>
        </w:rPr>
        <w:t xml:space="preserve"> </w:t>
      </w:r>
      <w:r w:rsidRPr="00ED4F52">
        <w:rPr>
          <w:rFonts w:ascii="Century" w:hAnsi="Century" w:cs="FrankRuehl" w:hint="eastAsia"/>
          <w:spacing w:val="10"/>
          <w:szCs w:val="28"/>
          <w:rtl/>
        </w:rPr>
        <w:t>עצמו</w:t>
      </w:r>
      <w:r w:rsidRPr="00ED4F52">
        <w:rPr>
          <w:rFonts w:ascii="Century" w:hAnsi="Century" w:cs="FrankRuehl"/>
          <w:spacing w:val="10"/>
          <w:szCs w:val="28"/>
          <w:rtl/>
        </w:rPr>
        <w:t xml:space="preserve"> </w:t>
      </w:r>
      <w:r w:rsidRPr="00ED4F52">
        <w:rPr>
          <w:rFonts w:ascii="Century" w:hAnsi="Century" w:cs="FrankRuehl" w:hint="eastAsia"/>
          <w:spacing w:val="10"/>
          <w:szCs w:val="28"/>
          <w:rtl/>
        </w:rPr>
        <w:t>כהונה</w:t>
      </w:r>
      <w:r w:rsidRPr="00ED4F52">
        <w:rPr>
          <w:rFonts w:ascii="Century" w:hAnsi="Century" w:cs="FrankRuehl"/>
          <w:spacing w:val="10"/>
          <w:szCs w:val="28"/>
          <w:rtl/>
        </w:rPr>
        <w:t xml:space="preserve"> </w:t>
      </w:r>
      <w:r w:rsidRPr="00ED4F52">
        <w:rPr>
          <w:rFonts w:ascii="Century" w:hAnsi="Century" w:cs="FrankRuehl" w:hint="eastAsia"/>
          <w:spacing w:val="10"/>
          <w:szCs w:val="28"/>
          <w:rtl/>
        </w:rPr>
        <w:t>בתפקידים</w:t>
      </w:r>
      <w:r w:rsidRPr="00ED4F52">
        <w:rPr>
          <w:rFonts w:ascii="Century" w:hAnsi="Century" w:cs="FrankRuehl"/>
          <w:spacing w:val="10"/>
          <w:szCs w:val="28"/>
          <w:rtl/>
        </w:rPr>
        <w:t xml:space="preserve"> </w:t>
      </w:r>
      <w:r w:rsidRPr="00ED4F52">
        <w:rPr>
          <w:rFonts w:ascii="Century" w:hAnsi="Century" w:cs="FrankRuehl" w:hint="eastAsia"/>
          <w:spacing w:val="10"/>
          <w:szCs w:val="28"/>
          <w:rtl/>
        </w:rPr>
        <w:t>ב</w:t>
      </w:r>
      <w:r w:rsidRPr="00A35C52">
        <w:rPr>
          <w:rFonts w:ascii="Century" w:hAnsi="Century" w:cs="FrankRuehl" w:hint="cs"/>
          <w:spacing w:val="10"/>
          <w:szCs w:val="28"/>
          <w:rtl/>
        </w:rPr>
        <w:t>זירה הציבורית, להבדיל</w:t>
      </w:r>
      <w:r w:rsidRPr="00ED4F52">
        <w:rPr>
          <w:rFonts w:ascii="Century" w:hAnsi="Century" w:cs="FrankRuehl"/>
          <w:spacing w:val="10"/>
          <w:szCs w:val="28"/>
          <w:rtl/>
        </w:rPr>
        <w:t xml:space="preserve"> כאמור </w:t>
      </w:r>
      <w:r w:rsidRPr="00ED4F52">
        <w:rPr>
          <w:rFonts w:ascii="Century" w:hAnsi="Century" w:cs="FrankRuehl" w:hint="eastAsia"/>
          <w:spacing w:val="10"/>
          <w:szCs w:val="28"/>
          <w:rtl/>
        </w:rPr>
        <w:t>מאשר</w:t>
      </w:r>
      <w:r w:rsidRPr="00ED4F52">
        <w:rPr>
          <w:rFonts w:ascii="Century" w:hAnsi="Century" w:cs="FrankRuehl"/>
          <w:spacing w:val="10"/>
          <w:szCs w:val="28"/>
          <w:rtl/>
        </w:rPr>
        <w:t xml:space="preserve"> "להמשיך </w:t>
      </w:r>
      <w:r w:rsidRPr="00ED4F52">
        <w:rPr>
          <w:rFonts w:ascii="Century" w:hAnsi="Century" w:cs="FrankRuehl" w:hint="eastAsia"/>
          <w:spacing w:val="10"/>
          <w:szCs w:val="28"/>
          <w:rtl/>
        </w:rPr>
        <w:t>לייצג</w:t>
      </w:r>
      <w:r w:rsidRPr="00ED4F52">
        <w:rPr>
          <w:rFonts w:ascii="Century" w:hAnsi="Century" w:cs="FrankRuehl"/>
          <w:spacing w:val="10"/>
          <w:szCs w:val="28"/>
          <w:rtl/>
        </w:rPr>
        <w:t xml:space="preserve"> </w:t>
      </w:r>
      <w:r w:rsidRPr="00ED4F52">
        <w:rPr>
          <w:rFonts w:ascii="Century" w:hAnsi="Century" w:cs="FrankRuehl" w:hint="eastAsia"/>
          <w:spacing w:val="10"/>
          <w:szCs w:val="28"/>
          <w:rtl/>
        </w:rPr>
        <w:t>את</w:t>
      </w:r>
      <w:r w:rsidRPr="00ED4F52">
        <w:rPr>
          <w:rFonts w:ascii="Century" w:hAnsi="Century" w:cs="FrankRuehl"/>
          <w:spacing w:val="10"/>
          <w:szCs w:val="28"/>
          <w:rtl/>
        </w:rPr>
        <w:t xml:space="preserve"> </w:t>
      </w:r>
      <w:r w:rsidRPr="00ED4F52">
        <w:rPr>
          <w:rFonts w:ascii="Century" w:hAnsi="Century" w:cs="FrankRuehl" w:hint="eastAsia"/>
          <w:spacing w:val="10"/>
          <w:szCs w:val="28"/>
          <w:rtl/>
        </w:rPr>
        <w:t>הציבור</w:t>
      </w:r>
      <w:r w:rsidRPr="00ED4F52">
        <w:rPr>
          <w:rFonts w:ascii="Century" w:hAnsi="Century" w:cs="FrankRuehl"/>
          <w:spacing w:val="10"/>
          <w:szCs w:val="28"/>
          <w:rtl/>
        </w:rPr>
        <w:t>...</w:t>
      </w:r>
      <w:r>
        <w:rPr>
          <w:rFonts w:ascii="Century" w:hAnsi="Century" w:cs="FrankRuehl" w:hint="cs"/>
          <w:spacing w:val="10"/>
          <w:szCs w:val="28"/>
          <w:rtl/>
        </w:rPr>
        <w:t xml:space="preserve"> </w:t>
      </w:r>
      <w:r w:rsidRPr="00ED4F52">
        <w:rPr>
          <w:rFonts w:ascii="Century" w:hAnsi="Century" w:cs="FrankRuehl" w:hint="eastAsia"/>
          <w:spacing w:val="10"/>
          <w:szCs w:val="28"/>
          <w:rtl/>
        </w:rPr>
        <w:t>בצורה</w:t>
      </w:r>
      <w:r w:rsidRPr="00ED4F52">
        <w:rPr>
          <w:rFonts w:ascii="Century" w:hAnsi="Century" w:cs="FrankRuehl"/>
          <w:spacing w:val="10"/>
          <w:szCs w:val="28"/>
          <w:rtl/>
        </w:rPr>
        <w:t xml:space="preserve"> </w:t>
      </w:r>
      <w:r w:rsidRPr="00ED4F52">
        <w:rPr>
          <w:rFonts w:ascii="Century" w:hAnsi="Century" w:cs="FrankRuehl" w:hint="eastAsia"/>
          <w:spacing w:val="10"/>
          <w:szCs w:val="28"/>
          <w:rtl/>
        </w:rPr>
        <w:t>אחרת</w:t>
      </w:r>
      <w:r w:rsidRPr="00ED4F52">
        <w:rPr>
          <w:rFonts w:ascii="Century" w:hAnsi="Century" w:cs="FrankRuehl"/>
          <w:spacing w:val="10"/>
          <w:szCs w:val="28"/>
          <w:rtl/>
        </w:rPr>
        <w:t xml:space="preserve">, </w:t>
      </w:r>
      <w:r w:rsidRPr="00ED4F52">
        <w:rPr>
          <w:rFonts w:ascii="Century" w:hAnsi="Century" w:cs="FrankRuehl" w:hint="eastAsia"/>
          <w:spacing w:val="10"/>
          <w:szCs w:val="28"/>
          <w:rtl/>
        </w:rPr>
        <w:t>גם</w:t>
      </w:r>
      <w:r w:rsidRPr="00ED4F52">
        <w:rPr>
          <w:rFonts w:ascii="Century" w:hAnsi="Century" w:cs="FrankRuehl"/>
          <w:spacing w:val="10"/>
          <w:szCs w:val="28"/>
          <w:rtl/>
        </w:rPr>
        <w:t xml:space="preserve"> </w:t>
      </w:r>
      <w:r w:rsidRPr="00ED4F52">
        <w:rPr>
          <w:rFonts w:ascii="Century" w:hAnsi="Century" w:cs="FrankRuehl" w:hint="eastAsia"/>
          <w:spacing w:val="10"/>
          <w:szCs w:val="28"/>
          <w:rtl/>
        </w:rPr>
        <w:t>אם</w:t>
      </w:r>
      <w:r w:rsidRPr="00ED4F52">
        <w:rPr>
          <w:rFonts w:ascii="Century" w:hAnsi="Century" w:cs="FrankRuehl"/>
          <w:spacing w:val="10"/>
          <w:szCs w:val="28"/>
          <w:rtl/>
        </w:rPr>
        <w:t xml:space="preserve"> </w:t>
      </w:r>
      <w:r w:rsidRPr="00ED4F52">
        <w:rPr>
          <w:rFonts w:ascii="Century" w:hAnsi="Century" w:cs="FrankRuehl" w:hint="eastAsia"/>
          <w:spacing w:val="10"/>
          <w:szCs w:val="28"/>
          <w:rtl/>
        </w:rPr>
        <w:t>לא</w:t>
      </w:r>
      <w:r w:rsidRPr="00ED4F52">
        <w:rPr>
          <w:rFonts w:ascii="Century" w:hAnsi="Century" w:cs="FrankRuehl"/>
          <w:spacing w:val="10"/>
          <w:szCs w:val="28"/>
          <w:rtl/>
        </w:rPr>
        <w:t xml:space="preserve"> </w:t>
      </w:r>
      <w:r w:rsidRPr="00ED4F52">
        <w:rPr>
          <w:rFonts w:ascii="Century" w:hAnsi="Century" w:cs="FrankRuehl" w:hint="eastAsia"/>
          <w:spacing w:val="10"/>
          <w:szCs w:val="28"/>
          <w:rtl/>
        </w:rPr>
        <w:t>מהכנסת</w:t>
      </w:r>
      <w:r w:rsidRPr="00ED4F52">
        <w:rPr>
          <w:rFonts w:ascii="Century" w:hAnsi="Century" w:cs="FrankRuehl"/>
          <w:spacing w:val="10"/>
          <w:szCs w:val="28"/>
          <w:rtl/>
        </w:rPr>
        <w:t xml:space="preserve">". </w:t>
      </w:r>
      <w:r>
        <w:rPr>
          <w:rFonts w:ascii="Century" w:hAnsi="Century" w:cs="FrankRuehl" w:hint="cs"/>
          <w:spacing w:val="10"/>
          <w:szCs w:val="28"/>
          <w:rtl/>
        </w:rPr>
        <w:t xml:space="preserve">אם כן, אני סבורה כי בעת הנוכחית דרעי מנוע מלפעול בניגוד למצג זה. </w:t>
      </w:r>
    </w:p>
    <w:p w14:paraId="10FE1D35" w14:textId="77777777" w:rsidR="00437A63" w:rsidRDefault="00437A63" w:rsidP="00437A63">
      <w:pPr>
        <w:pStyle w:val="af0"/>
        <w:spacing w:line="360" w:lineRule="auto"/>
        <w:ind w:left="0"/>
        <w:jc w:val="both"/>
        <w:rPr>
          <w:rFonts w:ascii="Century" w:hAnsi="Century" w:cs="FrankRuehl"/>
          <w:spacing w:val="10"/>
          <w:szCs w:val="28"/>
          <w:rtl/>
        </w:rPr>
      </w:pPr>
    </w:p>
    <w:p w14:paraId="7FB3360B"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 xml:space="preserve">32. </w:t>
      </w:r>
      <w:r>
        <w:rPr>
          <w:rFonts w:ascii="Century" w:hAnsi="Century" w:cs="FrankRuehl"/>
          <w:spacing w:val="10"/>
          <w:szCs w:val="28"/>
          <w:rtl/>
        </w:rPr>
        <w:tab/>
      </w:r>
      <w:r>
        <w:rPr>
          <w:rFonts w:ascii="Century" w:hAnsi="Century" w:cs="FrankRuehl" w:hint="cs"/>
          <w:spacing w:val="10"/>
          <w:szCs w:val="28"/>
          <w:rtl/>
        </w:rPr>
        <w:t xml:space="preserve">בשלב זה, יכולה הייתה להתעורר השאלה מה היה ההיקף המדויק של המצגים מצדו של דרעי. כאמור, בא-כוחו חזר וטען בפנינו כי אין להלום פרשנות לפיה ההצהרה נסבה על פרישה שהיא "לצמיתות". על כך אשיב כי אף אם הייתי מקבלת טענה זו, אין משמעות הדברים שניתן לקבל פרשנות לפיה משכה של הפרישה היה קצר ביותר, עד כדי בלתי קיים כמעט (כפי שארע לכאורה בפועל מהתנהגותו של דרעי). כאמור, ממהלך הדברים ניתן היה לקבל תמונה ברורה כי הצהרותיו של דרעי שיקפו מחויבות אישית לפרישה ממושכת מכהונה ציבורית בכנסת ובממשלה, אף כי לא ננקבה בהן תקופת זמן מסוימת. </w:t>
      </w:r>
    </w:p>
    <w:p w14:paraId="192D4241" w14:textId="77777777" w:rsidR="00437A63" w:rsidRDefault="00437A63" w:rsidP="00437A63">
      <w:pPr>
        <w:pStyle w:val="af0"/>
        <w:spacing w:line="360" w:lineRule="auto"/>
        <w:ind w:left="0"/>
        <w:jc w:val="both"/>
        <w:rPr>
          <w:rFonts w:ascii="Century" w:hAnsi="Century" w:cs="FrankRuehl"/>
          <w:spacing w:val="10"/>
          <w:szCs w:val="28"/>
          <w:rtl/>
        </w:rPr>
      </w:pPr>
    </w:p>
    <w:p w14:paraId="78536DA2"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 xml:space="preserve">33. </w:t>
      </w:r>
      <w:r>
        <w:rPr>
          <w:rFonts w:ascii="Century" w:hAnsi="Century" w:cs="FrankRuehl"/>
          <w:spacing w:val="10"/>
          <w:szCs w:val="28"/>
          <w:rtl/>
        </w:rPr>
        <w:tab/>
      </w:r>
      <w:r>
        <w:rPr>
          <w:rFonts w:ascii="Century" w:hAnsi="Century" w:cs="FrankRuehl" w:hint="cs"/>
          <w:spacing w:val="10"/>
          <w:szCs w:val="28"/>
          <w:rtl/>
        </w:rPr>
        <w:t xml:space="preserve">אכן, ככל שהדברים מתייחסים להתבטאויותיו של דרעי עצמו כפשוטן, דומה שאלו התייחסו לתקופת זמן לא קצובה, בבחינת יתרת הזמן שנותרה לו כמנהיג ציבור. לאמיתו של דבר, יש יסוד לסברה לפיה בית משפט השלום אף הבין את הצהרותיו של דרעי ובא-כוחו ככאלו המלמדות על פרישה מן החיים הפוליטיים לצמיתות (כפי שמציינת גם חברתי הנשיאה בפסקה 70 לפסק דינה). מנגד, ייתכן שיש לתת משקל לניסיון החיים, שהוא גם ניסיון המשפט, המלמד כי מעטות הן ההתחייבויות שניתנות ללא מגבלת זמן. על רקע זה, לכאורה, אפשר לשקול כאן מספר פרשנויות מתחרות באשר לתוכנן של ההצהרות: פרישה לצמיתות כאמור; פרישה למשך שבע שנים (פרק הזמן הסטטוטורי לאי-כשירות למשרת שר במקרה של הרשעה שלצדה עונש מאסר לפי סעיף 6 לחוק יסוד: הממשלה כנוסחו במועד גזר הדין, בכפוף לקביעה אחרת של יושב ראש ועדת הבחירות המרכזית בשאלת הקלון); או למצער </w:t>
      </w:r>
      <w:r>
        <w:rPr>
          <w:rFonts w:ascii="Century" w:hAnsi="Century" w:cs="FrankRuehl"/>
          <w:spacing w:val="10"/>
          <w:szCs w:val="28"/>
          <w:rtl/>
        </w:rPr>
        <w:t>–</w:t>
      </w:r>
      <w:r>
        <w:rPr>
          <w:rFonts w:ascii="Century" w:hAnsi="Century" w:cs="FrankRuehl"/>
          <w:spacing w:val="10"/>
          <w:szCs w:val="28"/>
        </w:rPr>
        <w:t xml:space="preserve"> </w:t>
      </w:r>
      <w:r>
        <w:rPr>
          <w:rFonts w:ascii="Century" w:hAnsi="Century" w:cs="FrankRuehl" w:hint="cs"/>
          <w:spacing w:val="10"/>
          <w:szCs w:val="28"/>
          <w:rtl/>
        </w:rPr>
        <w:t xml:space="preserve">וזו החלופה המקלה ביותר </w:t>
      </w:r>
      <w:r>
        <w:rPr>
          <w:rFonts w:ascii="Century" w:hAnsi="Century" w:cs="FrankRuehl"/>
          <w:spacing w:val="10"/>
          <w:szCs w:val="28"/>
          <w:rtl/>
        </w:rPr>
        <w:t>–</w:t>
      </w:r>
      <w:r>
        <w:rPr>
          <w:rFonts w:ascii="Century" w:hAnsi="Century" w:cs="FrankRuehl" w:hint="cs"/>
          <w:spacing w:val="10"/>
          <w:szCs w:val="28"/>
          <w:rtl/>
        </w:rPr>
        <w:t xml:space="preserve"> </w:t>
      </w:r>
      <w:r>
        <w:rPr>
          <w:rFonts w:ascii="Century" w:hAnsi="Century" w:cs="FrankRuehl" w:hint="cs"/>
          <w:spacing w:val="10"/>
          <w:szCs w:val="28"/>
          <w:rtl/>
        </w:rPr>
        <w:lastRenderedPageBreak/>
        <w:t xml:space="preserve">פרישה למשך יתרת תקופת כהונתה הסטטוטורית של הכנסת ה-24 שממנה פרש, שבעת גזר הדין עמדה על שלוש שנים וחצי נוספות לערך (דהיינו ככל שהייתה ממלאת את ימיה כדין בהתאם להוראות סעיפים 8 ו-9 לחוק יסוד: הכנסת). </w:t>
      </w:r>
    </w:p>
    <w:p w14:paraId="33A1DEA2" w14:textId="77777777" w:rsidR="00437A63" w:rsidRDefault="00437A63" w:rsidP="00437A63">
      <w:pPr>
        <w:pStyle w:val="af0"/>
        <w:spacing w:line="360" w:lineRule="auto"/>
        <w:ind w:left="0"/>
        <w:jc w:val="both"/>
        <w:rPr>
          <w:rFonts w:ascii="Century" w:hAnsi="Century" w:cs="FrankRuehl"/>
          <w:spacing w:val="10"/>
          <w:szCs w:val="28"/>
          <w:rtl/>
        </w:rPr>
      </w:pPr>
    </w:p>
    <w:p w14:paraId="63E6AD37"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34.</w:t>
      </w:r>
      <w:r>
        <w:rPr>
          <w:rFonts w:ascii="Century" w:hAnsi="Century" w:cs="FrankRuehl"/>
          <w:spacing w:val="10"/>
          <w:szCs w:val="28"/>
          <w:rtl/>
        </w:rPr>
        <w:tab/>
      </w:r>
      <w:r>
        <w:rPr>
          <w:rFonts w:ascii="Century" w:hAnsi="Century" w:cs="FrankRuehl" w:hint="cs"/>
          <w:spacing w:val="10"/>
          <w:szCs w:val="28"/>
          <w:rtl/>
        </w:rPr>
        <w:t xml:space="preserve">בנסיבות העניין, כאשר הצדדים לא התייחסו בטיעוניהם לשאלה זו במישרין, וכן מאחר שממילא העתירות מכוונת לביטול מינויו של דרעי בעת הזו, אינני סבורה שאנו נדרשים להכריע בין חלופות אלה. לצורך קבלת העתירה די לי בכך שהמצג שיצר דרעי בבית משפט השלום שיקף, ברמה המינימלית, מחויבות לפרישה ממושכת מהחיים הפוליטיים למשך יתרת כהונתה המלאה של הכנסת הקודמת, ככל שהייתה משלימה את ימיה כדין. יוער, כי לעמדה זו יש אף עיגון בטענותיו של דרעי עצמו בהליך הנוכחי. כך, בטיעוניו בכתב, ציין בפנינו דרעי כי "במועד הטיעונים לעונש... </w:t>
      </w:r>
      <w:r w:rsidRPr="00D95B9D">
        <w:rPr>
          <w:rFonts w:ascii="Century" w:hAnsi="Century" w:cs="Miriam" w:hint="eastAsia"/>
          <w:b/>
          <w:rtl/>
        </w:rPr>
        <w:t>איש</w:t>
      </w:r>
      <w:r w:rsidRPr="00D95B9D">
        <w:rPr>
          <w:rFonts w:ascii="Century" w:hAnsi="Century" w:cs="Miriam"/>
          <w:b/>
          <w:rtl/>
        </w:rPr>
        <w:t xml:space="preserve"> </w:t>
      </w:r>
      <w:r w:rsidRPr="00D95B9D">
        <w:rPr>
          <w:rFonts w:ascii="Century" w:hAnsi="Century" w:cs="Miriam" w:hint="eastAsia"/>
          <w:b/>
          <w:rtl/>
        </w:rPr>
        <w:t>לא</w:t>
      </w:r>
      <w:r w:rsidRPr="00D95B9D">
        <w:rPr>
          <w:rFonts w:ascii="Century" w:hAnsi="Century" w:cs="Miriam"/>
          <w:b/>
          <w:rtl/>
        </w:rPr>
        <w:t xml:space="preserve"> </w:t>
      </w:r>
      <w:r w:rsidRPr="00D95B9D">
        <w:rPr>
          <w:rFonts w:ascii="Century" w:hAnsi="Century" w:cs="Miriam" w:hint="eastAsia"/>
          <w:b/>
          <w:rtl/>
        </w:rPr>
        <w:t>צפה</w:t>
      </w:r>
      <w:r w:rsidRPr="001A4368">
        <w:rPr>
          <w:rFonts w:ascii="Century" w:hAnsi="Century" w:cs="FrankRuehl" w:hint="cs"/>
          <w:spacing w:val="10"/>
          <w:szCs w:val="28"/>
          <w:rtl/>
        </w:rPr>
        <w:t xml:space="preserve"> </w:t>
      </w:r>
      <w:r>
        <w:rPr>
          <w:rFonts w:ascii="Century" w:hAnsi="Century" w:cs="FrankRuehl" w:hint="cs"/>
          <w:spacing w:val="10"/>
          <w:szCs w:val="28"/>
          <w:rtl/>
        </w:rPr>
        <w:t xml:space="preserve">תוחלת חיים כה קצרה לממשלת בנט-לפיד, </w:t>
      </w:r>
      <w:r w:rsidRPr="00D95B9D">
        <w:rPr>
          <w:rFonts w:ascii="Century" w:hAnsi="Century" w:cs="Miriam" w:hint="eastAsia"/>
          <w:b/>
          <w:rtl/>
        </w:rPr>
        <w:t>נהפוך</w:t>
      </w:r>
      <w:r w:rsidRPr="00D95B9D">
        <w:rPr>
          <w:rFonts w:ascii="Century" w:hAnsi="Century" w:cs="Miriam"/>
          <w:b/>
          <w:rtl/>
        </w:rPr>
        <w:t xml:space="preserve"> </w:t>
      </w:r>
      <w:r w:rsidRPr="00D95B9D">
        <w:rPr>
          <w:rFonts w:ascii="Century" w:hAnsi="Century" w:cs="Miriam" w:hint="eastAsia"/>
          <w:b/>
          <w:rtl/>
        </w:rPr>
        <w:t>הוא</w:t>
      </w:r>
      <w:r>
        <w:rPr>
          <w:rFonts w:ascii="Century" w:hAnsi="Century" w:cs="FrankRuehl" w:hint="cs"/>
          <w:spacing w:val="10"/>
          <w:szCs w:val="28"/>
          <w:rtl/>
        </w:rPr>
        <w:t xml:space="preserve">. ההנחה הסבירה שרווחה אז הייתה שאותה ממשלה תשרוד גם 3-4 שנים </w:t>
      </w:r>
      <w:r w:rsidRPr="00D95B9D">
        <w:rPr>
          <w:rFonts w:ascii="Century" w:hAnsi="Century" w:cs="Miriam" w:hint="eastAsia"/>
          <w:b/>
          <w:rtl/>
        </w:rPr>
        <w:t>ומכאן</w:t>
      </w:r>
      <w:r w:rsidRPr="00D95B9D">
        <w:rPr>
          <w:rFonts w:ascii="Century" w:hAnsi="Century" w:cs="Miriam"/>
          <w:b/>
          <w:rtl/>
        </w:rPr>
        <w:t xml:space="preserve"> </w:t>
      </w:r>
      <w:r w:rsidRPr="00D95B9D">
        <w:rPr>
          <w:rFonts w:ascii="Century" w:hAnsi="Century" w:cs="Miriam" w:hint="eastAsia"/>
          <w:b/>
          <w:rtl/>
        </w:rPr>
        <w:t>ייחוס</w:t>
      </w:r>
      <w:r w:rsidRPr="00D95B9D">
        <w:rPr>
          <w:rFonts w:ascii="Century" w:hAnsi="Century" w:cs="Miriam"/>
          <w:b/>
          <w:rtl/>
        </w:rPr>
        <w:t xml:space="preserve"> </w:t>
      </w:r>
      <w:r w:rsidRPr="00D95B9D">
        <w:rPr>
          <w:rFonts w:ascii="Century" w:hAnsi="Century" w:cs="Miriam" w:hint="eastAsia"/>
          <w:b/>
          <w:rtl/>
        </w:rPr>
        <w:t>החשיבות</w:t>
      </w:r>
      <w:r w:rsidRPr="00D95B9D">
        <w:rPr>
          <w:rFonts w:ascii="Century" w:hAnsi="Century" w:cs="Miriam"/>
          <w:b/>
          <w:rtl/>
        </w:rPr>
        <w:t xml:space="preserve"> </w:t>
      </w:r>
      <w:r w:rsidRPr="00D95B9D">
        <w:rPr>
          <w:rFonts w:ascii="Century" w:hAnsi="Century" w:cs="Miriam" w:hint="eastAsia"/>
          <w:b/>
          <w:rtl/>
        </w:rPr>
        <w:t>בטיעונים</w:t>
      </w:r>
      <w:r w:rsidRPr="00D95B9D">
        <w:rPr>
          <w:rFonts w:ascii="Century" w:hAnsi="Century" w:cs="Miriam"/>
          <w:b/>
          <w:rtl/>
        </w:rPr>
        <w:t xml:space="preserve"> </w:t>
      </w:r>
      <w:r w:rsidRPr="00D95B9D">
        <w:rPr>
          <w:rFonts w:ascii="Century" w:hAnsi="Century" w:cs="Miriam" w:hint="eastAsia"/>
          <w:b/>
          <w:rtl/>
        </w:rPr>
        <w:t>לעונש</w:t>
      </w:r>
      <w:r w:rsidRPr="00D95B9D">
        <w:rPr>
          <w:rFonts w:ascii="Century" w:hAnsi="Century" w:cs="Miriam"/>
          <w:b/>
          <w:rtl/>
        </w:rPr>
        <w:t xml:space="preserve"> </w:t>
      </w:r>
      <w:r w:rsidRPr="00D95B9D">
        <w:rPr>
          <w:rFonts w:ascii="Century" w:hAnsi="Century" w:cs="Miriam" w:hint="eastAsia"/>
          <w:b/>
          <w:rtl/>
        </w:rPr>
        <w:t>לאקט</w:t>
      </w:r>
      <w:r w:rsidRPr="00D95B9D">
        <w:rPr>
          <w:rFonts w:ascii="Century" w:hAnsi="Century" w:cs="Miriam"/>
          <w:b/>
          <w:rtl/>
        </w:rPr>
        <w:t xml:space="preserve"> </w:t>
      </w:r>
      <w:r w:rsidRPr="00D95B9D">
        <w:rPr>
          <w:rFonts w:ascii="Century" w:hAnsi="Century" w:cs="Miriam" w:hint="eastAsia"/>
          <w:b/>
          <w:rtl/>
        </w:rPr>
        <w:t>ההתפטרות</w:t>
      </w:r>
      <w:r w:rsidRPr="001A4368">
        <w:rPr>
          <w:rFonts w:ascii="Century" w:hAnsi="Century" w:cs="FrankRuehl" w:hint="cs"/>
          <w:spacing w:val="10"/>
          <w:szCs w:val="28"/>
          <w:rtl/>
        </w:rPr>
        <w:t xml:space="preserve"> </w:t>
      </w:r>
      <w:r>
        <w:rPr>
          <w:rFonts w:ascii="Century" w:hAnsi="Century" w:cs="FrankRuehl" w:hint="cs"/>
          <w:spacing w:val="10"/>
          <w:szCs w:val="28"/>
          <w:rtl/>
        </w:rPr>
        <w:t xml:space="preserve">של [דרעי] מהכנסת הקודמת, כפי שמהלך זה נתפס אז" (פסקה 122 לתשובה, ההדגשות הוספו). </w:t>
      </w:r>
      <w:r w:rsidRPr="0034205B">
        <w:rPr>
          <w:rFonts w:ascii="Century" w:hAnsi="Century" w:cs="FrankRuehl"/>
          <w:spacing w:val="10"/>
          <w:szCs w:val="28"/>
          <w:rtl/>
        </w:rPr>
        <w:t>גם בדיון</w:t>
      </w:r>
      <w:r>
        <w:rPr>
          <w:rFonts w:ascii="Century" w:hAnsi="Century" w:cs="FrankRuehl" w:hint="cs"/>
          <w:spacing w:val="10"/>
          <w:szCs w:val="28"/>
          <w:rtl/>
        </w:rPr>
        <w:t xml:space="preserve"> שהתנהל בפנינו</w:t>
      </w:r>
      <w:r w:rsidRPr="0034205B">
        <w:rPr>
          <w:rFonts w:ascii="Century" w:hAnsi="Century" w:cs="FrankRuehl"/>
          <w:spacing w:val="10"/>
          <w:szCs w:val="28"/>
          <w:rtl/>
        </w:rPr>
        <w:t xml:space="preserve"> </w:t>
      </w:r>
      <w:r>
        <w:rPr>
          <w:rFonts w:ascii="Century" w:hAnsi="Century" w:cs="FrankRuehl" w:hint="cs"/>
          <w:spacing w:val="10"/>
          <w:szCs w:val="28"/>
          <w:rtl/>
        </w:rPr>
        <w:t>בא-כוחו של דרעי</w:t>
      </w:r>
      <w:r w:rsidRPr="0034205B">
        <w:rPr>
          <w:rFonts w:ascii="Century" w:hAnsi="Century" w:cs="FrankRuehl"/>
          <w:spacing w:val="10"/>
          <w:szCs w:val="28"/>
          <w:rtl/>
        </w:rPr>
        <w:t xml:space="preserve"> חזר ואמר כי בעת שהדברים הוצגו </w:t>
      </w:r>
      <w:r>
        <w:rPr>
          <w:rFonts w:ascii="Century" w:hAnsi="Century" w:cs="FrankRuehl" w:hint="cs"/>
          <w:spacing w:val="10"/>
          <w:szCs w:val="28"/>
          <w:rtl/>
        </w:rPr>
        <w:t>לבית משפט</w:t>
      </w:r>
      <w:r>
        <w:rPr>
          <w:rFonts w:ascii="Century" w:hAnsi="Century" w:cs="FrankRuehl"/>
          <w:spacing w:val="10"/>
          <w:szCs w:val="28"/>
          <w:rtl/>
        </w:rPr>
        <w:t xml:space="preserve"> השלום, דרעי</w:t>
      </w:r>
      <w:r w:rsidRPr="0034205B">
        <w:rPr>
          <w:rFonts w:ascii="Century" w:hAnsi="Century" w:cs="FrankRuehl"/>
          <w:spacing w:val="10"/>
          <w:szCs w:val="28"/>
          <w:rtl/>
        </w:rPr>
        <w:t xml:space="preserve"> ובא-כוחו לא העריכו שהחזרה שלו לחיים הפוליטיים תהיה כל כך מהירה</w:t>
      </w:r>
      <w:r>
        <w:rPr>
          <w:rFonts w:ascii="Century" w:hAnsi="Century" w:cs="FrankRuehl" w:hint="cs"/>
          <w:spacing w:val="10"/>
          <w:szCs w:val="28"/>
          <w:rtl/>
        </w:rPr>
        <w:t xml:space="preserve"> וכי מדובר היה באירוע בלתי צפוי</w:t>
      </w:r>
      <w:r w:rsidRPr="0034205B">
        <w:rPr>
          <w:rFonts w:ascii="Century" w:hAnsi="Century" w:cs="FrankRuehl"/>
          <w:spacing w:val="10"/>
          <w:szCs w:val="28"/>
          <w:rtl/>
        </w:rPr>
        <w:t xml:space="preserve">. </w:t>
      </w:r>
      <w:r>
        <w:rPr>
          <w:rFonts w:ascii="Century" w:hAnsi="Century" w:cs="FrankRuehl" w:hint="cs"/>
          <w:spacing w:val="10"/>
          <w:szCs w:val="28"/>
          <w:rtl/>
        </w:rPr>
        <w:t>דהיינו, גם מבחינתו של דרעי עצמו, לפחות כפי שבחר להציג את הדברים בעמדתו בהליכים המשפטיים השונים, לא הייתה קיימת ציפייה לגיטימית כי פרישתו תהיה לתקופה כה קצרה, ודומה כי בדבריו לבית משפט השלום הוא ראה לנגד עיניו פרק זמן שמשכו ארוך יותר בהשוואה למה שאירע בפועל.</w:t>
      </w:r>
      <w:r w:rsidRPr="004D1FA9">
        <w:rPr>
          <w:rFonts w:ascii="Century" w:hAnsi="Century" w:cs="FrankRuehl" w:hint="cs"/>
          <w:spacing w:val="10"/>
          <w:szCs w:val="28"/>
          <w:rtl/>
        </w:rPr>
        <w:t xml:space="preserve"> </w:t>
      </w:r>
      <w:r>
        <w:rPr>
          <w:rFonts w:ascii="Century" w:hAnsi="Century" w:cs="FrankRuehl" w:hint="cs"/>
          <w:spacing w:val="10"/>
          <w:szCs w:val="28"/>
          <w:rtl/>
        </w:rPr>
        <w:t>לא למותר לציין כי במישור המעשי תוצאה שכזו תוביל, במידה רבה, לקוהרנטיות אף עם אורכו של עונש המאסר על-תנאי שנגזר על דרעי בהליך הפלילי (הגם שאין חולק כי הפרישה מהחיים הפוליטיים אינה חלק מרכיבי העונש).</w:t>
      </w:r>
    </w:p>
    <w:p w14:paraId="238FF1F2" w14:textId="77777777" w:rsidR="00437A63" w:rsidRDefault="00437A63" w:rsidP="00437A63">
      <w:pPr>
        <w:pStyle w:val="af0"/>
        <w:spacing w:line="360" w:lineRule="auto"/>
        <w:ind w:left="0"/>
        <w:jc w:val="both"/>
        <w:rPr>
          <w:rFonts w:ascii="Century" w:hAnsi="Century" w:cs="FrankRuehl"/>
          <w:spacing w:val="10"/>
          <w:szCs w:val="28"/>
          <w:rtl/>
        </w:rPr>
      </w:pPr>
    </w:p>
    <w:p w14:paraId="64419805"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35</w:t>
      </w:r>
      <w:r w:rsidRPr="00ED4F52">
        <w:rPr>
          <w:rFonts w:ascii="Century" w:hAnsi="Century" w:cs="FrankRuehl"/>
          <w:spacing w:val="10"/>
          <w:szCs w:val="28"/>
          <w:rtl/>
        </w:rPr>
        <w:t xml:space="preserve">. </w:t>
      </w:r>
      <w:r w:rsidRPr="00ED4F52">
        <w:rPr>
          <w:rFonts w:ascii="Century" w:hAnsi="Century" w:cs="FrankRuehl"/>
          <w:spacing w:val="10"/>
          <w:szCs w:val="28"/>
          <w:rtl/>
        </w:rPr>
        <w:tab/>
      </w:r>
      <w:r>
        <w:rPr>
          <w:rFonts w:ascii="Century" w:hAnsi="Century" w:cs="FrankRuehl" w:hint="cs"/>
          <w:spacing w:val="10"/>
          <w:szCs w:val="28"/>
          <w:rtl/>
        </w:rPr>
        <w:t xml:space="preserve">להשלמת התמונה, אבקש להעמיד את התוצאה שאליה הגעתי בהקשרה הרחב. על פני הדברים, ניתן לתהות </w:t>
      </w:r>
      <w:r>
        <w:rPr>
          <w:rFonts w:ascii="Century" w:hAnsi="Century" w:cs="FrankRuehl"/>
          <w:spacing w:val="10"/>
          <w:szCs w:val="28"/>
          <w:rtl/>
        </w:rPr>
        <w:t>–</w:t>
      </w:r>
      <w:r>
        <w:rPr>
          <w:rFonts w:ascii="Century" w:hAnsi="Century" w:cs="FrankRuehl" w:hint="cs"/>
          <w:spacing w:val="10"/>
          <w:szCs w:val="28"/>
          <w:rtl/>
        </w:rPr>
        <w:t xml:space="preserve"> </w:t>
      </w:r>
      <w:r w:rsidRPr="00ED4F52">
        <w:rPr>
          <w:rFonts w:ascii="Century" w:hAnsi="Century" w:cs="FrankRuehl"/>
          <w:spacing w:val="10"/>
          <w:szCs w:val="28"/>
          <w:rtl/>
        </w:rPr>
        <w:t xml:space="preserve">האם </w:t>
      </w:r>
      <w:r>
        <w:rPr>
          <w:rFonts w:ascii="Century" w:hAnsi="Century" w:cs="FrankRuehl" w:hint="cs"/>
          <w:spacing w:val="10"/>
          <w:szCs w:val="28"/>
          <w:rtl/>
        </w:rPr>
        <w:t>התכחשותו של דרעי למצגו והתנהלותו בנסיבות העניין אינה חלק מ</w:t>
      </w:r>
      <w:r w:rsidRPr="00ED4F52">
        <w:rPr>
          <w:rFonts w:ascii="Century" w:hAnsi="Century" w:cs="FrankRuehl"/>
          <w:spacing w:val="10"/>
          <w:szCs w:val="28"/>
          <w:rtl/>
        </w:rPr>
        <w:t>דרכו של עולם? האם אין מקרים נוספים שבהם נאשמים בהליך פלילי מביעים חרטה</w:t>
      </w:r>
      <w:r>
        <w:rPr>
          <w:rFonts w:ascii="Century" w:hAnsi="Century" w:cs="FrankRuehl" w:hint="cs"/>
          <w:spacing w:val="10"/>
          <w:szCs w:val="28"/>
          <w:rtl/>
        </w:rPr>
        <w:t xml:space="preserve">, ואף </w:t>
      </w:r>
      <w:r w:rsidRPr="00ED4F52">
        <w:rPr>
          <w:rFonts w:ascii="Century" w:hAnsi="Century" w:cs="FrankRuehl"/>
          <w:spacing w:val="10"/>
          <w:szCs w:val="28"/>
          <w:rtl/>
        </w:rPr>
        <w:t xml:space="preserve">נוטלים על עצמם </w:t>
      </w:r>
      <w:r>
        <w:rPr>
          <w:rFonts w:ascii="Century" w:hAnsi="Century" w:cs="FrankRuehl" w:hint="cs"/>
          <w:spacing w:val="10"/>
          <w:szCs w:val="28"/>
          <w:rtl/>
        </w:rPr>
        <w:t xml:space="preserve">לכאורה </w:t>
      </w:r>
      <w:r w:rsidRPr="00ED4F52">
        <w:rPr>
          <w:rFonts w:ascii="Century" w:hAnsi="Century" w:cs="FrankRuehl"/>
          <w:spacing w:val="10"/>
          <w:szCs w:val="28"/>
          <w:rtl/>
        </w:rPr>
        <w:t>התחייבות</w:t>
      </w:r>
      <w:r>
        <w:rPr>
          <w:rFonts w:ascii="Century" w:hAnsi="Century" w:cs="FrankRuehl" w:hint="cs"/>
          <w:spacing w:val="10"/>
          <w:szCs w:val="28"/>
          <w:rtl/>
        </w:rPr>
        <w:t xml:space="preserve"> מסוימת</w:t>
      </w:r>
      <w:r w:rsidRPr="00ED4F52">
        <w:rPr>
          <w:rFonts w:ascii="Century" w:hAnsi="Century" w:cs="FrankRuehl"/>
          <w:spacing w:val="10"/>
          <w:szCs w:val="28"/>
          <w:rtl/>
        </w:rPr>
        <w:t xml:space="preserve">, ולאחר מעשה, </w:t>
      </w:r>
      <w:r>
        <w:rPr>
          <w:rFonts w:ascii="Century" w:hAnsi="Century" w:cs="FrankRuehl" w:hint="cs"/>
          <w:spacing w:val="10"/>
          <w:szCs w:val="28"/>
          <w:rtl/>
        </w:rPr>
        <w:t>מש</w:t>
      </w:r>
      <w:r w:rsidRPr="00ED4F52">
        <w:rPr>
          <w:rFonts w:ascii="Century" w:hAnsi="Century" w:cs="FrankRuehl"/>
          <w:spacing w:val="10"/>
          <w:szCs w:val="28"/>
          <w:rtl/>
        </w:rPr>
        <w:t xml:space="preserve">לא עמדו בדבריהם, אין </w:t>
      </w:r>
      <w:r>
        <w:rPr>
          <w:rFonts w:ascii="Century" w:hAnsi="Century" w:cs="FrankRuehl" w:hint="cs"/>
          <w:spacing w:val="10"/>
          <w:szCs w:val="28"/>
          <w:rtl/>
        </w:rPr>
        <w:t xml:space="preserve">בנמצא </w:t>
      </w:r>
      <w:r w:rsidRPr="00ED4F52">
        <w:rPr>
          <w:rFonts w:ascii="Century" w:hAnsi="Century" w:cs="FrankRuehl"/>
          <w:spacing w:val="10"/>
          <w:szCs w:val="28"/>
          <w:rtl/>
        </w:rPr>
        <w:t>דרך לאכוף אות</w:t>
      </w:r>
      <w:r>
        <w:rPr>
          <w:rFonts w:ascii="Century" w:hAnsi="Century" w:cs="FrankRuehl" w:hint="cs"/>
          <w:spacing w:val="10"/>
          <w:szCs w:val="28"/>
          <w:rtl/>
        </w:rPr>
        <w:t>ה</w:t>
      </w:r>
      <w:r w:rsidRPr="00ED4F52">
        <w:rPr>
          <w:rFonts w:ascii="Century" w:hAnsi="Century" w:cs="FrankRuehl"/>
          <w:spacing w:val="10"/>
          <w:szCs w:val="28"/>
          <w:rtl/>
        </w:rPr>
        <w:t xml:space="preserve"> התחייבות? אבקש להשיב</w:t>
      </w:r>
      <w:r>
        <w:rPr>
          <w:rFonts w:ascii="Century" w:hAnsi="Century" w:cs="FrankRuehl" w:hint="cs"/>
          <w:spacing w:val="10"/>
          <w:szCs w:val="28"/>
          <w:rtl/>
        </w:rPr>
        <w:t xml:space="preserve"> בתמצית</w:t>
      </w:r>
      <w:r w:rsidRPr="00ED4F52">
        <w:rPr>
          <w:rFonts w:ascii="Century" w:hAnsi="Century" w:cs="FrankRuehl"/>
          <w:spacing w:val="10"/>
          <w:szCs w:val="28"/>
          <w:rtl/>
        </w:rPr>
        <w:t xml:space="preserve"> אף על קושיות </w:t>
      </w:r>
      <w:r w:rsidRPr="00ED4F52">
        <w:rPr>
          <w:rFonts w:ascii="Century" w:hAnsi="Century" w:cs="FrankRuehl" w:hint="eastAsia"/>
          <w:spacing w:val="10"/>
          <w:szCs w:val="28"/>
          <w:rtl/>
        </w:rPr>
        <w:t>משלימות</w:t>
      </w:r>
      <w:r w:rsidRPr="00ED4F52">
        <w:rPr>
          <w:rFonts w:ascii="Century" w:hAnsi="Century" w:cs="FrankRuehl"/>
          <w:spacing w:val="10"/>
          <w:szCs w:val="28"/>
          <w:rtl/>
        </w:rPr>
        <w:t xml:space="preserve"> </w:t>
      </w:r>
      <w:r w:rsidRPr="00ED4F52">
        <w:rPr>
          <w:rFonts w:ascii="Century" w:hAnsi="Century" w:cs="FrankRuehl" w:hint="eastAsia"/>
          <w:spacing w:val="10"/>
          <w:szCs w:val="28"/>
          <w:rtl/>
        </w:rPr>
        <w:t>אלה</w:t>
      </w:r>
      <w:r w:rsidRPr="00ED4F52">
        <w:rPr>
          <w:rFonts w:ascii="Century" w:hAnsi="Century" w:cs="FrankRuehl"/>
          <w:spacing w:val="10"/>
          <w:szCs w:val="28"/>
          <w:rtl/>
        </w:rPr>
        <w:t xml:space="preserve">. </w:t>
      </w:r>
    </w:p>
    <w:p w14:paraId="4371E01E" w14:textId="77777777" w:rsidR="00437A63" w:rsidRDefault="00437A63" w:rsidP="00437A63">
      <w:pPr>
        <w:pStyle w:val="af0"/>
        <w:spacing w:line="360" w:lineRule="auto"/>
        <w:ind w:left="0"/>
        <w:jc w:val="both"/>
        <w:rPr>
          <w:rFonts w:ascii="Century" w:hAnsi="Century" w:cs="FrankRuehl"/>
          <w:spacing w:val="10"/>
          <w:szCs w:val="28"/>
          <w:rtl/>
        </w:rPr>
      </w:pPr>
    </w:p>
    <w:p w14:paraId="02AFB2BF"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36.</w:t>
      </w:r>
      <w:r>
        <w:rPr>
          <w:rFonts w:ascii="Century" w:hAnsi="Century" w:cs="FrankRuehl" w:hint="cs"/>
          <w:spacing w:val="10"/>
          <w:szCs w:val="28"/>
          <w:rtl/>
        </w:rPr>
        <w:tab/>
      </w:r>
      <w:r w:rsidRPr="00ED4F52">
        <w:rPr>
          <w:rFonts w:ascii="Century" w:hAnsi="Century" w:cs="FrankRuehl"/>
          <w:spacing w:val="10"/>
          <w:szCs w:val="28"/>
          <w:rtl/>
        </w:rPr>
        <w:t xml:space="preserve">האמת ניתנת להיאמר: לא תמיד קיימת אפשרות לאכוף על נאשם לעמוד </w:t>
      </w:r>
      <w:r>
        <w:rPr>
          <w:rFonts w:ascii="Century" w:hAnsi="Century" w:cs="FrankRuehl" w:hint="cs"/>
          <w:spacing w:val="10"/>
          <w:szCs w:val="28"/>
          <w:rtl/>
        </w:rPr>
        <w:t xml:space="preserve">בדיעבד </w:t>
      </w:r>
      <w:r w:rsidRPr="00ED4F52">
        <w:rPr>
          <w:rFonts w:ascii="Century" w:hAnsi="Century" w:cs="FrankRuehl"/>
          <w:spacing w:val="10"/>
          <w:szCs w:val="28"/>
          <w:rtl/>
        </w:rPr>
        <w:t>בהתחייבויות ו</w:t>
      </w:r>
      <w:r>
        <w:rPr>
          <w:rFonts w:ascii="Century" w:hAnsi="Century" w:cs="FrankRuehl" w:hint="cs"/>
          <w:spacing w:val="10"/>
          <w:szCs w:val="28"/>
          <w:rtl/>
        </w:rPr>
        <w:t>ב</w:t>
      </w:r>
      <w:r w:rsidRPr="00ED4F52">
        <w:rPr>
          <w:rFonts w:ascii="Century" w:hAnsi="Century" w:cs="FrankRuehl"/>
          <w:spacing w:val="10"/>
          <w:szCs w:val="28"/>
          <w:rtl/>
        </w:rPr>
        <w:t xml:space="preserve">הצהרות </w:t>
      </w:r>
      <w:r>
        <w:rPr>
          <w:rFonts w:ascii="Century" w:hAnsi="Century" w:cs="FrankRuehl" w:hint="cs"/>
          <w:spacing w:val="10"/>
          <w:szCs w:val="28"/>
          <w:rtl/>
        </w:rPr>
        <w:t xml:space="preserve">שמסר, ואשר </w:t>
      </w:r>
      <w:r w:rsidRPr="00ED4F52">
        <w:rPr>
          <w:rFonts w:ascii="Century" w:hAnsi="Century" w:cs="FrankRuehl"/>
          <w:spacing w:val="10"/>
          <w:szCs w:val="28"/>
          <w:rtl/>
        </w:rPr>
        <w:t xml:space="preserve">השפיעו </w:t>
      </w:r>
      <w:r>
        <w:rPr>
          <w:rFonts w:ascii="Century" w:hAnsi="Century" w:cs="FrankRuehl" w:hint="cs"/>
          <w:spacing w:val="10"/>
          <w:szCs w:val="28"/>
          <w:rtl/>
        </w:rPr>
        <w:t xml:space="preserve">מלכתחילה </w:t>
      </w:r>
      <w:r w:rsidRPr="00ED4F52">
        <w:rPr>
          <w:rFonts w:ascii="Century" w:hAnsi="Century" w:cs="FrankRuehl"/>
          <w:spacing w:val="10"/>
          <w:szCs w:val="28"/>
          <w:rtl/>
        </w:rPr>
        <w:t xml:space="preserve">על תוצאות משפטו. אולם, אין </w:t>
      </w:r>
      <w:r>
        <w:rPr>
          <w:rFonts w:ascii="Century" w:hAnsi="Century" w:cs="FrankRuehl" w:hint="cs"/>
          <w:spacing w:val="10"/>
          <w:szCs w:val="28"/>
          <w:rtl/>
        </w:rPr>
        <w:t>בכך</w:t>
      </w:r>
      <w:r w:rsidRPr="00ED4F52">
        <w:rPr>
          <w:rFonts w:ascii="Century" w:hAnsi="Century" w:cs="FrankRuehl"/>
          <w:spacing w:val="10"/>
          <w:szCs w:val="28"/>
          <w:rtl/>
        </w:rPr>
        <w:t xml:space="preserve"> כדי לומר שהדבר אינו אמור להיות רלוונטי ואף ישים, באותם מקרים שמזמנים </w:t>
      </w:r>
      <w:r w:rsidRPr="00ED4F52">
        <w:rPr>
          <w:rFonts w:ascii="Century" w:hAnsi="Century" w:cs="FrankRuehl"/>
          <w:spacing w:val="10"/>
          <w:szCs w:val="28"/>
          <w:rtl/>
        </w:rPr>
        <w:lastRenderedPageBreak/>
        <w:t xml:space="preserve">אפשרות זו. </w:t>
      </w:r>
      <w:r>
        <w:rPr>
          <w:rFonts w:ascii="Century" w:hAnsi="Century" w:cs="FrankRuehl" w:hint="cs"/>
          <w:spacing w:val="10"/>
          <w:szCs w:val="28"/>
          <w:rtl/>
        </w:rPr>
        <w:t xml:space="preserve">ניתן לחשוב על מספר דוגמאות אפשריות. </w:t>
      </w:r>
      <w:r w:rsidRPr="00ED4F52">
        <w:rPr>
          <w:rFonts w:ascii="Century" w:hAnsi="Century" w:cs="FrankRuehl"/>
          <w:spacing w:val="10"/>
          <w:szCs w:val="28"/>
          <w:rtl/>
        </w:rPr>
        <w:t>נשווה בדעתנו הליך פלילי שנסב על עבירות מס, ובו נטען</w:t>
      </w:r>
      <w:r>
        <w:rPr>
          <w:rFonts w:ascii="Century" w:hAnsi="Century" w:cs="FrankRuehl" w:hint="cs"/>
          <w:spacing w:val="10"/>
          <w:szCs w:val="28"/>
          <w:rtl/>
        </w:rPr>
        <w:t>, והדבר נלקח אף בחשבון בגזירת הדין</w:t>
      </w:r>
      <w:r w:rsidRPr="00ED4F52">
        <w:rPr>
          <w:rFonts w:ascii="Century" w:hAnsi="Century" w:cs="FrankRuehl"/>
          <w:spacing w:val="10"/>
          <w:szCs w:val="28"/>
          <w:rtl/>
        </w:rPr>
        <w:t>, כי יש בדעת הנאשם לשלם את שומת המס שהושתה עליו</w:t>
      </w:r>
      <w:r>
        <w:rPr>
          <w:rFonts w:ascii="Century" w:hAnsi="Century" w:cs="FrankRuehl" w:hint="cs"/>
          <w:spacing w:val="10"/>
          <w:szCs w:val="28"/>
          <w:rtl/>
        </w:rPr>
        <w:t xml:space="preserve"> במלואה</w:t>
      </w:r>
      <w:r>
        <w:rPr>
          <w:rFonts w:ascii="Century" w:hAnsi="Century" w:cs="FrankRuehl"/>
          <w:spacing w:val="10"/>
          <w:szCs w:val="28"/>
          <w:rtl/>
        </w:rPr>
        <w:t xml:space="preserve"> מבלי להשיג עליה. האם בתום ה</w:t>
      </w:r>
      <w:r>
        <w:rPr>
          <w:rFonts w:ascii="Century" w:hAnsi="Century" w:cs="FrankRuehl" w:hint="cs"/>
          <w:spacing w:val="10"/>
          <w:szCs w:val="28"/>
          <w:rtl/>
        </w:rPr>
        <w:t>הליך הפלילי</w:t>
      </w:r>
      <w:r w:rsidRPr="00ED4F52">
        <w:rPr>
          <w:rFonts w:ascii="Century" w:hAnsi="Century" w:cs="FrankRuehl"/>
          <w:spacing w:val="10"/>
          <w:szCs w:val="28"/>
          <w:rtl/>
        </w:rPr>
        <w:t xml:space="preserve"> יוכל הנאשם, שאולי קיבל הקלה והתחשבות</w:t>
      </w:r>
      <w:r>
        <w:rPr>
          <w:rFonts w:ascii="Century" w:hAnsi="Century" w:cs="FrankRuehl" w:hint="cs"/>
          <w:spacing w:val="10"/>
          <w:szCs w:val="28"/>
          <w:rtl/>
        </w:rPr>
        <w:t xml:space="preserve"> נוכח המצג שהציג</w:t>
      </w:r>
      <w:r w:rsidRPr="00ED4F52">
        <w:rPr>
          <w:rFonts w:ascii="Century" w:hAnsi="Century" w:cs="FrankRuehl"/>
          <w:spacing w:val="10"/>
          <w:szCs w:val="28"/>
          <w:rtl/>
        </w:rPr>
        <w:t>, לכפור בהתחייבות זו</w:t>
      </w:r>
      <w:r>
        <w:rPr>
          <w:rFonts w:ascii="Century" w:hAnsi="Century" w:cs="FrankRuehl" w:hint="cs"/>
          <w:spacing w:val="10"/>
          <w:szCs w:val="28"/>
          <w:rtl/>
        </w:rPr>
        <w:t xml:space="preserve"> ולנקוט בהליכי השגה מינהליים מול רשויות המס</w:t>
      </w:r>
      <w:r w:rsidRPr="00ED4F52">
        <w:rPr>
          <w:rFonts w:ascii="Century" w:hAnsi="Century" w:cs="FrankRuehl"/>
          <w:spacing w:val="10"/>
          <w:szCs w:val="28"/>
          <w:rtl/>
        </w:rPr>
        <w:t>, או שמא יהיה מנוע מלהגיש השגה</w:t>
      </w:r>
      <w:r>
        <w:rPr>
          <w:rFonts w:ascii="Century" w:hAnsi="Century" w:cs="FrankRuehl" w:hint="cs"/>
          <w:spacing w:val="10"/>
          <w:szCs w:val="28"/>
          <w:rtl/>
        </w:rPr>
        <w:t xml:space="preserve"> (אף אם פורמלית הדבר מתאפשר מכוח הוראות החוק הכלליות)?</w:t>
      </w:r>
      <w:r w:rsidRPr="00ED4F52">
        <w:rPr>
          <w:rFonts w:ascii="Century" w:hAnsi="Century" w:cs="FrankRuehl"/>
          <w:spacing w:val="10"/>
          <w:szCs w:val="28"/>
          <w:rtl/>
        </w:rPr>
        <w:t xml:space="preserve"> אני סבורה ש</w:t>
      </w:r>
      <w:r>
        <w:rPr>
          <w:rFonts w:ascii="Century" w:hAnsi="Century" w:cs="FrankRuehl" w:hint="cs"/>
          <w:spacing w:val="10"/>
          <w:szCs w:val="28"/>
          <w:rtl/>
        </w:rPr>
        <w:t>חובת ההגינות, ו</w:t>
      </w:r>
      <w:r w:rsidRPr="00ED4F52">
        <w:rPr>
          <w:rFonts w:ascii="Century" w:hAnsi="Century" w:cs="FrankRuehl"/>
          <w:spacing w:val="10"/>
          <w:szCs w:val="28"/>
          <w:rtl/>
        </w:rPr>
        <w:t>המניעות</w:t>
      </w:r>
      <w:r>
        <w:rPr>
          <w:rFonts w:ascii="Century" w:hAnsi="Century" w:cs="FrankRuehl" w:hint="cs"/>
          <w:spacing w:val="10"/>
          <w:szCs w:val="28"/>
          <w:rtl/>
        </w:rPr>
        <w:t xml:space="preserve"> הנובעת ממנה,</w:t>
      </w:r>
      <w:r w:rsidRPr="00ED4F52">
        <w:rPr>
          <w:rFonts w:ascii="Century" w:hAnsi="Century" w:cs="FrankRuehl"/>
          <w:spacing w:val="10"/>
          <w:szCs w:val="28"/>
          <w:rtl/>
        </w:rPr>
        <w:t xml:space="preserve"> יכול</w:t>
      </w:r>
      <w:r>
        <w:rPr>
          <w:rFonts w:ascii="Century" w:hAnsi="Century" w:cs="FrankRuehl" w:hint="cs"/>
          <w:spacing w:val="10"/>
          <w:szCs w:val="28"/>
          <w:rtl/>
        </w:rPr>
        <w:t>ות</w:t>
      </w:r>
      <w:r w:rsidRPr="00ED4F52">
        <w:rPr>
          <w:rFonts w:ascii="Century" w:hAnsi="Century" w:cs="FrankRuehl"/>
          <w:spacing w:val="10"/>
          <w:szCs w:val="28"/>
          <w:rtl/>
        </w:rPr>
        <w:t xml:space="preserve"> להיות יפ</w:t>
      </w:r>
      <w:r>
        <w:rPr>
          <w:rFonts w:ascii="Century" w:hAnsi="Century" w:cs="FrankRuehl" w:hint="cs"/>
          <w:spacing w:val="10"/>
          <w:szCs w:val="28"/>
          <w:rtl/>
        </w:rPr>
        <w:t>ות</w:t>
      </w:r>
      <w:r w:rsidRPr="00ED4F52">
        <w:rPr>
          <w:rFonts w:ascii="Century" w:hAnsi="Century" w:cs="FrankRuehl"/>
          <w:spacing w:val="10"/>
          <w:szCs w:val="28"/>
          <w:rtl/>
        </w:rPr>
        <w:t xml:space="preserve"> שם, כפי ש</w:t>
      </w:r>
      <w:r>
        <w:rPr>
          <w:rFonts w:ascii="Century" w:hAnsi="Century" w:cs="FrankRuehl" w:hint="cs"/>
          <w:spacing w:val="10"/>
          <w:szCs w:val="28"/>
          <w:rtl/>
        </w:rPr>
        <w:t xml:space="preserve">הן יפות </w:t>
      </w:r>
      <w:r w:rsidRPr="00ED4F52">
        <w:rPr>
          <w:rFonts w:ascii="Century" w:hAnsi="Century" w:cs="FrankRuehl"/>
          <w:spacing w:val="10"/>
          <w:szCs w:val="28"/>
          <w:rtl/>
        </w:rPr>
        <w:t xml:space="preserve">כאן. </w:t>
      </w:r>
      <w:r>
        <w:rPr>
          <w:rFonts w:ascii="Century" w:hAnsi="Century" w:cs="FrankRuehl" w:hint="cs"/>
          <w:spacing w:val="10"/>
          <w:szCs w:val="28"/>
          <w:rtl/>
        </w:rPr>
        <w:t xml:space="preserve">באופן דומה, ניתן להעלות על הדעת מקרה של קבלן המעניק שירותים לגופים ממשלתיים ומנהל הליך פלילי על רקע פעילותו העסקית האמורה. אף בעניין שכזה עשויה לקום תחולה לעקרון ההשתק ולחובת ההגינות, וזאת בנסיבות שבהן מודיע הקבלן לבית המשפט על כוונתו להימנע מהשתתפות במכרזים ממשלתיים בשנים הקרובות, ומבקש לקחת זאת בחשבון בקביעת העונש. המשותף לדוגמאות אלה הוא קיומו של מצג ברור כלפי בית המשפט, ועל-ידי כך כלפי מוסדות המדינה בכללותם, מצג שנועד להטות את הכף לטובת הנאשם ואשר מתייחס להתחייבות עתידית הנוגעת לרשויות המינהל והמדינה ולפעילותן. משעה שמצג זה התקבל על-ידי הרשות המוסמכת והשפיע לטובה על מצבו של הנאשם, ולו באופן פוטנציאלי </w:t>
      </w:r>
      <w:r>
        <w:rPr>
          <w:rFonts w:ascii="Century" w:hAnsi="Century" w:cs="FrankRuehl"/>
          <w:spacing w:val="10"/>
          <w:szCs w:val="28"/>
          <w:rtl/>
        </w:rPr>
        <w:t>–</w:t>
      </w:r>
      <w:r>
        <w:rPr>
          <w:rFonts w:ascii="Century" w:hAnsi="Century" w:cs="FrankRuehl" w:hint="cs"/>
          <w:spacing w:val="10"/>
          <w:szCs w:val="28"/>
          <w:rtl/>
        </w:rPr>
        <w:t xml:space="preserve"> הרי שקמה לנאשם חובת הגינות כלפי המדינה והוא יהיה מנוע מלפעול בניגוד אליו. על כך אוסיף, כי במבט הצופה פני עתיד, יש בגישה המוצגת על-ידי אף להיטיב עם נאשמים באופן יותר כללי. זאת, מאחר שבתי המשפט לא יחששו לתת משקל להצהרות מן הסוג הנדון. </w:t>
      </w:r>
    </w:p>
    <w:p w14:paraId="296906AE" w14:textId="77777777" w:rsidR="00437A63" w:rsidRDefault="00437A63" w:rsidP="00437A63">
      <w:pPr>
        <w:pStyle w:val="af0"/>
        <w:spacing w:line="360" w:lineRule="auto"/>
        <w:ind w:left="0"/>
        <w:jc w:val="both"/>
        <w:rPr>
          <w:rFonts w:ascii="Century" w:hAnsi="Century" w:cs="FrankRuehl"/>
          <w:spacing w:val="10"/>
          <w:szCs w:val="28"/>
          <w:rtl/>
        </w:rPr>
      </w:pPr>
    </w:p>
    <w:p w14:paraId="3D320B05" w14:textId="77777777" w:rsidR="00437A63" w:rsidRDefault="00437A63" w:rsidP="00437A63">
      <w:pPr>
        <w:pStyle w:val="af0"/>
        <w:spacing w:line="360" w:lineRule="auto"/>
        <w:ind w:left="0"/>
        <w:jc w:val="both"/>
        <w:rPr>
          <w:rFonts w:ascii="FrankRuehl" w:hAnsi="FrankRuehl" w:cs="FrankRuehl"/>
          <w:sz w:val="28"/>
          <w:szCs w:val="28"/>
          <w:rtl/>
        </w:rPr>
      </w:pPr>
      <w:r>
        <w:rPr>
          <w:rFonts w:ascii="Century" w:hAnsi="Century" w:cs="FrankRuehl" w:hint="cs"/>
          <w:spacing w:val="10"/>
          <w:szCs w:val="28"/>
          <w:rtl/>
        </w:rPr>
        <w:t>37</w:t>
      </w:r>
      <w:r w:rsidRPr="000D390B">
        <w:rPr>
          <w:rFonts w:ascii="Century" w:hAnsi="Century" w:cs="FrankRuehl"/>
          <w:spacing w:val="10"/>
          <w:szCs w:val="28"/>
          <w:rtl/>
        </w:rPr>
        <w:t xml:space="preserve">. </w:t>
      </w:r>
      <w:r w:rsidRPr="000D390B">
        <w:rPr>
          <w:rFonts w:ascii="Century" w:hAnsi="Century" w:cs="FrankRuehl"/>
          <w:spacing w:val="10"/>
          <w:szCs w:val="28"/>
          <w:rtl/>
        </w:rPr>
        <w:tab/>
      </w:r>
      <w:r w:rsidRPr="000D390B">
        <w:rPr>
          <w:rFonts w:ascii="Century" w:hAnsi="Century" w:cs="FrankRuehl" w:hint="eastAsia"/>
          <w:spacing w:val="10"/>
          <w:szCs w:val="28"/>
          <w:rtl/>
        </w:rPr>
        <w:t>וכאן</w:t>
      </w:r>
      <w:r w:rsidRPr="000D390B">
        <w:rPr>
          <w:rFonts w:ascii="Century" w:hAnsi="Century" w:cs="FrankRuehl"/>
          <w:spacing w:val="10"/>
          <w:szCs w:val="28"/>
          <w:rtl/>
        </w:rPr>
        <w:t xml:space="preserve"> יש לעורר קושיה: באי-כוחם של </w:t>
      </w:r>
      <w:r>
        <w:rPr>
          <w:rFonts w:ascii="Century" w:hAnsi="Century" w:cs="FrankRuehl" w:hint="cs"/>
          <w:spacing w:val="10"/>
          <w:szCs w:val="28"/>
          <w:rtl/>
        </w:rPr>
        <w:t>דרעי ושל ראש הממשלה נתניהו</w:t>
      </w:r>
      <w:r w:rsidRPr="000D390B">
        <w:rPr>
          <w:rFonts w:ascii="Century" w:hAnsi="Century" w:cs="FrankRuehl"/>
          <w:spacing w:val="10"/>
          <w:szCs w:val="28"/>
          <w:rtl/>
        </w:rPr>
        <w:t xml:space="preserve"> </w:t>
      </w:r>
      <w:r w:rsidRPr="000D390B">
        <w:rPr>
          <w:rFonts w:ascii="Century" w:hAnsi="Century" w:cs="FrankRuehl" w:hint="eastAsia"/>
          <w:spacing w:val="10"/>
          <w:szCs w:val="28"/>
          <w:rtl/>
        </w:rPr>
        <w:t>חזרו</w:t>
      </w:r>
      <w:r w:rsidRPr="000D390B">
        <w:rPr>
          <w:rFonts w:ascii="Century" w:hAnsi="Century" w:cs="FrankRuehl"/>
          <w:spacing w:val="10"/>
          <w:szCs w:val="28"/>
          <w:rtl/>
        </w:rPr>
        <w:t xml:space="preserve"> וטענו בפנינו כי בבחירות שהתקיימו לפני זמן לא רב "הציבור אמר את דברו" במובן זה שדרעי זכה לאמון גדול מצדם של מצביעי ש"ס, </w:t>
      </w:r>
      <w:r w:rsidRPr="000D390B">
        <w:rPr>
          <w:rFonts w:ascii="Century" w:hAnsi="Century" w:cs="FrankRuehl" w:hint="eastAsia"/>
          <w:spacing w:val="10"/>
          <w:szCs w:val="28"/>
          <w:rtl/>
        </w:rPr>
        <w:t>בהיקף</w:t>
      </w:r>
      <w:r w:rsidRPr="000D390B">
        <w:rPr>
          <w:rFonts w:ascii="Century" w:hAnsi="Century" w:cs="FrankRuehl"/>
          <w:spacing w:val="10"/>
          <w:szCs w:val="28"/>
          <w:rtl/>
        </w:rPr>
        <w:t xml:space="preserve"> של </w:t>
      </w:r>
      <w:r>
        <w:rPr>
          <w:rFonts w:ascii="Century" w:hAnsi="Century" w:cs="FrankRuehl" w:hint="cs"/>
          <w:spacing w:val="10"/>
          <w:szCs w:val="28"/>
          <w:rtl/>
        </w:rPr>
        <w:t>כ</w:t>
      </w:r>
      <w:r w:rsidRPr="000D390B">
        <w:rPr>
          <w:rFonts w:ascii="Century" w:hAnsi="Century" w:cs="FrankRuehl"/>
          <w:spacing w:val="10"/>
          <w:szCs w:val="28"/>
          <w:rtl/>
        </w:rPr>
        <w:t xml:space="preserve">ארבע מאות אלף מצביעים </w:t>
      </w:r>
      <w:r w:rsidRPr="000D390B">
        <w:rPr>
          <w:rFonts w:ascii="Century" w:hAnsi="Century" w:cs="FrankRuehl" w:hint="eastAsia"/>
          <w:spacing w:val="10"/>
          <w:szCs w:val="28"/>
          <w:rtl/>
        </w:rPr>
        <w:t>אשר</w:t>
      </w:r>
      <w:r w:rsidRPr="000D390B">
        <w:rPr>
          <w:rFonts w:ascii="Century" w:hAnsi="Century" w:cs="FrankRuehl"/>
          <w:spacing w:val="10"/>
          <w:szCs w:val="28"/>
          <w:rtl/>
        </w:rPr>
        <w:t xml:space="preserve"> </w:t>
      </w:r>
      <w:r w:rsidRPr="000D390B">
        <w:rPr>
          <w:rFonts w:ascii="Century" w:hAnsi="Century" w:cs="FrankRuehl" w:hint="eastAsia"/>
          <w:spacing w:val="10"/>
          <w:szCs w:val="28"/>
          <w:rtl/>
        </w:rPr>
        <w:t>חפצו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בכך</w:t>
      </w:r>
      <w:r w:rsidRPr="000D390B">
        <w:rPr>
          <w:rFonts w:ascii="Century" w:hAnsi="Century" w:cs="FrankRuehl"/>
          <w:spacing w:val="10"/>
          <w:szCs w:val="28"/>
          <w:rtl/>
        </w:rPr>
        <w:t xml:space="preserve"> </w:t>
      </w:r>
      <w:r w:rsidRPr="000D390B">
        <w:rPr>
          <w:rFonts w:ascii="Century" w:hAnsi="Century" w:cs="FrankRuehl" w:hint="eastAsia"/>
          <w:spacing w:val="10"/>
          <w:szCs w:val="28"/>
          <w:rtl/>
        </w:rPr>
        <w:t>שהוא</w:t>
      </w:r>
      <w:r w:rsidRPr="000D390B">
        <w:rPr>
          <w:rFonts w:ascii="Century" w:hAnsi="Century" w:cs="FrankRuehl"/>
          <w:spacing w:val="10"/>
          <w:szCs w:val="28"/>
          <w:rtl/>
        </w:rPr>
        <w:t xml:space="preserve">, </w:t>
      </w:r>
      <w:r w:rsidRPr="000D390B">
        <w:rPr>
          <w:rFonts w:ascii="Century" w:hAnsi="Century" w:cs="FrankRuehl" w:hint="eastAsia"/>
          <w:spacing w:val="10"/>
          <w:szCs w:val="28"/>
          <w:rtl/>
        </w:rPr>
        <w:t>ולא</w:t>
      </w:r>
      <w:r w:rsidRPr="000D390B">
        <w:rPr>
          <w:rFonts w:ascii="Century" w:hAnsi="Century" w:cs="FrankRuehl"/>
          <w:spacing w:val="10"/>
          <w:szCs w:val="28"/>
          <w:rtl/>
        </w:rPr>
        <w:t xml:space="preserve"> </w:t>
      </w:r>
      <w:r w:rsidRPr="000D390B">
        <w:rPr>
          <w:rFonts w:ascii="Century" w:hAnsi="Century" w:cs="FrankRuehl" w:hint="eastAsia"/>
          <w:spacing w:val="10"/>
          <w:szCs w:val="28"/>
          <w:rtl/>
        </w:rPr>
        <w:t>אחר</w:t>
      </w:r>
      <w:r w:rsidRPr="000D390B">
        <w:rPr>
          <w:rFonts w:ascii="Century" w:hAnsi="Century" w:cs="FrankRuehl"/>
          <w:spacing w:val="10"/>
          <w:szCs w:val="28"/>
          <w:rtl/>
        </w:rPr>
        <w:t xml:space="preserve">, </w:t>
      </w:r>
      <w:r w:rsidRPr="000D390B">
        <w:rPr>
          <w:rFonts w:ascii="Century" w:hAnsi="Century" w:cs="FrankRuehl" w:hint="eastAsia"/>
          <w:spacing w:val="10"/>
          <w:szCs w:val="28"/>
          <w:rtl/>
        </w:rPr>
        <w:t>יהיה</w:t>
      </w:r>
      <w:r w:rsidRPr="000D390B">
        <w:rPr>
          <w:rFonts w:ascii="Century" w:hAnsi="Century" w:cs="FrankRuehl"/>
          <w:spacing w:val="10"/>
          <w:szCs w:val="28"/>
          <w:rtl/>
        </w:rPr>
        <w:t xml:space="preserve"> </w:t>
      </w:r>
      <w:r w:rsidRPr="000D390B">
        <w:rPr>
          <w:rFonts w:ascii="Century" w:hAnsi="Century" w:cs="FrankRuehl" w:hint="eastAsia"/>
          <w:spacing w:val="10"/>
          <w:szCs w:val="28"/>
          <w:rtl/>
        </w:rPr>
        <w:t>מנהיגם</w:t>
      </w:r>
      <w:r w:rsidRPr="000D390B">
        <w:rPr>
          <w:rFonts w:ascii="Century" w:hAnsi="Century" w:cs="FrankRuehl"/>
          <w:spacing w:val="10"/>
          <w:szCs w:val="28"/>
          <w:rtl/>
        </w:rPr>
        <w:t xml:space="preserve">, </w:t>
      </w:r>
      <w:r w:rsidRPr="000D390B">
        <w:rPr>
          <w:rFonts w:ascii="Century" w:hAnsi="Century" w:cs="FrankRuehl" w:hint="eastAsia"/>
          <w:spacing w:val="10"/>
          <w:szCs w:val="28"/>
          <w:rtl/>
        </w:rPr>
        <w:t>ויעמוד</w:t>
      </w:r>
      <w:r w:rsidRPr="000D390B">
        <w:rPr>
          <w:rFonts w:ascii="Century" w:hAnsi="Century" w:cs="FrankRuehl"/>
          <w:spacing w:val="10"/>
          <w:szCs w:val="28"/>
          <w:rtl/>
        </w:rPr>
        <w:t xml:space="preserve"> </w:t>
      </w:r>
      <w:r w:rsidRPr="000D390B">
        <w:rPr>
          <w:rFonts w:ascii="Century" w:hAnsi="Century" w:cs="FrankRuehl" w:hint="eastAsia"/>
          <w:spacing w:val="10"/>
          <w:szCs w:val="28"/>
          <w:rtl/>
        </w:rPr>
        <w:t>בראש</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המחנה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שעליו</w:t>
      </w:r>
      <w:r w:rsidRPr="000D390B">
        <w:rPr>
          <w:rFonts w:ascii="Century" w:hAnsi="Century" w:cs="FrankRuehl"/>
          <w:spacing w:val="10"/>
          <w:szCs w:val="28"/>
          <w:rtl/>
        </w:rPr>
        <w:t xml:space="preserve"> </w:t>
      </w:r>
      <w:r w:rsidRPr="000D390B">
        <w:rPr>
          <w:rFonts w:ascii="Century" w:hAnsi="Century" w:cs="FrankRuehl" w:hint="eastAsia"/>
          <w:spacing w:val="10"/>
          <w:szCs w:val="28"/>
          <w:rtl/>
        </w:rPr>
        <w:t>הם</w:t>
      </w:r>
      <w:r w:rsidRPr="000D390B">
        <w:rPr>
          <w:rFonts w:ascii="Century" w:hAnsi="Century" w:cs="FrankRuehl"/>
          <w:spacing w:val="10"/>
          <w:szCs w:val="28"/>
          <w:rtl/>
        </w:rPr>
        <w:t xml:space="preserve"> </w:t>
      </w:r>
      <w:r w:rsidRPr="000D390B">
        <w:rPr>
          <w:rFonts w:ascii="Century" w:hAnsi="Century" w:cs="FrankRuehl" w:hint="eastAsia"/>
          <w:spacing w:val="10"/>
          <w:szCs w:val="28"/>
          <w:rtl/>
        </w:rPr>
        <w:t>נמנים</w:t>
      </w:r>
      <w:r w:rsidRPr="000D390B">
        <w:rPr>
          <w:rFonts w:ascii="Century" w:hAnsi="Century" w:cs="FrankRuehl"/>
          <w:spacing w:val="10"/>
          <w:szCs w:val="28"/>
          <w:rtl/>
        </w:rPr>
        <w:t xml:space="preserve">. </w:t>
      </w:r>
      <w:r>
        <w:rPr>
          <w:rFonts w:ascii="Century" w:hAnsi="Century" w:cs="FrankRuehl" w:hint="cs"/>
          <w:spacing w:val="10"/>
          <w:szCs w:val="28"/>
          <w:rtl/>
        </w:rPr>
        <w:t xml:space="preserve">בנקודה זו אני מבקשת להבהיר כי טיעון מסוג זה אינו יכול לעמוד בהקשרו של המקרה דנן, </w:t>
      </w:r>
      <w:r w:rsidRPr="000D390B">
        <w:rPr>
          <w:rFonts w:ascii="Century" w:hAnsi="Century" w:cs="FrankRuehl"/>
          <w:spacing w:val="10"/>
          <w:szCs w:val="28"/>
          <w:rtl/>
        </w:rPr>
        <w:t xml:space="preserve">כאשר מדובר בהתחייבות </w:t>
      </w:r>
      <w:r w:rsidRPr="000D390B">
        <w:rPr>
          <w:rFonts w:ascii="Century" w:hAnsi="Century" w:cs="FrankRuehl" w:hint="eastAsia"/>
          <w:spacing w:val="10"/>
          <w:szCs w:val="28"/>
          <w:rtl/>
        </w:rPr>
        <w:t>אישית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או</w:t>
      </w:r>
      <w:r w:rsidRPr="000D390B">
        <w:rPr>
          <w:rFonts w:ascii="Century" w:hAnsi="Century" w:cs="FrankRuehl"/>
          <w:spacing w:val="10"/>
          <w:szCs w:val="28"/>
          <w:rtl/>
        </w:rPr>
        <w:t xml:space="preserve"> </w:t>
      </w:r>
      <w:r>
        <w:rPr>
          <w:rFonts w:ascii="Century" w:hAnsi="Century" w:cs="FrankRuehl" w:hint="cs"/>
          <w:spacing w:val="10"/>
          <w:szCs w:val="28"/>
          <w:rtl/>
        </w:rPr>
        <w:t>ב</w:t>
      </w:r>
      <w:r w:rsidRPr="000D390B">
        <w:rPr>
          <w:rFonts w:ascii="Century" w:hAnsi="Century" w:cs="FrankRuehl" w:hint="eastAsia"/>
          <w:spacing w:val="10"/>
          <w:szCs w:val="28"/>
          <w:rtl/>
        </w:rPr>
        <w:t>מצג</w:t>
      </w:r>
      <w:r w:rsidRPr="000D390B">
        <w:rPr>
          <w:rFonts w:ascii="Century" w:hAnsi="Century" w:cs="FrankRuehl"/>
          <w:spacing w:val="10"/>
          <w:szCs w:val="28"/>
          <w:rtl/>
        </w:rPr>
        <w:t xml:space="preserve"> </w:t>
      </w:r>
      <w:r w:rsidRPr="000D390B">
        <w:rPr>
          <w:rFonts w:ascii="Century" w:hAnsi="Century" w:cs="FrankRuehl" w:hint="eastAsia"/>
          <w:spacing w:val="10"/>
          <w:szCs w:val="28"/>
          <w:rtl/>
        </w:rPr>
        <w:t>שניתנו</w:t>
      </w:r>
      <w:r w:rsidRPr="000D390B">
        <w:rPr>
          <w:rFonts w:ascii="Century" w:hAnsi="Century" w:cs="FrankRuehl"/>
          <w:spacing w:val="10"/>
          <w:szCs w:val="28"/>
          <w:rtl/>
        </w:rPr>
        <w:t xml:space="preserve"> </w:t>
      </w:r>
      <w:r w:rsidRPr="000D390B">
        <w:rPr>
          <w:rFonts w:ascii="Century" w:hAnsi="Century" w:cs="FrankRuehl" w:hint="eastAsia"/>
          <w:spacing w:val="10"/>
          <w:szCs w:val="28"/>
          <w:rtl/>
        </w:rPr>
        <w:t>לבית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w:t>
      </w:r>
      <w:r w:rsidRPr="000D390B">
        <w:rPr>
          <w:rFonts w:ascii="Century" w:hAnsi="Century" w:cs="FrankRuehl"/>
          <w:spacing w:val="10"/>
          <w:szCs w:val="28"/>
          <w:rtl/>
        </w:rPr>
        <w:t xml:space="preserve"> </w:t>
      </w:r>
      <w:r w:rsidRPr="000D390B">
        <w:rPr>
          <w:rFonts w:ascii="Century" w:hAnsi="Century" w:cs="FrankRuehl" w:hint="eastAsia"/>
          <w:spacing w:val="10"/>
          <w:szCs w:val="28"/>
          <w:rtl/>
        </w:rPr>
        <w:t>והשפיעו</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פסיקתו</w:t>
      </w:r>
      <w:r w:rsidRPr="000D390B">
        <w:rPr>
          <w:rFonts w:ascii="Century" w:hAnsi="Century" w:cs="FrankRuehl"/>
          <w:spacing w:val="10"/>
          <w:szCs w:val="28"/>
          <w:rtl/>
        </w:rPr>
        <w:t xml:space="preserve">. </w:t>
      </w:r>
      <w:r>
        <w:rPr>
          <w:rFonts w:ascii="Century" w:hAnsi="Century" w:cs="FrankRuehl" w:hint="cs"/>
          <w:spacing w:val="10"/>
          <w:szCs w:val="28"/>
          <w:rtl/>
        </w:rPr>
        <w:t xml:space="preserve">הלכה </w:t>
      </w:r>
      <w:r w:rsidRPr="000D390B">
        <w:rPr>
          <w:rFonts w:ascii="Century" w:hAnsi="Century" w:cs="FrankRuehl" w:hint="eastAsia"/>
          <w:spacing w:val="10"/>
          <w:szCs w:val="28"/>
          <w:rtl/>
        </w:rPr>
        <w:t>למעשה</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המניעות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מכך</w:t>
      </w:r>
      <w:r w:rsidRPr="000D390B">
        <w:rPr>
          <w:rFonts w:ascii="Century" w:hAnsi="Century" w:cs="FrankRuehl"/>
          <w:spacing w:val="10"/>
          <w:szCs w:val="28"/>
          <w:rtl/>
        </w:rPr>
        <w:t xml:space="preserve"> </w:t>
      </w:r>
      <w:r w:rsidRPr="000D390B">
        <w:rPr>
          <w:rFonts w:ascii="Century" w:hAnsi="Century" w:cs="FrankRuehl" w:hint="eastAsia"/>
          <w:spacing w:val="10"/>
          <w:szCs w:val="28"/>
          <w:rtl/>
        </w:rPr>
        <w:t>שדרעי</w:t>
      </w:r>
      <w:r w:rsidRPr="000D390B">
        <w:rPr>
          <w:rFonts w:ascii="Century" w:hAnsi="Century" w:cs="FrankRuehl"/>
          <w:spacing w:val="10"/>
          <w:szCs w:val="28"/>
          <w:rtl/>
        </w:rPr>
        <w:t xml:space="preserve"> </w:t>
      </w:r>
      <w:r w:rsidRPr="000D390B">
        <w:rPr>
          <w:rFonts w:ascii="Century" w:hAnsi="Century" w:cs="FrankRuehl" w:hint="eastAsia"/>
          <w:spacing w:val="10"/>
          <w:szCs w:val="28"/>
          <w:rtl/>
        </w:rPr>
        <w:t>יכהן</w:t>
      </w:r>
      <w:r w:rsidRPr="000D390B">
        <w:rPr>
          <w:rFonts w:ascii="Century" w:hAnsi="Century" w:cs="FrankRuehl"/>
          <w:spacing w:val="10"/>
          <w:szCs w:val="28"/>
          <w:rtl/>
        </w:rPr>
        <w:t xml:space="preserve"> </w:t>
      </w:r>
      <w:r>
        <w:rPr>
          <w:rFonts w:ascii="Century" w:hAnsi="Century" w:cs="FrankRuehl" w:hint="cs"/>
          <w:spacing w:val="10"/>
          <w:szCs w:val="28"/>
          <w:rtl/>
        </w:rPr>
        <w:t xml:space="preserve">כשר </w:t>
      </w:r>
      <w:r w:rsidRPr="000D390B">
        <w:rPr>
          <w:rFonts w:ascii="Century" w:hAnsi="Century" w:cs="FrankRuehl" w:hint="eastAsia"/>
          <w:spacing w:val="10"/>
          <w:szCs w:val="28"/>
          <w:rtl/>
        </w:rPr>
        <w:t>בממשלה</w:t>
      </w:r>
      <w:r w:rsidRPr="000D390B">
        <w:rPr>
          <w:rFonts w:ascii="Century" w:hAnsi="Century" w:cs="FrankRuehl"/>
          <w:spacing w:val="10"/>
          <w:szCs w:val="28"/>
          <w:rtl/>
        </w:rPr>
        <w:t xml:space="preserve"> </w:t>
      </w:r>
      <w:r w:rsidRPr="000D390B">
        <w:rPr>
          <w:rFonts w:ascii="Century" w:hAnsi="Century" w:cs="FrankRuehl" w:hint="eastAsia"/>
          <w:spacing w:val="10"/>
          <w:szCs w:val="28"/>
          <w:rtl/>
        </w:rPr>
        <w:t>היא</w:t>
      </w:r>
      <w:r w:rsidRPr="000D390B">
        <w:rPr>
          <w:rFonts w:ascii="Century" w:hAnsi="Century" w:cs="FrankRuehl"/>
          <w:spacing w:val="10"/>
          <w:szCs w:val="28"/>
          <w:rtl/>
        </w:rPr>
        <w:t xml:space="preserve"> </w:t>
      </w:r>
      <w:r w:rsidRPr="000D390B">
        <w:rPr>
          <w:rFonts w:ascii="Century" w:hAnsi="Century" w:cs="FrankRuehl" w:hint="eastAsia"/>
          <w:spacing w:val="10"/>
          <w:szCs w:val="28"/>
          <w:rtl/>
        </w:rPr>
        <w:t>חלק</w:t>
      </w:r>
      <w:r w:rsidRPr="000D390B">
        <w:rPr>
          <w:rFonts w:ascii="Century" w:hAnsi="Century" w:cs="FrankRuehl"/>
          <w:spacing w:val="10"/>
          <w:szCs w:val="28"/>
          <w:rtl/>
        </w:rPr>
        <w:t xml:space="preserve"> </w:t>
      </w:r>
      <w:r w:rsidRPr="000D390B">
        <w:rPr>
          <w:rFonts w:ascii="Century" w:hAnsi="Century" w:cs="FrankRuehl" w:hint="eastAsia"/>
          <w:spacing w:val="10"/>
          <w:szCs w:val="28"/>
          <w:rtl/>
        </w:rPr>
        <w:t>מאכיפת</w:t>
      </w:r>
      <w:r w:rsidRPr="000D390B">
        <w:rPr>
          <w:rFonts w:ascii="Century" w:hAnsi="Century" w:cs="FrankRuehl"/>
          <w:spacing w:val="10"/>
          <w:szCs w:val="28"/>
          <w:rtl/>
        </w:rPr>
        <w:t xml:space="preserve"> </w:t>
      </w:r>
      <w:r w:rsidRPr="000D390B">
        <w:rPr>
          <w:rFonts w:ascii="Century" w:hAnsi="Century" w:cs="FrankRuehl" w:hint="eastAsia"/>
          <w:spacing w:val="10"/>
          <w:szCs w:val="28"/>
          <w:rtl/>
        </w:rPr>
        <w:t>תוצאותיו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ההליך</w:t>
      </w:r>
      <w:r w:rsidRPr="000D390B">
        <w:rPr>
          <w:rFonts w:ascii="Century" w:hAnsi="Century" w:cs="FrankRuehl"/>
          <w:spacing w:val="10"/>
          <w:szCs w:val="28"/>
          <w:rtl/>
        </w:rPr>
        <w:t xml:space="preserve"> </w:t>
      </w:r>
      <w:r w:rsidRPr="000D390B">
        <w:rPr>
          <w:rFonts w:ascii="Century" w:hAnsi="Century" w:cs="FrankRuehl" w:hint="eastAsia"/>
          <w:spacing w:val="10"/>
          <w:szCs w:val="28"/>
          <w:rtl/>
        </w:rPr>
        <w:t>הפלילי</w:t>
      </w:r>
      <w:r>
        <w:rPr>
          <w:rFonts w:ascii="Century" w:hAnsi="Century" w:cs="FrankRuehl" w:hint="cs"/>
          <w:spacing w:val="10"/>
          <w:szCs w:val="28"/>
          <w:rtl/>
        </w:rPr>
        <w:t>,</w:t>
      </w:r>
      <w:r w:rsidRPr="000D390B">
        <w:rPr>
          <w:rFonts w:ascii="Century" w:hAnsi="Century" w:cs="FrankRuehl"/>
          <w:spacing w:val="10"/>
          <w:szCs w:val="28"/>
          <w:rtl/>
        </w:rPr>
        <w:t xml:space="preserve"> </w:t>
      </w:r>
      <w:r w:rsidRPr="000D390B">
        <w:rPr>
          <w:rFonts w:ascii="Century" w:hAnsi="Century" w:cs="FrankRuehl" w:hint="eastAsia"/>
          <w:spacing w:val="10"/>
          <w:szCs w:val="28"/>
          <w:rtl/>
        </w:rPr>
        <w:t>ותוצאותיו</w:t>
      </w:r>
      <w:r w:rsidRPr="000D390B">
        <w:rPr>
          <w:rFonts w:ascii="Century" w:hAnsi="Century" w:cs="FrankRuehl"/>
          <w:spacing w:val="10"/>
          <w:szCs w:val="28"/>
          <w:rtl/>
        </w:rPr>
        <w:t xml:space="preserve"> </w:t>
      </w:r>
      <w:r>
        <w:rPr>
          <w:rFonts w:ascii="Century" w:hAnsi="Century" w:cs="FrankRuehl" w:hint="cs"/>
          <w:spacing w:val="10"/>
          <w:szCs w:val="28"/>
          <w:rtl/>
        </w:rPr>
        <w:t xml:space="preserve">אלו </w:t>
      </w:r>
      <w:r w:rsidRPr="000D390B">
        <w:rPr>
          <w:rFonts w:ascii="Century" w:hAnsi="Century" w:cs="FrankRuehl" w:hint="eastAsia"/>
          <w:spacing w:val="10"/>
          <w:szCs w:val="28"/>
          <w:rtl/>
        </w:rPr>
        <w:t>אינן</w:t>
      </w:r>
      <w:r w:rsidRPr="000D390B">
        <w:rPr>
          <w:rFonts w:ascii="Century" w:hAnsi="Century" w:cs="FrankRuehl"/>
          <w:spacing w:val="10"/>
          <w:szCs w:val="28"/>
          <w:rtl/>
        </w:rPr>
        <w:t xml:space="preserve"> </w:t>
      </w:r>
      <w:r w:rsidRPr="000D390B">
        <w:rPr>
          <w:rFonts w:ascii="Century" w:hAnsi="Century" w:cs="FrankRuehl" w:hint="eastAsia"/>
          <w:spacing w:val="10"/>
          <w:szCs w:val="28"/>
          <w:rtl/>
        </w:rPr>
        <w:t>עניין</w:t>
      </w:r>
      <w:r w:rsidRPr="000D390B">
        <w:rPr>
          <w:rFonts w:ascii="Century" w:hAnsi="Century" w:cs="FrankRuehl"/>
          <w:spacing w:val="10"/>
          <w:szCs w:val="28"/>
          <w:rtl/>
        </w:rPr>
        <w:t xml:space="preserve"> </w:t>
      </w:r>
      <w:r w:rsidRPr="000D390B">
        <w:rPr>
          <w:rFonts w:ascii="Century" w:hAnsi="Century" w:cs="FrankRuehl" w:hint="eastAsia"/>
          <w:spacing w:val="10"/>
          <w:szCs w:val="28"/>
          <w:rtl/>
        </w:rPr>
        <w:t>לדעת</w:t>
      </w:r>
      <w:r w:rsidRPr="000D390B">
        <w:rPr>
          <w:rFonts w:ascii="Century" w:hAnsi="Century" w:cs="FrankRuehl"/>
          <w:spacing w:val="10"/>
          <w:szCs w:val="28"/>
          <w:rtl/>
        </w:rPr>
        <w:t xml:space="preserve"> "רוב" </w:t>
      </w:r>
      <w:r w:rsidRPr="000D390B">
        <w:rPr>
          <w:rFonts w:ascii="Century" w:hAnsi="Century" w:cs="FrankRuehl" w:hint="eastAsia"/>
          <w:spacing w:val="10"/>
          <w:szCs w:val="28"/>
          <w:rtl/>
        </w:rPr>
        <w:t>או</w:t>
      </w:r>
      <w:r w:rsidRPr="000D390B">
        <w:rPr>
          <w:rFonts w:ascii="Century" w:hAnsi="Century" w:cs="FrankRuehl"/>
          <w:spacing w:val="10"/>
          <w:szCs w:val="28"/>
          <w:rtl/>
        </w:rPr>
        <w:t xml:space="preserve"> </w:t>
      </w:r>
      <w:r w:rsidRPr="000D390B">
        <w:rPr>
          <w:rFonts w:ascii="Century" w:hAnsi="Century" w:cs="FrankRuehl" w:hint="eastAsia"/>
          <w:spacing w:val="10"/>
          <w:szCs w:val="28"/>
          <w:rtl/>
        </w:rPr>
        <w:t>להחלטת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הציבור</w:t>
      </w:r>
      <w:r w:rsidRPr="000D390B">
        <w:rPr>
          <w:rFonts w:ascii="Century" w:hAnsi="Century" w:cs="FrankRuehl"/>
          <w:spacing w:val="10"/>
          <w:szCs w:val="28"/>
          <w:rtl/>
        </w:rPr>
        <w:t xml:space="preserve"> </w:t>
      </w:r>
      <w:r w:rsidRPr="000D390B">
        <w:rPr>
          <w:rFonts w:ascii="Century" w:hAnsi="Century" w:cs="FrankRuehl" w:hint="eastAsia"/>
          <w:spacing w:val="10"/>
          <w:szCs w:val="28"/>
          <w:rtl/>
        </w:rPr>
        <w:t>בכלל</w:t>
      </w:r>
      <w:r w:rsidRPr="000D390B">
        <w:rPr>
          <w:rFonts w:ascii="Century" w:hAnsi="Century" w:cs="FrankRuehl"/>
          <w:spacing w:val="10"/>
          <w:szCs w:val="28"/>
          <w:rtl/>
        </w:rPr>
        <w:t xml:space="preserve">. </w:t>
      </w:r>
      <w:r w:rsidRPr="000D390B">
        <w:rPr>
          <w:rFonts w:ascii="Century" w:hAnsi="Century" w:cs="FrankRuehl" w:hint="eastAsia"/>
          <w:spacing w:val="10"/>
          <w:szCs w:val="28"/>
          <w:rtl/>
        </w:rPr>
        <w:t>אכן</w:t>
      </w:r>
      <w:r w:rsidRPr="000D390B">
        <w:rPr>
          <w:rFonts w:ascii="Century" w:hAnsi="Century" w:cs="FrankRuehl"/>
          <w:spacing w:val="10"/>
          <w:szCs w:val="28"/>
          <w:rtl/>
        </w:rPr>
        <w:t xml:space="preserve">, </w:t>
      </w:r>
      <w:r w:rsidRPr="000D390B">
        <w:rPr>
          <w:rFonts w:ascii="Century" w:hAnsi="Century" w:cs="FrankRuehl" w:hint="eastAsia"/>
          <w:spacing w:val="10"/>
          <w:szCs w:val="28"/>
          <w:rtl/>
        </w:rPr>
        <w:t>יש</w:t>
      </w:r>
      <w:r w:rsidRPr="000D390B">
        <w:rPr>
          <w:rFonts w:ascii="Century" w:hAnsi="Century" w:cs="FrankRuehl"/>
          <w:spacing w:val="10"/>
          <w:szCs w:val="28"/>
          <w:rtl/>
        </w:rPr>
        <w:t xml:space="preserve"> </w:t>
      </w:r>
      <w:r w:rsidRPr="000D390B">
        <w:rPr>
          <w:rFonts w:ascii="Century" w:hAnsi="Century" w:cs="FrankRuehl" w:hint="eastAsia"/>
          <w:spacing w:val="10"/>
          <w:szCs w:val="28"/>
          <w:rtl/>
        </w:rPr>
        <w:t>מדינות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שבהן</w:t>
      </w:r>
      <w:r w:rsidRPr="000D390B">
        <w:rPr>
          <w:rFonts w:ascii="Century" w:hAnsi="Century" w:cs="FrankRuehl"/>
          <w:spacing w:val="10"/>
          <w:szCs w:val="28"/>
          <w:rtl/>
        </w:rPr>
        <w:t xml:space="preserve"> </w:t>
      </w:r>
      <w:r w:rsidRPr="000D390B">
        <w:rPr>
          <w:rFonts w:ascii="Century" w:hAnsi="Century" w:cs="FrankRuehl" w:hint="eastAsia"/>
          <w:spacing w:val="10"/>
          <w:szCs w:val="28"/>
          <w:rtl/>
        </w:rPr>
        <w:t>הכרעה</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במשפט</w:t>
      </w:r>
      <w:r w:rsidRPr="000D390B">
        <w:rPr>
          <w:rFonts w:ascii="Century" w:hAnsi="Century" w:cs="FrankRuehl"/>
          <w:spacing w:val="10"/>
          <w:szCs w:val="28"/>
          <w:rtl/>
        </w:rPr>
        <w:t xml:space="preserve"> </w:t>
      </w:r>
      <w:r w:rsidRPr="000D390B">
        <w:rPr>
          <w:rFonts w:ascii="Century" w:hAnsi="Century" w:cs="FrankRuehl" w:hint="eastAsia"/>
          <w:spacing w:val="10"/>
          <w:szCs w:val="28"/>
          <w:rtl/>
        </w:rPr>
        <w:t>פלילי</w:t>
      </w:r>
      <w:r w:rsidRPr="000D390B">
        <w:rPr>
          <w:rFonts w:ascii="Century" w:hAnsi="Century" w:cs="FrankRuehl"/>
          <w:spacing w:val="10"/>
          <w:szCs w:val="28"/>
          <w:rtl/>
        </w:rPr>
        <w:t xml:space="preserve"> </w:t>
      </w:r>
      <w:r w:rsidRPr="000D390B">
        <w:rPr>
          <w:rFonts w:ascii="Century" w:hAnsi="Century" w:cs="FrankRuehl" w:hint="eastAsia"/>
          <w:spacing w:val="10"/>
          <w:szCs w:val="28"/>
          <w:rtl/>
        </w:rPr>
        <w:t>מתקבלת</w:t>
      </w:r>
      <w:r w:rsidRPr="000D390B">
        <w:rPr>
          <w:rFonts w:ascii="Century" w:hAnsi="Century" w:cs="FrankRuehl"/>
          <w:spacing w:val="10"/>
          <w:szCs w:val="28"/>
          <w:rtl/>
        </w:rPr>
        <w:t xml:space="preserve"> </w:t>
      </w:r>
      <w:r w:rsidRPr="000D390B">
        <w:rPr>
          <w:rFonts w:ascii="Century" w:hAnsi="Century" w:cs="FrankRuehl" w:hint="eastAsia"/>
          <w:spacing w:val="10"/>
          <w:szCs w:val="28"/>
          <w:rtl/>
        </w:rPr>
        <w:t>גם</w:t>
      </w:r>
      <w:r w:rsidRPr="000D390B">
        <w:rPr>
          <w:rFonts w:ascii="Century" w:hAnsi="Century" w:cs="FrankRuehl"/>
          <w:spacing w:val="10"/>
          <w:szCs w:val="28"/>
          <w:rtl/>
        </w:rPr>
        <w:t xml:space="preserve"> </w:t>
      </w:r>
      <w:r w:rsidRPr="000D390B">
        <w:rPr>
          <w:rFonts w:ascii="Century" w:hAnsi="Century" w:cs="FrankRuehl" w:hint="eastAsia"/>
          <w:spacing w:val="10"/>
          <w:szCs w:val="28"/>
          <w:rtl/>
        </w:rPr>
        <w:t>באמצעותם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שנים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עשר</w:t>
      </w:r>
      <w:r w:rsidRPr="000D390B">
        <w:rPr>
          <w:rFonts w:ascii="Century" w:hAnsi="Century" w:cs="FrankRuehl"/>
          <w:spacing w:val="10"/>
          <w:szCs w:val="28"/>
          <w:rtl/>
        </w:rPr>
        <w:t xml:space="preserve"> </w:t>
      </w:r>
      <w:r w:rsidRPr="000D390B">
        <w:rPr>
          <w:rFonts w:ascii="Century" w:hAnsi="Century" w:cs="FrankRuehl" w:hint="eastAsia"/>
          <w:spacing w:val="10"/>
          <w:szCs w:val="28"/>
          <w:rtl/>
        </w:rPr>
        <w:t>מושבעים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אולם</w:t>
      </w:r>
      <w:r w:rsidRPr="000D390B">
        <w:rPr>
          <w:rFonts w:ascii="Century" w:hAnsi="Century" w:cs="FrankRuehl"/>
          <w:spacing w:val="10"/>
          <w:szCs w:val="28"/>
          <w:rtl/>
        </w:rPr>
        <w:t xml:space="preserve">, </w:t>
      </w:r>
      <w:r w:rsidRPr="000D390B">
        <w:rPr>
          <w:rFonts w:ascii="Century" w:hAnsi="Century" w:cs="FrankRuehl" w:hint="eastAsia"/>
          <w:spacing w:val="10"/>
          <w:szCs w:val="28"/>
          <w:rtl/>
        </w:rPr>
        <w:t>אין</w:t>
      </w:r>
      <w:r w:rsidRPr="000D390B">
        <w:rPr>
          <w:rFonts w:ascii="Century" w:hAnsi="Century" w:cs="FrankRuehl"/>
          <w:spacing w:val="10"/>
          <w:szCs w:val="28"/>
          <w:rtl/>
        </w:rPr>
        <w:t xml:space="preserve"> </w:t>
      </w:r>
      <w:r w:rsidRPr="000D390B">
        <w:rPr>
          <w:rFonts w:ascii="Century" w:hAnsi="Century" w:cs="FrankRuehl" w:hint="eastAsia"/>
          <w:spacing w:val="10"/>
          <w:szCs w:val="28"/>
          <w:rtl/>
        </w:rPr>
        <w:t>אף</w:t>
      </w:r>
      <w:r w:rsidRPr="000D390B">
        <w:rPr>
          <w:rFonts w:ascii="Century" w:hAnsi="Century" w:cs="FrankRuehl"/>
          <w:spacing w:val="10"/>
          <w:szCs w:val="28"/>
          <w:rtl/>
        </w:rPr>
        <w:t xml:space="preserve"> </w:t>
      </w:r>
      <w:r w:rsidRPr="000D390B">
        <w:rPr>
          <w:rFonts w:ascii="Century" w:hAnsi="Century" w:cs="FrankRuehl" w:hint="eastAsia"/>
          <w:spacing w:val="10"/>
          <w:szCs w:val="28"/>
          <w:rtl/>
        </w:rPr>
        <w:t>מדינה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דמוקרטית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שבה</w:t>
      </w:r>
      <w:r w:rsidRPr="000D390B">
        <w:rPr>
          <w:rFonts w:ascii="Century" w:hAnsi="Century" w:cs="FrankRuehl"/>
          <w:spacing w:val="10"/>
          <w:szCs w:val="28"/>
          <w:rtl/>
        </w:rPr>
        <w:t xml:space="preserve"> </w:t>
      </w:r>
      <w:r w:rsidRPr="000D390B">
        <w:rPr>
          <w:rFonts w:ascii="Century" w:hAnsi="Century" w:cs="FrankRuehl" w:hint="eastAsia"/>
          <w:spacing w:val="10"/>
          <w:szCs w:val="28"/>
          <w:rtl/>
        </w:rPr>
        <w:t>תוצאותיו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הליך</w:t>
      </w:r>
      <w:r w:rsidRPr="000D390B">
        <w:rPr>
          <w:rFonts w:ascii="Century" w:hAnsi="Century" w:cs="FrankRuehl"/>
          <w:spacing w:val="10"/>
          <w:szCs w:val="28"/>
          <w:rtl/>
        </w:rPr>
        <w:t xml:space="preserve"> </w:t>
      </w:r>
      <w:r w:rsidRPr="000D390B">
        <w:rPr>
          <w:rFonts w:ascii="Century" w:hAnsi="Century" w:cs="FrankRuehl" w:hint="eastAsia"/>
          <w:spacing w:val="10"/>
          <w:szCs w:val="28"/>
          <w:rtl/>
        </w:rPr>
        <w:t>פלילי</w:t>
      </w:r>
      <w:r w:rsidRPr="000D390B">
        <w:rPr>
          <w:rFonts w:ascii="Century" w:hAnsi="Century" w:cs="FrankRuehl"/>
          <w:spacing w:val="10"/>
          <w:szCs w:val="28"/>
          <w:rtl/>
        </w:rPr>
        <w:t xml:space="preserve"> </w:t>
      </w:r>
      <w:r>
        <w:rPr>
          <w:rFonts w:ascii="Century" w:hAnsi="Century" w:cs="FrankRuehl" w:hint="cs"/>
          <w:spacing w:val="10"/>
          <w:szCs w:val="28"/>
          <w:rtl/>
        </w:rPr>
        <w:t xml:space="preserve">מסוים </w:t>
      </w:r>
      <w:r w:rsidRPr="000D390B">
        <w:rPr>
          <w:rFonts w:ascii="Century" w:hAnsi="Century" w:cs="FrankRuehl" w:hint="eastAsia"/>
          <w:spacing w:val="10"/>
          <w:szCs w:val="28"/>
          <w:rtl/>
        </w:rPr>
        <w:t>מוכרעות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בדיעבד</w:t>
      </w:r>
      <w:r w:rsidRPr="000D390B">
        <w:rPr>
          <w:rFonts w:ascii="Century" w:hAnsi="Century" w:cs="FrankRuehl"/>
          <w:spacing w:val="10"/>
          <w:szCs w:val="28"/>
          <w:rtl/>
        </w:rPr>
        <w:t xml:space="preserve"> </w:t>
      </w:r>
      <w:r>
        <w:rPr>
          <w:rFonts w:ascii="Century" w:hAnsi="Century" w:cs="FrankRuehl" w:hint="cs"/>
          <w:spacing w:val="10"/>
          <w:szCs w:val="28"/>
          <w:rtl/>
        </w:rPr>
        <w:t>בבחירות כלליות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אין</w:t>
      </w:r>
      <w:r w:rsidRPr="000D390B">
        <w:rPr>
          <w:rFonts w:ascii="Century" w:hAnsi="Century" w:cs="FrankRuehl"/>
          <w:spacing w:val="10"/>
          <w:szCs w:val="28"/>
          <w:rtl/>
        </w:rPr>
        <w:t xml:space="preserve"> </w:t>
      </w:r>
      <w:r w:rsidRPr="000D390B">
        <w:rPr>
          <w:rFonts w:ascii="Century" w:hAnsi="Century" w:cs="FrankRuehl" w:hint="eastAsia"/>
          <w:spacing w:val="10"/>
          <w:szCs w:val="28"/>
          <w:rtl/>
        </w:rPr>
        <w:t>מדובר</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במחלוקת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שמתנהלת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באותו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מישור</w:t>
      </w:r>
      <w:r w:rsidRPr="000D390B">
        <w:rPr>
          <w:rFonts w:ascii="Century" w:hAnsi="Century" w:cs="FrankRuehl"/>
          <w:spacing w:val="10"/>
          <w:szCs w:val="28"/>
          <w:rtl/>
        </w:rPr>
        <w:t xml:space="preserve">. </w:t>
      </w:r>
      <w:r w:rsidRPr="000D390B">
        <w:rPr>
          <w:rFonts w:ascii="Century" w:hAnsi="Century" w:cs="FrankRuehl" w:hint="eastAsia"/>
          <w:spacing w:val="10"/>
          <w:szCs w:val="28"/>
          <w:rtl/>
        </w:rPr>
        <w:t>גם</w:t>
      </w:r>
      <w:r w:rsidRPr="000D390B">
        <w:rPr>
          <w:rFonts w:ascii="Century" w:hAnsi="Century" w:cs="FrankRuehl"/>
          <w:spacing w:val="10"/>
          <w:szCs w:val="28"/>
          <w:rtl/>
        </w:rPr>
        <w:t xml:space="preserve"> </w:t>
      </w:r>
      <w:r w:rsidRPr="000D390B">
        <w:rPr>
          <w:rFonts w:ascii="Century" w:hAnsi="Century" w:cs="FrankRuehl" w:hint="eastAsia"/>
          <w:spacing w:val="10"/>
          <w:szCs w:val="28"/>
          <w:rtl/>
        </w:rPr>
        <w:t>מנהיגם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ארבע</w:t>
      </w:r>
      <w:r w:rsidRPr="000D390B">
        <w:rPr>
          <w:rFonts w:ascii="Century" w:hAnsi="Century" w:cs="FrankRuehl"/>
          <w:spacing w:val="10"/>
          <w:szCs w:val="28"/>
          <w:rtl/>
        </w:rPr>
        <w:t xml:space="preserve"> </w:t>
      </w:r>
      <w:r w:rsidRPr="000D390B">
        <w:rPr>
          <w:rFonts w:ascii="Century" w:hAnsi="Century" w:cs="FrankRuehl" w:hint="eastAsia"/>
          <w:spacing w:val="10"/>
          <w:szCs w:val="28"/>
          <w:rtl/>
        </w:rPr>
        <w:t>מאות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אלף</w:t>
      </w:r>
      <w:r w:rsidRPr="000D390B">
        <w:rPr>
          <w:rFonts w:ascii="Century" w:hAnsi="Century" w:cs="FrankRuehl"/>
          <w:spacing w:val="10"/>
          <w:szCs w:val="28"/>
          <w:rtl/>
        </w:rPr>
        <w:t xml:space="preserve"> </w:t>
      </w:r>
      <w:r w:rsidRPr="000D390B">
        <w:rPr>
          <w:rFonts w:ascii="Century" w:hAnsi="Century" w:cs="FrankRuehl" w:hint="eastAsia"/>
          <w:spacing w:val="10"/>
          <w:szCs w:val="28"/>
          <w:rtl/>
        </w:rPr>
        <w:t>מצביעים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מחויב</w:t>
      </w:r>
      <w:r w:rsidRPr="000D390B">
        <w:rPr>
          <w:rFonts w:ascii="Century" w:hAnsi="Century" w:cs="FrankRuehl"/>
          <w:spacing w:val="10"/>
          <w:szCs w:val="28"/>
          <w:rtl/>
        </w:rPr>
        <w:t xml:space="preserve"> </w:t>
      </w:r>
      <w:r w:rsidRPr="000D390B">
        <w:rPr>
          <w:rFonts w:ascii="Century" w:hAnsi="Century" w:cs="FrankRuehl" w:hint="eastAsia"/>
          <w:spacing w:val="10"/>
          <w:szCs w:val="28"/>
          <w:rtl/>
        </w:rPr>
        <w:t>לנהוג</w:t>
      </w:r>
      <w:r w:rsidRPr="000D390B">
        <w:rPr>
          <w:rFonts w:ascii="Century" w:hAnsi="Century" w:cs="FrankRuehl"/>
          <w:spacing w:val="10"/>
          <w:szCs w:val="28"/>
          <w:rtl/>
        </w:rPr>
        <w:t xml:space="preserve"> </w:t>
      </w:r>
      <w:r w:rsidRPr="000D390B">
        <w:rPr>
          <w:rFonts w:ascii="Century" w:hAnsi="Century" w:cs="FrankRuehl" w:hint="eastAsia"/>
          <w:spacing w:val="10"/>
          <w:szCs w:val="28"/>
          <w:rtl/>
        </w:rPr>
        <w:t>בהגינות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בבית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המשפט</w:t>
      </w:r>
      <w:r w:rsidRPr="000D390B">
        <w:rPr>
          <w:rFonts w:ascii="Century" w:hAnsi="Century" w:cs="FrankRuehl"/>
          <w:spacing w:val="10"/>
          <w:szCs w:val="28"/>
          <w:rtl/>
        </w:rPr>
        <w:t xml:space="preserve"> </w:t>
      </w:r>
      <w:r w:rsidRPr="000D390B">
        <w:rPr>
          <w:rFonts w:ascii="Century" w:hAnsi="Century" w:cs="FrankRuehl" w:hint="eastAsia"/>
          <w:spacing w:val="10"/>
          <w:szCs w:val="28"/>
          <w:rtl/>
        </w:rPr>
        <w:t>ובמצגים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שהוא</w:t>
      </w:r>
      <w:r w:rsidRPr="000D390B">
        <w:rPr>
          <w:rFonts w:ascii="Century" w:hAnsi="Century" w:cs="FrankRuehl"/>
          <w:spacing w:val="10"/>
          <w:szCs w:val="28"/>
          <w:rtl/>
        </w:rPr>
        <w:t xml:space="preserve"> </w:t>
      </w:r>
      <w:r w:rsidRPr="000D390B">
        <w:rPr>
          <w:rFonts w:ascii="Century" w:hAnsi="Century" w:cs="FrankRuehl" w:hint="eastAsia"/>
          <w:spacing w:val="10"/>
          <w:szCs w:val="28"/>
          <w:rtl/>
        </w:rPr>
        <w:t>מציג</w:t>
      </w:r>
      <w:r w:rsidRPr="000D390B">
        <w:rPr>
          <w:rFonts w:ascii="Century" w:hAnsi="Century" w:cs="FrankRuehl"/>
          <w:spacing w:val="10"/>
          <w:szCs w:val="28"/>
          <w:rtl/>
        </w:rPr>
        <w:t xml:space="preserve"> </w:t>
      </w:r>
      <w:r w:rsidRPr="000D390B">
        <w:rPr>
          <w:rFonts w:ascii="Century" w:hAnsi="Century" w:cs="FrankRuehl" w:hint="eastAsia"/>
          <w:spacing w:val="10"/>
          <w:szCs w:val="28"/>
          <w:rtl/>
        </w:rPr>
        <w:t>כלפיו</w:t>
      </w:r>
      <w:r w:rsidRPr="000D390B">
        <w:rPr>
          <w:rFonts w:ascii="Century" w:hAnsi="Century" w:cs="FrankRuehl"/>
          <w:spacing w:val="10"/>
          <w:szCs w:val="28"/>
          <w:rtl/>
        </w:rPr>
        <w:t>.</w:t>
      </w:r>
    </w:p>
    <w:p w14:paraId="43DD8613" w14:textId="77777777" w:rsidR="00437A63" w:rsidRDefault="00437A63" w:rsidP="00437A63">
      <w:pPr>
        <w:pStyle w:val="af0"/>
        <w:spacing w:line="360" w:lineRule="auto"/>
        <w:ind w:left="0"/>
        <w:jc w:val="both"/>
        <w:rPr>
          <w:rFonts w:ascii="FrankRuehl" w:hAnsi="FrankRuehl" w:cs="FrankRuehl"/>
          <w:sz w:val="28"/>
          <w:szCs w:val="28"/>
          <w:rtl/>
        </w:rPr>
      </w:pPr>
    </w:p>
    <w:p w14:paraId="246D56C7"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lastRenderedPageBreak/>
        <w:t>38</w:t>
      </w:r>
      <w:r w:rsidRPr="000D390B">
        <w:rPr>
          <w:rFonts w:ascii="Century" w:hAnsi="Century" w:cs="FrankRuehl"/>
          <w:spacing w:val="10"/>
          <w:szCs w:val="28"/>
          <w:rtl/>
        </w:rPr>
        <w:t xml:space="preserve">. </w:t>
      </w:r>
      <w:r w:rsidRPr="000D390B">
        <w:rPr>
          <w:rFonts w:ascii="Century" w:hAnsi="Century" w:cs="FrankRuehl"/>
          <w:spacing w:val="10"/>
          <w:szCs w:val="28"/>
          <w:rtl/>
        </w:rPr>
        <w:tab/>
      </w:r>
      <w:r>
        <w:rPr>
          <w:rFonts w:ascii="Century" w:hAnsi="Century" w:cs="FrankRuehl" w:hint="cs"/>
          <w:spacing w:val="10"/>
          <w:szCs w:val="28"/>
          <w:rtl/>
        </w:rPr>
        <w:t xml:space="preserve">בשלב זה עשויה הייתה לעלות תהייה נוספת – </w:t>
      </w:r>
      <w:r w:rsidRPr="000D390B">
        <w:rPr>
          <w:rFonts w:ascii="Century" w:hAnsi="Century" w:cs="FrankRuehl" w:hint="eastAsia"/>
          <w:spacing w:val="10"/>
          <w:szCs w:val="28"/>
          <w:rtl/>
        </w:rPr>
        <w:t>האם</w:t>
      </w:r>
      <w:r w:rsidRPr="000D390B">
        <w:rPr>
          <w:rFonts w:ascii="Century" w:hAnsi="Century" w:cs="FrankRuehl"/>
          <w:spacing w:val="10"/>
          <w:szCs w:val="28"/>
          <w:rtl/>
        </w:rPr>
        <w:t xml:space="preserve"> </w:t>
      </w:r>
      <w:r w:rsidRPr="000D390B">
        <w:rPr>
          <w:rFonts w:ascii="Century" w:hAnsi="Century" w:cs="FrankRuehl" w:hint="eastAsia"/>
          <w:spacing w:val="10"/>
          <w:szCs w:val="28"/>
          <w:rtl/>
        </w:rPr>
        <w:t>העובדות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המתוארות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ככל</w:t>
      </w:r>
      <w:r w:rsidRPr="000D390B">
        <w:rPr>
          <w:rFonts w:ascii="Century" w:hAnsi="Century" w:cs="FrankRuehl"/>
          <w:spacing w:val="10"/>
          <w:szCs w:val="28"/>
          <w:rtl/>
        </w:rPr>
        <w:t xml:space="preserve"> </w:t>
      </w:r>
      <w:r w:rsidRPr="000D390B">
        <w:rPr>
          <w:rFonts w:ascii="Century" w:hAnsi="Century" w:cs="FrankRuehl" w:hint="eastAsia"/>
          <w:spacing w:val="10"/>
          <w:szCs w:val="28"/>
          <w:rtl/>
        </w:rPr>
        <w:t>שיש</w:t>
      </w:r>
      <w:r w:rsidRPr="000D390B">
        <w:rPr>
          <w:rFonts w:ascii="Century" w:hAnsi="Century" w:cs="FrankRuehl"/>
          <w:spacing w:val="10"/>
          <w:szCs w:val="28"/>
          <w:rtl/>
        </w:rPr>
        <w:t xml:space="preserve"> </w:t>
      </w:r>
      <w:r w:rsidRPr="000D390B">
        <w:rPr>
          <w:rFonts w:ascii="Century" w:hAnsi="Century" w:cs="FrankRuehl" w:hint="eastAsia"/>
          <w:spacing w:val="10"/>
          <w:szCs w:val="28"/>
          <w:rtl/>
        </w:rPr>
        <w:t>בהן</w:t>
      </w:r>
      <w:r w:rsidRPr="000D390B">
        <w:rPr>
          <w:rFonts w:ascii="Century" w:hAnsi="Century" w:cs="FrankRuehl"/>
          <w:spacing w:val="10"/>
          <w:szCs w:val="28"/>
          <w:rtl/>
        </w:rPr>
        <w:t xml:space="preserve"> </w:t>
      </w:r>
      <w:r w:rsidRPr="000D390B">
        <w:rPr>
          <w:rFonts w:ascii="Century" w:hAnsi="Century" w:cs="FrankRuehl" w:hint="eastAsia"/>
          <w:spacing w:val="10"/>
          <w:szCs w:val="28"/>
          <w:rtl/>
        </w:rPr>
        <w:t>להקים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מניעה</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משפטית</w:t>
      </w:r>
      <w:r>
        <w:rPr>
          <w:rFonts w:ascii="Century" w:hAnsi="Century" w:cs="FrankRuehl" w:hint="cs"/>
          <w:spacing w:val="10"/>
          <w:szCs w:val="28"/>
          <w:rtl/>
        </w:rPr>
        <w:t xml:space="preserve"> מכהונה של דרעי כשר</w:t>
      </w:r>
      <w:r w:rsidRPr="000D390B">
        <w:rPr>
          <w:rFonts w:ascii="Century" w:hAnsi="Century" w:cs="FrankRuehl"/>
          <w:spacing w:val="10"/>
          <w:szCs w:val="28"/>
          <w:rtl/>
        </w:rPr>
        <w:t xml:space="preserve">, לא היו אמורות למנוע </w:t>
      </w:r>
      <w:r>
        <w:rPr>
          <w:rFonts w:ascii="Century" w:hAnsi="Century" w:cs="FrankRuehl" w:hint="cs"/>
          <w:spacing w:val="10"/>
          <w:szCs w:val="28"/>
          <w:rtl/>
        </w:rPr>
        <w:t>ממנו גם לכהן כחבר כנסת</w:t>
      </w:r>
      <w:r w:rsidRPr="000D390B">
        <w:rPr>
          <w:rFonts w:ascii="Century" w:hAnsi="Century" w:cs="FrankRuehl"/>
          <w:spacing w:val="10"/>
          <w:szCs w:val="28"/>
          <w:rtl/>
        </w:rPr>
        <w:t>? הרי, הצהר</w:t>
      </w:r>
      <w:r w:rsidRPr="000D390B">
        <w:rPr>
          <w:rFonts w:ascii="Century" w:hAnsi="Century" w:cs="FrankRuehl" w:hint="eastAsia"/>
          <w:spacing w:val="10"/>
          <w:szCs w:val="28"/>
          <w:rtl/>
        </w:rPr>
        <w:t>ותיו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דרעי</w:t>
      </w:r>
      <w:r w:rsidRPr="000D390B">
        <w:rPr>
          <w:rFonts w:ascii="Century" w:hAnsi="Century" w:cs="FrankRuehl"/>
          <w:spacing w:val="10"/>
          <w:szCs w:val="28"/>
          <w:rtl/>
        </w:rPr>
        <w:t xml:space="preserve"> </w:t>
      </w:r>
      <w:r w:rsidRPr="000D390B">
        <w:rPr>
          <w:rFonts w:ascii="Century" w:hAnsi="Century" w:cs="FrankRuehl" w:hint="eastAsia"/>
          <w:spacing w:val="10"/>
          <w:szCs w:val="28"/>
          <w:rtl/>
        </w:rPr>
        <w:t>התייחסו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באופן</w:t>
      </w:r>
      <w:r w:rsidRPr="000D390B">
        <w:rPr>
          <w:rFonts w:ascii="Century" w:hAnsi="Century" w:cs="FrankRuehl"/>
          <w:spacing w:val="10"/>
          <w:szCs w:val="28"/>
          <w:rtl/>
        </w:rPr>
        <w:t xml:space="preserve"> </w:t>
      </w:r>
      <w:r w:rsidRPr="000D390B">
        <w:rPr>
          <w:rFonts w:ascii="Century" w:hAnsi="Century" w:cs="FrankRuehl" w:hint="eastAsia"/>
          <w:spacing w:val="10"/>
          <w:szCs w:val="28"/>
          <w:rtl/>
        </w:rPr>
        <w:t>גורף</w:t>
      </w:r>
      <w:r w:rsidRPr="000D390B">
        <w:rPr>
          <w:rFonts w:ascii="Century" w:hAnsi="Century" w:cs="FrankRuehl"/>
          <w:spacing w:val="10"/>
          <w:szCs w:val="28"/>
          <w:rtl/>
        </w:rPr>
        <w:t xml:space="preserve"> לפרישה גם מכהונה בכנסת, ולא רק </w:t>
      </w:r>
      <w:r>
        <w:rPr>
          <w:rFonts w:ascii="Century" w:hAnsi="Century" w:cs="FrankRuehl" w:hint="cs"/>
          <w:spacing w:val="10"/>
          <w:szCs w:val="28"/>
          <w:rtl/>
        </w:rPr>
        <w:t>מ</w:t>
      </w:r>
      <w:r w:rsidRPr="000D390B">
        <w:rPr>
          <w:rFonts w:ascii="Century" w:hAnsi="Century" w:cs="FrankRuehl"/>
          <w:spacing w:val="10"/>
          <w:szCs w:val="28"/>
          <w:rtl/>
        </w:rPr>
        <w:t xml:space="preserve">כהונה בממשלה. </w:t>
      </w:r>
    </w:p>
    <w:p w14:paraId="11A6DBE6" w14:textId="77777777" w:rsidR="00437A63" w:rsidRPr="000D390B" w:rsidRDefault="00437A63" w:rsidP="00437A63">
      <w:pPr>
        <w:pStyle w:val="af0"/>
        <w:spacing w:line="360" w:lineRule="auto"/>
        <w:ind w:left="0"/>
        <w:jc w:val="both"/>
        <w:rPr>
          <w:rFonts w:ascii="Century" w:hAnsi="Century" w:cs="FrankRuehl"/>
          <w:spacing w:val="10"/>
          <w:szCs w:val="28"/>
          <w:rtl/>
        </w:rPr>
      </w:pPr>
    </w:p>
    <w:p w14:paraId="494EC498"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39</w:t>
      </w:r>
      <w:r w:rsidRPr="000D390B">
        <w:rPr>
          <w:rFonts w:ascii="Century" w:hAnsi="Century" w:cs="FrankRuehl"/>
          <w:spacing w:val="10"/>
          <w:szCs w:val="28"/>
          <w:rtl/>
        </w:rPr>
        <w:t>.</w:t>
      </w:r>
      <w:r w:rsidRPr="000D390B">
        <w:rPr>
          <w:rFonts w:ascii="Century" w:hAnsi="Century" w:cs="FrankRuehl"/>
          <w:spacing w:val="10"/>
          <w:szCs w:val="28"/>
          <w:rtl/>
        </w:rPr>
        <w:tab/>
      </w:r>
      <w:r w:rsidRPr="000D390B">
        <w:rPr>
          <w:rFonts w:ascii="Century" w:hAnsi="Century" w:cs="FrankRuehl" w:hint="eastAsia"/>
          <w:spacing w:val="10"/>
          <w:szCs w:val="28"/>
          <w:rtl/>
        </w:rPr>
        <w:t>התשובה</w:t>
      </w:r>
      <w:r w:rsidRPr="000D390B">
        <w:rPr>
          <w:rFonts w:ascii="Century" w:hAnsi="Century" w:cs="FrankRuehl"/>
          <w:spacing w:val="10"/>
          <w:szCs w:val="28"/>
          <w:rtl/>
        </w:rPr>
        <w:t xml:space="preserve"> </w:t>
      </w:r>
      <w:r w:rsidRPr="000D390B">
        <w:rPr>
          <w:rFonts w:ascii="Century" w:hAnsi="Century" w:cs="FrankRuehl" w:hint="eastAsia"/>
          <w:spacing w:val="10"/>
          <w:szCs w:val="28"/>
          <w:rtl/>
        </w:rPr>
        <w:t>לכך</w:t>
      </w:r>
      <w:r w:rsidRPr="000D390B">
        <w:rPr>
          <w:rFonts w:ascii="Century" w:hAnsi="Century" w:cs="FrankRuehl"/>
          <w:spacing w:val="10"/>
          <w:szCs w:val="28"/>
          <w:rtl/>
        </w:rPr>
        <w:t xml:space="preserve"> </w:t>
      </w:r>
      <w:r w:rsidRPr="000D390B">
        <w:rPr>
          <w:rFonts w:ascii="Century" w:hAnsi="Century" w:cs="FrankRuehl" w:hint="eastAsia"/>
          <w:spacing w:val="10"/>
          <w:szCs w:val="28"/>
          <w:rtl/>
        </w:rPr>
        <w:t>מבוססת</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ההבחנה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הברורה</w:t>
      </w:r>
      <w:r w:rsidRPr="000D390B">
        <w:rPr>
          <w:rFonts w:ascii="Century" w:hAnsi="Century" w:cs="FrankRuehl"/>
          <w:spacing w:val="10"/>
          <w:szCs w:val="28"/>
          <w:rtl/>
        </w:rPr>
        <w:t xml:space="preserve"> </w:t>
      </w:r>
      <w:r w:rsidRPr="000D390B">
        <w:rPr>
          <w:rFonts w:ascii="Century" w:hAnsi="Century" w:cs="FrankRuehl" w:hint="eastAsia"/>
          <w:spacing w:val="10"/>
          <w:szCs w:val="28"/>
          <w:rtl/>
        </w:rPr>
        <w:t>שקיימת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במשפט</w:t>
      </w:r>
      <w:r w:rsidRPr="000D390B">
        <w:rPr>
          <w:rFonts w:ascii="Century" w:hAnsi="Century" w:cs="FrankRuehl"/>
          <w:spacing w:val="10"/>
          <w:szCs w:val="28"/>
          <w:rtl/>
        </w:rPr>
        <w:t xml:space="preserve"> </w:t>
      </w:r>
      <w:r w:rsidRPr="000D390B">
        <w:rPr>
          <w:rFonts w:ascii="Century" w:hAnsi="Century" w:cs="FrankRuehl" w:hint="eastAsia"/>
          <w:spacing w:val="10"/>
          <w:szCs w:val="28"/>
          <w:rtl/>
        </w:rPr>
        <w:t>החוקתי</w:t>
      </w:r>
      <w:r w:rsidRPr="000D390B">
        <w:rPr>
          <w:rFonts w:ascii="Century" w:hAnsi="Century" w:cs="FrankRuehl"/>
          <w:spacing w:val="10"/>
          <w:szCs w:val="28"/>
          <w:rtl/>
        </w:rPr>
        <w:t xml:space="preserve"> </w:t>
      </w:r>
      <w:r w:rsidRPr="000D390B">
        <w:rPr>
          <w:rFonts w:ascii="Century" w:hAnsi="Century" w:cs="FrankRuehl" w:hint="eastAsia"/>
          <w:spacing w:val="10"/>
          <w:szCs w:val="28"/>
          <w:rtl/>
        </w:rPr>
        <w:t>בין</w:t>
      </w:r>
      <w:r w:rsidRPr="000D390B">
        <w:rPr>
          <w:rFonts w:ascii="Century" w:hAnsi="Century" w:cs="FrankRuehl"/>
          <w:spacing w:val="10"/>
          <w:szCs w:val="28"/>
          <w:rtl/>
        </w:rPr>
        <w:t xml:space="preserve"> </w:t>
      </w:r>
      <w:r w:rsidRPr="000D390B">
        <w:rPr>
          <w:rFonts w:ascii="Century" w:hAnsi="Century" w:cs="FrankRuehl" w:hint="eastAsia"/>
          <w:spacing w:val="10"/>
          <w:szCs w:val="28"/>
          <w:rtl/>
        </w:rPr>
        <w:t>הטלת</w:t>
      </w:r>
      <w:r w:rsidRPr="000D390B">
        <w:rPr>
          <w:rFonts w:ascii="Century" w:hAnsi="Century" w:cs="FrankRuehl"/>
          <w:spacing w:val="10"/>
          <w:szCs w:val="28"/>
          <w:rtl/>
        </w:rPr>
        <w:t xml:space="preserve"> </w:t>
      </w:r>
      <w:r>
        <w:rPr>
          <w:rFonts w:ascii="Century" w:hAnsi="Century" w:cs="FrankRuehl" w:hint="cs"/>
          <w:spacing w:val="10"/>
          <w:szCs w:val="28"/>
          <w:rtl/>
        </w:rPr>
        <w:t>מ</w:t>
      </w:r>
      <w:r w:rsidRPr="000D390B">
        <w:rPr>
          <w:rFonts w:ascii="Century" w:hAnsi="Century" w:cs="FrankRuehl" w:hint="eastAsia"/>
          <w:spacing w:val="10"/>
          <w:szCs w:val="28"/>
          <w:rtl/>
        </w:rPr>
        <w:t>גבלות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הזכות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לבחור</w:t>
      </w:r>
      <w:r w:rsidRPr="000D390B">
        <w:rPr>
          <w:rFonts w:ascii="Century" w:hAnsi="Century" w:cs="FrankRuehl"/>
          <w:spacing w:val="10"/>
          <w:szCs w:val="28"/>
          <w:rtl/>
        </w:rPr>
        <w:t xml:space="preserve"> </w:t>
      </w:r>
      <w:r w:rsidRPr="000D390B">
        <w:rPr>
          <w:rFonts w:ascii="Century" w:hAnsi="Century" w:cs="FrankRuehl" w:hint="eastAsia"/>
          <w:spacing w:val="10"/>
          <w:szCs w:val="28"/>
          <w:rtl/>
        </w:rPr>
        <w:t>ולהיבחר</w:t>
      </w:r>
      <w:r w:rsidRPr="000D390B">
        <w:rPr>
          <w:rFonts w:ascii="Century" w:hAnsi="Century" w:cs="FrankRuehl"/>
          <w:spacing w:val="10"/>
          <w:szCs w:val="28"/>
          <w:rtl/>
        </w:rPr>
        <w:t xml:space="preserve"> </w:t>
      </w:r>
      <w:r w:rsidRPr="000D390B">
        <w:rPr>
          <w:rFonts w:ascii="Century" w:hAnsi="Century" w:cs="FrankRuehl" w:hint="eastAsia"/>
          <w:spacing w:val="10"/>
          <w:szCs w:val="28"/>
          <w:rtl/>
        </w:rPr>
        <w:t>לבין</w:t>
      </w:r>
      <w:r w:rsidRPr="000D390B">
        <w:rPr>
          <w:rFonts w:ascii="Century" w:hAnsi="Century" w:cs="FrankRuehl"/>
          <w:spacing w:val="10"/>
          <w:szCs w:val="28"/>
          <w:rtl/>
        </w:rPr>
        <w:t xml:space="preserve"> </w:t>
      </w:r>
      <w:r w:rsidRPr="000D390B">
        <w:rPr>
          <w:rFonts w:ascii="Century" w:hAnsi="Century" w:cs="FrankRuehl" w:hint="eastAsia"/>
          <w:spacing w:val="10"/>
          <w:szCs w:val="28"/>
          <w:rtl/>
        </w:rPr>
        <w:t>הטלת</w:t>
      </w:r>
      <w:r w:rsidRPr="000D390B">
        <w:rPr>
          <w:rFonts w:ascii="Century" w:hAnsi="Century" w:cs="FrankRuehl"/>
          <w:spacing w:val="10"/>
          <w:szCs w:val="28"/>
          <w:rtl/>
        </w:rPr>
        <w:t xml:space="preserve"> </w:t>
      </w:r>
      <w:r>
        <w:rPr>
          <w:rFonts w:ascii="Century" w:hAnsi="Century" w:cs="FrankRuehl" w:hint="cs"/>
          <w:spacing w:val="10"/>
          <w:szCs w:val="28"/>
          <w:rtl/>
        </w:rPr>
        <w:t>מ</w:t>
      </w:r>
      <w:r w:rsidRPr="000D390B">
        <w:rPr>
          <w:rFonts w:ascii="Century" w:hAnsi="Century" w:cs="FrankRuehl" w:hint="eastAsia"/>
          <w:spacing w:val="10"/>
          <w:szCs w:val="28"/>
          <w:rtl/>
        </w:rPr>
        <w:t>גבלות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כהונה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בתפקידים</w:t>
      </w:r>
      <w:r>
        <w:rPr>
          <w:rFonts w:ascii="Century" w:hAnsi="Century" w:cs="FrankRuehl" w:hint="cs"/>
          <w:spacing w:val="10"/>
          <w:szCs w:val="28"/>
          <w:rtl/>
        </w:rPr>
        <w:t xml:space="preserve"> מינהליים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מסוימים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ובכללם</w:t>
      </w:r>
      <w:r w:rsidRPr="000D390B">
        <w:rPr>
          <w:rFonts w:ascii="Century" w:hAnsi="Century" w:cs="FrankRuehl"/>
          <w:spacing w:val="10"/>
          <w:szCs w:val="28"/>
          <w:rtl/>
        </w:rPr>
        <w:t xml:space="preserve"> </w:t>
      </w:r>
      <w:r w:rsidRPr="000D390B">
        <w:rPr>
          <w:rFonts w:ascii="Century" w:hAnsi="Century" w:cs="FrankRuehl" w:hint="eastAsia"/>
          <w:spacing w:val="10"/>
          <w:szCs w:val="28"/>
          <w:rtl/>
        </w:rPr>
        <w:t>תפקידי</w:t>
      </w:r>
      <w:r w:rsidRPr="000D390B">
        <w:rPr>
          <w:rFonts w:ascii="Century" w:hAnsi="Century" w:cs="FrankRuehl"/>
          <w:spacing w:val="10"/>
          <w:szCs w:val="28"/>
          <w:rtl/>
        </w:rPr>
        <w:t xml:space="preserve"> </w:t>
      </w:r>
      <w:r w:rsidRPr="000D390B">
        <w:rPr>
          <w:rFonts w:ascii="Century" w:hAnsi="Century" w:cs="FrankRuehl" w:hint="eastAsia"/>
          <w:spacing w:val="10"/>
          <w:szCs w:val="28"/>
          <w:rtl/>
        </w:rPr>
        <w:t>שרים</w:t>
      </w:r>
      <w:r w:rsidRPr="000D390B">
        <w:rPr>
          <w:rFonts w:ascii="Century" w:hAnsi="Century" w:cs="FrankRuehl"/>
          <w:spacing w:val="10"/>
          <w:szCs w:val="28"/>
          <w:rtl/>
        </w:rPr>
        <w:t xml:space="preserve">. </w:t>
      </w:r>
      <w:r>
        <w:rPr>
          <w:rFonts w:ascii="Century" w:hAnsi="Century" w:cs="FrankRuehl" w:hint="cs"/>
          <w:spacing w:val="10"/>
          <w:szCs w:val="28"/>
          <w:rtl/>
        </w:rPr>
        <w:t xml:space="preserve">בית משפט זה עמד לא אחת בעבר על מעמדה החוקתי הרם של הזכות לבחור ולהיבחר לכנסת, המהווה אבן יסוד של המשטר הדמוקרטי, </w:t>
      </w:r>
      <w:proofErr w:type="spellStart"/>
      <w:r>
        <w:rPr>
          <w:rFonts w:ascii="Century" w:hAnsi="Century" w:cs="FrankRuehl" w:hint="cs"/>
          <w:spacing w:val="10"/>
          <w:szCs w:val="28"/>
          <w:rtl/>
        </w:rPr>
        <w:t>וככזו</w:t>
      </w:r>
      <w:proofErr w:type="spellEnd"/>
      <w:r>
        <w:rPr>
          <w:rFonts w:ascii="Century" w:hAnsi="Century" w:cs="FrankRuehl" w:hint="cs"/>
          <w:spacing w:val="10"/>
          <w:szCs w:val="28"/>
          <w:rtl/>
        </w:rPr>
        <w:t xml:space="preserve"> הגבלתה תיעשה בנסיבות חריגות ביותר, בצמצום רב, ובמסגרת הוראות הדין המפורשות המסדירות זאת (</w:t>
      </w:r>
      <w:r>
        <w:rPr>
          <w:rFonts w:ascii="FrankRuehl" w:hAnsi="FrankRuehl" w:cs="FrankRuehl"/>
          <w:spacing w:val="10"/>
          <w:sz w:val="28"/>
          <w:szCs w:val="28"/>
          <w:rtl/>
        </w:rPr>
        <w:t xml:space="preserve">ראו: בג"ץ 6600/22 </w:t>
      </w:r>
      <w:r w:rsidRPr="0037396C">
        <w:rPr>
          <w:rFonts w:ascii="Century" w:hAnsi="Century" w:cs="Miriam"/>
          <w:b/>
          <w:rtl/>
        </w:rPr>
        <w:t>התנועה למען איכות השלטון</w:t>
      </w:r>
      <w:r w:rsidRPr="0037396C">
        <w:rPr>
          <w:rFonts w:ascii="Miriam" w:hAnsi="Miriam" w:cs="Miriam"/>
          <w:rtl/>
        </w:rPr>
        <w:t xml:space="preserve"> </w:t>
      </w:r>
      <w:r>
        <w:rPr>
          <w:rFonts w:ascii="Miriam" w:hAnsi="Miriam" w:cs="Miriam"/>
          <w:rtl/>
        </w:rPr>
        <w:t>בישראל נ' יו"ר ועדת הבחירות המרכזית לכנסת ה-25</w:t>
      </w:r>
      <w:r>
        <w:rPr>
          <w:rFonts w:ascii="FrankRuehl" w:hAnsi="FrankRuehl" w:cs="FrankRuehl"/>
          <w:spacing w:val="10"/>
          <w:sz w:val="28"/>
          <w:szCs w:val="28"/>
          <w:rtl/>
        </w:rPr>
        <w:t xml:space="preserve">‏, פסקאות 21-20 לפסק דינה של הנשיאה </w:t>
      </w:r>
      <w:r w:rsidRPr="00EC508C">
        <w:rPr>
          <w:rFonts w:ascii="Century" w:hAnsi="Century" w:cs="Miriam"/>
          <w:b/>
          <w:rtl/>
        </w:rPr>
        <w:t>חיות</w:t>
      </w:r>
      <w:r w:rsidRPr="008B7403">
        <w:rPr>
          <w:rFonts w:ascii="FrankRuehl" w:hAnsi="FrankRuehl" w:cs="FrankRuehl"/>
          <w:spacing w:val="10"/>
          <w:sz w:val="28"/>
          <w:szCs w:val="28"/>
          <w:rtl/>
        </w:rPr>
        <w:t xml:space="preserve"> </w:t>
      </w:r>
      <w:r>
        <w:rPr>
          <w:rFonts w:ascii="FrankRuehl" w:hAnsi="FrankRuehl" w:cs="FrankRuehl"/>
          <w:spacing w:val="10"/>
          <w:sz w:val="28"/>
          <w:szCs w:val="28"/>
          <w:rtl/>
        </w:rPr>
        <w:t xml:space="preserve">(19.10.2022); ע"ב 6615/22 </w:t>
      </w:r>
      <w:r>
        <w:rPr>
          <w:rFonts w:ascii="Miriam" w:hAnsi="Miriam" w:cs="Miriam"/>
          <w:rtl/>
        </w:rPr>
        <w:t>שיקלי נ' יושב ראש ועדת הבחירות המרכזית לכנסת ה-25</w:t>
      </w:r>
      <w:r>
        <w:rPr>
          <w:rFonts w:ascii="FrankRuehl" w:hAnsi="FrankRuehl" w:cs="FrankRuehl"/>
          <w:spacing w:val="10"/>
          <w:sz w:val="28"/>
          <w:szCs w:val="28"/>
          <w:rtl/>
        </w:rPr>
        <w:t xml:space="preserve">, פסקה 28 לפסק דינה של הנשיאה </w:t>
      </w:r>
      <w:r w:rsidRPr="00EC508C">
        <w:rPr>
          <w:rFonts w:ascii="Century" w:hAnsi="Century" w:cs="Miriam"/>
          <w:b/>
          <w:rtl/>
        </w:rPr>
        <w:t>חיות</w:t>
      </w:r>
      <w:r w:rsidRPr="008B7403">
        <w:rPr>
          <w:rFonts w:ascii="FrankRuehl" w:hAnsi="FrankRuehl" w:cs="FrankRuehl"/>
          <w:spacing w:val="10"/>
          <w:sz w:val="28"/>
          <w:szCs w:val="28"/>
          <w:rtl/>
        </w:rPr>
        <w:t xml:space="preserve"> </w:t>
      </w:r>
      <w:r>
        <w:rPr>
          <w:rFonts w:ascii="FrankRuehl" w:hAnsi="FrankRuehl" w:cs="FrankRuehl"/>
          <w:spacing w:val="10"/>
          <w:sz w:val="28"/>
          <w:szCs w:val="28"/>
          <w:rtl/>
        </w:rPr>
        <w:t>(3.11.2022)</w:t>
      </w:r>
      <w:r>
        <w:rPr>
          <w:rFonts w:ascii="FrankRuehl" w:hAnsi="FrankRuehl" w:cs="FrankRuehl" w:hint="cs"/>
          <w:spacing w:val="10"/>
          <w:sz w:val="28"/>
          <w:szCs w:val="28"/>
          <w:rtl/>
        </w:rPr>
        <w:t xml:space="preserve">. לשם השוואה, יצוין כי אף במישור של השלטון המקומי, לא הוטלה מגבלה על עצם החלטתו של אדם להציג עצמו כמועמד לבחירות, אף כאשר נמצא פסול בכהונה שלו בתפקיד של ראש מועצה (השוו: בג"ץ 4921/13 </w:t>
      </w:r>
      <w:r w:rsidRPr="004B1E65">
        <w:rPr>
          <w:rFonts w:ascii="Century" w:hAnsi="Century" w:cs="Miriam"/>
          <w:b/>
          <w:rtl/>
        </w:rPr>
        <w:t>אומ"ץ אזרחים למען מנהל תקין וצדק חברתי נ' ראש עיריית רמת השרון</w:t>
      </w:r>
      <w:r>
        <w:rPr>
          <w:rFonts w:ascii="FrankRuehl" w:hAnsi="FrankRuehl" w:cs="FrankRuehl" w:hint="cs"/>
          <w:spacing w:val="10"/>
          <w:sz w:val="28"/>
          <w:szCs w:val="28"/>
          <w:rtl/>
        </w:rPr>
        <w:t>, פ"ד סו(3) 135, 198-196 (2013)</w:t>
      </w:r>
      <w:r>
        <w:rPr>
          <w:rFonts w:ascii="Century" w:hAnsi="Century" w:cs="FrankRuehl" w:hint="cs"/>
          <w:spacing w:val="10"/>
          <w:szCs w:val="28"/>
          <w:rtl/>
        </w:rPr>
        <w:t>)</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כן</w:t>
      </w:r>
      <w:r w:rsidRPr="000D390B">
        <w:rPr>
          <w:rFonts w:ascii="Century" w:hAnsi="Century" w:cs="FrankRuehl"/>
          <w:spacing w:val="10"/>
          <w:szCs w:val="28"/>
          <w:rtl/>
        </w:rPr>
        <w:t xml:space="preserve">, </w:t>
      </w:r>
      <w:r w:rsidRPr="000D390B">
        <w:rPr>
          <w:rFonts w:ascii="Century" w:hAnsi="Century" w:cs="FrankRuehl" w:hint="eastAsia"/>
          <w:spacing w:val="10"/>
          <w:szCs w:val="28"/>
          <w:rtl/>
        </w:rPr>
        <w:t>גם</w:t>
      </w:r>
      <w:r w:rsidRPr="000D390B">
        <w:rPr>
          <w:rFonts w:ascii="Century" w:hAnsi="Century" w:cs="FrankRuehl"/>
          <w:spacing w:val="10"/>
          <w:szCs w:val="28"/>
          <w:rtl/>
        </w:rPr>
        <w:t xml:space="preserve"> </w:t>
      </w:r>
      <w:r w:rsidRPr="000D390B">
        <w:rPr>
          <w:rFonts w:ascii="Century" w:hAnsi="Century" w:cs="FrankRuehl" w:hint="eastAsia"/>
          <w:spacing w:val="10"/>
          <w:szCs w:val="28"/>
          <w:rtl/>
        </w:rPr>
        <w:t>אם</w:t>
      </w:r>
      <w:r w:rsidRPr="000D390B">
        <w:rPr>
          <w:rFonts w:ascii="Century" w:hAnsi="Century" w:cs="FrankRuehl"/>
          <w:spacing w:val="10"/>
          <w:szCs w:val="28"/>
          <w:rtl/>
        </w:rPr>
        <w:t xml:space="preserve"> </w:t>
      </w:r>
      <w:r w:rsidRPr="000D390B">
        <w:rPr>
          <w:rFonts w:ascii="Century" w:hAnsi="Century" w:cs="FrankRuehl" w:hint="eastAsia"/>
          <w:spacing w:val="10"/>
          <w:szCs w:val="28"/>
          <w:rtl/>
        </w:rPr>
        <w:t>הצגת</w:t>
      </w:r>
      <w:r w:rsidRPr="000D390B">
        <w:rPr>
          <w:rFonts w:ascii="Century" w:hAnsi="Century" w:cs="FrankRuehl"/>
          <w:spacing w:val="10"/>
          <w:szCs w:val="28"/>
          <w:rtl/>
        </w:rPr>
        <w:t xml:space="preserve"> </w:t>
      </w:r>
      <w:r w:rsidRPr="000D390B">
        <w:rPr>
          <w:rFonts w:ascii="Century" w:hAnsi="Century" w:cs="FrankRuehl" w:hint="eastAsia"/>
          <w:spacing w:val="10"/>
          <w:szCs w:val="28"/>
          <w:rtl/>
        </w:rPr>
        <w:t>מועמדותו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דרעי</w:t>
      </w:r>
      <w:r w:rsidRPr="000D390B">
        <w:rPr>
          <w:rFonts w:ascii="Century" w:hAnsi="Century" w:cs="FrankRuehl"/>
          <w:spacing w:val="10"/>
          <w:szCs w:val="28"/>
          <w:rtl/>
        </w:rPr>
        <w:t xml:space="preserve"> </w:t>
      </w:r>
      <w:r w:rsidRPr="000D390B">
        <w:rPr>
          <w:rFonts w:ascii="Century" w:hAnsi="Century" w:cs="FrankRuehl" w:hint="eastAsia"/>
          <w:spacing w:val="10"/>
          <w:szCs w:val="28"/>
          <w:rtl/>
        </w:rPr>
        <w:t>כראש</w:t>
      </w:r>
      <w:r w:rsidRPr="000D390B">
        <w:rPr>
          <w:rFonts w:ascii="Century" w:hAnsi="Century" w:cs="FrankRuehl"/>
          <w:spacing w:val="10"/>
          <w:szCs w:val="28"/>
          <w:rtl/>
        </w:rPr>
        <w:t xml:space="preserve"> </w:t>
      </w:r>
      <w:r w:rsidRPr="000D390B">
        <w:rPr>
          <w:rFonts w:ascii="Century" w:hAnsi="Century" w:cs="FrankRuehl" w:hint="eastAsia"/>
          <w:spacing w:val="10"/>
          <w:szCs w:val="28"/>
          <w:rtl/>
        </w:rPr>
        <w:t>רשימת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w:t>
      </w:r>
      <w:r w:rsidRPr="000D390B">
        <w:rPr>
          <w:rFonts w:ascii="Century" w:hAnsi="Century" w:cs="FrankRuehl"/>
          <w:spacing w:val="10"/>
          <w:szCs w:val="28"/>
          <w:rtl/>
        </w:rPr>
        <w:t xml:space="preserve">"ס </w:t>
      </w:r>
      <w:r>
        <w:rPr>
          <w:rFonts w:ascii="Century" w:hAnsi="Century" w:cs="FrankRuehl" w:hint="cs"/>
          <w:spacing w:val="10"/>
          <w:szCs w:val="28"/>
          <w:rtl/>
        </w:rPr>
        <w:t xml:space="preserve">לכנסת </w:t>
      </w:r>
      <w:r w:rsidRPr="000D390B">
        <w:rPr>
          <w:rFonts w:ascii="Century" w:hAnsi="Century" w:cs="FrankRuehl" w:hint="eastAsia"/>
          <w:spacing w:val="10"/>
          <w:szCs w:val="28"/>
          <w:rtl/>
        </w:rPr>
        <w:t>עלתה</w:t>
      </w:r>
      <w:r w:rsidRPr="000D390B">
        <w:rPr>
          <w:rFonts w:ascii="Century" w:hAnsi="Century" w:cs="FrankRuehl"/>
          <w:spacing w:val="10"/>
          <w:szCs w:val="28"/>
          <w:rtl/>
        </w:rPr>
        <w:t xml:space="preserve"> </w:t>
      </w:r>
      <w:r w:rsidRPr="000D390B">
        <w:rPr>
          <w:rFonts w:ascii="Century" w:hAnsi="Century" w:cs="FrankRuehl" w:hint="eastAsia"/>
          <w:spacing w:val="10"/>
          <w:szCs w:val="28"/>
          <w:rtl/>
        </w:rPr>
        <w:t>כדי</w:t>
      </w:r>
      <w:r w:rsidRPr="000D390B">
        <w:rPr>
          <w:rFonts w:ascii="Century" w:hAnsi="Century" w:cs="FrankRuehl"/>
          <w:spacing w:val="10"/>
          <w:szCs w:val="28"/>
          <w:rtl/>
        </w:rPr>
        <w:t xml:space="preserve"> </w:t>
      </w:r>
      <w:r>
        <w:rPr>
          <w:rFonts w:ascii="Century" w:hAnsi="Century" w:cs="FrankRuehl" w:hint="cs"/>
          <w:spacing w:val="10"/>
          <w:szCs w:val="28"/>
          <w:rtl/>
        </w:rPr>
        <w:t xml:space="preserve">התנערות בוטה מהצהרותיו </w:t>
      </w:r>
      <w:r w:rsidRPr="000D390B">
        <w:rPr>
          <w:rFonts w:ascii="Century" w:hAnsi="Century" w:cs="FrankRuehl" w:hint="eastAsia"/>
          <w:spacing w:val="10"/>
          <w:szCs w:val="28"/>
          <w:rtl/>
        </w:rPr>
        <w:t>בהליך</w:t>
      </w:r>
      <w:r w:rsidRPr="000D390B">
        <w:rPr>
          <w:rFonts w:ascii="Century" w:hAnsi="Century" w:cs="FrankRuehl"/>
          <w:spacing w:val="10"/>
          <w:szCs w:val="28"/>
          <w:rtl/>
        </w:rPr>
        <w:t xml:space="preserve"> </w:t>
      </w:r>
      <w:r w:rsidRPr="000D390B">
        <w:rPr>
          <w:rFonts w:ascii="Century" w:hAnsi="Century" w:cs="FrankRuehl" w:hint="eastAsia"/>
          <w:spacing w:val="10"/>
          <w:szCs w:val="28"/>
          <w:rtl/>
        </w:rPr>
        <w:t>שהתקיים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בבית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w:t>
      </w:r>
      <w:r w:rsidRPr="000D390B">
        <w:rPr>
          <w:rFonts w:ascii="Century" w:hAnsi="Century" w:cs="FrankRuehl"/>
          <w:spacing w:val="10"/>
          <w:szCs w:val="28"/>
          <w:rtl/>
        </w:rPr>
        <w:t xml:space="preserve"> </w:t>
      </w:r>
      <w:r w:rsidRPr="000D390B">
        <w:rPr>
          <w:rFonts w:ascii="Century" w:hAnsi="Century" w:cs="FrankRuehl" w:hint="eastAsia"/>
          <w:spacing w:val="10"/>
          <w:szCs w:val="28"/>
          <w:rtl/>
        </w:rPr>
        <w:t>השלום</w:t>
      </w:r>
      <w:r w:rsidRPr="000D390B">
        <w:rPr>
          <w:rFonts w:ascii="Century" w:hAnsi="Century" w:cs="FrankRuehl"/>
          <w:spacing w:val="10"/>
          <w:szCs w:val="28"/>
          <w:rtl/>
        </w:rPr>
        <w:t xml:space="preserve">, </w:t>
      </w:r>
      <w:r w:rsidRPr="000D390B">
        <w:rPr>
          <w:rFonts w:ascii="Century" w:hAnsi="Century" w:cs="FrankRuehl" w:hint="eastAsia"/>
          <w:spacing w:val="10"/>
          <w:szCs w:val="28"/>
          <w:rtl/>
        </w:rPr>
        <w:t>הרי</w:t>
      </w:r>
      <w:r w:rsidRPr="000D390B">
        <w:rPr>
          <w:rFonts w:ascii="Century" w:hAnsi="Century" w:cs="FrankRuehl"/>
          <w:spacing w:val="10"/>
          <w:szCs w:val="28"/>
          <w:rtl/>
        </w:rPr>
        <w:t xml:space="preserve"> </w:t>
      </w:r>
      <w:r w:rsidRPr="000D390B">
        <w:rPr>
          <w:rFonts w:ascii="Century" w:hAnsi="Century" w:cs="FrankRuehl" w:hint="eastAsia"/>
          <w:spacing w:val="10"/>
          <w:szCs w:val="28"/>
          <w:rtl/>
        </w:rPr>
        <w:t>שההגנה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החוקתית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החזקה</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הזכות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לבחור</w:t>
      </w:r>
      <w:r w:rsidRPr="000D390B">
        <w:rPr>
          <w:rFonts w:ascii="Century" w:hAnsi="Century" w:cs="FrankRuehl"/>
          <w:spacing w:val="10"/>
          <w:szCs w:val="28"/>
          <w:rtl/>
        </w:rPr>
        <w:t xml:space="preserve"> </w:t>
      </w:r>
      <w:r w:rsidRPr="000D390B">
        <w:rPr>
          <w:rFonts w:ascii="Century" w:hAnsi="Century" w:cs="FrankRuehl" w:hint="eastAsia"/>
          <w:spacing w:val="10"/>
          <w:szCs w:val="28"/>
          <w:rtl/>
        </w:rPr>
        <w:t>ולהיבחר</w:t>
      </w:r>
      <w:r w:rsidRPr="000D390B">
        <w:rPr>
          <w:rFonts w:ascii="Century" w:hAnsi="Century" w:cs="FrankRuehl"/>
          <w:spacing w:val="10"/>
          <w:szCs w:val="28"/>
          <w:rtl/>
        </w:rPr>
        <w:t xml:space="preserve"> </w:t>
      </w:r>
      <w:r w:rsidRPr="000D390B">
        <w:rPr>
          <w:rFonts w:ascii="Century" w:hAnsi="Century" w:cs="FrankRuehl" w:hint="eastAsia"/>
          <w:spacing w:val="10"/>
          <w:szCs w:val="28"/>
          <w:rtl/>
        </w:rPr>
        <w:t>לא</w:t>
      </w:r>
      <w:r w:rsidRPr="000D390B">
        <w:rPr>
          <w:rFonts w:ascii="Century" w:hAnsi="Century" w:cs="FrankRuehl"/>
          <w:spacing w:val="10"/>
          <w:szCs w:val="28"/>
          <w:rtl/>
        </w:rPr>
        <w:t xml:space="preserve"> </w:t>
      </w:r>
      <w:r w:rsidRPr="000D390B">
        <w:rPr>
          <w:rFonts w:ascii="Century" w:hAnsi="Century" w:cs="FrankRuehl" w:hint="eastAsia"/>
          <w:spacing w:val="10"/>
          <w:szCs w:val="28"/>
          <w:rtl/>
        </w:rPr>
        <w:t>אפשרה</w:t>
      </w:r>
      <w:r w:rsidRPr="000D390B">
        <w:rPr>
          <w:rFonts w:ascii="Century" w:hAnsi="Century" w:cs="FrankRuehl"/>
          <w:spacing w:val="10"/>
          <w:szCs w:val="28"/>
          <w:rtl/>
        </w:rPr>
        <w:t xml:space="preserve"> </w:t>
      </w:r>
      <w:r w:rsidRPr="000D390B">
        <w:rPr>
          <w:rFonts w:ascii="Century" w:hAnsi="Century" w:cs="FrankRuehl" w:hint="eastAsia"/>
          <w:spacing w:val="10"/>
          <w:szCs w:val="28"/>
          <w:rtl/>
        </w:rPr>
        <w:t>להציג</w:t>
      </w:r>
      <w:r w:rsidRPr="000D390B">
        <w:rPr>
          <w:rFonts w:ascii="Century" w:hAnsi="Century" w:cs="FrankRuehl"/>
          <w:spacing w:val="10"/>
          <w:szCs w:val="28"/>
          <w:rtl/>
        </w:rPr>
        <w:t xml:space="preserve"> </w:t>
      </w:r>
      <w:r w:rsidRPr="000D390B">
        <w:rPr>
          <w:rFonts w:ascii="Century" w:hAnsi="Century" w:cs="FrankRuehl" w:hint="eastAsia"/>
          <w:spacing w:val="10"/>
          <w:szCs w:val="28"/>
          <w:rtl/>
        </w:rPr>
        <w:t>טענה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משפטית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בת</w:t>
      </w:r>
      <w:r w:rsidRPr="000D390B">
        <w:rPr>
          <w:rFonts w:ascii="Century" w:hAnsi="Century" w:cs="FrankRuehl"/>
          <w:spacing w:val="10"/>
          <w:szCs w:val="28"/>
          <w:rtl/>
        </w:rPr>
        <w:t xml:space="preserve">-תוקף </w:t>
      </w:r>
      <w:r w:rsidRPr="000D390B">
        <w:rPr>
          <w:rFonts w:ascii="Century" w:hAnsi="Century" w:cs="FrankRuehl" w:hint="eastAsia"/>
          <w:spacing w:val="10"/>
          <w:szCs w:val="28"/>
          <w:rtl/>
        </w:rPr>
        <w:t>כנגד</w:t>
      </w:r>
      <w:r w:rsidRPr="000D390B">
        <w:rPr>
          <w:rFonts w:ascii="Century" w:hAnsi="Century" w:cs="FrankRuehl"/>
          <w:spacing w:val="10"/>
          <w:szCs w:val="28"/>
          <w:rtl/>
        </w:rPr>
        <w:t xml:space="preserve"> </w:t>
      </w:r>
      <w:r w:rsidRPr="000D390B">
        <w:rPr>
          <w:rFonts w:ascii="Century" w:hAnsi="Century" w:cs="FrankRuehl" w:hint="eastAsia"/>
          <w:spacing w:val="10"/>
          <w:szCs w:val="28"/>
          <w:rtl/>
        </w:rPr>
        <w:t>התמודדותו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בבחירות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וממילא</w:t>
      </w:r>
      <w:r w:rsidRPr="000D390B">
        <w:rPr>
          <w:rFonts w:ascii="Century" w:hAnsi="Century" w:cs="FrankRuehl"/>
          <w:spacing w:val="10"/>
          <w:szCs w:val="28"/>
          <w:rtl/>
        </w:rPr>
        <w:t xml:space="preserve"> </w:t>
      </w:r>
      <w:r w:rsidRPr="000D390B">
        <w:rPr>
          <w:rFonts w:ascii="Century" w:hAnsi="Century" w:cs="FrankRuehl" w:hint="eastAsia"/>
          <w:spacing w:val="10"/>
          <w:szCs w:val="28"/>
          <w:rtl/>
        </w:rPr>
        <w:t>גם</w:t>
      </w:r>
      <w:r w:rsidRPr="000D390B">
        <w:rPr>
          <w:rFonts w:ascii="Century" w:hAnsi="Century" w:cs="FrankRuehl"/>
          <w:spacing w:val="10"/>
          <w:szCs w:val="28"/>
          <w:rtl/>
        </w:rPr>
        <w:t xml:space="preserve"> </w:t>
      </w:r>
      <w:r w:rsidRPr="000D390B">
        <w:rPr>
          <w:rFonts w:ascii="Century" w:hAnsi="Century" w:cs="FrankRuehl" w:hint="eastAsia"/>
          <w:spacing w:val="10"/>
          <w:szCs w:val="28"/>
          <w:rtl/>
        </w:rPr>
        <w:t>כנגד</w:t>
      </w:r>
      <w:r w:rsidRPr="000D390B">
        <w:rPr>
          <w:rFonts w:ascii="Century" w:hAnsi="Century" w:cs="FrankRuehl"/>
          <w:spacing w:val="10"/>
          <w:szCs w:val="28"/>
          <w:rtl/>
        </w:rPr>
        <w:t xml:space="preserve"> </w:t>
      </w:r>
      <w:r w:rsidRPr="000D390B">
        <w:rPr>
          <w:rFonts w:ascii="Century" w:hAnsi="Century" w:cs="FrankRuehl" w:hint="eastAsia"/>
          <w:spacing w:val="10"/>
          <w:szCs w:val="28"/>
          <w:rtl/>
        </w:rPr>
        <w:t>כהונתו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בכנסת</w:t>
      </w:r>
      <w:r w:rsidRPr="000D390B">
        <w:rPr>
          <w:rFonts w:ascii="Century" w:hAnsi="Century" w:cs="FrankRuehl"/>
          <w:spacing w:val="10"/>
          <w:szCs w:val="28"/>
          <w:rtl/>
        </w:rPr>
        <w:t>.</w:t>
      </w:r>
    </w:p>
    <w:p w14:paraId="6DD8E457" w14:textId="77777777" w:rsidR="00437A63" w:rsidRDefault="00437A63" w:rsidP="00437A63">
      <w:pPr>
        <w:pStyle w:val="af0"/>
        <w:spacing w:line="360" w:lineRule="auto"/>
        <w:ind w:left="0"/>
        <w:jc w:val="both"/>
        <w:rPr>
          <w:rFonts w:ascii="FrankRuehl" w:hAnsi="FrankRuehl" w:cs="FrankRuehl"/>
          <w:sz w:val="28"/>
          <w:szCs w:val="28"/>
          <w:rtl/>
        </w:rPr>
      </w:pPr>
    </w:p>
    <w:p w14:paraId="34BCD7BD" w14:textId="77777777" w:rsidR="00437A63" w:rsidRDefault="00437A63" w:rsidP="00437A63">
      <w:pPr>
        <w:pStyle w:val="af0"/>
        <w:spacing w:line="360" w:lineRule="auto"/>
        <w:ind w:left="0"/>
        <w:jc w:val="both"/>
        <w:rPr>
          <w:rFonts w:ascii="FrankRuehl" w:hAnsi="FrankRuehl" w:cs="FrankRuehl"/>
          <w:sz w:val="28"/>
          <w:szCs w:val="28"/>
          <w:rtl/>
        </w:rPr>
      </w:pPr>
      <w:r>
        <w:rPr>
          <w:rFonts w:ascii="Century" w:hAnsi="Century" w:cs="FrankRuehl" w:hint="cs"/>
          <w:spacing w:val="10"/>
          <w:szCs w:val="28"/>
          <w:rtl/>
        </w:rPr>
        <w:t>40</w:t>
      </w:r>
      <w:r w:rsidRPr="000D390B">
        <w:rPr>
          <w:rFonts w:ascii="Century" w:hAnsi="Century" w:cs="FrankRuehl"/>
          <w:spacing w:val="10"/>
          <w:szCs w:val="28"/>
          <w:rtl/>
        </w:rPr>
        <w:t xml:space="preserve">. </w:t>
      </w:r>
      <w:r w:rsidRPr="000D390B">
        <w:rPr>
          <w:rFonts w:ascii="Century" w:hAnsi="Century" w:cs="FrankRuehl"/>
          <w:spacing w:val="10"/>
          <w:szCs w:val="28"/>
          <w:rtl/>
        </w:rPr>
        <w:tab/>
      </w:r>
      <w:r w:rsidRPr="000D390B">
        <w:rPr>
          <w:rFonts w:ascii="Century" w:hAnsi="Century" w:cs="FrankRuehl" w:hint="eastAsia"/>
          <w:spacing w:val="10"/>
          <w:szCs w:val="28"/>
          <w:rtl/>
        </w:rPr>
        <w:t>שונים</w:t>
      </w:r>
      <w:r w:rsidRPr="000D390B">
        <w:rPr>
          <w:rFonts w:ascii="Century" w:hAnsi="Century" w:cs="FrankRuehl"/>
          <w:spacing w:val="10"/>
          <w:szCs w:val="28"/>
          <w:rtl/>
        </w:rPr>
        <w:t xml:space="preserve"> הם פני הדברים בכל הנוגע לכהונה בממשלה. היבחרות לכנסת אינה שקולה באופן אוטומטי לכהונה בממשלה. הדבר נכון אף במקרים הנוגעים לחברי כנסת שלהם מעמד פוליטי נכבד במפלגותיהם. </w:t>
      </w:r>
      <w:r>
        <w:rPr>
          <w:rFonts w:ascii="Century" w:hAnsi="Century" w:cs="FrankRuehl" w:hint="cs"/>
          <w:spacing w:val="10"/>
          <w:szCs w:val="28"/>
          <w:rtl/>
        </w:rPr>
        <w:t xml:space="preserve">בהקשר זה </w:t>
      </w:r>
      <w:r w:rsidRPr="000D390B">
        <w:rPr>
          <w:rFonts w:ascii="Century" w:hAnsi="Century" w:cs="FrankRuehl"/>
          <w:spacing w:val="10"/>
          <w:szCs w:val="28"/>
          <w:rtl/>
        </w:rPr>
        <w:t>יש לציין כי עוד לפני כשלושים שנה, בעת שעניינו של דרעי הגיע לראשונה לפתחו של בית משפט זה, ולצדו עניינו של רפאל פנחסי, חבר כנסת נוסף מסיעת ש"ס באותה עת, פסיקתו של בית משפט זה באשר להפסקת כהונתם בממשלה (כשר וכסגן שר בהתאמה) לא נגעה בכל אופן שהוא לכהונתם בכנסת. פנחסי אף מונה לימים כיושב</w:t>
      </w:r>
      <w:r>
        <w:rPr>
          <w:rFonts w:ascii="Century" w:hAnsi="Century" w:cs="FrankRuehl" w:hint="cs"/>
          <w:spacing w:val="10"/>
          <w:szCs w:val="28"/>
          <w:rtl/>
        </w:rPr>
        <w:t xml:space="preserve"> </w:t>
      </w:r>
      <w:r w:rsidRPr="000D390B">
        <w:rPr>
          <w:rFonts w:ascii="Century" w:hAnsi="Century" w:cs="FrankRuehl"/>
          <w:spacing w:val="10"/>
          <w:szCs w:val="28"/>
          <w:rtl/>
        </w:rPr>
        <w:t>ראש ועדת הכנסת, הגם שלא יכול היה לכהן כסגן שר, ובית משפט זה הבחין הבחן היטב בין היקף ההתערבות בכהונה פרלמנטרית, לבין היקף ההתערבות בכהונה בממשלה (ראו: בג"ץ 7367/97</w:t>
      </w:r>
      <w:r w:rsidRPr="00A35C52">
        <w:rPr>
          <w:rFonts w:ascii="FrankRuehl" w:hAnsi="FrankRuehl" w:cs="FrankRuehl"/>
          <w:sz w:val="28"/>
          <w:szCs w:val="28"/>
          <w:rtl/>
        </w:rPr>
        <w:t xml:space="preserve"> </w:t>
      </w:r>
      <w:r w:rsidRPr="00A35C52">
        <w:rPr>
          <w:rFonts w:ascii="Century" w:hAnsi="Century" w:cs="Miriam"/>
          <w:b/>
          <w:rtl/>
        </w:rPr>
        <w:t>התנועה למען איכות השלטון בישראל נ' היועץ המשפטי לממשלה</w:t>
      </w:r>
      <w:r w:rsidRPr="000D390B">
        <w:rPr>
          <w:rFonts w:ascii="Century" w:hAnsi="Century" w:cs="FrankRuehl"/>
          <w:spacing w:val="10"/>
          <w:szCs w:val="28"/>
          <w:rtl/>
        </w:rPr>
        <w:t>, פ"ד נב(4) 547, 559-555 (1998)</w:t>
      </w:r>
      <w:r>
        <w:rPr>
          <w:rFonts w:ascii="Century" w:hAnsi="Century" w:cs="FrankRuehl" w:hint="cs"/>
          <w:spacing w:val="10"/>
          <w:szCs w:val="28"/>
          <w:rtl/>
        </w:rPr>
        <w:t xml:space="preserve">; </w:t>
      </w:r>
      <w:r w:rsidRPr="00516E7E">
        <w:rPr>
          <w:rFonts w:ascii="Century" w:hAnsi="Century" w:cs="FrankRuehl" w:hint="eastAsia"/>
          <w:spacing w:val="10"/>
          <w:szCs w:val="28"/>
          <w:rtl/>
        </w:rPr>
        <w:t>עניין</w:t>
      </w:r>
      <w:r w:rsidRPr="00516E7E">
        <w:rPr>
          <w:rFonts w:ascii="Century" w:hAnsi="Century" w:cs="FrankRuehl"/>
          <w:spacing w:val="10"/>
          <w:szCs w:val="28"/>
          <w:rtl/>
        </w:rPr>
        <w:t xml:space="preserve"> </w:t>
      </w:r>
      <w:r w:rsidRPr="00C624A7">
        <w:rPr>
          <w:rFonts w:ascii="Century" w:hAnsi="Century" w:cs="Miriam" w:hint="eastAsia"/>
          <w:b/>
          <w:rtl/>
        </w:rPr>
        <w:t>הטלת</w:t>
      </w:r>
      <w:r w:rsidRPr="00C624A7">
        <w:rPr>
          <w:rFonts w:ascii="Century" w:hAnsi="Century" w:cs="Miriam"/>
          <w:b/>
          <w:rtl/>
        </w:rPr>
        <w:t xml:space="preserve"> </w:t>
      </w:r>
      <w:r w:rsidRPr="00C624A7">
        <w:rPr>
          <w:rFonts w:ascii="Century" w:hAnsi="Century" w:cs="Miriam" w:hint="eastAsia"/>
          <w:b/>
          <w:rtl/>
        </w:rPr>
        <w:t>המנדט</w:t>
      </w:r>
      <w:r w:rsidRPr="002D7BD4">
        <w:rPr>
          <w:rFonts w:ascii="Century" w:hAnsi="Century" w:cs="FrankRuehl"/>
          <w:spacing w:val="10"/>
          <w:szCs w:val="28"/>
          <w:rtl/>
        </w:rPr>
        <w:t xml:space="preserve">, </w:t>
      </w:r>
      <w:r>
        <w:rPr>
          <w:rFonts w:ascii="Century" w:hAnsi="Century" w:cs="FrankRuehl" w:hint="cs"/>
          <w:spacing w:val="10"/>
          <w:szCs w:val="28"/>
          <w:rtl/>
        </w:rPr>
        <w:t>ב</w:t>
      </w:r>
      <w:r w:rsidRPr="002D7BD4">
        <w:rPr>
          <w:rFonts w:ascii="Century" w:hAnsi="Century" w:cs="FrankRuehl" w:hint="eastAsia"/>
          <w:spacing w:val="10"/>
          <w:szCs w:val="28"/>
          <w:rtl/>
        </w:rPr>
        <w:t>פס</w:t>
      </w:r>
      <w:r>
        <w:rPr>
          <w:rFonts w:ascii="Century" w:hAnsi="Century" w:cs="FrankRuehl" w:hint="cs"/>
          <w:spacing w:val="10"/>
          <w:szCs w:val="28"/>
          <w:rtl/>
        </w:rPr>
        <w:t>קה</w:t>
      </w:r>
      <w:r w:rsidRPr="002D7BD4">
        <w:rPr>
          <w:rFonts w:ascii="Century" w:hAnsi="Century" w:cs="FrankRuehl"/>
          <w:spacing w:val="10"/>
          <w:szCs w:val="28"/>
          <w:rtl/>
        </w:rPr>
        <w:t xml:space="preserve"> 15 </w:t>
      </w:r>
      <w:r w:rsidRPr="002D7BD4">
        <w:rPr>
          <w:rFonts w:ascii="Century" w:hAnsi="Century" w:cs="FrankRuehl" w:hint="eastAsia"/>
          <w:spacing w:val="10"/>
          <w:szCs w:val="28"/>
          <w:rtl/>
        </w:rPr>
        <w:t>לפסק</w:t>
      </w:r>
      <w:r w:rsidRPr="002D7BD4">
        <w:rPr>
          <w:rFonts w:ascii="Century" w:hAnsi="Century" w:cs="FrankRuehl"/>
          <w:spacing w:val="10"/>
          <w:szCs w:val="28"/>
          <w:rtl/>
        </w:rPr>
        <w:t xml:space="preserve"> </w:t>
      </w:r>
      <w:r w:rsidRPr="002D7BD4">
        <w:rPr>
          <w:rFonts w:ascii="Century" w:hAnsi="Century" w:cs="FrankRuehl" w:hint="eastAsia"/>
          <w:spacing w:val="10"/>
          <w:szCs w:val="28"/>
          <w:rtl/>
        </w:rPr>
        <w:t>דינה</w:t>
      </w:r>
      <w:r w:rsidRPr="002D7BD4">
        <w:rPr>
          <w:rFonts w:ascii="Century" w:hAnsi="Century" w:cs="FrankRuehl"/>
          <w:spacing w:val="10"/>
          <w:szCs w:val="28"/>
          <w:rtl/>
        </w:rPr>
        <w:t xml:space="preserve"> </w:t>
      </w:r>
      <w:r w:rsidRPr="002D7BD4">
        <w:rPr>
          <w:rFonts w:ascii="Century" w:hAnsi="Century" w:cs="FrankRuehl" w:hint="eastAsia"/>
          <w:spacing w:val="10"/>
          <w:szCs w:val="28"/>
          <w:rtl/>
        </w:rPr>
        <w:t>של</w:t>
      </w:r>
      <w:r w:rsidRPr="002D7BD4">
        <w:rPr>
          <w:rFonts w:ascii="Century" w:hAnsi="Century" w:cs="FrankRuehl"/>
          <w:spacing w:val="10"/>
          <w:szCs w:val="28"/>
          <w:rtl/>
        </w:rPr>
        <w:t xml:space="preserve"> </w:t>
      </w:r>
      <w:r w:rsidRPr="002D7BD4">
        <w:rPr>
          <w:rFonts w:ascii="Century" w:hAnsi="Century" w:cs="FrankRuehl" w:hint="eastAsia"/>
          <w:spacing w:val="10"/>
          <w:szCs w:val="28"/>
          <w:rtl/>
        </w:rPr>
        <w:t>הנשיאה</w:t>
      </w:r>
      <w:r w:rsidRPr="002D7BD4">
        <w:rPr>
          <w:rFonts w:ascii="Century" w:hAnsi="Century" w:cs="FrankRuehl"/>
          <w:spacing w:val="10"/>
          <w:szCs w:val="28"/>
          <w:rtl/>
        </w:rPr>
        <w:t xml:space="preserve"> </w:t>
      </w:r>
      <w:r w:rsidRPr="00A3217E">
        <w:rPr>
          <w:rFonts w:ascii="Century" w:hAnsi="Century" w:cs="Miriam" w:hint="cs"/>
          <w:b/>
          <w:rtl/>
        </w:rPr>
        <w:t>חיות</w:t>
      </w:r>
      <w:r w:rsidRPr="000D390B">
        <w:rPr>
          <w:rFonts w:ascii="Century" w:hAnsi="Century" w:cs="FrankRuehl"/>
          <w:spacing w:val="10"/>
          <w:szCs w:val="28"/>
          <w:rtl/>
        </w:rPr>
        <w:t>).</w:t>
      </w:r>
    </w:p>
    <w:p w14:paraId="4BAD4A7F" w14:textId="77777777" w:rsidR="00437A63" w:rsidRPr="008368D9" w:rsidRDefault="00437A63" w:rsidP="00437A63">
      <w:pPr>
        <w:pStyle w:val="af0"/>
        <w:spacing w:line="360" w:lineRule="auto"/>
        <w:ind w:left="0"/>
        <w:jc w:val="both"/>
        <w:rPr>
          <w:rFonts w:ascii="Century" w:hAnsi="Century" w:cs="FrankRuehl"/>
          <w:spacing w:val="10"/>
          <w:szCs w:val="28"/>
          <w:rtl/>
        </w:rPr>
      </w:pPr>
    </w:p>
    <w:p w14:paraId="520FC5FF"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lastRenderedPageBreak/>
        <w:t>41</w:t>
      </w:r>
      <w:r w:rsidRPr="008368D9">
        <w:rPr>
          <w:rFonts w:ascii="Century" w:hAnsi="Century" w:cs="FrankRuehl"/>
          <w:spacing w:val="10"/>
          <w:szCs w:val="28"/>
          <w:rtl/>
        </w:rPr>
        <w:t xml:space="preserve">. </w:t>
      </w:r>
      <w:r w:rsidRPr="008368D9">
        <w:rPr>
          <w:rFonts w:ascii="Century" w:hAnsi="Century" w:cs="FrankRuehl"/>
          <w:spacing w:val="10"/>
          <w:szCs w:val="28"/>
          <w:rtl/>
        </w:rPr>
        <w:tab/>
      </w:r>
      <w:r>
        <w:rPr>
          <w:rFonts w:ascii="Century" w:hAnsi="Century" w:cs="FrankRuehl" w:hint="cs"/>
          <w:spacing w:val="10"/>
          <w:szCs w:val="28"/>
          <w:rtl/>
        </w:rPr>
        <w:t xml:space="preserve">ויוטעם, </w:t>
      </w:r>
      <w:r w:rsidRPr="008368D9">
        <w:rPr>
          <w:rFonts w:ascii="Century" w:hAnsi="Century" w:cs="FrankRuehl" w:hint="eastAsia"/>
          <w:spacing w:val="10"/>
          <w:szCs w:val="28"/>
          <w:rtl/>
        </w:rPr>
        <w:t>לכהונה</w:t>
      </w:r>
      <w:r w:rsidRPr="008368D9">
        <w:rPr>
          <w:rFonts w:ascii="Century" w:hAnsi="Century" w:cs="FrankRuehl"/>
          <w:spacing w:val="10"/>
          <w:szCs w:val="28"/>
          <w:rtl/>
        </w:rPr>
        <w:t xml:space="preserve"> של אדם כשר יש שני פנים – מצד אחד, עומדת החלטתו של ראש הממשלה למנותו, אך מצדה האחר עומדת הס</w:t>
      </w:r>
      <w:r>
        <w:rPr>
          <w:rFonts w:ascii="Century" w:hAnsi="Century" w:cs="FrankRuehl" w:hint="cs"/>
          <w:spacing w:val="10"/>
          <w:szCs w:val="28"/>
          <w:rtl/>
        </w:rPr>
        <w:t>כ</w:t>
      </w:r>
      <w:r w:rsidRPr="008368D9">
        <w:rPr>
          <w:rFonts w:ascii="Century" w:hAnsi="Century" w:cs="FrankRuehl"/>
          <w:spacing w:val="10"/>
          <w:szCs w:val="28"/>
          <w:rtl/>
        </w:rPr>
        <w:t xml:space="preserve">מתו של אדם המועמד לתפקיד להתמנות. לא אחת, אנשים מקבלים הצעות לכהן בתפקידים, אף תפקידים רמי מעלה, והם בוחרים </w:t>
      </w:r>
      <w:r>
        <w:rPr>
          <w:rFonts w:ascii="Century" w:hAnsi="Century" w:cs="FrankRuehl" w:hint="cs"/>
          <w:spacing w:val="10"/>
          <w:szCs w:val="28"/>
          <w:rtl/>
        </w:rPr>
        <w:t xml:space="preserve">אם </w:t>
      </w:r>
      <w:r w:rsidRPr="008368D9">
        <w:rPr>
          <w:rFonts w:ascii="Century" w:hAnsi="Century" w:cs="FrankRuehl"/>
          <w:spacing w:val="10"/>
          <w:szCs w:val="28"/>
          <w:rtl/>
        </w:rPr>
        <w:t xml:space="preserve">לקבל על עצמם את התפקיד, אם לאו. ללא ההסכמה של האדם הנוגע בדבר לקבל על עצמו את התפקיד ממילא לא ניתן למנותו. הדברים אינם נאמרים מן השפה ולחוץ, ואין מדובר בהסכמה פורמלית. ניתן להצביע על דוגמאות רבות למצבים שבהם אנשים סירבו להתמנות לתפקיד של שר. משהסכמתו של אדם למינוי היא תנאי בלעדיו-אין להחלטה עליו, ממילא יש להוסיף ולשאול האם חלה עליו מניעה משפטית לתת הסכמה זו. </w:t>
      </w:r>
      <w:r>
        <w:rPr>
          <w:rFonts w:ascii="Century" w:hAnsi="Century" w:cs="FrankRuehl" w:hint="cs"/>
          <w:spacing w:val="10"/>
          <w:szCs w:val="28"/>
          <w:rtl/>
        </w:rPr>
        <w:t xml:space="preserve">ויובהר פעם נוספת, כפי שציינתי קודם לכן: אין מדובר בביקורת על שיקול דעתו של הגורם המתמנה, אלא על מצבו המשפטי וכוחו המשפטי להסכים למינוי. </w:t>
      </w:r>
    </w:p>
    <w:p w14:paraId="422BBC00" w14:textId="77777777" w:rsidR="00437A63" w:rsidRPr="008368D9" w:rsidRDefault="00437A63" w:rsidP="00437A63">
      <w:pPr>
        <w:pStyle w:val="af0"/>
        <w:spacing w:line="360" w:lineRule="auto"/>
        <w:ind w:left="0"/>
        <w:jc w:val="both"/>
        <w:rPr>
          <w:rFonts w:ascii="Century" w:hAnsi="Century" w:cs="FrankRuehl"/>
          <w:spacing w:val="10"/>
          <w:szCs w:val="28"/>
          <w:rtl/>
        </w:rPr>
      </w:pPr>
    </w:p>
    <w:p w14:paraId="22D82937" w14:textId="77777777" w:rsidR="00437A63" w:rsidRDefault="00437A63" w:rsidP="00437A63">
      <w:pPr>
        <w:pStyle w:val="af0"/>
        <w:spacing w:line="360" w:lineRule="auto"/>
        <w:ind w:left="0"/>
        <w:jc w:val="both"/>
        <w:rPr>
          <w:rFonts w:ascii="FrankRuehl" w:hAnsi="FrankRuehl" w:cs="FrankRuehl"/>
          <w:sz w:val="28"/>
          <w:szCs w:val="28"/>
          <w:rtl/>
        </w:rPr>
      </w:pPr>
      <w:r>
        <w:rPr>
          <w:rFonts w:ascii="Century" w:hAnsi="Century" w:cs="FrankRuehl" w:hint="cs"/>
          <w:spacing w:val="10"/>
          <w:szCs w:val="28"/>
          <w:rtl/>
        </w:rPr>
        <w:t>42</w:t>
      </w:r>
      <w:r w:rsidRPr="000D390B">
        <w:rPr>
          <w:rFonts w:ascii="Century" w:hAnsi="Century" w:cs="FrankRuehl"/>
          <w:spacing w:val="10"/>
          <w:szCs w:val="28"/>
          <w:rtl/>
        </w:rPr>
        <w:t xml:space="preserve">. </w:t>
      </w:r>
      <w:r w:rsidRPr="000D390B">
        <w:rPr>
          <w:rFonts w:ascii="Century" w:hAnsi="Century" w:cs="FrankRuehl"/>
          <w:spacing w:val="10"/>
          <w:szCs w:val="28"/>
          <w:rtl/>
        </w:rPr>
        <w:tab/>
      </w:r>
      <w:r>
        <w:rPr>
          <w:rFonts w:ascii="Century" w:hAnsi="Century" w:cs="FrankRuehl" w:hint="cs"/>
          <w:spacing w:val="10"/>
          <w:szCs w:val="28"/>
          <w:rtl/>
        </w:rPr>
        <w:t>אם כן, אשוב ו</w:t>
      </w:r>
      <w:r w:rsidRPr="000D390B">
        <w:rPr>
          <w:rFonts w:ascii="Century" w:hAnsi="Century" w:cs="FrankRuehl" w:hint="eastAsia"/>
          <w:spacing w:val="10"/>
          <w:szCs w:val="28"/>
          <w:rtl/>
        </w:rPr>
        <w:t>אסכם</w:t>
      </w:r>
      <w:r w:rsidRPr="000D390B">
        <w:rPr>
          <w:rFonts w:ascii="Century" w:hAnsi="Century" w:cs="FrankRuehl"/>
          <w:spacing w:val="10"/>
          <w:szCs w:val="28"/>
          <w:rtl/>
        </w:rPr>
        <w:t xml:space="preserve"> את עמדתי כך: במקרה זה, המצג שיצר דרעי כלפי בית משפט השלום, שנועד להשפיע על פסיקתו, ואף השפיע עליה בפועל, הוא הבסיס להחלתו של עקרון המניעות כלפיו</w:t>
      </w:r>
      <w:r>
        <w:rPr>
          <w:rFonts w:ascii="Century" w:hAnsi="Century" w:cs="FrankRuehl" w:hint="cs"/>
          <w:spacing w:val="10"/>
          <w:szCs w:val="28"/>
          <w:rtl/>
        </w:rPr>
        <w:t>, מכוח חובת ההגינות שחלה עליו בהתנהלותו מול בית המשפט, כאורגן של המדינה</w:t>
      </w:r>
      <w:r w:rsidRPr="000D390B">
        <w:rPr>
          <w:rFonts w:ascii="Century" w:hAnsi="Century" w:cs="FrankRuehl"/>
          <w:spacing w:val="10"/>
          <w:szCs w:val="28"/>
          <w:rtl/>
        </w:rPr>
        <w:t xml:space="preserve">. על כן, הוא היה מנוע מלקבל על עצמו תפקיד של שר, ומשעשה כן, </w:t>
      </w:r>
      <w:r>
        <w:rPr>
          <w:rFonts w:ascii="Century" w:hAnsi="Century" w:cs="FrankRuehl" w:hint="cs"/>
          <w:spacing w:val="10"/>
          <w:szCs w:val="28"/>
          <w:rtl/>
        </w:rPr>
        <w:t>יש לראות את החלטתו כבטלה ואת המינוי כפסול</w:t>
      </w:r>
      <w:r w:rsidRPr="000D390B">
        <w:rPr>
          <w:rFonts w:ascii="Century" w:hAnsi="Century" w:cs="FrankRuehl"/>
          <w:spacing w:val="10"/>
          <w:szCs w:val="28"/>
          <w:rtl/>
        </w:rPr>
        <w:t xml:space="preserve">. </w:t>
      </w:r>
    </w:p>
    <w:p w14:paraId="59B1D4F5" w14:textId="77777777" w:rsidR="00437A63" w:rsidRDefault="00437A63" w:rsidP="00437A63">
      <w:pPr>
        <w:pStyle w:val="af0"/>
        <w:spacing w:line="360" w:lineRule="auto"/>
        <w:ind w:left="0"/>
        <w:jc w:val="both"/>
        <w:rPr>
          <w:rFonts w:ascii="FrankRuehl" w:hAnsi="FrankRuehl" w:cs="FrankRuehl"/>
          <w:sz w:val="28"/>
          <w:szCs w:val="28"/>
          <w:rtl/>
        </w:rPr>
      </w:pPr>
    </w:p>
    <w:p w14:paraId="16439AC4" w14:textId="77777777" w:rsidR="00437A63" w:rsidRPr="004D1FA9" w:rsidRDefault="00437A63" w:rsidP="00437A63">
      <w:pPr>
        <w:pStyle w:val="af0"/>
        <w:spacing w:line="360" w:lineRule="auto"/>
        <w:ind w:left="0"/>
        <w:jc w:val="both"/>
        <w:rPr>
          <w:rFonts w:ascii="Miriam" w:hAnsi="Miriam" w:cs="Miriam"/>
          <w:rtl/>
        </w:rPr>
      </w:pPr>
      <w:r w:rsidRPr="004D1FA9">
        <w:rPr>
          <w:rFonts w:ascii="Miriam" w:hAnsi="Miriam" w:cs="Miriam" w:hint="eastAsia"/>
          <w:rtl/>
        </w:rPr>
        <w:t>המישורים</w:t>
      </w:r>
      <w:r w:rsidRPr="004D1FA9">
        <w:rPr>
          <w:rFonts w:ascii="Miriam" w:hAnsi="Miriam" w:cs="Miriam"/>
          <w:rtl/>
        </w:rPr>
        <w:t xml:space="preserve"> </w:t>
      </w:r>
      <w:r w:rsidRPr="004D1FA9">
        <w:rPr>
          <w:rFonts w:ascii="Miriam" w:hAnsi="Miriam" w:cs="Miriam" w:hint="eastAsia"/>
          <w:rtl/>
        </w:rPr>
        <w:t>הנוספים</w:t>
      </w:r>
      <w:r w:rsidRPr="004D1FA9">
        <w:rPr>
          <w:rFonts w:ascii="Miriam" w:hAnsi="Miriam" w:cs="Miriam"/>
          <w:rtl/>
        </w:rPr>
        <w:t xml:space="preserve"> </w:t>
      </w:r>
      <w:r w:rsidRPr="004D1FA9">
        <w:rPr>
          <w:rFonts w:ascii="Miriam" w:hAnsi="Miriam" w:cs="Miriam" w:hint="eastAsia"/>
          <w:rtl/>
        </w:rPr>
        <w:t>של</w:t>
      </w:r>
      <w:r w:rsidRPr="004D1FA9">
        <w:rPr>
          <w:rFonts w:ascii="Miriam" w:hAnsi="Miriam" w:cs="Miriam"/>
          <w:rtl/>
        </w:rPr>
        <w:t xml:space="preserve"> </w:t>
      </w:r>
      <w:r w:rsidRPr="004D1FA9">
        <w:rPr>
          <w:rFonts w:ascii="Miriam" w:hAnsi="Miriam" w:cs="Miriam" w:hint="eastAsia"/>
          <w:rtl/>
        </w:rPr>
        <w:t>העתירה</w:t>
      </w:r>
    </w:p>
    <w:p w14:paraId="3A9509ED" w14:textId="77777777" w:rsidR="00437A63" w:rsidRPr="004D1FA9" w:rsidRDefault="00437A63" w:rsidP="00437A63">
      <w:pPr>
        <w:pStyle w:val="af0"/>
        <w:spacing w:line="360" w:lineRule="auto"/>
        <w:ind w:left="0"/>
        <w:jc w:val="both"/>
        <w:rPr>
          <w:rFonts w:ascii="Miriam" w:hAnsi="Miriam" w:cs="Miriam"/>
          <w:rtl/>
        </w:rPr>
      </w:pPr>
    </w:p>
    <w:p w14:paraId="02AA8FD6"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43</w:t>
      </w:r>
      <w:r w:rsidRPr="000D390B">
        <w:rPr>
          <w:rFonts w:ascii="Century" w:hAnsi="Century" w:cs="FrankRuehl"/>
          <w:spacing w:val="10"/>
          <w:szCs w:val="28"/>
          <w:rtl/>
        </w:rPr>
        <w:t xml:space="preserve">. </w:t>
      </w:r>
      <w:r w:rsidRPr="000D390B">
        <w:rPr>
          <w:rFonts w:ascii="Century" w:hAnsi="Century" w:cs="FrankRuehl"/>
          <w:spacing w:val="10"/>
          <w:szCs w:val="28"/>
          <w:rtl/>
        </w:rPr>
        <w:tab/>
      </w:r>
      <w:r w:rsidRPr="000D390B">
        <w:rPr>
          <w:rFonts w:ascii="Century" w:hAnsi="Century" w:cs="FrankRuehl" w:hint="eastAsia"/>
          <w:spacing w:val="10"/>
          <w:szCs w:val="28"/>
          <w:rtl/>
        </w:rPr>
        <w:t>משזוהי</w:t>
      </w:r>
      <w:r w:rsidRPr="000D390B">
        <w:rPr>
          <w:rFonts w:ascii="Century" w:hAnsi="Century" w:cs="FrankRuehl"/>
          <w:spacing w:val="10"/>
          <w:szCs w:val="28"/>
          <w:rtl/>
        </w:rPr>
        <w:t xml:space="preserve"> </w:t>
      </w:r>
      <w:r w:rsidRPr="000D390B">
        <w:rPr>
          <w:rFonts w:ascii="Century" w:hAnsi="Century" w:cs="FrankRuehl" w:hint="eastAsia"/>
          <w:spacing w:val="10"/>
          <w:szCs w:val="28"/>
          <w:rtl/>
        </w:rPr>
        <w:t>מסקנתי</w:t>
      </w:r>
      <w:r>
        <w:rPr>
          <w:rFonts w:ascii="Century" w:hAnsi="Century" w:cs="FrankRuehl" w:hint="cs"/>
          <w:spacing w:val="10"/>
          <w:szCs w:val="28"/>
          <w:rtl/>
        </w:rPr>
        <w:t xml:space="preserve"> בשאלת המניעות</w:t>
      </w:r>
      <w:r w:rsidRPr="000D390B">
        <w:rPr>
          <w:rFonts w:ascii="Century" w:hAnsi="Century" w:cs="FrankRuehl"/>
          <w:spacing w:val="10"/>
          <w:szCs w:val="28"/>
          <w:rtl/>
        </w:rPr>
        <w:t xml:space="preserve">, </w:t>
      </w:r>
      <w:r>
        <w:rPr>
          <w:rFonts w:ascii="Century" w:hAnsi="Century" w:cs="FrankRuehl" w:hint="cs"/>
          <w:spacing w:val="10"/>
          <w:szCs w:val="28"/>
          <w:rtl/>
        </w:rPr>
        <w:t xml:space="preserve">אני סבורה כי </w:t>
      </w:r>
      <w:r w:rsidRPr="000D390B">
        <w:rPr>
          <w:rFonts w:ascii="Century" w:hAnsi="Century" w:cs="FrankRuehl" w:hint="eastAsia"/>
          <w:spacing w:val="10"/>
          <w:szCs w:val="28"/>
          <w:rtl/>
        </w:rPr>
        <w:t>מקרה</w:t>
      </w:r>
      <w:r w:rsidRPr="000D390B">
        <w:rPr>
          <w:rFonts w:ascii="Century" w:hAnsi="Century" w:cs="FrankRuehl"/>
          <w:spacing w:val="10"/>
          <w:szCs w:val="28"/>
          <w:rtl/>
        </w:rPr>
        <w:t xml:space="preserve"> </w:t>
      </w:r>
      <w:r w:rsidRPr="000D390B">
        <w:rPr>
          <w:rFonts w:ascii="Century" w:hAnsi="Century" w:cs="FrankRuehl" w:hint="eastAsia"/>
          <w:spacing w:val="10"/>
          <w:szCs w:val="28"/>
          <w:rtl/>
        </w:rPr>
        <w:t>זה</w:t>
      </w:r>
      <w:r w:rsidRPr="000D390B">
        <w:rPr>
          <w:rFonts w:ascii="Century" w:hAnsi="Century" w:cs="FrankRuehl"/>
          <w:spacing w:val="10"/>
          <w:szCs w:val="28"/>
          <w:rtl/>
        </w:rPr>
        <w:t xml:space="preserve"> </w:t>
      </w:r>
      <w:r>
        <w:rPr>
          <w:rFonts w:ascii="Century" w:hAnsi="Century" w:cs="FrankRuehl" w:hint="cs"/>
          <w:spacing w:val="10"/>
          <w:szCs w:val="28"/>
          <w:rtl/>
        </w:rPr>
        <w:t xml:space="preserve">אינו </w:t>
      </w:r>
      <w:r w:rsidRPr="000D390B">
        <w:rPr>
          <w:rFonts w:ascii="Century" w:hAnsi="Century" w:cs="FrankRuehl" w:hint="eastAsia"/>
          <w:spacing w:val="10"/>
          <w:szCs w:val="28"/>
          <w:rtl/>
        </w:rPr>
        <w:t>מחייב</w:t>
      </w:r>
      <w:r w:rsidRPr="000D390B">
        <w:rPr>
          <w:rFonts w:ascii="Century" w:hAnsi="Century" w:cs="FrankRuehl"/>
          <w:spacing w:val="10"/>
          <w:szCs w:val="28"/>
          <w:rtl/>
        </w:rPr>
        <w:t xml:space="preserve"> </w:t>
      </w:r>
      <w:r w:rsidRPr="000D390B">
        <w:rPr>
          <w:rFonts w:ascii="Century" w:hAnsi="Century" w:cs="FrankRuehl" w:hint="eastAsia"/>
          <w:spacing w:val="10"/>
          <w:szCs w:val="28"/>
          <w:rtl/>
        </w:rPr>
        <w:t>הכרעה</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-פי </w:t>
      </w:r>
      <w:r w:rsidRPr="000D390B">
        <w:rPr>
          <w:rFonts w:ascii="Century" w:hAnsi="Century" w:cs="FrankRuehl" w:hint="eastAsia"/>
          <w:spacing w:val="10"/>
          <w:szCs w:val="28"/>
          <w:rtl/>
        </w:rPr>
        <w:t>שתי</w:t>
      </w:r>
      <w:r w:rsidRPr="000D390B">
        <w:rPr>
          <w:rFonts w:ascii="Century" w:hAnsi="Century" w:cs="FrankRuehl"/>
          <w:spacing w:val="10"/>
          <w:szCs w:val="28"/>
          <w:rtl/>
        </w:rPr>
        <w:t xml:space="preserve"> </w:t>
      </w:r>
      <w:r w:rsidRPr="000D390B">
        <w:rPr>
          <w:rFonts w:ascii="Century" w:hAnsi="Century" w:cs="FrankRuehl" w:hint="eastAsia"/>
          <w:spacing w:val="10"/>
          <w:szCs w:val="28"/>
          <w:rtl/>
        </w:rPr>
        <w:t>העילות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האחרות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שנטענו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בפנינו</w:t>
      </w:r>
      <w:r>
        <w:rPr>
          <w:rFonts w:ascii="Century" w:hAnsi="Century" w:cs="FrankRuehl" w:hint="cs"/>
          <w:spacing w:val="10"/>
          <w:szCs w:val="28"/>
          <w:rtl/>
        </w:rPr>
        <w:t>, מבלי להמעיט כהוא זה מהחשיבות העליונה הנודעת להגנה על טוהר המידות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עם</w:t>
      </w:r>
      <w:r w:rsidRPr="000D390B">
        <w:rPr>
          <w:rFonts w:ascii="Century" w:hAnsi="Century" w:cs="FrankRuehl"/>
          <w:spacing w:val="10"/>
          <w:szCs w:val="28"/>
          <w:rtl/>
        </w:rPr>
        <w:t xml:space="preserve"> </w:t>
      </w:r>
      <w:r w:rsidRPr="000D390B">
        <w:rPr>
          <w:rFonts w:ascii="Century" w:hAnsi="Century" w:cs="FrankRuehl" w:hint="eastAsia"/>
          <w:spacing w:val="10"/>
          <w:szCs w:val="28"/>
          <w:rtl/>
        </w:rPr>
        <w:t>זאת</w:t>
      </w:r>
      <w:r w:rsidRPr="000D390B">
        <w:rPr>
          <w:rFonts w:ascii="Century" w:hAnsi="Century" w:cs="FrankRuehl"/>
          <w:spacing w:val="10"/>
          <w:szCs w:val="28"/>
          <w:rtl/>
        </w:rPr>
        <w:t xml:space="preserve">, </w:t>
      </w:r>
      <w:r>
        <w:rPr>
          <w:rFonts w:ascii="Century" w:hAnsi="Century" w:cs="FrankRuehl" w:hint="cs"/>
          <w:spacing w:val="10"/>
          <w:szCs w:val="28"/>
          <w:rtl/>
        </w:rPr>
        <w:t xml:space="preserve">פטור בלא כלום אי אפשר. מאחר שהדברים הובאו לפתחנו ונדונו בהרחבה, ואף חברתי הנשיאה התייחסה אליהם, </w:t>
      </w:r>
      <w:r w:rsidRPr="000D390B">
        <w:rPr>
          <w:rFonts w:ascii="Century" w:hAnsi="Century" w:cs="FrankRuehl" w:hint="eastAsia"/>
          <w:spacing w:val="10"/>
          <w:szCs w:val="28"/>
          <w:rtl/>
        </w:rPr>
        <w:t>אוסיף</w:t>
      </w:r>
      <w:r w:rsidRPr="000D390B">
        <w:rPr>
          <w:rFonts w:ascii="Century" w:hAnsi="Century" w:cs="FrankRuehl"/>
          <w:spacing w:val="10"/>
          <w:szCs w:val="28"/>
          <w:rtl/>
        </w:rPr>
        <w:t xml:space="preserve"> </w:t>
      </w:r>
      <w:r w:rsidRPr="000D390B">
        <w:rPr>
          <w:rFonts w:ascii="Century" w:hAnsi="Century" w:cs="FrankRuehl" w:hint="eastAsia"/>
          <w:spacing w:val="10"/>
          <w:szCs w:val="28"/>
          <w:rtl/>
        </w:rPr>
        <w:t>מספר</w:t>
      </w:r>
      <w:r w:rsidRPr="000D390B">
        <w:rPr>
          <w:rFonts w:ascii="Century" w:hAnsi="Century" w:cs="FrankRuehl"/>
          <w:spacing w:val="10"/>
          <w:szCs w:val="28"/>
          <w:rtl/>
        </w:rPr>
        <w:t xml:space="preserve"> </w:t>
      </w:r>
      <w:r w:rsidRPr="000D390B">
        <w:rPr>
          <w:rFonts w:ascii="Century" w:hAnsi="Century" w:cs="FrankRuehl" w:hint="eastAsia"/>
          <w:spacing w:val="10"/>
          <w:szCs w:val="28"/>
          <w:rtl/>
        </w:rPr>
        <w:t>הערות</w:t>
      </w:r>
      <w:r w:rsidRPr="000D390B">
        <w:rPr>
          <w:rFonts w:ascii="Century" w:hAnsi="Century" w:cs="FrankRuehl"/>
          <w:spacing w:val="10"/>
          <w:szCs w:val="28"/>
          <w:rtl/>
        </w:rPr>
        <w:t xml:space="preserve"> </w:t>
      </w:r>
      <w:r>
        <w:rPr>
          <w:rFonts w:ascii="Century" w:hAnsi="Century" w:cs="FrankRuehl" w:hint="cs"/>
          <w:spacing w:val="10"/>
          <w:szCs w:val="28"/>
          <w:rtl/>
        </w:rPr>
        <w:t>קצרות</w:t>
      </w:r>
      <w:r w:rsidRPr="000D390B">
        <w:rPr>
          <w:rFonts w:ascii="Century" w:hAnsi="Century" w:cs="FrankRuehl"/>
          <w:spacing w:val="10"/>
          <w:szCs w:val="28"/>
          <w:rtl/>
        </w:rPr>
        <w:t>.</w:t>
      </w:r>
    </w:p>
    <w:p w14:paraId="645CA3D6" w14:textId="77777777" w:rsidR="00437A63" w:rsidRDefault="00437A63" w:rsidP="00437A63">
      <w:pPr>
        <w:pStyle w:val="af0"/>
        <w:spacing w:line="360" w:lineRule="auto"/>
        <w:ind w:left="0"/>
        <w:jc w:val="both"/>
        <w:rPr>
          <w:rFonts w:ascii="FrankRuehl" w:hAnsi="FrankRuehl" w:cs="FrankRuehl"/>
          <w:sz w:val="28"/>
          <w:szCs w:val="28"/>
          <w:rtl/>
        </w:rPr>
      </w:pPr>
    </w:p>
    <w:p w14:paraId="51063132" w14:textId="77777777" w:rsidR="00437A63" w:rsidRDefault="00437A63" w:rsidP="00437A63">
      <w:pPr>
        <w:pStyle w:val="af0"/>
        <w:spacing w:line="360" w:lineRule="auto"/>
        <w:ind w:left="0"/>
        <w:jc w:val="both"/>
        <w:rPr>
          <w:rFonts w:ascii="Century" w:hAnsi="Century" w:cs="FrankRuehl"/>
          <w:spacing w:val="10"/>
          <w:szCs w:val="28"/>
          <w:rtl/>
        </w:rPr>
      </w:pPr>
      <w:r>
        <w:rPr>
          <w:rFonts w:ascii="FrankRuehl" w:hAnsi="FrankRuehl" w:cs="FrankRuehl" w:hint="cs"/>
          <w:sz w:val="28"/>
          <w:szCs w:val="28"/>
          <w:rtl/>
        </w:rPr>
        <w:t>44</w:t>
      </w:r>
      <w:r w:rsidRPr="000D390B">
        <w:rPr>
          <w:rFonts w:ascii="Century" w:hAnsi="Century" w:cs="FrankRuehl"/>
          <w:spacing w:val="10"/>
          <w:szCs w:val="28"/>
          <w:rtl/>
        </w:rPr>
        <w:t xml:space="preserve">. </w:t>
      </w:r>
      <w:r w:rsidRPr="000D390B">
        <w:rPr>
          <w:rFonts w:ascii="Century" w:hAnsi="Century" w:cs="FrankRuehl"/>
          <w:spacing w:val="10"/>
          <w:szCs w:val="28"/>
          <w:rtl/>
        </w:rPr>
        <w:tab/>
      </w:r>
      <w:r w:rsidRPr="004B1732">
        <w:rPr>
          <w:rFonts w:ascii="Century" w:hAnsi="Century" w:cs="Miriam" w:hint="eastAsia"/>
          <w:b/>
          <w:rtl/>
        </w:rPr>
        <w:t>עילת</w:t>
      </w:r>
      <w:r w:rsidRPr="004B1732">
        <w:rPr>
          <w:rFonts w:ascii="Century" w:hAnsi="Century" w:cs="Miriam"/>
          <w:b/>
          <w:rtl/>
        </w:rPr>
        <w:t xml:space="preserve"> </w:t>
      </w:r>
      <w:r w:rsidRPr="004B1732">
        <w:rPr>
          <w:rFonts w:ascii="Century" w:hAnsi="Century" w:cs="Miriam" w:hint="eastAsia"/>
          <w:b/>
          <w:rtl/>
        </w:rPr>
        <w:t>הסבירות</w:t>
      </w:r>
      <w:r w:rsidRPr="00F3664D">
        <w:rPr>
          <w:rFonts w:ascii="Century" w:hAnsi="Century" w:cs="FrankRuehl" w:hint="cs"/>
          <w:spacing w:val="10"/>
          <w:szCs w:val="28"/>
          <w:rtl/>
        </w:rPr>
        <w:t xml:space="preserve"> </w:t>
      </w:r>
      <w:r>
        <w:rPr>
          <w:rFonts w:ascii="Century" w:hAnsi="Century" w:cs="FrankRuehl"/>
          <w:spacing w:val="10"/>
          <w:szCs w:val="28"/>
          <w:rtl/>
        </w:rPr>
        <w:t>–</w:t>
      </w:r>
      <w:r>
        <w:rPr>
          <w:rFonts w:ascii="Century" w:hAnsi="Century" w:cs="FrankRuehl" w:hint="cs"/>
          <w:spacing w:val="10"/>
          <w:szCs w:val="28"/>
          <w:rtl/>
        </w:rPr>
        <w:t xml:space="preserve"> על-פי הסדר הכרונולוגי של הדברים, אפתח ב</w:t>
      </w:r>
      <w:r w:rsidRPr="000D390B">
        <w:rPr>
          <w:rFonts w:ascii="Century" w:hAnsi="Century" w:cs="FrankRuehl"/>
          <w:spacing w:val="10"/>
          <w:szCs w:val="28"/>
          <w:rtl/>
        </w:rPr>
        <w:t>עילת הסבירות</w:t>
      </w:r>
      <w:r>
        <w:rPr>
          <w:rFonts w:ascii="Century" w:hAnsi="Century" w:cs="FrankRuehl" w:hint="cs"/>
          <w:spacing w:val="10"/>
          <w:szCs w:val="28"/>
          <w:rtl/>
        </w:rPr>
        <w:t>. עילה זו</w:t>
      </w:r>
      <w:r w:rsidRPr="000D390B">
        <w:rPr>
          <w:rFonts w:ascii="Century" w:hAnsi="Century" w:cs="FrankRuehl"/>
          <w:spacing w:val="10"/>
          <w:szCs w:val="28"/>
          <w:rtl/>
        </w:rPr>
        <w:t xml:space="preserve"> </w:t>
      </w:r>
      <w:r w:rsidRPr="000D390B">
        <w:rPr>
          <w:rFonts w:ascii="Century" w:hAnsi="Century" w:cs="FrankRuehl" w:hint="eastAsia"/>
          <w:spacing w:val="10"/>
          <w:szCs w:val="28"/>
          <w:rtl/>
        </w:rPr>
        <w:t>נמנית</w:t>
      </w:r>
      <w:r>
        <w:rPr>
          <w:rFonts w:ascii="Century" w:hAnsi="Century" w:cs="FrankRuehl" w:hint="cs"/>
          <w:spacing w:val="10"/>
          <w:szCs w:val="28"/>
          <w:rtl/>
        </w:rPr>
        <w:t>, כידוע,</w:t>
      </w:r>
      <w:r w:rsidRPr="000D390B">
        <w:rPr>
          <w:rFonts w:ascii="Century" w:hAnsi="Century" w:cs="FrankRuehl"/>
          <w:spacing w:val="10"/>
          <w:szCs w:val="28"/>
          <w:rtl/>
        </w:rPr>
        <w:t xml:space="preserve"> עם </w:t>
      </w:r>
      <w:r w:rsidRPr="000D390B">
        <w:rPr>
          <w:rFonts w:ascii="Century" w:hAnsi="Century" w:cs="FrankRuehl" w:hint="eastAsia"/>
          <w:spacing w:val="10"/>
          <w:szCs w:val="28"/>
          <w:rtl/>
        </w:rPr>
        <w:t>עילות</w:t>
      </w:r>
      <w:r w:rsidRPr="000D390B">
        <w:rPr>
          <w:rFonts w:ascii="Century" w:hAnsi="Century" w:cs="FrankRuehl"/>
          <w:spacing w:val="10"/>
          <w:szCs w:val="28"/>
          <w:rtl/>
        </w:rPr>
        <w:t xml:space="preserve"> הביקורת </w:t>
      </w:r>
      <w:r>
        <w:rPr>
          <w:rFonts w:ascii="Century" w:hAnsi="Century" w:cs="FrankRuehl" w:hint="cs"/>
          <w:spacing w:val="10"/>
          <w:szCs w:val="28"/>
          <w:rtl/>
        </w:rPr>
        <w:t>של ה</w:t>
      </w:r>
      <w:r w:rsidRPr="000D390B">
        <w:rPr>
          <w:rFonts w:ascii="Century" w:hAnsi="Century" w:cs="FrankRuehl" w:hint="eastAsia"/>
          <w:spacing w:val="10"/>
          <w:szCs w:val="28"/>
          <w:rtl/>
        </w:rPr>
        <w:t>משפט</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המינהלי</w:t>
      </w:r>
      <w:r w:rsidRPr="000D390B">
        <w:rPr>
          <w:rFonts w:ascii="Century" w:hAnsi="Century" w:cs="FrankRuehl"/>
          <w:spacing w:val="10"/>
          <w:szCs w:val="28"/>
          <w:rtl/>
        </w:rPr>
        <w:t xml:space="preserve"> </w:t>
      </w:r>
      <w:r w:rsidRPr="000D390B">
        <w:rPr>
          <w:rFonts w:ascii="Century" w:hAnsi="Century" w:cs="FrankRuehl" w:hint="eastAsia"/>
          <w:spacing w:val="10"/>
          <w:szCs w:val="28"/>
          <w:rtl/>
        </w:rPr>
        <w:t>משחר</w:t>
      </w:r>
      <w:r w:rsidRPr="000D390B">
        <w:rPr>
          <w:rFonts w:ascii="Century" w:hAnsi="Century" w:cs="FrankRuehl"/>
          <w:spacing w:val="10"/>
          <w:szCs w:val="28"/>
          <w:rtl/>
        </w:rPr>
        <w:t xml:space="preserve"> ימיו של המשפט הישראלי, </w:t>
      </w:r>
      <w:r w:rsidRPr="000D390B">
        <w:rPr>
          <w:rFonts w:ascii="Century" w:hAnsi="Century" w:cs="FrankRuehl" w:hint="eastAsia"/>
          <w:spacing w:val="10"/>
          <w:szCs w:val="28"/>
          <w:rtl/>
        </w:rPr>
        <w:t>החל</w:t>
      </w:r>
      <w:r w:rsidRPr="000D390B">
        <w:rPr>
          <w:rFonts w:ascii="Century" w:hAnsi="Century" w:cs="FrankRuehl"/>
          <w:spacing w:val="10"/>
          <w:szCs w:val="28"/>
          <w:rtl/>
        </w:rPr>
        <w:t xml:space="preserve"> </w:t>
      </w:r>
      <w:r w:rsidRPr="000D390B">
        <w:rPr>
          <w:rFonts w:ascii="Century" w:hAnsi="Century" w:cs="FrankRuehl" w:hint="eastAsia"/>
          <w:spacing w:val="10"/>
          <w:szCs w:val="28"/>
          <w:rtl/>
        </w:rPr>
        <w:t>בשנות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החמישים</w:t>
      </w:r>
      <w:r w:rsidRPr="000D390B">
        <w:rPr>
          <w:rFonts w:ascii="Century" w:hAnsi="Century" w:cs="FrankRuehl"/>
          <w:spacing w:val="10"/>
          <w:szCs w:val="28"/>
          <w:rtl/>
        </w:rPr>
        <w:t>, לרבות בכל הנוגע לשיקול דעת של שרים (ראו למשל: ע"א 311/57</w:t>
      </w:r>
      <w:r w:rsidRPr="00A35C52">
        <w:rPr>
          <w:rFonts w:ascii="FrankRuehl" w:hAnsi="FrankRuehl" w:cs="FrankRuehl"/>
          <w:sz w:val="28"/>
          <w:szCs w:val="28"/>
          <w:rtl/>
        </w:rPr>
        <w:t xml:space="preserve"> </w:t>
      </w:r>
      <w:r w:rsidRPr="000D390B">
        <w:rPr>
          <w:rFonts w:ascii="Century" w:hAnsi="Century" w:cs="Miriam"/>
          <w:b/>
          <w:rtl/>
        </w:rPr>
        <w:t>היועץ המשפטי לממשלה נ' מ. דיזנגוף ושות' (שיט) בע"מ</w:t>
      </w:r>
      <w:r w:rsidRPr="000D390B">
        <w:rPr>
          <w:rFonts w:ascii="Century" w:hAnsi="Century" w:cs="FrankRuehl"/>
          <w:spacing w:val="10"/>
          <w:szCs w:val="28"/>
          <w:rtl/>
        </w:rPr>
        <w:t>, פ"ד יג 1026, 1039 (1959); בג"ץ 156/75</w:t>
      </w:r>
      <w:r w:rsidRPr="00A35C52">
        <w:rPr>
          <w:rFonts w:ascii="FrankRuehl" w:hAnsi="FrankRuehl" w:cs="FrankRuehl"/>
          <w:sz w:val="28"/>
          <w:szCs w:val="28"/>
          <w:rtl/>
        </w:rPr>
        <w:t xml:space="preserve"> </w:t>
      </w:r>
      <w:r w:rsidRPr="000D390B">
        <w:rPr>
          <w:rFonts w:ascii="Century" w:hAnsi="Century" w:cs="Miriam"/>
          <w:b/>
          <w:rtl/>
        </w:rPr>
        <w:t>דקה נ' שר התחבורה</w:t>
      </w:r>
      <w:r w:rsidRPr="000D390B">
        <w:rPr>
          <w:rFonts w:ascii="Century" w:hAnsi="Century" w:cs="FrankRuehl"/>
          <w:spacing w:val="10"/>
          <w:szCs w:val="28"/>
          <w:rtl/>
        </w:rPr>
        <w:t>, פ"ד ל(2) 94, 105 (1976)).</w:t>
      </w:r>
      <w:r>
        <w:rPr>
          <w:rFonts w:ascii="Century" w:hAnsi="Century" w:cs="FrankRuehl" w:hint="cs"/>
          <w:spacing w:val="10"/>
          <w:szCs w:val="28"/>
          <w:rtl/>
        </w:rPr>
        <w:t xml:space="preserve"> וכך היה גם בהמשך, מבלי שכאן נדרשת התייחסות מפורטת לכך (באופן כללי, ראו: דפנה ברק-ארז </w:t>
      </w:r>
      <w:r>
        <w:rPr>
          <w:rFonts w:ascii="Century" w:hAnsi="Century" w:cs="Miriam" w:hint="cs"/>
          <w:b/>
          <w:rtl/>
        </w:rPr>
        <w:t>משפט מינהלי</w:t>
      </w:r>
      <w:r>
        <w:rPr>
          <w:rFonts w:ascii="Century" w:hAnsi="Century" w:cs="FrankRuehl" w:hint="cs"/>
          <w:spacing w:val="10"/>
          <w:szCs w:val="28"/>
          <w:rtl/>
        </w:rPr>
        <w:t xml:space="preserve"> כרך ב 767-723 (2010)). בהתאם, וכפי שהבהיר בית משפט זה אך בעת האחרונה,</w:t>
      </w:r>
      <w:r w:rsidRPr="00181A72">
        <w:rPr>
          <w:rFonts w:ascii="FrankRuehl" w:hAnsi="FrankRuehl" w:cs="FrankRuehl"/>
          <w:color w:val="000000"/>
          <w:spacing w:val="10"/>
          <w:sz w:val="28"/>
          <w:szCs w:val="28"/>
          <w:rtl/>
        </w:rPr>
        <w:t xml:space="preserve"> </w:t>
      </w:r>
      <w:r>
        <w:rPr>
          <w:rFonts w:ascii="FrankRuehl" w:hAnsi="FrankRuehl" w:cs="FrankRuehl" w:hint="cs"/>
          <w:color w:val="000000"/>
          <w:spacing w:val="10"/>
          <w:sz w:val="28"/>
          <w:szCs w:val="28"/>
          <w:rtl/>
        </w:rPr>
        <w:t>ההלכה המשפטית ארוכת השנים הקובעת כי "</w:t>
      </w:r>
      <w:r>
        <w:rPr>
          <w:rFonts w:ascii="FrankRuehl" w:hAnsi="FrankRuehl" w:cs="FrankRuehl"/>
          <w:color w:val="000000"/>
          <w:spacing w:val="10"/>
          <w:sz w:val="28"/>
          <w:szCs w:val="28"/>
          <w:rtl/>
        </w:rPr>
        <w:t>כשירות לחוד ושיקול דעת לחוד</w:t>
      </w:r>
      <w:r>
        <w:rPr>
          <w:rFonts w:ascii="FrankRuehl" w:hAnsi="FrankRuehl" w:cs="FrankRuehl"/>
          <w:color w:val="000000"/>
          <w:spacing w:val="10"/>
          <w:sz w:val="28"/>
          <w:szCs w:val="28"/>
        </w:rPr>
        <w:t>"</w:t>
      </w:r>
      <w:r>
        <w:rPr>
          <w:rFonts w:ascii="FrankRuehl" w:hAnsi="FrankRuehl" w:cs="FrankRuehl" w:hint="cs"/>
          <w:color w:val="000000"/>
          <w:spacing w:val="10"/>
          <w:sz w:val="28"/>
          <w:szCs w:val="28"/>
          <w:rtl/>
        </w:rPr>
        <w:t xml:space="preserve"> בהתייחס להליכי מינויים של שרים עודנה שרירה וקיימת (ראו: </w:t>
      </w:r>
      <w:r w:rsidRPr="00516E7E">
        <w:rPr>
          <w:rFonts w:ascii="Century" w:hAnsi="Century" w:cs="FrankRuehl" w:hint="eastAsia"/>
          <w:spacing w:val="10"/>
          <w:szCs w:val="28"/>
          <w:rtl/>
        </w:rPr>
        <w:t>עניין</w:t>
      </w:r>
      <w:r w:rsidRPr="00516E7E">
        <w:rPr>
          <w:rFonts w:ascii="Century" w:hAnsi="Century" w:cs="FrankRuehl"/>
          <w:spacing w:val="10"/>
          <w:szCs w:val="28"/>
          <w:rtl/>
        </w:rPr>
        <w:t xml:space="preserve"> </w:t>
      </w:r>
      <w:r w:rsidRPr="00C624A7">
        <w:rPr>
          <w:rFonts w:ascii="Century" w:hAnsi="Century" w:cs="Miriam" w:hint="eastAsia"/>
          <w:b/>
          <w:rtl/>
        </w:rPr>
        <w:t>הטלת</w:t>
      </w:r>
      <w:r w:rsidRPr="00C624A7">
        <w:rPr>
          <w:rFonts w:ascii="Century" w:hAnsi="Century" w:cs="Miriam"/>
          <w:b/>
          <w:rtl/>
        </w:rPr>
        <w:t xml:space="preserve"> </w:t>
      </w:r>
      <w:r w:rsidRPr="00C624A7">
        <w:rPr>
          <w:rFonts w:ascii="Century" w:hAnsi="Century" w:cs="Miriam" w:hint="eastAsia"/>
          <w:b/>
          <w:rtl/>
        </w:rPr>
        <w:lastRenderedPageBreak/>
        <w:t>המנדט</w:t>
      </w:r>
      <w:r>
        <w:rPr>
          <w:rFonts w:ascii="FrankRuehl" w:hAnsi="FrankRuehl" w:cs="FrankRuehl" w:hint="cs"/>
          <w:color w:val="000000"/>
          <w:spacing w:val="10"/>
          <w:sz w:val="28"/>
          <w:szCs w:val="28"/>
          <w:rtl/>
        </w:rPr>
        <w:t xml:space="preserve">, בפסקה 9 לפסק דינה של הנשיאה </w:t>
      </w:r>
      <w:r>
        <w:rPr>
          <w:rFonts w:ascii="Century" w:hAnsi="Century" w:cs="Miriam" w:hint="cs"/>
          <w:b/>
          <w:rtl/>
        </w:rPr>
        <w:t>חיות</w:t>
      </w:r>
      <w:r>
        <w:rPr>
          <w:rFonts w:ascii="FrankRuehl" w:hAnsi="FrankRuehl" w:cs="FrankRuehl" w:hint="cs"/>
          <w:color w:val="000000"/>
          <w:spacing w:val="10"/>
          <w:sz w:val="28"/>
          <w:szCs w:val="28"/>
          <w:rtl/>
        </w:rPr>
        <w:t xml:space="preserve">). </w:t>
      </w:r>
      <w:r>
        <w:rPr>
          <w:rFonts w:ascii="Century" w:hAnsi="Century" w:cs="FrankRuehl" w:hint="cs"/>
          <w:spacing w:val="10"/>
          <w:szCs w:val="28"/>
          <w:rtl/>
        </w:rPr>
        <w:t xml:space="preserve">הדברים היו נכונים אז והם עודם יפים ואף ביתר שאת גם כיום. למען הסר ספק, וכפי שציינה חברתי הנשיאה (בפסקה 53 לפסק דינה), באותו עניין עילה זו לא שימשה בסיס לקבלת העתירה מאחר שהדיון לא נסב על החלטה של גורם מינהלי בנושא מינוי (אלא על החלטה שקיבלו חברי הכנסת במישור הפרלמנטרי). </w:t>
      </w:r>
    </w:p>
    <w:p w14:paraId="759A1D95" w14:textId="77777777" w:rsidR="00437A63" w:rsidRDefault="00437A63" w:rsidP="00437A63">
      <w:pPr>
        <w:pStyle w:val="af0"/>
        <w:spacing w:line="360" w:lineRule="auto"/>
        <w:ind w:left="0"/>
        <w:jc w:val="both"/>
        <w:rPr>
          <w:rFonts w:ascii="Century" w:hAnsi="Century" w:cs="FrankRuehl"/>
          <w:spacing w:val="10"/>
          <w:szCs w:val="28"/>
          <w:rtl/>
        </w:rPr>
      </w:pPr>
    </w:p>
    <w:p w14:paraId="346DD5D7"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45.</w:t>
      </w:r>
      <w:r>
        <w:rPr>
          <w:rFonts w:ascii="Century" w:hAnsi="Century" w:cs="FrankRuehl" w:hint="cs"/>
          <w:spacing w:val="10"/>
          <w:szCs w:val="28"/>
          <w:rtl/>
        </w:rPr>
        <w:tab/>
        <w:t xml:space="preserve">אף על פי כן, ומבלי לגרוע מהאמור, </w:t>
      </w:r>
      <w:r w:rsidRPr="000D390B">
        <w:rPr>
          <w:rFonts w:ascii="Century" w:hAnsi="Century" w:cs="FrankRuehl"/>
          <w:spacing w:val="10"/>
          <w:szCs w:val="28"/>
          <w:rtl/>
        </w:rPr>
        <w:t xml:space="preserve">לא העמדתי </w:t>
      </w:r>
      <w:r>
        <w:rPr>
          <w:rFonts w:ascii="Century" w:hAnsi="Century" w:cs="FrankRuehl" w:hint="cs"/>
          <w:spacing w:val="10"/>
          <w:szCs w:val="28"/>
          <w:rtl/>
        </w:rPr>
        <w:t xml:space="preserve">את </w:t>
      </w:r>
      <w:r w:rsidRPr="000D390B">
        <w:rPr>
          <w:rFonts w:ascii="Century" w:hAnsi="Century" w:cs="FrankRuehl"/>
          <w:spacing w:val="10"/>
          <w:szCs w:val="28"/>
          <w:rtl/>
        </w:rPr>
        <w:t>עיל</w:t>
      </w:r>
      <w:r>
        <w:rPr>
          <w:rFonts w:ascii="Century" w:hAnsi="Century" w:cs="FrankRuehl" w:hint="cs"/>
          <w:spacing w:val="10"/>
          <w:szCs w:val="28"/>
          <w:rtl/>
        </w:rPr>
        <w:t>ת הסבירות</w:t>
      </w:r>
      <w:r w:rsidRPr="000D390B">
        <w:rPr>
          <w:rFonts w:ascii="Century" w:hAnsi="Century" w:cs="FrankRuehl"/>
          <w:spacing w:val="10"/>
          <w:szCs w:val="28"/>
          <w:rtl/>
        </w:rPr>
        <w:t xml:space="preserve"> במרכז דברי</w:t>
      </w:r>
      <w:r>
        <w:rPr>
          <w:rFonts w:ascii="Century" w:hAnsi="Century" w:cs="FrankRuehl" w:hint="cs"/>
          <w:spacing w:val="10"/>
          <w:szCs w:val="28"/>
          <w:rtl/>
        </w:rPr>
        <w:t>י במקרה הנוכחי. זאת,</w:t>
      </w:r>
      <w:r w:rsidRPr="000D390B">
        <w:rPr>
          <w:rFonts w:ascii="Century" w:hAnsi="Century" w:cs="FrankRuehl"/>
          <w:spacing w:val="10"/>
          <w:szCs w:val="28"/>
          <w:rtl/>
        </w:rPr>
        <w:t xml:space="preserve"> </w:t>
      </w:r>
      <w:r>
        <w:rPr>
          <w:rFonts w:ascii="Century" w:hAnsi="Century" w:cs="FrankRuehl" w:hint="cs"/>
          <w:spacing w:val="10"/>
          <w:szCs w:val="28"/>
          <w:rtl/>
        </w:rPr>
        <w:t xml:space="preserve">כאמור, </w:t>
      </w:r>
      <w:r w:rsidRPr="000D390B">
        <w:rPr>
          <w:rFonts w:ascii="Century" w:hAnsi="Century" w:cs="FrankRuehl"/>
          <w:spacing w:val="10"/>
          <w:szCs w:val="28"/>
          <w:rtl/>
        </w:rPr>
        <w:t xml:space="preserve">משום שאני סבורה </w:t>
      </w:r>
      <w:r>
        <w:rPr>
          <w:rFonts w:ascii="Century" w:hAnsi="Century" w:cs="FrankRuehl" w:hint="cs"/>
          <w:spacing w:val="10"/>
          <w:szCs w:val="28"/>
          <w:rtl/>
        </w:rPr>
        <w:t>כי בנסיבות העניין קיימים טעמים בסיסיים יותר לפסילת המינוי, כאלה שאינם כרוכים בביקורת על שיקול דעת מינהלי: עקרון ההשתק ו</w:t>
      </w:r>
      <w:r w:rsidRPr="000D390B">
        <w:rPr>
          <w:rFonts w:ascii="Century" w:hAnsi="Century" w:cs="FrankRuehl"/>
          <w:spacing w:val="10"/>
          <w:szCs w:val="28"/>
          <w:rtl/>
        </w:rPr>
        <w:t>חובת ההגינות</w:t>
      </w:r>
      <w:r>
        <w:rPr>
          <w:rFonts w:ascii="Century" w:hAnsi="Century" w:cs="FrankRuehl" w:hint="cs"/>
          <w:spacing w:val="10"/>
          <w:szCs w:val="28"/>
          <w:rtl/>
        </w:rPr>
        <w:t>,</w:t>
      </w:r>
      <w:r w:rsidRPr="000D390B">
        <w:rPr>
          <w:rFonts w:ascii="Century" w:hAnsi="Century" w:cs="FrankRuehl"/>
          <w:spacing w:val="10"/>
          <w:szCs w:val="28"/>
          <w:rtl/>
        </w:rPr>
        <w:t xml:space="preserve"> ובהקשר זה באופן ספציפי, החובה לכבד הליכים משפטיים המתנהלים בבתי המשפט של המדינה. </w:t>
      </w:r>
      <w:r>
        <w:rPr>
          <w:rFonts w:ascii="Century" w:hAnsi="Century" w:cs="FrankRuehl" w:hint="cs"/>
          <w:spacing w:val="10"/>
          <w:szCs w:val="28"/>
          <w:rtl/>
        </w:rPr>
        <w:t xml:space="preserve">יוער, כי ההכרעה על-פי עקרונות אלה שונה במידת מה מהדיון המבוסס על עילת הסבירות, במובן זה שאינה כרוכה באיזונים נוספים. </w:t>
      </w:r>
      <w:r w:rsidRPr="00820765">
        <w:rPr>
          <w:rFonts w:ascii="Century" w:hAnsi="Century" w:cs="FrankRuehl" w:hint="cs"/>
          <w:spacing w:val="10"/>
          <w:szCs w:val="28"/>
          <w:rtl/>
        </w:rPr>
        <w:t>על פני הדברים</w:t>
      </w:r>
      <w:r w:rsidRPr="000D390B">
        <w:rPr>
          <w:rFonts w:ascii="Century" w:hAnsi="Century" w:cs="FrankRuehl"/>
          <w:spacing w:val="10"/>
          <w:szCs w:val="28"/>
          <w:rtl/>
        </w:rPr>
        <w:t xml:space="preserve">, כאשר ההכרעה </w:t>
      </w:r>
      <w:r w:rsidRPr="00820765">
        <w:rPr>
          <w:rFonts w:ascii="Century" w:hAnsi="Century" w:cs="FrankRuehl" w:hint="cs"/>
          <w:spacing w:val="10"/>
          <w:szCs w:val="28"/>
          <w:rtl/>
        </w:rPr>
        <w:t>נעשית</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-פי עילת הסבירות, מנקודת מבטו של ראש הממשלה, </w:t>
      </w:r>
      <w:r>
        <w:rPr>
          <w:rFonts w:ascii="Century" w:hAnsi="Century" w:cs="FrankRuehl" w:hint="cs"/>
          <w:spacing w:val="10"/>
          <w:szCs w:val="28"/>
          <w:rtl/>
        </w:rPr>
        <w:t xml:space="preserve">היא עשויה להביא בחשבון גם </w:t>
      </w:r>
      <w:r w:rsidRPr="000D390B">
        <w:rPr>
          <w:rFonts w:ascii="Century" w:hAnsi="Century" w:cs="FrankRuehl" w:hint="eastAsia"/>
          <w:spacing w:val="10"/>
          <w:szCs w:val="28"/>
          <w:rtl/>
        </w:rPr>
        <w:t>שיקולים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נוספים</w:t>
      </w:r>
      <w:r>
        <w:rPr>
          <w:rFonts w:ascii="Century" w:hAnsi="Century" w:cs="FrankRuehl" w:hint="cs"/>
          <w:spacing w:val="10"/>
          <w:szCs w:val="28"/>
          <w:rtl/>
        </w:rPr>
        <w:t xml:space="preserve"> </w:t>
      </w:r>
      <w:r w:rsidRPr="000D390B">
        <w:rPr>
          <w:rFonts w:ascii="Century" w:hAnsi="Century" w:cs="FrankRuehl" w:hint="eastAsia"/>
          <w:spacing w:val="10"/>
          <w:szCs w:val="28"/>
          <w:rtl/>
        </w:rPr>
        <w:t>שאף</w:t>
      </w:r>
      <w:r w:rsidRPr="000D390B">
        <w:rPr>
          <w:rFonts w:ascii="Century" w:hAnsi="Century" w:cs="FrankRuehl"/>
          <w:spacing w:val="10"/>
          <w:szCs w:val="28"/>
          <w:rtl/>
        </w:rPr>
        <w:t xml:space="preserve"> </w:t>
      </w:r>
      <w:r w:rsidRPr="000D390B">
        <w:rPr>
          <w:rFonts w:ascii="Century" w:hAnsi="Century" w:cs="FrankRuehl" w:hint="eastAsia"/>
          <w:spacing w:val="10"/>
          <w:szCs w:val="28"/>
          <w:rtl/>
        </w:rPr>
        <w:t>זכו</w:t>
      </w:r>
      <w:r w:rsidRPr="000D390B">
        <w:rPr>
          <w:rFonts w:ascii="Century" w:hAnsi="Century" w:cs="FrankRuehl"/>
          <w:spacing w:val="10"/>
          <w:szCs w:val="28"/>
          <w:rtl/>
        </w:rPr>
        <w:t xml:space="preserve"> </w:t>
      </w:r>
      <w:r w:rsidRPr="000D390B">
        <w:rPr>
          <w:rFonts w:ascii="Century" w:hAnsi="Century" w:cs="FrankRuehl" w:hint="eastAsia"/>
          <w:spacing w:val="10"/>
          <w:szCs w:val="28"/>
          <w:rtl/>
        </w:rPr>
        <w:t>להתייחסות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בפנינו</w:t>
      </w:r>
      <w:r w:rsidRPr="000D390B">
        <w:rPr>
          <w:rFonts w:ascii="Century" w:hAnsi="Century" w:cs="FrankRuehl"/>
          <w:spacing w:val="10"/>
          <w:szCs w:val="28"/>
          <w:rtl/>
        </w:rPr>
        <w:t xml:space="preserve"> (כדוגמת </w:t>
      </w:r>
      <w:r w:rsidRPr="000D390B">
        <w:rPr>
          <w:rFonts w:ascii="Century" w:hAnsi="Century" w:cs="FrankRuehl" w:hint="eastAsia"/>
          <w:spacing w:val="10"/>
          <w:szCs w:val="28"/>
          <w:rtl/>
        </w:rPr>
        <w:t>החשיבות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ש</w:t>
      </w:r>
      <w:r>
        <w:rPr>
          <w:rFonts w:ascii="Century" w:hAnsi="Century" w:cs="FrankRuehl" w:hint="cs"/>
          <w:spacing w:val="10"/>
          <w:szCs w:val="28"/>
          <w:rtl/>
        </w:rPr>
        <w:t>ראש הממשלה</w:t>
      </w:r>
      <w:r w:rsidRPr="000D390B">
        <w:rPr>
          <w:rFonts w:ascii="Century" w:hAnsi="Century" w:cs="FrankRuehl"/>
          <w:spacing w:val="10"/>
          <w:szCs w:val="28"/>
          <w:rtl/>
        </w:rPr>
        <w:t xml:space="preserve"> </w:t>
      </w:r>
      <w:r w:rsidRPr="000D390B">
        <w:rPr>
          <w:rFonts w:ascii="Century" w:hAnsi="Century" w:cs="FrankRuehl" w:hint="eastAsia"/>
          <w:spacing w:val="10"/>
          <w:szCs w:val="28"/>
          <w:rtl/>
        </w:rPr>
        <w:t>מייחס</w:t>
      </w:r>
      <w:r w:rsidRPr="000D390B">
        <w:rPr>
          <w:rFonts w:ascii="Century" w:hAnsi="Century" w:cs="FrankRuehl"/>
          <w:spacing w:val="10"/>
          <w:szCs w:val="28"/>
          <w:rtl/>
        </w:rPr>
        <w:t xml:space="preserve"> </w:t>
      </w:r>
      <w:r>
        <w:rPr>
          <w:rFonts w:ascii="Century" w:hAnsi="Century" w:cs="FrankRuehl" w:hint="cs"/>
          <w:spacing w:val="10"/>
          <w:szCs w:val="28"/>
          <w:rtl/>
        </w:rPr>
        <w:t>בטיעוניו לניסיונו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דרעי</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בממשלה</w:t>
      </w:r>
      <w:r w:rsidRPr="000D390B">
        <w:rPr>
          <w:rFonts w:ascii="Century" w:hAnsi="Century" w:cs="FrankRuehl"/>
          <w:spacing w:val="10"/>
          <w:szCs w:val="28"/>
          <w:rtl/>
        </w:rPr>
        <w:t xml:space="preserve">). </w:t>
      </w:r>
      <w:r>
        <w:rPr>
          <w:rFonts w:ascii="Century" w:hAnsi="Century" w:cs="FrankRuehl" w:hint="cs"/>
          <w:spacing w:val="10"/>
          <w:szCs w:val="28"/>
          <w:rtl/>
        </w:rPr>
        <w:t>אולם</w:t>
      </w:r>
      <w:r w:rsidRPr="000D390B">
        <w:rPr>
          <w:rFonts w:ascii="Century" w:hAnsi="Century" w:cs="FrankRuehl"/>
          <w:spacing w:val="10"/>
          <w:szCs w:val="28"/>
          <w:rtl/>
        </w:rPr>
        <w:t xml:space="preserve">, </w:t>
      </w:r>
      <w:r w:rsidRPr="000D390B">
        <w:rPr>
          <w:rFonts w:ascii="Century" w:hAnsi="Century" w:cs="FrankRuehl" w:hint="eastAsia"/>
          <w:spacing w:val="10"/>
          <w:szCs w:val="28"/>
          <w:rtl/>
        </w:rPr>
        <w:t>כאשר</w:t>
      </w:r>
      <w:r w:rsidRPr="000D390B">
        <w:rPr>
          <w:rFonts w:ascii="Century" w:hAnsi="Century" w:cs="FrankRuehl"/>
          <w:spacing w:val="10"/>
          <w:szCs w:val="28"/>
          <w:rtl/>
        </w:rPr>
        <w:t xml:space="preserve"> </w:t>
      </w:r>
      <w:r w:rsidRPr="000D390B">
        <w:rPr>
          <w:rFonts w:ascii="Century" w:hAnsi="Century" w:cs="FrankRuehl" w:hint="eastAsia"/>
          <w:spacing w:val="10"/>
          <w:szCs w:val="28"/>
          <w:rtl/>
        </w:rPr>
        <w:t>הדברים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נבחנים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באספקלריה</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Pr>
          <w:rFonts w:ascii="Century" w:hAnsi="Century" w:cs="FrankRuehl" w:hint="cs"/>
          <w:spacing w:val="10"/>
          <w:szCs w:val="28"/>
          <w:rtl/>
        </w:rPr>
        <w:t xml:space="preserve">התנהלותו של </w:t>
      </w:r>
      <w:r w:rsidRPr="000D390B">
        <w:rPr>
          <w:rFonts w:ascii="Century" w:hAnsi="Century" w:cs="FrankRuehl" w:hint="eastAsia"/>
          <w:spacing w:val="10"/>
          <w:szCs w:val="28"/>
          <w:rtl/>
        </w:rPr>
        <w:t>דרעי</w:t>
      </w:r>
      <w:r>
        <w:rPr>
          <w:rFonts w:ascii="Century" w:hAnsi="Century" w:cs="FrankRuehl" w:hint="cs"/>
          <w:spacing w:val="10"/>
          <w:szCs w:val="28"/>
          <w:rtl/>
        </w:rPr>
        <w:t xml:space="preserve"> עצמו</w:t>
      </w:r>
      <w:r w:rsidRPr="000D390B">
        <w:rPr>
          <w:rFonts w:ascii="Century" w:hAnsi="Century" w:cs="FrankRuehl"/>
          <w:spacing w:val="10"/>
          <w:szCs w:val="28"/>
          <w:rtl/>
        </w:rPr>
        <w:t xml:space="preserve">, אין מקום </w:t>
      </w:r>
      <w:r w:rsidRPr="000D390B">
        <w:rPr>
          <w:rFonts w:ascii="Century" w:hAnsi="Century" w:cs="FrankRuehl" w:hint="eastAsia"/>
          <w:spacing w:val="10"/>
          <w:szCs w:val="28"/>
          <w:rtl/>
        </w:rPr>
        <w:t>לאיזונים</w:t>
      </w:r>
      <w:r>
        <w:rPr>
          <w:rFonts w:ascii="Century" w:hAnsi="Century" w:cs="FrankRuehl" w:hint="cs"/>
          <w:spacing w:val="10"/>
          <w:szCs w:val="28"/>
          <w:rtl/>
        </w:rPr>
        <w:t xml:space="preserve"> מסוג זה</w:t>
      </w:r>
      <w:r w:rsidRPr="000D390B">
        <w:rPr>
          <w:rFonts w:ascii="Century" w:hAnsi="Century" w:cs="FrankRuehl"/>
          <w:spacing w:val="10"/>
          <w:szCs w:val="28"/>
          <w:rtl/>
        </w:rPr>
        <w:t xml:space="preserve">. </w:t>
      </w:r>
      <w:r>
        <w:rPr>
          <w:rFonts w:ascii="Century" w:hAnsi="Century" w:cs="FrankRuehl" w:hint="cs"/>
          <w:spacing w:val="10"/>
          <w:szCs w:val="28"/>
          <w:rtl/>
        </w:rPr>
        <w:t xml:space="preserve">מדובר בהחלטה אישית שקיבל, ושהפכה להיות בעלת משמעות מכרעת לאחר שפסק הדין </w:t>
      </w:r>
      <w:r w:rsidRPr="000D390B">
        <w:rPr>
          <w:rFonts w:ascii="Century" w:hAnsi="Century" w:cs="FrankRuehl" w:hint="eastAsia"/>
          <w:spacing w:val="10"/>
          <w:szCs w:val="28"/>
          <w:rtl/>
        </w:rPr>
        <w:t>במשפט</w:t>
      </w:r>
      <w:r>
        <w:rPr>
          <w:rFonts w:ascii="Century" w:hAnsi="Century" w:cs="FrankRuehl" w:hint="cs"/>
          <w:spacing w:val="10"/>
          <w:szCs w:val="28"/>
          <w:rtl/>
        </w:rPr>
        <w:t xml:space="preserve"> הפלילי</w:t>
      </w:r>
      <w:r w:rsidRPr="000D390B">
        <w:rPr>
          <w:rFonts w:ascii="Century" w:hAnsi="Century" w:cs="FrankRuehl"/>
          <w:spacing w:val="10"/>
          <w:szCs w:val="28"/>
          <w:rtl/>
        </w:rPr>
        <w:t xml:space="preserve"> </w:t>
      </w:r>
      <w:r w:rsidRPr="000D390B">
        <w:rPr>
          <w:rFonts w:ascii="Century" w:hAnsi="Century" w:cs="FrankRuehl" w:hint="eastAsia"/>
          <w:spacing w:val="10"/>
          <w:szCs w:val="28"/>
          <w:rtl/>
        </w:rPr>
        <w:t>הפ</w:t>
      </w:r>
      <w:r>
        <w:rPr>
          <w:rFonts w:ascii="Century" w:hAnsi="Century" w:cs="FrankRuehl" w:hint="cs"/>
          <w:spacing w:val="10"/>
          <w:szCs w:val="28"/>
          <w:rtl/>
        </w:rPr>
        <w:t>ך</w:t>
      </w:r>
      <w:r w:rsidRPr="000D390B">
        <w:rPr>
          <w:rFonts w:ascii="Century" w:hAnsi="Century" w:cs="FrankRuehl"/>
          <w:spacing w:val="10"/>
          <w:szCs w:val="28"/>
          <w:rtl/>
        </w:rPr>
        <w:t xml:space="preserve"> </w:t>
      </w:r>
      <w:r w:rsidRPr="000D390B">
        <w:rPr>
          <w:rFonts w:ascii="Century" w:hAnsi="Century" w:cs="FrankRuehl" w:hint="eastAsia"/>
          <w:spacing w:val="10"/>
          <w:szCs w:val="28"/>
          <w:rtl/>
        </w:rPr>
        <w:t>לחלוט</w:t>
      </w:r>
      <w:r w:rsidRPr="000D390B">
        <w:rPr>
          <w:rFonts w:ascii="Century" w:hAnsi="Century" w:cs="FrankRuehl"/>
          <w:spacing w:val="10"/>
          <w:szCs w:val="28"/>
          <w:rtl/>
        </w:rPr>
        <w:t>.</w:t>
      </w:r>
      <w:r>
        <w:rPr>
          <w:rFonts w:ascii="Century" w:hAnsi="Century" w:cs="FrankRuehl" w:hint="cs"/>
          <w:spacing w:val="10"/>
          <w:szCs w:val="28"/>
          <w:rtl/>
        </w:rPr>
        <w:t xml:space="preserve"> המוקד כאן הוא בטוהר ההליך השיפוטי ובהגנה עליו, עקרונות יסוד מושרשים המחייבים כל אזרח במדינת ישראל.</w:t>
      </w:r>
    </w:p>
    <w:p w14:paraId="74B1648E" w14:textId="77777777" w:rsidR="00437A63" w:rsidRDefault="00437A63" w:rsidP="00437A63">
      <w:pPr>
        <w:pStyle w:val="af0"/>
        <w:spacing w:line="360" w:lineRule="auto"/>
        <w:ind w:left="0"/>
        <w:jc w:val="both"/>
        <w:rPr>
          <w:rFonts w:ascii="FrankRuehl" w:hAnsi="FrankRuehl" w:cs="FrankRuehl"/>
          <w:sz w:val="28"/>
          <w:szCs w:val="28"/>
          <w:rtl/>
        </w:rPr>
      </w:pPr>
    </w:p>
    <w:p w14:paraId="546B986A" w14:textId="77777777" w:rsidR="00437A63" w:rsidRDefault="00437A63" w:rsidP="00437A63">
      <w:pPr>
        <w:pStyle w:val="Ruller41"/>
        <w:rPr>
          <w:rFonts w:ascii="Century" w:hAnsi="Century"/>
          <w:rtl/>
        </w:rPr>
      </w:pPr>
      <w:r>
        <w:rPr>
          <w:rFonts w:ascii="Century" w:hAnsi="Century" w:hint="cs"/>
          <w:rtl/>
        </w:rPr>
        <w:t>46</w:t>
      </w:r>
      <w:r w:rsidRPr="000D390B">
        <w:rPr>
          <w:rFonts w:ascii="Century" w:hAnsi="Century"/>
          <w:rtl/>
        </w:rPr>
        <w:t xml:space="preserve">. </w:t>
      </w:r>
      <w:r w:rsidRPr="000D390B">
        <w:rPr>
          <w:rFonts w:ascii="Century" w:hAnsi="Century"/>
          <w:rtl/>
        </w:rPr>
        <w:tab/>
      </w:r>
      <w:r w:rsidRPr="004B1732">
        <w:rPr>
          <w:rFonts w:ascii="Century" w:hAnsi="Century" w:cs="Miriam" w:hint="eastAsia"/>
          <w:b/>
          <w:spacing w:val="0"/>
          <w:szCs w:val="24"/>
          <w:rtl/>
        </w:rPr>
        <w:t>שימוש</w:t>
      </w:r>
      <w:r w:rsidRPr="004B1732">
        <w:rPr>
          <w:rFonts w:ascii="Century" w:hAnsi="Century" w:cs="Miriam"/>
          <w:b/>
          <w:spacing w:val="0"/>
          <w:szCs w:val="24"/>
          <w:rtl/>
        </w:rPr>
        <w:t xml:space="preserve"> </w:t>
      </w:r>
      <w:r w:rsidRPr="004B1732">
        <w:rPr>
          <w:rFonts w:ascii="Century" w:hAnsi="Century" w:cs="Miriam" w:hint="eastAsia"/>
          <w:b/>
          <w:spacing w:val="0"/>
          <w:szCs w:val="24"/>
          <w:rtl/>
        </w:rPr>
        <w:t>לרעה</w:t>
      </w:r>
      <w:r w:rsidRPr="004B1732">
        <w:rPr>
          <w:rFonts w:ascii="Century" w:hAnsi="Century" w:cs="Miriam"/>
          <w:b/>
          <w:spacing w:val="0"/>
          <w:szCs w:val="24"/>
          <w:rtl/>
        </w:rPr>
        <w:t xml:space="preserve"> </w:t>
      </w:r>
      <w:r w:rsidRPr="004B1732">
        <w:rPr>
          <w:rFonts w:ascii="Century" w:hAnsi="Century" w:cs="Miriam" w:hint="eastAsia"/>
          <w:b/>
          <w:spacing w:val="0"/>
          <w:szCs w:val="24"/>
          <w:rtl/>
        </w:rPr>
        <w:t>בחוקי</w:t>
      </w:r>
      <w:r w:rsidRPr="004B1732">
        <w:rPr>
          <w:rFonts w:ascii="Century" w:hAnsi="Century" w:cs="Miriam"/>
          <w:b/>
          <w:spacing w:val="0"/>
          <w:szCs w:val="24"/>
          <w:rtl/>
        </w:rPr>
        <w:t xml:space="preserve"> </w:t>
      </w:r>
      <w:r w:rsidRPr="004B1732">
        <w:rPr>
          <w:rFonts w:ascii="Century" w:hAnsi="Century" w:cs="Miriam" w:hint="eastAsia"/>
          <w:b/>
          <w:spacing w:val="0"/>
          <w:szCs w:val="24"/>
          <w:rtl/>
        </w:rPr>
        <w:t>יסוד</w:t>
      </w:r>
      <w:r w:rsidRPr="00F3664D">
        <w:rPr>
          <w:rFonts w:ascii="Century" w:hAnsi="Century" w:hint="cs"/>
          <w:rtl/>
        </w:rPr>
        <w:t xml:space="preserve"> </w:t>
      </w:r>
      <w:r>
        <w:rPr>
          <w:rFonts w:ascii="Century" w:hAnsi="Century"/>
          <w:rtl/>
        </w:rPr>
        <w:t>–</w:t>
      </w:r>
      <w:r>
        <w:rPr>
          <w:rFonts w:ascii="Century" w:hAnsi="Century" w:hint="cs"/>
          <w:rtl/>
        </w:rPr>
        <w:t xml:space="preserve"> בהמשך לכך, אף אני </w:t>
      </w:r>
      <w:r w:rsidRPr="000D390B">
        <w:rPr>
          <w:rFonts w:ascii="Century" w:hAnsi="Century" w:hint="eastAsia"/>
          <w:rtl/>
        </w:rPr>
        <w:t>אינני</w:t>
      </w:r>
      <w:r w:rsidRPr="000D390B">
        <w:rPr>
          <w:rFonts w:ascii="Century" w:hAnsi="Century"/>
          <w:rtl/>
        </w:rPr>
        <w:t xml:space="preserve"> </w:t>
      </w:r>
      <w:r w:rsidRPr="000D390B">
        <w:rPr>
          <w:rFonts w:ascii="Century" w:hAnsi="Century" w:hint="eastAsia"/>
          <w:rtl/>
        </w:rPr>
        <w:t>נדרשת</w:t>
      </w:r>
      <w:r w:rsidRPr="000D390B">
        <w:rPr>
          <w:rFonts w:ascii="Century" w:hAnsi="Century"/>
          <w:rtl/>
        </w:rPr>
        <w:t xml:space="preserve"> </w:t>
      </w:r>
      <w:r w:rsidRPr="000D390B">
        <w:rPr>
          <w:rFonts w:ascii="Century" w:hAnsi="Century" w:hint="eastAsia"/>
          <w:rtl/>
        </w:rPr>
        <w:t>כאן</w:t>
      </w:r>
      <w:r w:rsidRPr="000D390B">
        <w:rPr>
          <w:rFonts w:ascii="Century" w:hAnsi="Century"/>
          <w:rtl/>
        </w:rPr>
        <w:t xml:space="preserve"> </w:t>
      </w:r>
      <w:r w:rsidRPr="000D390B">
        <w:rPr>
          <w:rFonts w:ascii="Century" w:hAnsi="Century" w:hint="eastAsia"/>
          <w:rtl/>
        </w:rPr>
        <w:t>באריכות</w:t>
      </w:r>
      <w:r w:rsidRPr="000D390B">
        <w:rPr>
          <w:rFonts w:ascii="Century" w:hAnsi="Century"/>
          <w:rtl/>
        </w:rPr>
        <w:t xml:space="preserve"> לסוגיה הסבוכה של </w:t>
      </w:r>
      <w:r>
        <w:rPr>
          <w:rFonts w:ascii="Century" w:hAnsi="Century" w:hint="cs"/>
          <w:rtl/>
        </w:rPr>
        <w:t>שימוש לרעה בחקיקת חוק יסוד</w:t>
      </w:r>
      <w:r w:rsidRPr="000D390B">
        <w:rPr>
          <w:rFonts w:ascii="Century" w:hAnsi="Century"/>
          <w:rtl/>
        </w:rPr>
        <w:t xml:space="preserve">. את דעתי בעניין זה הצגתי בפירוט בעניין </w:t>
      </w:r>
      <w:r w:rsidRPr="000D390B">
        <w:rPr>
          <w:rFonts w:ascii="Century" w:hAnsi="Century" w:cs="Miriam" w:hint="eastAsia"/>
          <w:b/>
          <w:spacing w:val="0"/>
          <w:szCs w:val="24"/>
          <w:rtl/>
        </w:rPr>
        <w:t>שפיר</w:t>
      </w:r>
      <w:r w:rsidRPr="000D390B">
        <w:rPr>
          <w:rFonts w:ascii="Century" w:hAnsi="Century"/>
          <w:rtl/>
        </w:rPr>
        <w:t xml:space="preserve"> </w:t>
      </w:r>
      <w:r w:rsidRPr="000D390B">
        <w:rPr>
          <w:rFonts w:ascii="Century" w:hAnsi="Century" w:hint="eastAsia"/>
          <w:rtl/>
        </w:rPr>
        <w:t>ובעניין</w:t>
      </w:r>
      <w:r w:rsidRPr="000D390B">
        <w:rPr>
          <w:rFonts w:ascii="Century" w:hAnsi="Century"/>
          <w:rtl/>
        </w:rPr>
        <w:t xml:space="preserve"> </w:t>
      </w:r>
      <w:r w:rsidRPr="000D390B">
        <w:rPr>
          <w:rFonts w:ascii="Century" w:hAnsi="Century" w:cs="Miriam" w:hint="eastAsia"/>
          <w:b/>
          <w:spacing w:val="0"/>
          <w:szCs w:val="24"/>
          <w:rtl/>
        </w:rPr>
        <w:t>ממשלת</w:t>
      </w:r>
      <w:r w:rsidRPr="000D390B">
        <w:rPr>
          <w:rFonts w:ascii="Century" w:hAnsi="Century" w:cs="Miriam"/>
          <w:b/>
          <w:spacing w:val="0"/>
          <w:szCs w:val="24"/>
          <w:rtl/>
        </w:rPr>
        <w:t xml:space="preserve"> </w:t>
      </w:r>
      <w:r w:rsidRPr="000D390B">
        <w:rPr>
          <w:rFonts w:ascii="Century" w:hAnsi="Century" w:cs="Miriam" w:hint="eastAsia"/>
          <w:b/>
          <w:spacing w:val="0"/>
          <w:szCs w:val="24"/>
          <w:rtl/>
        </w:rPr>
        <w:t>הח</w:t>
      </w:r>
      <w:r>
        <w:rPr>
          <w:rFonts w:ascii="Century" w:hAnsi="Century" w:cs="Miriam" w:hint="cs"/>
          <w:b/>
          <w:spacing w:val="0"/>
          <w:szCs w:val="24"/>
          <w:rtl/>
        </w:rPr>
        <w:t>י</w:t>
      </w:r>
      <w:r w:rsidRPr="000D390B">
        <w:rPr>
          <w:rFonts w:ascii="Century" w:hAnsi="Century" w:cs="Miriam" w:hint="eastAsia"/>
          <w:b/>
          <w:spacing w:val="0"/>
          <w:szCs w:val="24"/>
          <w:rtl/>
        </w:rPr>
        <w:t>לופים</w:t>
      </w:r>
      <w:r w:rsidRPr="000D390B">
        <w:rPr>
          <w:rFonts w:ascii="Century" w:hAnsi="Century" w:cs="Miriam"/>
          <w:b/>
          <w:spacing w:val="0"/>
          <w:szCs w:val="24"/>
          <w:rtl/>
        </w:rPr>
        <w:t xml:space="preserve"> </w:t>
      </w:r>
      <w:r>
        <w:rPr>
          <w:rFonts w:ascii="Century" w:hAnsi="Century" w:hint="cs"/>
          <w:rtl/>
        </w:rPr>
        <w:t>(ראו בהתאמה:</w:t>
      </w:r>
      <w:r w:rsidRPr="00ED4963">
        <w:rPr>
          <w:rFonts w:ascii="FrankRuehl" w:hAnsi="FrankRuehl"/>
          <w:sz w:val="28"/>
          <w:rtl/>
        </w:rPr>
        <w:t xml:space="preserve"> </w:t>
      </w:r>
      <w:r>
        <w:rPr>
          <w:rFonts w:ascii="FrankRuehl" w:hAnsi="FrankRuehl"/>
          <w:sz w:val="28"/>
          <w:rtl/>
        </w:rPr>
        <w:t xml:space="preserve">בג"ץ 5969/20 </w:t>
      </w:r>
      <w:r>
        <w:rPr>
          <w:rFonts w:ascii="Miriam" w:hAnsi="Miriam" w:cs="Miriam"/>
          <w:spacing w:val="0"/>
          <w:sz w:val="24"/>
          <w:szCs w:val="24"/>
          <w:rtl/>
        </w:rPr>
        <w:t>שפיר נ' הכנסת</w:t>
      </w:r>
      <w:r>
        <w:rPr>
          <w:rFonts w:ascii="FrankRuehl" w:hAnsi="FrankRuehl"/>
          <w:sz w:val="28"/>
          <w:rtl/>
        </w:rPr>
        <w:t xml:space="preserve"> (23.5.2021)</w:t>
      </w:r>
      <w:r>
        <w:rPr>
          <w:rFonts w:ascii="Century" w:hAnsi="Century" w:hint="cs"/>
          <w:rtl/>
        </w:rPr>
        <w:t xml:space="preserve">; </w:t>
      </w:r>
      <w:r>
        <w:rPr>
          <w:rFonts w:ascii="FrankRuehl" w:hAnsi="FrankRuehl"/>
          <w:sz w:val="28"/>
          <w:rtl/>
        </w:rPr>
        <w:t xml:space="preserve">בג"ץ 2905/20 </w:t>
      </w:r>
      <w:r>
        <w:rPr>
          <w:rFonts w:ascii="Miriam" w:hAnsi="Miriam" w:cs="Miriam"/>
          <w:spacing w:val="0"/>
          <w:sz w:val="24"/>
          <w:szCs w:val="24"/>
          <w:rtl/>
        </w:rPr>
        <w:t>התנועה למען איכות השלטון בישראל נ' כנסת ישראל</w:t>
      </w:r>
      <w:r>
        <w:rPr>
          <w:rFonts w:ascii="FrankRuehl" w:hAnsi="FrankRuehl"/>
          <w:sz w:val="28"/>
          <w:rtl/>
        </w:rPr>
        <w:t xml:space="preserve"> (12.7.2021)</w:t>
      </w:r>
      <w:r>
        <w:rPr>
          <w:rFonts w:ascii="FrankRuehl" w:hAnsi="FrankRuehl" w:hint="cs"/>
          <w:sz w:val="28"/>
          <w:rtl/>
        </w:rPr>
        <w:t>)</w:t>
      </w:r>
      <w:r w:rsidRPr="000D390B">
        <w:rPr>
          <w:rFonts w:ascii="Century" w:hAnsi="Century"/>
          <w:rtl/>
        </w:rPr>
        <w:t xml:space="preserve">. </w:t>
      </w:r>
      <w:r>
        <w:rPr>
          <w:rFonts w:ascii="Century" w:hAnsi="Century" w:hint="cs"/>
          <w:rtl/>
        </w:rPr>
        <w:t xml:space="preserve">במקרה דנן, </w:t>
      </w:r>
      <w:r w:rsidRPr="000D390B">
        <w:rPr>
          <w:rFonts w:ascii="Century" w:hAnsi="Century" w:hint="eastAsia"/>
          <w:rtl/>
        </w:rPr>
        <w:t>איננו</w:t>
      </w:r>
      <w:r w:rsidRPr="000D390B">
        <w:rPr>
          <w:rFonts w:ascii="Century" w:hAnsi="Century"/>
          <w:rtl/>
        </w:rPr>
        <w:t xml:space="preserve"> </w:t>
      </w:r>
      <w:r w:rsidRPr="000D390B">
        <w:rPr>
          <w:rFonts w:ascii="Century" w:hAnsi="Century" w:hint="eastAsia"/>
          <w:rtl/>
        </w:rPr>
        <w:t>נדרשים</w:t>
      </w:r>
      <w:r w:rsidRPr="000D390B">
        <w:rPr>
          <w:rFonts w:ascii="Century" w:hAnsi="Century"/>
          <w:rtl/>
        </w:rPr>
        <w:t xml:space="preserve"> </w:t>
      </w:r>
      <w:r w:rsidRPr="000D390B">
        <w:rPr>
          <w:rFonts w:ascii="Century" w:hAnsi="Century" w:hint="eastAsia"/>
          <w:rtl/>
        </w:rPr>
        <w:t>במישרין</w:t>
      </w:r>
      <w:r w:rsidRPr="000D390B">
        <w:rPr>
          <w:rFonts w:ascii="Century" w:hAnsi="Century"/>
          <w:rtl/>
        </w:rPr>
        <w:t xml:space="preserve"> </w:t>
      </w:r>
      <w:r w:rsidRPr="000D390B">
        <w:rPr>
          <w:rFonts w:ascii="Century" w:hAnsi="Century" w:hint="eastAsia"/>
          <w:rtl/>
        </w:rPr>
        <w:t>להכרעה</w:t>
      </w:r>
      <w:r w:rsidRPr="000D390B">
        <w:rPr>
          <w:rFonts w:ascii="Century" w:hAnsi="Century"/>
          <w:rtl/>
        </w:rPr>
        <w:t xml:space="preserve"> </w:t>
      </w:r>
      <w:r w:rsidRPr="000D390B">
        <w:rPr>
          <w:rFonts w:ascii="Century" w:hAnsi="Century" w:hint="eastAsia"/>
          <w:rtl/>
        </w:rPr>
        <w:t>בעניינו</w:t>
      </w:r>
      <w:r w:rsidRPr="000D390B">
        <w:rPr>
          <w:rFonts w:ascii="Century" w:hAnsi="Century"/>
          <w:rtl/>
        </w:rPr>
        <w:t xml:space="preserve"> </w:t>
      </w:r>
      <w:r w:rsidRPr="000D390B">
        <w:rPr>
          <w:rFonts w:ascii="Century" w:hAnsi="Century" w:hint="eastAsia"/>
          <w:rtl/>
        </w:rPr>
        <w:t>של</w:t>
      </w:r>
      <w:r>
        <w:rPr>
          <w:rFonts w:ascii="Century" w:hAnsi="Century" w:hint="cs"/>
          <w:rtl/>
        </w:rPr>
        <w:t xml:space="preserve"> התיקון שהתקבל לחוק יסוד: הממשלה (</w:t>
      </w:r>
      <w:r w:rsidRPr="00820765">
        <w:rPr>
          <w:rFonts w:ascii="Century" w:hAnsi="Century" w:hint="cs"/>
          <w:rtl/>
        </w:rPr>
        <w:t xml:space="preserve">ובאופן קונקרטי יותר, ביחס לתחולתו המיידית של </w:t>
      </w:r>
      <w:r w:rsidRPr="000D390B">
        <w:rPr>
          <w:rFonts w:ascii="Century" w:hAnsi="Century"/>
          <w:rtl/>
        </w:rPr>
        <w:t>תיקון מס' 11</w:t>
      </w:r>
      <w:r w:rsidRPr="00ED4963">
        <w:rPr>
          <w:rFonts w:ascii="Century" w:hAnsi="Century" w:hint="cs"/>
          <w:rtl/>
        </w:rPr>
        <w:t>)</w:t>
      </w:r>
      <w:r>
        <w:rPr>
          <w:rFonts w:ascii="Century" w:hAnsi="Century" w:hint="cs"/>
          <w:rtl/>
        </w:rPr>
        <w:t>,</w:t>
      </w:r>
      <w:r w:rsidRPr="000D390B">
        <w:rPr>
          <w:rFonts w:ascii="Century" w:hAnsi="Century"/>
          <w:rtl/>
        </w:rPr>
        <w:t xml:space="preserve"> </w:t>
      </w:r>
      <w:r>
        <w:rPr>
          <w:rFonts w:ascii="Century" w:hAnsi="Century" w:hint="cs"/>
          <w:rtl/>
        </w:rPr>
        <w:t>מאחר ש</w:t>
      </w:r>
      <w:r w:rsidRPr="000D390B">
        <w:rPr>
          <w:rFonts w:ascii="Century" w:hAnsi="Century"/>
          <w:rtl/>
        </w:rPr>
        <w:t>זו התייתרה</w:t>
      </w:r>
      <w:r>
        <w:rPr>
          <w:rFonts w:ascii="Century" w:hAnsi="Century" w:hint="cs"/>
          <w:rtl/>
        </w:rPr>
        <w:t>. כפי שציינה חברתי הנשיאה, א</w:t>
      </w:r>
      <w:r w:rsidRPr="000D390B">
        <w:rPr>
          <w:rFonts w:ascii="Century" w:hAnsi="Century"/>
          <w:rtl/>
        </w:rPr>
        <w:t xml:space="preserve">יננו עוברים לדיון במישור החוקתי, כאשר זה אינו נצרך, </w:t>
      </w:r>
      <w:r>
        <w:rPr>
          <w:rFonts w:ascii="Century" w:hAnsi="Century" w:hint="cs"/>
          <w:rtl/>
        </w:rPr>
        <w:t xml:space="preserve">על בסיס </w:t>
      </w:r>
      <w:r w:rsidRPr="000D390B">
        <w:rPr>
          <w:rFonts w:ascii="Century" w:hAnsi="Century"/>
          <w:rtl/>
        </w:rPr>
        <w:t xml:space="preserve">הכבוד ההדדי שרשויות </w:t>
      </w:r>
      <w:r>
        <w:rPr>
          <w:rFonts w:ascii="Century" w:hAnsi="Century" w:hint="cs"/>
          <w:rtl/>
        </w:rPr>
        <w:t xml:space="preserve">השלטון </w:t>
      </w:r>
      <w:r w:rsidRPr="000D390B">
        <w:rPr>
          <w:rFonts w:ascii="Century" w:hAnsi="Century"/>
          <w:rtl/>
        </w:rPr>
        <w:t xml:space="preserve">אמורות לנהוג זו בזו. </w:t>
      </w:r>
    </w:p>
    <w:p w14:paraId="3EC30C06" w14:textId="77777777" w:rsidR="00437A63" w:rsidRDefault="00437A63" w:rsidP="00437A63">
      <w:pPr>
        <w:pStyle w:val="af0"/>
        <w:spacing w:line="360" w:lineRule="auto"/>
        <w:ind w:left="0"/>
        <w:jc w:val="both"/>
        <w:rPr>
          <w:rFonts w:ascii="Century" w:hAnsi="Century" w:cs="FrankRuehl"/>
          <w:spacing w:val="10"/>
          <w:szCs w:val="28"/>
          <w:rtl/>
        </w:rPr>
      </w:pPr>
    </w:p>
    <w:p w14:paraId="5BB12323"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47.</w:t>
      </w:r>
      <w:r>
        <w:rPr>
          <w:rFonts w:ascii="Century" w:hAnsi="Century" w:cs="FrankRuehl" w:hint="cs"/>
          <w:spacing w:val="10"/>
          <w:szCs w:val="28"/>
          <w:rtl/>
        </w:rPr>
        <w:tab/>
        <w:t xml:space="preserve">בצד זאת, למעלה מן הצורך אוסיף כי התרשמותי היא שהתיקון לחוק היסוד שנדון בפנינו מעורר לכאורה קשיים של ממש מבחינת </w:t>
      </w:r>
      <w:r w:rsidRPr="000D390B">
        <w:rPr>
          <w:rFonts w:ascii="Century" w:hAnsi="Century" w:cs="FrankRuehl"/>
          <w:spacing w:val="10"/>
          <w:szCs w:val="28"/>
          <w:rtl/>
        </w:rPr>
        <w:t xml:space="preserve">התנאים שנקבעו </w:t>
      </w:r>
      <w:r>
        <w:rPr>
          <w:rFonts w:ascii="Century" w:hAnsi="Century" w:cs="FrankRuehl" w:hint="cs"/>
          <w:spacing w:val="10"/>
          <w:szCs w:val="28"/>
          <w:rtl/>
        </w:rPr>
        <w:t xml:space="preserve">בהלכה הפסוקה ביחס לשימוש תקין בסמכות המכוננת </w:t>
      </w:r>
      <w:r>
        <w:rPr>
          <w:rFonts w:ascii="Century" w:hAnsi="Century" w:cs="FrankRuehl"/>
          <w:spacing w:val="10"/>
          <w:szCs w:val="28"/>
          <w:rtl/>
        </w:rPr>
        <w:t>–</w:t>
      </w:r>
      <w:r>
        <w:rPr>
          <w:rFonts w:ascii="Century" w:hAnsi="Century" w:cs="FrankRuehl" w:hint="cs"/>
          <w:spacing w:val="10"/>
          <w:szCs w:val="28"/>
          <w:rtl/>
        </w:rPr>
        <w:t xml:space="preserve"> על רקע השילוב שנוצר כתוצאה מתחולתו המיידית של ההסדר, מועד כניסתו לתוקף ומאפייניו הפרסונליים המובהקים</w:t>
      </w:r>
      <w:r w:rsidRPr="000D390B">
        <w:rPr>
          <w:rFonts w:ascii="Century" w:hAnsi="Century" w:cs="FrankRuehl"/>
          <w:spacing w:val="10"/>
          <w:szCs w:val="28"/>
          <w:rtl/>
        </w:rPr>
        <w:t xml:space="preserve">. </w:t>
      </w:r>
      <w:r>
        <w:rPr>
          <w:rFonts w:ascii="Century" w:hAnsi="Century" w:cs="FrankRuehl" w:hint="cs"/>
          <w:spacing w:val="10"/>
          <w:szCs w:val="28"/>
          <w:rtl/>
        </w:rPr>
        <w:t xml:space="preserve">אכן, </w:t>
      </w:r>
      <w:r w:rsidRPr="000D390B">
        <w:rPr>
          <w:rFonts w:ascii="Century" w:hAnsi="Century" w:cs="FrankRuehl" w:hint="eastAsia"/>
          <w:spacing w:val="10"/>
          <w:szCs w:val="28"/>
          <w:rtl/>
        </w:rPr>
        <w:t>אין</w:t>
      </w:r>
      <w:r w:rsidRPr="000D390B">
        <w:rPr>
          <w:rFonts w:ascii="Century" w:hAnsi="Century" w:cs="FrankRuehl"/>
          <w:spacing w:val="10"/>
          <w:szCs w:val="28"/>
          <w:rtl/>
        </w:rPr>
        <w:t xml:space="preserve"> </w:t>
      </w:r>
      <w:r w:rsidRPr="000D390B">
        <w:rPr>
          <w:rFonts w:ascii="Century" w:hAnsi="Century" w:cs="FrankRuehl"/>
          <w:spacing w:val="10"/>
          <w:szCs w:val="28"/>
          <w:rtl/>
        </w:rPr>
        <w:lastRenderedPageBreak/>
        <w:t xml:space="preserve">מחלוקת על כך שהכנסת הייתה </w:t>
      </w:r>
      <w:r w:rsidRPr="009A38A2">
        <w:rPr>
          <w:rFonts w:ascii="Century" w:hAnsi="Century" w:cs="FrankRuehl"/>
          <w:spacing w:val="10"/>
          <w:szCs w:val="28"/>
          <w:rtl/>
        </w:rPr>
        <w:t xml:space="preserve">רשאית לתקן את חוק יסוד: הממשלה בכל הנוגע </w:t>
      </w:r>
      <w:r w:rsidRPr="000D390B">
        <w:rPr>
          <w:rFonts w:ascii="Century" w:hAnsi="Century" w:cs="FrankRuehl"/>
          <w:spacing w:val="10"/>
          <w:szCs w:val="28"/>
          <w:rtl/>
        </w:rPr>
        <w:t xml:space="preserve">לקביעת תנאי הסף של כשירות לכהונה בממשלה לאחר הרשעה בפלילים (כך שרק משפט שהסתיים גם בהטלת מאסר בפועל ישמש "טריגר" למניעת כהונה כאמור). </w:t>
      </w:r>
      <w:r>
        <w:rPr>
          <w:rFonts w:ascii="Century" w:hAnsi="Century" w:cs="FrankRuehl" w:hint="cs"/>
          <w:spacing w:val="10"/>
          <w:szCs w:val="28"/>
          <w:rtl/>
        </w:rPr>
        <w:t xml:space="preserve">עניין זה, אף שהוא עלול לעורר שאלות במישור הערכי-ציבורי, מצוי בליבת סמכותה של הרשות המכוננת. על כן, אתייחס בהמשך הדברים רק להיבטים הנוגעים </w:t>
      </w:r>
      <w:r w:rsidRPr="000D390B">
        <w:rPr>
          <w:rFonts w:ascii="Century" w:hAnsi="Century" w:cs="FrankRuehl" w:hint="eastAsia"/>
          <w:spacing w:val="10"/>
          <w:szCs w:val="28"/>
          <w:rtl/>
        </w:rPr>
        <w:t>להחלתו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התיקון</w:t>
      </w:r>
      <w:r w:rsidRPr="000D390B">
        <w:rPr>
          <w:rFonts w:ascii="Century" w:hAnsi="Century" w:cs="FrankRuehl"/>
          <w:spacing w:val="10"/>
          <w:szCs w:val="28"/>
          <w:rtl/>
        </w:rPr>
        <w:t xml:space="preserve"> "מיד"</w:t>
      </w:r>
      <w:r>
        <w:rPr>
          <w:rFonts w:ascii="Century" w:hAnsi="Century" w:cs="FrankRuehl" w:hint="cs"/>
          <w:spacing w:val="10"/>
          <w:szCs w:val="28"/>
          <w:rtl/>
        </w:rPr>
        <w:t>, ובפרט לשימוש הברור שנעשה בו כך שיתאים לנסיבותיו האישיות של דרעי</w:t>
      </w:r>
      <w:r w:rsidRPr="000D390B">
        <w:rPr>
          <w:rFonts w:ascii="Century" w:hAnsi="Century" w:cs="FrankRuehl"/>
          <w:spacing w:val="10"/>
          <w:szCs w:val="28"/>
          <w:rtl/>
        </w:rPr>
        <w:t xml:space="preserve">. </w:t>
      </w:r>
    </w:p>
    <w:p w14:paraId="359DD134" w14:textId="77777777" w:rsidR="00437A63" w:rsidRPr="000D390B" w:rsidRDefault="00437A63" w:rsidP="00437A63">
      <w:pPr>
        <w:pStyle w:val="af0"/>
        <w:spacing w:line="360" w:lineRule="auto"/>
        <w:ind w:left="0"/>
        <w:jc w:val="both"/>
        <w:rPr>
          <w:rFonts w:ascii="Century" w:hAnsi="Century" w:cs="FrankRuehl"/>
          <w:spacing w:val="10"/>
          <w:szCs w:val="28"/>
          <w:rtl/>
        </w:rPr>
      </w:pPr>
    </w:p>
    <w:p w14:paraId="026F896B"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48</w:t>
      </w:r>
      <w:r w:rsidRPr="000D390B">
        <w:rPr>
          <w:rFonts w:ascii="Century" w:hAnsi="Century" w:cs="FrankRuehl"/>
          <w:spacing w:val="10"/>
          <w:szCs w:val="28"/>
          <w:rtl/>
        </w:rPr>
        <w:t xml:space="preserve">. </w:t>
      </w:r>
      <w:r w:rsidRPr="000D390B">
        <w:rPr>
          <w:rFonts w:ascii="Century" w:hAnsi="Century" w:cs="FrankRuehl"/>
          <w:spacing w:val="10"/>
          <w:szCs w:val="28"/>
          <w:rtl/>
        </w:rPr>
        <w:tab/>
      </w:r>
      <w:r w:rsidRPr="000D390B">
        <w:rPr>
          <w:rFonts w:ascii="Century" w:hAnsi="Century" w:cs="FrankRuehl" w:hint="eastAsia"/>
          <w:spacing w:val="10"/>
          <w:szCs w:val="28"/>
          <w:rtl/>
        </w:rPr>
        <w:t>בעניין</w:t>
      </w:r>
      <w:r w:rsidRPr="000D390B">
        <w:rPr>
          <w:rFonts w:ascii="Century" w:hAnsi="Century" w:cs="FrankRuehl"/>
          <w:spacing w:val="10"/>
          <w:szCs w:val="28"/>
          <w:rtl/>
        </w:rPr>
        <w:t xml:space="preserve"> </w:t>
      </w:r>
      <w:r w:rsidRPr="000D390B">
        <w:rPr>
          <w:rFonts w:ascii="Century" w:hAnsi="Century" w:cs="Miriam" w:hint="eastAsia"/>
          <w:b/>
          <w:rtl/>
        </w:rPr>
        <w:t>ממשלת</w:t>
      </w:r>
      <w:r w:rsidRPr="000D390B">
        <w:rPr>
          <w:rFonts w:ascii="Century" w:hAnsi="Century" w:cs="Miriam"/>
          <w:b/>
          <w:rtl/>
        </w:rPr>
        <w:t xml:space="preserve"> </w:t>
      </w:r>
      <w:r>
        <w:rPr>
          <w:rFonts w:ascii="Century" w:hAnsi="Century" w:cs="Miriam" w:hint="cs"/>
          <w:b/>
          <w:rtl/>
        </w:rPr>
        <w:t>החילופים</w:t>
      </w:r>
      <w:r w:rsidRPr="00C21D9D">
        <w:rPr>
          <w:rFonts w:ascii="Century" w:hAnsi="Century" w:cs="FrankRuehl"/>
          <w:spacing w:val="10"/>
          <w:szCs w:val="28"/>
          <w:rtl/>
        </w:rPr>
        <w:t xml:space="preserve"> </w:t>
      </w:r>
      <w:r w:rsidRPr="000D390B">
        <w:rPr>
          <w:rFonts w:ascii="Century" w:hAnsi="Century" w:cs="FrankRuehl" w:hint="eastAsia"/>
          <w:spacing w:val="10"/>
          <w:szCs w:val="28"/>
          <w:rtl/>
        </w:rPr>
        <w:t>נקבע</w:t>
      </w:r>
      <w:r w:rsidRPr="000D390B">
        <w:rPr>
          <w:rFonts w:ascii="Century" w:hAnsi="Century" w:cs="FrankRuehl"/>
          <w:spacing w:val="10"/>
          <w:szCs w:val="28"/>
          <w:rtl/>
        </w:rPr>
        <w:t xml:space="preserve">, ואף אני הייתי שותפה לעמדה זו, כי תחולתו </w:t>
      </w:r>
      <w:r w:rsidRPr="000D390B">
        <w:rPr>
          <w:rFonts w:ascii="Century" w:hAnsi="Century" w:cs="FrankRuehl" w:hint="eastAsia"/>
          <w:spacing w:val="10"/>
          <w:szCs w:val="28"/>
          <w:rtl/>
        </w:rPr>
        <w:t>המיידית</w:t>
      </w:r>
      <w:r w:rsidRPr="000D390B">
        <w:rPr>
          <w:rFonts w:ascii="Century" w:hAnsi="Century" w:cs="FrankRuehl"/>
          <w:spacing w:val="10"/>
          <w:szCs w:val="28"/>
          <w:rtl/>
        </w:rPr>
        <w:t xml:space="preserve"> של חוק יסוד אינה</w:t>
      </w:r>
      <w:r>
        <w:rPr>
          <w:rFonts w:ascii="Century" w:hAnsi="Century" w:cs="FrankRuehl" w:hint="cs"/>
          <w:spacing w:val="10"/>
          <w:szCs w:val="28"/>
          <w:rtl/>
        </w:rPr>
        <w:t xml:space="preserve"> מקימה</w:t>
      </w:r>
      <w:r w:rsidRPr="000D390B">
        <w:rPr>
          <w:rFonts w:ascii="Century" w:hAnsi="Century" w:cs="FrankRuehl"/>
          <w:spacing w:val="10"/>
          <w:szCs w:val="28"/>
          <w:rtl/>
        </w:rPr>
        <w:t xml:space="preserve"> כשלעצמה בסיס </w:t>
      </w:r>
      <w:r>
        <w:rPr>
          <w:rFonts w:ascii="Century" w:hAnsi="Century" w:cs="FrankRuehl" w:hint="cs"/>
          <w:spacing w:val="10"/>
          <w:szCs w:val="28"/>
          <w:rtl/>
        </w:rPr>
        <w:t xml:space="preserve">אוטומטי </w:t>
      </w:r>
      <w:r w:rsidRPr="000D390B">
        <w:rPr>
          <w:rFonts w:ascii="Century" w:hAnsi="Century" w:cs="FrankRuehl"/>
          <w:spacing w:val="10"/>
          <w:szCs w:val="28"/>
          <w:rtl/>
        </w:rPr>
        <w:t xml:space="preserve">לקביעה כי מדובר ב"שימוש לרעה בחוק יסוד". אכן, </w:t>
      </w:r>
      <w:r>
        <w:rPr>
          <w:rFonts w:ascii="Century" w:hAnsi="Century" w:cs="FrankRuehl" w:hint="cs"/>
          <w:spacing w:val="10"/>
          <w:szCs w:val="28"/>
          <w:rtl/>
        </w:rPr>
        <w:t>החלה מיידית של תיקון חוקתי היא</w:t>
      </w:r>
      <w:r w:rsidRPr="000D390B">
        <w:rPr>
          <w:rFonts w:ascii="Century" w:hAnsi="Century" w:cs="FrankRuehl"/>
          <w:spacing w:val="10"/>
          <w:szCs w:val="28"/>
          <w:rtl/>
        </w:rPr>
        <w:t xml:space="preserve"> </w:t>
      </w:r>
      <w:r w:rsidRPr="000D390B">
        <w:rPr>
          <w:rFonts w:ascii="Century" w:hAnsi="Century" w:cs="FrankRuehl" w:hint="eastAsia"/>
          <w:spacing w:val="10"/>
          <w:szCs w:val="28"/>
          <w:rtl/>
        </w:rPr>
        <w:t>פרקטיקה</w:t>
      </w:r>
      <w:r w:rsidRPr="000D390B">
        <w:rPr>
          <w:rFonts w:ascii="Century" w:hAnsi="Century" w:cs="FrankRuehl"/>
          <w:spacing w:val="10"/>
          <w:szCs w:val="28"/>
          <w:rtl/>
        </w:rPr>
        <w:t xml:space="preserve"> לא רצויה, אך כבר נעשו בעבר תיקונים לא מעטים בחוקי יסוד </w:t>
      </w:r>
      <w:r>
        <w:rPr>
          <w:rFonts w:ascii="Century" w:hAnsi="Century" w:cs="FrankRuehl" w:hint="cs"/>
          <w:spacing w:val="10"/>
          <w:szCs w:val="28"/>
          <w:rtl/>
        </w:rPr>
        <w:t>שתחולתם</w:t>
      </w:r>
      <w:r w:rsidRPr="000D390B">
        <w:rPr>
          <w:rFonts w:ascii="Century" w:hAnsi="Century" w:cs="FrankRuehl"/>
          <w:spacing w:val="10"/>
          <w:szCs w:val="28"/>
          <w:rtl/>
        </w:rPr>
        <w:t xml:space="preserve"> הייתה </w:t>
      </w:r>
      <w:r w:rsidRPr="000D390B">
        <w:rPr>
          <w:rFonts w:ascii="Century" w:hAnsi="Century" w:cs="FrankRuehl" w:hint="eastAsia"/>
          <w:spacing w:val="10"/>
          <w:szCs w:val="28"/>
          <w:rtl/>
        </w:rPr>
        <w:t>מיידית</w:t>
      </w:r>
      <w:r>
        <w:rPr>
          <w:rFonts w:ascii="Century" w:hAnsi="Century" w:cs="FrankRuehl" w:hint="cs"/>
          <w:spacing w:val="10"/>
          <w:szCs w:val="28"/>
          <w:rtl/>
        </w:rPr>
        <w:t xml:space="preserve"> (</w:t>
      </w:r>
      <w:r w:rsidRPr="000D390B">
        <w:rPr>
          <w:rFonts w:ascii="Century" w:hAnsi="Century" w:cs="Miriam" w:hint="eastAsia"/>
          <w:b/>
          <w:rtl/>
        </w:rPr>
        <w:t>שם</w:t>
      </w:r>
      <w:r>
        <w:rPr>
          <w:rFonts w:ascii="Century" w:hAnsi="Century" w:cs="FrankRuehl" w:hint="cs"/>
          <w:spacing w:val="10"/>
          <w:szCs w:val="28"/>
          <w:rtl/>
        </w:rPr>
        <w:t>, בפסקאות 19-18 לפסק דיני)</w:t>
      </w:r>
      <w:r w:rsidRPr="000D390B">
        <w:rPr>
          <w:rFonts w:ascii="Century" w:hAnsi="Century" w:cs="FrankRuehl"/>
          <w:spacing w:val="10"/>
          <w:szCs w:val="28"/>
          <w:rtl/>
        </w:rPr>
        <w:t xml:space="preserve">. </w:t>
      </w:r>
      <w:r w:rsidRPr="000D390B">
        <w:rPr>
          <w:rFonts w:ascii="Century" w:hAnsi="Century" w:cs="FrankRuehl" w:hint="eastAsia"/>
          <w:spacing w:val="10"/>
          <w:szCs w:val="28"/>
          <w:rtl/>
        </w:rPr>
        <w:t>אולם</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המקרה</w:t>
      </w:r>
      <w:r w:rsidRPr="000D390B">
        <w:rPr>
          <w:rFonts w:ascii="Century" w:hAnsi="Century" w:cs="FrankRuehl"/>
          <w:spacing w:val="10"/>
          <w:szCs w:val="28"/>
          <w:rtl/>
        </w:rPr>
        <w:t xml:space="preserve"> </w:t>
      </w:r>
      <w:r w:rsidRPr="000D390B">
        <w:rPr>
          <w:rFonts w:ascii="Century" w:hAnsi="Century" w:cs="FrankRuehl" w:hint="eastAsia"/>
          <w:spacing w:val="10"/>
          <w:szCs w:val="28"/>
          <w:rtl/>
        </w:rPr>
        <w:t>שבפנינו</w:t>
      </w:r>
      <w:r w:rsidRPr="000D390B">
        <w:rPr>
          <w:rFonts w:ascii="Century" w:hAnsi="Century" w:cs="FrankRuehl"/>
          <w:spacing w:val="10"/>
          <w:szCs w:val="28"/>
          <w:rtl/>
        </w:rPr>
        <w:t xml:space="preserve"> </w:t>
      </w:r>
      <w:r w:rsidRPr="000D390B">
        <w:rPr>
          <w:rFonts w:ascii="Century" w:hAnsi="Century" w:cs="FrankRuehl" w:hint="eastAsia"/>
          <w:spacing w:val="10"/>
          <w:szCs w:val="28"/>
          <w:rtl/>
        </w:rPr>
        <w:t>הוא</w:t>
      </w:r>
      <w:r w:rsidRPr="000D390B">
        <w:rPr>
          <w:rFonts w:ascii="Century" w:hAnsi="Century" w:cs="FrankRuehl"/>
          <w:spacing w:val="10"/>
          <w:szCs w:val="28"/>
          <w:rtl/>
        </w:rPr>
        <w:t xml:space="preserve"> </w:t>
      </w:r>
      <w:r w:rsidRPr="000D390B">
        <w:rPr>
          <w:rFonts w:ascii="Century" w:hAnsi="Century" w:cs="FrankRuehl" w:hint="eastAsia"/>
          <w:spacing w:val="10"/>
          <w:szCs w:val="28"/>
          <w:rtl/>
        </w:rPr>
        <w:t>שונה</w:t>
      </w:r>
      <w:r>
        <w:rPr>
          <w:rFonts w:ascii="Century" w:hAnsi="Century" w:cs="FrankRuehl" w:hint="cs"/>
          <w:spacing w:val="10"/>
          <w:szCs w:val="28"/>
          <w:rtl/>
        </w:rPr>
        <w:t xml:space="preserve"> הן מבחינת טיבו והן מבחינת מאפייניו הפרסונליי</w:t>
      </w:r>
      <w:r>
        <w:rPr>
          <w:rFonts w:ascii="Century" w:hAnsi="Century" w:cs="FrankRuehl" w:hint="eastAsia"/>
          <w:spacing w:val="10"/>
          <w:szCs w:val="28"/>
          <w:rtl/>
        </w:rPr>
        <w:t>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שלא</w:t>
      </w:r>
      <w:r w:rsidRPr="000D390B">
        <w:rPr>
          <w:rFonts w:ascii="Century" w:hAnsi="Century" w:cs="FrankRuehl"/>
          <w:spacing w:val="10"/>
          <w:szCs w:val="28"/>
          <w:rtl/>
        </w:rPr>
        <w:t xml:space="preserve"> </w:t>
      </w:r>
      <w:r w:rsidRPr="000D390B">
        <w:rPr>
          <w:rFonts w:ascii="Century" w:hAnsi="Century" w:cs="FrankRuehl" w:hint="eastAsia"/>
          <w:spacing w:val="10"/>
          <w:szCs w:val="28"/>
          <w:rtl/>
        </w:rPr>
        <w:t>כבמקרים</w:t>
      </w:r>
      <w:r w:rsidRPr="000D390B">
        <w:rPr>
          <w:rFonts w:ascii="Century" w:hAnsi="Century" w:cs="FrankRuehl"/>
          <w:spacing w:val="10"/>
          <w:szCs w:val="28"/>
          <w:rtl/>
        </w:rPr>
        <w:t xml:space="preserve"> </w:t>
      </w:r>
      <w:r>
        <w:rPr>
          <w:rFonts w:ascii="Century" w:hAnsi="Century" w:cs="FrankRuehl" w:hint="cs"/>
          <w:spacing w:val="10"/>
          <w:szCs w:val="28"/>
          <w:rtl/>
        </w:rPr>
        <w:t>קודמים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שבהם</w:t>
      </w:r>
      <w:r>
        <w:rPr>
          <w:rFonts w:ascii="Century" w:hAnsi="Century" w:cs="FrankRuehl" w:hint="cs"/>
          <w:spacing w:val="10"/>
          <w:szCs w:val="28"/>
          <w:rtl/>
        </w:rPr>
        <w:t xml:space="preserve"> </w:t>
      </w:r>
      <w:r w:rsidRPr="000D390B">
        <w:rPr>
          <w:rFonts w:ascii="Century" w:hAnsi="Century" w:cs="FrankRuehl" w:hint="eastAsia"/>
          <w:spacing w:val="10"/>
          <w:szCs w:val="28"/>
          <w:rtl/>
        </w:rPr>
        <w:t>התיקון</w:t>
      </w:r>
      <w:r w:rsidRPr="000D390B">
        <w:rPr>
          <w:rFonts w:ascii="Century" w:hAnsi="Century" w:cs="FrankRuehl"/>
          <w:spacing w:val="10"/>
          <w:szCs w:val="28"/>
          <w:rtl/>
        </w:rPr>
        <w:t xml:space="preserve"> </w:t>
      </w:r>
      <w:r w:rsidRPr="000D390B">
        <w:rPr>
          <w:rFonts w:ascii="Century" w:hAnsi="Century" w:cs="FrankRuehl" w:hint="eastAsia"/>
          <w:spacing w:val="10"/>
          <w:szCs w:val="28"/>
          <w:rtl/>
        </w:rPr>
        <w:t>בחוק</w:t>
      </w:r>
      <w:r w:rsidRPr="000D390B">
        <w:rPr>
          <w:rFonts w:ascii="Century" w:hAnsi="Century" w:cs="FrankRuehl"/>
          <w:spacing w:val="10"/>
          <w:szCs w:val="28"/>
          <w:rtl/>
        </w:rPr>
        <w:t xml:space="preserve"> </w:t>
      </w:r>
      <w:r w:rsidRPr="000D390B">
        <w:rPr>
          <w:rFonts w:ascii="Century" w:hAnsi="Century" w:cs="FrankRuehl" w:hint="eastAsia"/>
          <w:spacing w:val="10"/>
          <w:szCs w:val="28"/>
          <w:rtl/>
        </w:rPr>
        <w:t>היסוד</w:t>
      </w:r>
      <w:r w:rsidRPr="000D390B">
        <w:rPr>
          <w:rFonts w:ascii="Century" w:hAnsi="Century" w:cs="FrankRuehl"/>
          <w:spacing w:val="10"/>
          <w:szCs w:val="28"/>
          <w:rtl/>
        </w:rPr>
        <w:t xml:space="preserve"> </w:t>
      </w:r>
      <w:r w:rsidRPr="000D390B">
        <w:rPr>
          <w:rFonts w:ascii="Century" w:hAnsi="Century" w:cs="FrankRuehl" w:hint="eastAsia"/>
          <w:spacing w:val="10"/>
          <w:szCs w:val="28"/>
          <w:rtl/>
        </w:rPr>
        <w:t>נסב</w:t>
      </w:r>
      <w:r w:rsidRPr="000D390B">
        <w:rPr>
          <w:rFonts w:ascii="Century" w:hAnsi="Century" w:cs="FrankRuehl"/>
          <w:spacing w:val="10"/>
          <w:szCs w:val="28"/>
          <w:rtl/>
        </w:rPr>
        <w:t xml:space="preserve"> </w:t>
      </w:r>
      <w:r w:rsidRPr="000D390B">
        <w:rPr>
          <w:rFonts w:ascii="Century" w:hAnsi="Century" w:cs="FrankRuehl" w:hint="eastAsia"/>
          <w:spacing w:val="10"/>
          <w:szCs w:val="28"/>
          <w:rtl/>
        </w:rPr>
        <w:t>אך</w:t>
      </w:r>
      <w:r w:rsidRPr="000D390B">
        <w:rPr>
          <w:rFonts w:ascii="Century" w:hAnsi="Century" w:cs="FrankRuehl"/>
          <w:spacing w:val="10"/>
          <w:szCs w:val="28"/>
          <w:rtl/>
        </w:rPr>
        <w:t xml:space="preserve"> </w:t>
      </w:r>
      <w:r w:rsidRPr="000D390B">
        <w:rPr>
          <w:rFonts w:ascii="Century" w:hAnsi="Century" w:cs="FrankRuehl" w:hint="eastAsia"/>
          <w:spacing w:val="10"/>
          <w:szCs w:val="28"/>
          <w:rtl/>
        </w:rPr>
        <w:t>על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היבטים</w:t>
      </w:r>
      <w:r w:rsidRPr="000D390B">
        <w:rPr>
          <w:rFonts w:ascii="Century" w:hAnsi="Century" w:cs="FrankRuehl"/>
          <w:spacing w:val="10"/>
          <w:szCs w:val="28"/>
          <w:rtl/>
        </w:rPr>
        <w:t xml:space="preserve"> </w:t>
      </w:r>
      <w:r>
        <w:rPr>
          <w:rFonts w:ascii="Century" w:hAnsi="Century" w:cs="FrankRuehl" w:hint="cs"/>
          <w:spacing w:val="10"/>
          <w:szCs w:val="28"/>
          <w:rtl/>
        </w:rPr>
        <w:t xml:space="preserve">משטריים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מבנה</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הממשלה</w:t>
      </w:r>
      <w:r w:rsidRPr="000D390B">
        <w:rPr>
          <w:rFonts w:ascii="Century" w:hAnsi="Century" w:cs="FrankRuehl"/>
          <w:spacing w:val="10"/>
          <w:szCs w:val="28"/>
          <w:rtl/>
        </w:rPr>
        <w:t xml:space="preserve"> </w:t>
      </w:r>
      <w:r w:rsidRPr="000D390B">
        <w:rPr>
          <w:rFonts w:ascii="Century" w:hAnsi="Century" w:cs="FrankRuehl" w:hint="eastAsia"/>
          <w:spacing w:val="10"/>
          <w:szCs w:val="28"/>
          <w:rtl/>
        </w:rPr>
        <w:t>ומתכונת</w:t>
      </w:r>
      <w:r w:rsidRPr="000D390B">
        <w:rPr>
          <w:rFonts w:ascii="Century" w:hAnsi="Century" w:cs="FrankRuehl"/>
          <w:spacing w:val="10"/>
          <w:szCs w:val="28"/>
          <w:rtl/>
        </w:rPr>
        <w:t xml:space="preserve"> </w:t>
      </w:r>
      <w:r w:rsidRPr="000D390B">
        <w:rPr>
          <w:rFonts w:ascii="Century" w:hAnsi="Century" w:cs="FrankRuehl" w:hint="eastAsia"/>
          <w:spacing w:val="10"/>
          <w:szCs w:val="28"/>
          <w:rtl/>
        </w:rPr>
        <w:t>פעולתה</w:t>
      </w:r>
      <w:r w:rsidRPr="000D390B">
        <w:rPr>
          <w:rFonts w:ascii="Century" w:hAnsi="Century" w:cs="FrankRuehl"/>
          <w:spacing w:val="10"/>
          <w:szCs w:val="28"/>
          <w:rtl/>
        </w:rPr>
        <w:t xml:space="preserve"> (כמו </w:t>
      </w:r>
      <w:r w:rsidRPr="000D390B">
        <w:rPr>
          <w:rFonts w:ascii="Century" w:hAnsi="Century" w:cs="FrankRuehl" w:hint="eastAsia"/>
          <w:spacing w:val="10"/>
          <w:szCs w:val="28"/>
          <w:rtl/>
        </w:rPr>
        <w:t>במקרים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שבהם</w:t>
      </w:r>
      <w:r w:rsidRPr="000D390B">
        <w:rPr>
          <w:rFonts w:ascii="Century" w:hAnsi="Century" w:cs="FrankRuehl"/>
          <w:spacing w:val="10"/>
          <w:szCs w:val="28"/>
          <w:rtl/>
        </w:rPr>
        <w:t xml:space="preserve"> </w:t>
      </w:r>
      <w:r w:rsidRPr="000D390B">
        <w:rPr>
          <w:rFonts w:ascii="Century" w:hAnsi="Century" w:cs="FrankRuehl" w:hint="eastAsia"/>
          <w:spacing w:val="10"/>
          <w:szCs w:val="28"/>
          <w:rtl/>
        </w:rPr>
        <w:t>הוכנסו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שינויים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בנושאים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מספר</w:t>
      </w:r>
      <w:r w:rsidRPr="000D390B">
        <w:rPr>
          <w:rFonts w:ascii="Century" w:hAnsi="Century" w:cs="FrankRuehl"/>
          <w:spacing w:val="10"/>
          <w:szCs w:val="28"/>
          <w:rtl/>
        </w:rPr>
        <w:t xml:space="preserve"> </w:t>
      </w:r>
      <w:r w:rsidRPr="000D390B">
        <w:rPr>
          <w:rFonts w:ascii="Century" w:hAnsi="Century" w:cs="FrankRuehl" w:hint="eastAsia"/>
          <w:spacing w:val="10"/>
          <w:szCs w:val="28"/>
          <w:rtl/>
        </w:rPr>
        <w:t>השרים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בממשלה</w:t>
      </w:r>
      <w:r>
        <w:rPr>
          <w:rFonts w:ascii="Century" w:hAnsi="Century" w:cs="FrankRuehl" w:hint="cs"/>
          <w:spacing w:val="10"/>
          <w:szCs w:val="28"/>
          <w:rtl/>
        </w:rPr>
        <w:t xml:space="preserve"> ומעמדם</w:t>
      </w:r>
      <w:r w:rsidRPr="000D390B">
        <w:rPr>
          <w:rFonts w:ascii="Century" w:hAnsi="Century" w:cs="FrankRuehl"/>
          <w:spacing w:val="10"/>
          <w:szCs w:val="28"/>
          <w:rtl/>
        </w:rPr>
        <w:t xml:space="preserve"> </w:t>
      </w:r>
      <w:r w:rsidRPr="000D390B">
        <w:rPr>
          <w:rFonts w:ascii="Century" w:hAnsi="Century" w:cs="FrankRuehl" w:hint="eastAsia"/>
          <w:spacing w:val="10"/>
          <w:szCs w:val="28"/>
          <w:rtl/>
        </w:rPr>
        <w:t>או</w:t>
      </w:r>
      <w:r w:rsidRPr="000D390B">
        <w:rPr>
          <w:rFonts w:ascii="Century" w:hAnsi="Century" w:cs="FrankRuehl"/>
          <w:spacing w:val="10"/>
          <w:szCs w:val="28"/>
          <w:rtl/>
        </w:rPr>
        <w:t xml:space="preserve"> </w:t>
      </w:r>
      <w:r w:rsidRPr="000D390B">
        <w:rPr>
          <w:rFonts w:ascii="Century" w:hAnsi="Century" w:cs="FrankRuehl" w:hint="eastAsia"/>
          <w:spacing w:val="10"/>
          <w:szCs w:val="28"/>
          <w:rtl/>
        </w:rPr>
        <w:t>מודל</w:t>
      </w:r>
      <w:r w:rsidRPr="000D390B">
        <w:rPr>
          <w:rFonts w:ascii="Century" w:hAnsi="Century" w:cs="FrankRuehl"/>
          <w:spacing w:val="10"/>
          <w:szCs w:val="28"/>
          <w:rtl/>
        </w:rPr>
        <w:t xml:space="preserve"> "ממשלת </w:t>
      </w:r>
      <w:r>
        <w:rPr>
          <w:rFonts w:ascii="Century" w:hAnsi="Century" w:cs="FrankRuehl" w:hint="cs"/>
          <w:spacing w:val="10"/>
          <w:szCs w:val="28"/>
          <w:rtl/>
        </w:rPr>
        <w:t>החילופים</w:t>
      </w:r>
      <w:r w:rsidRPr="000D390B">
        <w:rPr>
          <w:rFonts w:ascii="Century" w:hAnsi="Century" w:cs="FrankRuehl"/>
          <w:spacing w:val="10"/>
          <w:szCs w:val="28"/>
          <w:rtl/>
        </w:rPr>
        <w:t xml:space="preserve">" </w:t>
      </w:r>
      <w:r w:rsidRPr="000D390B">
        <w:rPr>
          <w:rFonts w:ascii="Century" w:hAnsi="Century" w:cs="FrankRuehl" w:hint="eastAsia"/>
          <w:spacing w:val="10"/>
          <w:szCs w:val="28"/>
          <w:rtl/>
        </w:rPr>
        <w:t>עצמו</w:t>
      </w:r>
      <w:r w:rsidRPr="000D390B">
        <w:rPr>
          <w:rFonts w:ascii="Century" w:hAnsi="Century" w:cs="FrankRuehl"/>
          <w:spacing w:val="10"/>
          <w:szCs w:val="28"/>
          <w:rtl/>
        </w:rPr>
        <w:t xml:space="preserve">), </w:t>
      </w:r>
      <w:r w:rsidRPr="000D390B">
        <w:rPr>
          <w:rFonts w:ascii="Century" w:hAnsi="Century" w:cs="FrankRuehl" w:hint="eastAsia"/>
          <w:spacing w:val="10"/>
          <w:szCs w:val="28"/>
          <w:rtl/>
        </w:rPr>
        <w:t>במקרה</w:t>
      </w:r>
      <w:r w:rsidRPr="000D390B">
        <w:rPr>
          <w:rFonts w:ascii="Century" w:hAnsi="Century" w:cs="FrankRuehl"/>
          <w:spacing w:val="10"/>
          <w:szCs w:val="28"/>
          <w:rtl/>
        </w:rPr>
        <w:t xml:space="preserve"> </w:t>
      </w:r>
      <w:r w:rsidRPr="000D390B">
        <w:rPr>
          <w:rFonts w:ascii="Century" w:hAnsi="Century" w:cs="FrankRuehl" w:hint="eastAsia"/>
          <w:spacing w:val="10"/>
          <w:szCs w:val="28"/>
          <w:rtl/>
        </w:rPr>
        <w:t>דנן</w:t>
      </w:r>
      <w:r w:rsidRPr="000D390B">
        <w:rPr>
          <w:rFonts w:ascii="Century" w:hAnsi="Century" w:cs="FrankRuehl"/>
          <w:spacing w:val="10"/>
          <w:szCs w:val="28"/>
          <w:rtl/>
        </w:rPr>
        <w:t xml:space="preserve"> </w:t>
      </w:r>
      <w:r>
        <w:rPr>
          <w:rFonts w:ascii="Century" w:hAnsi="Century" w:cs="FrankRuehl" w:hint="cs"/>
          <w:spacing w:val="10"/>
          <w:szCs w:val="28"/>
          <w:rtl/>
        </w:rPr>
        <w:t xml:space="preserve">אופי </w:t>
      </w:r>
      <w:r w:rsidRPr="000D390B">
        <w:rPr>
          <w:rFonts w:ascii="Century" w:hAnsi="Century" w:cs="FrankRuehl" w:hint="eastAsia"/>
          <w:spacing w:val="10"/>
          <w:szCs w:val="28"/>
          <w:rtl/>
        </w:rPr>
        <w:t>התיקון</w:t>
      </w:r>
      <w:r w:rsidRPr="000D390B">
        <w:rPr>
          <w:rFonts w:ascii="Century" w:hAnsi="Century" w:cs="FrankRuehl"/>
          <w:spacing w:val="10"/>
          <w:szCs w:val="28"/>
          <w:rtl/>
        </w:rPr>
        <w:t xml:space="preserve"> </w:t>
      </w:r>
      <w:r w:rsidRPr="000D390B">
        <w:rPr>
          <w:rFonts w:ascii="Century" w:hAnsi="Century" w:cs="FrankRuehl" w:hint="eastAsia"/>
          <w:spacing w:val="10"/>
          <w:szCs w:val="28"/>
          <w:rtl/>
        </w:rPr>
        <w:t>שהוכנס</w:t>
      </w:r>
      <w:r w:rsidRPr="000D390B">
        <w:rPr>
          <w:rFonts w:ascii="Century" w:hAnsi="Century" w:cs="FrankRuehl"/>
          <w:spacing w:val="10"/>
          <w:szCs w:val="28"/>
          <w:rtl/>
        </w:rPr>
        <w:t xml:space="preserve"> (קביעת </w:t>
      </w:r>
      <w:r w:rsidRPr="000D390B">
        <w:rPr>
          <w:rFonts w:ascii="Century" w:hAnsi="Century" w:cs="FrankRuehl" w:hint="eastAsia"/>
          <w:spacing w:val="10"/>
          <w:szCs w:val="28"/>
          <w:rtl/>
        </w:rPr>
        <w:t>הרף</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אי</w:t>
      </w:r>
      <w:r w:rsidRPr="000D390B">
        <w:rPr>
          <w:rFonts w:ascii="Century" w:hAnsi="Century" w:cs="FrankRuehl"/>
          <w:spacing w:val="10"/>
          <w:szCs w:val="28"/>
          <w:rtl/>
        </w:rPr>
        <w:t xml:space="preserve">-כשירות </w:t>
      </w:r>
      <w:r w:rsidRPr="000D390B">
        <w:rPr>
          <w:rFonts w:ascii="Century" w:hAnsi="Century" w:cs="FrankRuehl" w:hint="eastAsia"/>
          <w:spacing w:val="10"/>
          <w:szCs w:val="28"/>
          <w:rtl/>
        </w:rPr>
        <w:t>לכהונה</w:t>
      </w:r>
      <w:r w:rsidRPr="000D390B">
        <w:rPr>
          <w:rFonts w:ascii="Century" w:hAnsi="Century" w:cs="FrankRuehl"/>
          <w:spacing w:val="10"/>
          <w:szCs w:val="28"/>
          <w:rtl/>
        </w:rPr>
        <w:t>)</w:t>
      </w:r>
      <w:r>
        <w:rPr>
          <w:rFonts w:ascii="Century" w:hAnsi="Century" w:cs="FrankRuehl" w:hint="cs"/>
          <w:spacing w:val="10"/>
          <w:szCs w:val="28"/>
          <w:rtl/>
        </w:rPr>
        <w:t xml:space="preserve"> והחלתו המיידית</w:t>
      </w:r>
      <w:r w:rsidRPr="000D390B">
        <w:rPr>
          <w:rFonts w:ascii="Century" w:hAnsi="Century" w:cs="FrankRuehl"/>
          <w:spacing w:val="10"/>
          <w:szCs w:val="28"/>
          <w:rtl/>
        </w:rPr>
        <w:t xml:space="preserve"> </w:t>
      </w:r>
      <w:r>
        <w:rPr>
          <w:rFonts w:ascii="Century" w:hAnsi="Century" w:cs="FrankRuehl" w:hint="cs"/>
          <w:spacing w:val="10"/>
          <w:szCs w:val="28"/>
          <w:rtl/>
        </w:rPr>
        <w:t>היו כרוכים ב</w:t>
      </w:r>
      <w:r w:rsidRPr="000D390B">
        <w:rPr>
          <w:rFonts w:ascii="Century" w:hAnsi="Century" w:cs="FrankRuehl"/>
          <w:spacing w:val="10"/>
          <w:szCs w:val="28"/>
          <w:rtl/>
        </w:rPr>
        <w:t>השפעה מעין-רטרואקטיבית על תוצאותיו של הליך פלילי מסוים</w:t>
      </w:r>
      <w:r>
        <w:rPr>
          <w:rFonts w:ascii="Century" w:hAnsi="Century" w:cs="FrankRuehl" w:hint="cs"/>
          <w:spacing w:val="10"/>
          <w:szCs w:val="28"/>
          <w:rtl/>
        </w:rPr>
        <w:t xml:space="preserve"> ועל מצבו המשפטי של אדם קונקרטי</w:t>
      </w:r>
      <w:r w:rsidRPr="000D390B">
        <w:rPr>
          <w:rFonts w:ascii="Century" w:hAnsi="Century" w:cs="FrankRuehl"/>
          <w:spacing w:val="10"/>
          <w:szCs w:val="28"/>
          <w:rtl/>
        </w:rPr>
        <w:t xml:space="preserve">. </w:t>
      </w:r>
    </w:p>
    <w:p w14:paraId="0BF772F7" w14:textId="77777777" w:rsidR="00437A63" w:rsidRDefault="00437A63" w:rsidP="00437A63">
      <w:pPr>
        <w:pStyle w:val="af0"/>
        <w:spacing w:line="360" w:lineRule="auto"/>
        <w:ind w:left="0"/>
        <w:jc w:val="both"/>
        <w:rPr>
          <w:rFonts w:ascii="Century" w:hAnsi="Century" w:cs="FrankRuehl"/>
          <w:spacing w:val="10"/>
          <w:szCs w:val="28"/>
          <w:rtl/>
        </w:rPr>
      </w:pPr>
    </w:p>
    <w:p w14:paraId="2F021DD7"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49.</w:t>
      </w:r>
      <w:r>
        <w:rPr>
          <w:rFonts w:ascii="Century" w:hAnsi="Century" w:cs="FrankRuehl" w:hint="cs"/>
          <w:spacing w:val="10"/>
          <w:szCs w:val="28"/>
          <w:rtl/>
        </w:rPr>
        <w:tab/>
      </w:r>
      <w:r w:rsidRPr="000D390B">
        <w:rPr>
          <w:rFonts w:ascii="Century" w:hAnsi="Century" w:cs="FrankRuehl" w:hint="eastAsia"/>
          <w:spacing w:val="10"/>
          <w:szCs w:val="28"/>
          <w:rtl/>
        </w:rPr>
        <w:t>בעת</w:t>
      </w:r>
      <w:r w:rsidRPr="000D390B">
        <w:rPr>
          <w:rFonts w:ascii="Century" w:hAnsi="Century" w:cs="FrankRuehl"/>
          <w:spacing w:val="10"/>
          <w:szCs w:val="28"/>
          <w:rtl/>
        </w:rPr>
        <w:t xml:space="preserve"> שאושר הסדר הטיעון בעניינו של דרעי</w:t>
      </w:r>
      <w:r>
        <w:rPr>
          <w:rFonts w:ascii="Century" w:hAnsi="Century" w:cs="FrankRuehl" w:hint="cs"/>
          <w:spacing w:val="10"/>
          <w:szCs w:val="28"/>
          <w:rtl/>
        </w:rPr>
        <w:t>,</w:t>
      </w:r>
      <w:r w:rsidRPr="000D390B">
        <w:rPr>
          <w:rFonts w:ascii="Century" w:hAnsi="Century" w:cs="FrankRuehl"/>
          <w:spacing w:val="10"/>
          <w:szCs w:val="28"/>
          <w:rtl/>
        </w:rPr>
        <w:t xml:space="preserve"> בית משפט השלום יכול היה לצפות כי </w:t>
      </w:r>
      <w:r>
        <w:rPr>
          <w:rFonts w:ascii="Century" w:hAnsi="Century" w:cs="FrankRuehl" w:hint="cs"/>
          <w:spacing w:val="10"/>
          <w:szCs w:val="28"/>
          <w:rtl/>
        </w:rPr>
        <w:t xml:space="preserve">כל מהלך עתידי של </w:t>
      </w:r>
      <w:r w:rsidRPr="000D390B">
        <w:rPr>
          <w:rFonts w:ascii="Century" w:hAnsi="Century" w:cs="FrankRuehl"/>
          <w:spacing w:val="10"/>
          <w:szCs w:val="28"/>
          <w:rtl/>
        </w:rPr>
        <w:t xml:space="preserve">דרעי לחזור לכהונה בממשלה, בתקופת השנים הסמוכה להרשעה, </w:t>
      </w:r>
      <w:r>
        <w:rPr>
          <w:rFonts w:ascii="Century" w:hAnsi="Century" w:cs="FrankRuehl" w:hint="cs"/>
          <w:spacing w:val="10"/>
          <w:szCs w:val="28"/>
          <w:rtl/>
        </w:rPr>
        <w:t>י</w:t>
      </w:r>
      <w:r w:rsidRPr="000D390B">
        <w:rPr>
          <w:rFonts w:ascii="Century" w:hAnsi="Century" w:cs="FrankRuehl"/>
          <w:spacing w:val="10"/>
          <w:szCs w:val="28"/>
          <w:rtl/>
        </w:rPr>
        <w:t xml:space="preserve">עבור במסננת </w:t>
      </w:r>
      <w:r>
        <w:rPr>
          <w:rFonts w:ascii="Century" w:hAnsi="Century" w:cs="FrankRuehl" w:hint="cs"/>
          <w:spacing w:val="10"/>
          <w:szCs w:val="28"/>
          <w:rtl/>
        </w:rPr>
        <w:t>הביקורת</w:t>
      </w:r>
      <w:r w:rsidRPr="000D390B">
        <w:rPr>
          <w:rFonts w:ascii="Century" w:hAnsi="Century" w:cs="FrankRuehl"/>
          <w:spacing w:val="10"/>
          <w:szCs w:val="28"/>
          <w:rtl/>
        </w:rPr>
        <w:t xml:space="preserve"> של יושב</w:t>
      </w:r>
      <w:r>
        <w:rPr>
          <w:rFonts w:ascii="Century" w:hAnsi="Century" w:cs="FrankRuehl" w:hint="cs"/>
          <w:spacing w:val="10"/>
          <w:szCs w:val="28"/>
          <w:rtl/>
        </w:rPr>
        <w:t xml:space="preserve"> </w:t>
      </w:r>
      <w:r w:rsidRPr="000D390B">
        <w:rPr>
          <w:rFonts w:ascii="Century" w:hAnsi="Century" w:cs="FrankRuehl"/>
          <w:spacing w:val="10"/>
          <w:szCs w:val="28"/>
          <w:rtl/>
        </w:rPr>
        <w:t xml:space="preserve">ראש ועדת הבחירות המרכזית (לנוכח קביעתו של חוק היסוד באותה עת כי רק אם יקבע יושב ראש ועדת הבחירות המרכזית שלא דבק קלון בעבירה שבה הורשע המועמד הוא יוכל לכהן בממשלה). התיקון לחוק היסוד והחלתו </w:t>
      </w:r>
      <w:r>
        <w:rPr>
          <w:rFonts w:ascii="Century" w:hAnsi="Century" w:cs="FrankRuehl" w:hint="cs"/>
          <w:spacing w:val="10"/>
          <w:szCs w:val="28"/>
          <w:rtl/>
        </w:rPr>
        <w:t>ע</w:t>
      </w:r>
      <w:r w:rsidRPr="000D390B">
        <w:rPr>
          <w:rFonts w:ascii="Century" w:hAnsi="Century" w:cs="FrankRuehl"/>
          <w:spacing w:val="10"/>
          <w:szCs w:val="28"/>
          <w:rtl/>
        </w:rPr>
        <w:t xml:space="preserve">ל דרעי באופן </w:t>
      </w:r>
      <w:r w:rsidRPr="000D390B">
        <w:rPr>
          <w:rFonts w:ascii="Century" w:hAnsi="Century" w:cs="FrankRuehl" w:hint="eastAsia"/>
          <w:spacing w:val="10"/>
          <w:szCs w:val="28"/>
          <w:rtl/>
        </w:rPr>
        <w:t>מיידי</w:t>
      </w:r>
      <w:r w:rsidRPr="000D390B">
        <w:rPr>
          <w:rFonts w:ascii="Century" w:hAnsi="Century" w:cs="FrankRuehl"/>
          <w:spacing w:val="10"/>
          <w:szCs w:val="28"/>
          <w:rtl/>
        </w:rPr>
        <w:t xml:space="preserve"> לא רק שינ</w:t>
      </w:r>
      <w:r w:rsidRPr="000D390B">
        <w:rPr>
          <w:rFonts w:ascii="Century" w:hAnsi="Century" w:cs="FrankRuehl" w:hint="eastAsia"/>
          <w:spacing w:val="10"/>
          <w:szCs w:val="28"/>
          <w:rtl/>
        </w:rPr>
        <w:t>ו</w:t>
      </w:r>
      <w:r w:rsidRPr="000D390B">
        <w:rPr>
          <w:rFonts w:ascii="Century" w:hAnsi="Century" w:cs="FrankRuehl"/>
          <w:spacing w:val="10"/>
          <w:szCs w:val="28"/>
          <w:rtl/>
        </w:rPr>
        <w:t xml:space="preserve"> סדרי עולם וממשל, אלא הי</w:t>
      </w:r>
      <w:r w:rsidRPr="000D390B">
        <w:rPr>
          <w:rFonts w:ascii="Century" w:hAnsi="Century" w:cs="FrankRuehl" w:hint="eastAsia"/>
          <w:spacing w:val="10"/>
          <w:szCs w:val="28"/>
          <w:rtl/>
        </w:rPr>
        <w:t>ו</w:t>
      </w:r>
      <w:r w:rsidRPr="000D390B">
        <w:rPr>
          <w:rFonts w:ascii="Century" w:hAnsi="Century" w:cs="FrankRuehl"/>
          <w:spacing w:val="10"/>
          <w:szCs w:val="28"/>
          <w:rtl/>
        </w:rPr>
        <w:t xml:space="preserve"> בעל</w:t>
      </w:r>
      <w:r w:rsidRPr="000D390B">
        <w:rPr>
          <w:rFonts w:ascii="Century" w:hAnsi="Century" w:cs="FrankRuehl" w:hint="eastAsia"/>
          <w:spacing w:val="10"/>
          <w:szCs w:val="28"/>
          <w:rtl/>
        </w:rPr>
        <w:t>י</w:t>
      </w:r>
      <w:r w:rsidRPr="000D390B">
        <w:rPr>
          <w:rFonts w:ascii="Century" w:hAnsi="Century" w:cs="FrankRuehl"/>
          <w:spacing w:val="10"/>
          <w:szCs w:val="28"/>
          <w:rtl/>
        </w:rPr>
        <w:t xml:space="preserve"> השפעה</w:t>
      </w:r>
      <w:r>
        <w:rPr>
          <w:rFonts w:ascii="Century" w:hAnsi="Century" w:cs="FrankRuehl" w:hint="cs"/>
          <w:spacing w:val="10"/>
          <w:szCs w:val="28"/>
          <w:rtl/>
        </w:rPr>
        <w:t xml:space="preserve"> נקודתית, שלא לומר "כירורגי</w:t>
      </w:r>
      <w:r>
        <w:rPr>
          <w:rFonts w:ascii="Century" w:hAnsi="Century" w:cs="FrankRuehl" w:hint="eastAsia"/>
          <w:spacing w:val="10"/>
          <w:szCs w:val="28"/>
          <w:rtl/>
        </w:rPr>
        <w:t>ת</w:t>
      </w:r>
      <w:r>
        <w:rPr>
          <w:rFonts w:ascii="Century" w:hAnsi="Century" w:cs="FrankRuehl" w:hint="cs"/>
          <w:spacing w:val="10"/>
          <w:szCs w:val="28"/>
          <w:rtl/>
        </w:rPr>
        <w:t>",</w:t>
      </w:r>
      <w:r w:rsidRPr="000D390B">
        <w:rPr>
          <w:rFonts w:ascii="Century" w:hAnsi="Century" w:cs="FrankRuehl"/>
          <w:spacing w:val="10"/>
          <w:szCs w:val="28"/>
          <w:rtl/>
        </w:rPr>
        <w:t xml:space="preserve"> ששינתה בדיעבד את </w:t>
      </w:r>
      <w:r>
        <w:rPr>
          <w:rFonts w:ascii="Century" w:hAnsi="Century" w:cs="FrankRuehl" w:hint="cs"/>
          <w:spacing w:val="10"/>
          <w:szCs w:val="28"/>
          <w:rtl/>
        </w:rPr>
        <w:t>התוצאות המשפטיות שנבעו</w:t>
      </w:r>
      <w:r w:rsidRPr="000D390B">
        <w:rPr>
          <w:rFonts w:ascii="Century" w:hAnsi="Century" w:cs="FrankRuehl"/>
          <w:spacing w:val="10"/>
          <w:szCs w:val="28"/>
          <w:rtl/>
        </w:rPr>
        <w:t xml:space="preserve"> </w:t>
      </w:r>
      <w:r>
        <w:rPr>
          <w:rFonts w:ascii="Century" w:hAnsi="Century" w:cs="FrankRuehl" w:hint="cs"/>
          <w:spacing w:val="10"/>
          <w:szCs w:val="28"/>
          <w:rtl/>
        </w:rPr>
        <w:t>מ</w:t>
      </w:r>
      <w:r w:rsidRPr="000D390B">
        <w:rPr>
          <w:rFonts w:ascii="Century" w:hAnsi="Century" w:cs="FrankRuehl"/>
          <w:spacing w:val="10"/>
          <w:szCs w:val="28"/>
          <w:rtl/>
        </w:rPr>
        <w:t>משפטו הפלילי של דרעי</w:t>
      </w:r>
      <w:r>
        <w:rPr>
          <w:rFonts w:ascii="Century" w:hAnsi="Century" w:cs="FrankRuehl" w:hint="cs"/>
          <w:spacing w:val="10"/>
          <w:szCs w:val="28"/>
          <w:rtl/>
        </w:rPr>
        <w:t>.</w:t>
      </w:r>
      <w:r w:rsidRPr="000D390B">
        <w:rPr>
          <w:rFonts w:ascii="Century" w:hAnsi="Century" w:cs="FrankRuehl"/>
          <w:spacing w:val="10"/>
          <w:szCs w:val="28"/>
          <w:rtl/>
        </w:rPr>
        <w:t xml:space="preserve"> </w:t>
      </w:r>
      <w:r>
        <w:rPr>
          <w:rFonts w:ascii="Century" w:hAnsi="Century" w:cs="FrankRuehl" w:hint="cs"/>
          <w:spacing w:val="10"/>
          <w:szCs w:val="28"/>
          <w:rtl/>
        </w:rPr>
        <w:t xml:space="preserve">זאת, כאשר מביאים בחשבון כי, הלכה למעשה, אין מחלוקת שדרעי היה המועמד היחיד לתפקיד שר ש"נהנה" ממהלך זה. דהיינו, במישור התוצאה, התחולה המיידית באה לידי ביטוי בשינוי ההשלכה המשפטית הנוגעת להליך פלילי יחיד, ותו לא. קושי זה מתחזק אף כאשר מביאים בחשבון את ההוראה בדבר מועד כניסתו המיידי של התיקון לתוקף, עוד טרם פרסומו ברשומות </w:t>
      </w:r>
      <w:r>
        <w:rPr>
          <w:rFonts w:ascii="Century" w:hAnsi="Century" w:cs="FrankRuehl"/>
          <w:spacing w:val="10"/>
          <w:szCs w:val="28"/>
          <w:rtl/>
        </w:rPr>
        <w:t>–</w:t>
      </w:r>
      <w:r>
        <w:rPr>
          <w:rFonts w:ascii="Century" w:hAnsi="Century" w:cs="FrankRuehl" w:hint="cs"/>
          <w:spacing w:val="10"/>
          <w:szCs w:val="28"/>
          <w:rtl/>
        </w:rPr>
        <w:t xml:space="preserve"> הוראה שמבחינה מעשית הייתה בעלת נפקות אך ורק לגביו של דרעי (וזאת הגם שסוגיה זו, כשלעצמה, הפכה לתאורטית בהינתן העובדה כי בסופו של דבר התיקון פורסם ברשומות זמן קצר בלבד לאחר אישורו הסופי בכנסת). </w:t>
      </w:r>
    </w:p>
    <w:p w14:paraId="7F3F7CBC" w14:textId="77777777" w:rsidR="00437A63" w:rsidRDefault="00437A63" w:rsidP="00437A63">
      <w:pPr>
        <w:pStyle w:val="af0"/>
        <w:spacing w:line="360" w:lineRule="auto"/>
        <w:ind w:left="0"/>
        <w:jc w:val="both"/>
        <w:rPr>
          <w:rFonts w:ascii="Century" w:hAnsi="Century" w:cs="FrankRuehl"/>
          <w:spacing w:val="10"/>
          <w:szCs w:val="28"/>
          <w:rtl/>
        </w:rPr>
      </w:pPr>
    </w:p>
    <w:p w14:paraId="41A13FBB"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50.</w:t>
      </w:r>
      <w:r>
        <w:rPr>
          <w:rFonts w:ascii="Century" w:hAnsi="Century" w:cs="FrankRuehl" w:hint="cs"/>
          <w:spacing w:val="10"/>
          <w:szCs w:val="28"/>
          <w:rtl/>
        </w:rPr>
        <w:tab/>
        <w:t xml:space="preserve">בהתחשב בכך, על פני הדברים, ומבלי להכריע, דומה </w:t>
      </w:r>
      <w:r w:rsidRPr="000D390B">
        <w:rPr>
          <w:rFonts w:ascii="Century" w:hAnsi="Century" w:cs="FrankRuehl"/>
          <w:spacing w:val="10"/>
          <w:szCs w:val="28"/>
          <w:rtl/>
        </w:rPr>
        <w:t xml:space="preserve">שזהו אחד מאותם מקרים שאמורים לשמש חריג לקביעה כי אין פסול בתחולה </w:t>
      </w:r>
      <w:r w:rsidRPr="000D390B">
        <w:rPr>
          <w:rFonts w:ascii="Century" w:hAnsi="Century" w:cs="FrankRuehl" w:hint="eastAsia"/>
          <w:spacing w:val="10"/>
          <w:szCs w:val="28"/>
          <w:rtl/>
        </w:rPr>
        <w:t>מיידית</w:t>
      </w:r>
      <w:r w:rsidRPr="000D390B">
        <w:rPr>
          <w:rFonts w:ascii="Century" w:hAnsi="Century" w:cs="FrankRuehl"/>
          <w:spacing w:val="10"/>
          <w:szCs w:val="28"/>
          <w:rtl/>
        </w:rPr>
        <w:t xml:space="preserve"> של חוק יסוד. הייחוד של המקרה הוא השפעתה של התחולה </w:t>
      </w:r>
      <w:r w:rsidRPr="000D390B">
        <w:rPr>
          <w:rFonts w:ascii="Century" w:hAnsi="Century" w:cs="FrankRuehl" w:hint="eastAsia"/>
          <w:spacing w:val="10"/>
          <w:szCs w:val="28"/>
          <w:rtl/>
        </w:rPr>
        <w:t>המיידית</w:t>
      </w:r>
      <w:r w:rsidRPr="000D390B">
        <w:rPr>
          <w:rFonts w:ascii="Century" w:hAnsi="Century" w:cs="FrankRuehl"/>
          <w:spacing w:val="10"/>
          <w:szCs w:val="28"/>
          <w:rtl/>
        </w:rPr>
        <w:t xml:space="preserve"> על תוצאות מגובשות של </w:t>
      </w:r>
      <w:r>
        <w:rPr>
          <w:rFonts w:ascii="Century" w:hAnsi="Century" w:cs="FrankRuehl" w:hint="cs"/>
          <w:spacing w:val="10"/>
          <w:szCs w:val="28"/>
          <w:rtl/>
        </w:rPr>
        <w:t>הליך פלילי מסוים</w:t>
      </w:r>
      <w:r w:rsidRPr="000D390B">
        <w:rPr>
          <w:rFonts w:ascii="Century" w:hAnsi="Century" w:cs="FrankRuehl"/>
          <w:spacing w:val="10"/>
          <w:szCs w:val="28"/>
          <w:rtl/>
        </w:rPr>
        <w:t xml:space="preserve">. </w:t>
      </w:r>
      <w:r>
        <w:rPr>
          <w:rFonts w:ascii="Century" w:hAnsi="Century" w:cs="FrankRuehl" w:hint="cs"/>
          <w:spacing w:val="10"/>
          <w:szCs w:val="28"/>
          <w:rtl/>
        </w:rPr>
        <w:t xml:space="preserve">כשלעצמי, אוסיף כי נקודת מבט נוספת ממנה </w:t>
      </w:r>
      <w:r w:rsidRPr="000D390B">
        <w:rPr>
          <w:rFonts w:ascii="Century" w:hAnsi="Century" w:cs="FrankRuehl"/>
          <w:spacing w:val="10"/>
          <w:szCs w:val="28"/>
          <w:rtl/>
        </w:rPr>
        <w:t xml:space="preserve">ניתן להשקיף על הדברים </w:t>
      </w:r>
      <w:r>
        <w:rPr>
          <w:rFonts w:ascii="Century" w:hAnsi="Century" w:cs="FrankRuehl" w:hint="cs"/>
          <w:spacing w:val="10"/>
          <w:szCs w:val="28"/>
          <w:rtl/>
        </w:rPr>
        <w:t xml:space="preserve">נעוצה באמת המידה של </w:t>
      </w:r>
      <w:r w:rsidRPr="000D390B">
        <w:rPr>
          <w:rFonts w:ascii="Century" w:hAnsi="Century" w:cs="FrankRuehl"/>
          <w:spacing w:val="10"/>
          <w:szCs w:val="28"/>
          <w:rtl/>
        </w:rPr>
        <w:t>"מובחנות"</w:t>
      </w:r>
      <w:r>
        <w:rPr>
          <w:rFonts w:ascii="Century" w:hAnsi="Century" w:cs="FrankRuehl" w:hint="cs"/>
          <w:spacing w:val="10"/>
          <w:szCs w:val="28"/>
          <w:rtl/>
        </w:rPr>
        <w:t>,</w:t>
      </w:r>
      <w:r w:rsidRPr="000D390B">
        <w:rPr>
          <w:rFonts w:ascii="Century" w:hAnsi="Century" w:cs="FrankRuehl"/>
          <w:spacing w:val="10"/>
          <w:szCs w:val="28"/>
          <w:rtl/>
        </w:rPr>
        <w:t xml:space="preserve"> שב</w:t>
      </w:r>
      <w:r>
        <w:rPr>
          <w:rFonts w:ascii="Century" w:hAnsi="Century" w:cs="FrankRuehl" w:hint="cs"/>
          <w:spacing w:val="10"/>
          <w:szCs w:val="28"/>
          <w:rtl/>
        </w:rPr>
        <w:t>ה</w:t>
      </w:r>
      <w:r w:rsidRPr="000D390B">
        <w:rPr>
          <w:rFonts w:ascii="Century" w:hAnsi="Century" w:cs="FrankRuehl"/>
          <w:spacing w:val="10"/>
          <w:szCs w:val="28"/>
          <w:rtl/>
        </w:rPr>
        <w:t xml:space="preserve"> צידדתי אני בעניין </w:t>
      </w:r>
      <w:r w:rsidRPr="000D390B">
        <w:rPr>
          <w:rFonts w:ascii="Century" w:hAnsi="Century" w:cs="Miriam" w:hint="eastAsia"/>
          <w:b/>
          <w:rtl/>
        </w:rPr>
        <w:t>שפיר</w:t>
      </w:r>
      <w:r>
        <w:rPr>
          <w:rFonts w:ascii="Century" w:hAnsi="Century" w:cs="Miriam" w:hint="cs"/>
          <w:b/>
          <w:rtl/>
        </w:rPr>
        <w:t xml:space="preserve"> </w:t>
      </w:r>
      <w:r w:rsidRPr="000D390B">
        <w:rPr>
          <w:rFonts w:ascii="Century" w:hAnsi="Century" w:cs="FrankRuehl"/>
          <w:spacing w:val="10"/>
          <w:szCs w:val="28"/>
          <w:rtl/>
        </w:rPr>
        <w:t>(</w:t>
      </w:r>
      <w:r>
        <w:rPr>
          <w:rFonts w:ascii="Century" w:hAnsi="Century" w:cs="Miriam" w:hint="cs"/>
          <w:b/>
          <w:rtl/>
        </w:rPr>
        <w:t>שם</w:t>
      </w:r>
      <w:r w:rsidRPr="000D390B">
        <w:rPr>
          <w:rFonts w:ascii="Century" w:hAnsi="Century" w:cs="FrankRuehl"/>
          <w:spacing w:val="10"/>
          <w:szCs w:val="28"/>
          <w:rtl/>
        </w:rPr>
        <w:t xml:space="preserve">, </w:t>
      </w:r>
      <w:r w:rsidRPr="000D390B">
        <w:rPr>
          <w:rFonts w:ascii="Century" w:hAnsi="Century" w:cs="FrankRuehl" w:hint="eastAsia"/>
          <w:spacing w:val="10"/>
          <w:szCs w:val="28"/>
          <w:rtl/>
        </w:rPr>
        <w:t>בפסקה</w:t>
      </w:r>
      <w:r w:rsidRPr="000D390B">
        <w:rPr>
          <w:rFonts w:ascii="Century" w:hAnsi="Century" w:cs="FrankRuehl"/>
          <w:spacing w:val="10"/>
          <w:szCs w:val="28"/>
          <w:rtl/>
        </w:rPr>
        <w:t xml:space="preserve"> </w:t>
      </w:r>
      <w:r>
        <w:rPr>
          <w:rFonts w:ascii="Century" w:hAnsi="Century" w:cs="FrankRuehl" w:hint="cs"/>
          <w:spacing w:val="10"/>
          <w:szCs w:val="28"/>
          <w:rtl/>
        </w:rPr>
        <w:t>23</w:t>
      </w:r>
      <w:r w:rsidRPr="000D390B">
        <w:rPr>
          <w:rFonts w:ascii="Century" w:hAnsi="Century" w:cs="FrankRuehl"/>
          <w:spacing w:val="10"/>
          <w:szCs w:val="28"/>
          <w:rtl/>
        </w:rPr>
        <w:t xml:space="preserve"> </w:t>
      </w:r>
      <w:r w:rsidRPr="000D390B">
        <w:rPr>
          <w:rFonts w:ascii="Century" w:hAnsi="Century" w:cs="FrankRuehl" w:hint="eastAsia"/>
          <w:spacing w:val="10"/>
          <w:szCs w:val="28"/>
          <w:rtl/>
        </w:rPr>
        <w:t>לפסק</w:t>
      </w:r>
      <w:r w:rsidRPr="000D390B">
        <w:rPr>
          <w:rFonts w:ascii="Century" w:hAnsi="Century" w:cs="FrankRuehl"/>
          <w:spacing w:val="10"/>
          <w:szCs w:val="28"/>
          <w:rtl/>
        </w:rPr>
        <w:t xml:space="preserve"> </w:t>
      </w:r>
      <w:r w:rsidRPr="000D390B">
        <w:rPr>
          <w:rFonts w:ascii="Century" w:hAnsi="Century" w:cs="FrankRuehl" w:hint="eastAsia"/>
          <w:spacing w:val="10"/>
          <w:szCs w:val="28"/>
          <w:rtl/>
        </w:rPr>
        <w:t>דיני</w:t>
      </w:r>
      <w:r w:rsidRPr="00232589">
        <w:rPr>
          <w:rFonts w:ascii="Century" w:hAnsi="Century" w:cs="FrankRuehl"/>
          <w:spacing w:val="10"/>
          <w:szCs w:val="28"/>
          <w:rtl/>
        </w:rPr>
        <w:t>)</w:t>
      </w:r>
      <w:r w:rsidRPr="005C42ED">
        <w:rPr>
          <w:rFonts w:ascii="Century" w:hAnsi="Century" w:cs="FrankRuehl"/>
          <w:spacing w:val="10"/>
          <w:szCs w:val="28"/>
          <w:rtl/>
        </w:rPr>
        <w:t>.</w:t>
      </w:r>
      <w:r w:rsidRPr="000D390B">
        <w:rPr>
          <w:rFonts w:ascii="Century" w:hAnsi="Century" w:cs="FrankRuehl"/>
          <w:spacing w:val="10"/>
          <w:szCs w:val="28"/>
          <w:rtl/>
        </w:rPr>
        <w:t xml:space="preserve"> </w:t>
      </w:r>
      <w:r w:rsidRPr="000D390B">
        <w:rPr>
          <w:rFonts w:ascii="Century" w:hAnsi="Century" w:cs="FrankRuehl" w:hint="eastAsia"/>
          <w:spacing w:val="10"/>
          <w:szCs w:val="28"/>
          <w:rtl/>
        </w:rPr>
        <w:t>לשיטתי</w:t>
      </w:r>
      <w:r w:rsidRPr="000D390B">
        <w:rPr>
          <w:rFonts w:ascii="Century" w:hAnsi="Century" w:cs="FrankRuehl"/>
          <w:spacing w:val="10"/>
          <w:szCs w:val="28"/>
          <w:rtl/>
        </w:rPr>
        <w:t xml:space="preserve">, </w:t>
      </w:r>
      <w:r w:rsidRPr="000D390B">
        <w:rPr>
          <w:rFonts w:ascii="Century" w:hAnsi="Century" w:cs="FrankRuehl" w:hint="eastAsia"/>
          <w:spacing w:val="10"/>
          <w:szCs w:val="28"/>
          <w:rtl/>
        </w:rPr>
        <w:t>החלתו</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התיקון</w:t>
      </w:r>
      <w:r w:rsidRPr="000D390B">
        <w:rPr>
          <w:rFonts w:ascii="Century" w:hAnsi="Century" w:cs="FrankRuehl"/>
          <w:spacing w:val="10"/>
          <w:szCs w:val="28"/>
          <w:rtl/>
        </w:rPr>
        <w:t xml:space="preserve"> </w:t>
      </w:r>
      <w:r w:rsidRPr="000D390B">
        <w:rPr>
          <w:rFonts w:ascii="Century" w:hAnsi="Century" w:cs="FrankRuehl" w:hint="eastAsia"/>
          <w:spacing w:val="10"/>
          <w:szCs w:val="28"/>
          <w:rtl/>
        </w:rPr>
        <w:t>לחוק</w:t>
      </w:r>
      <w:r w:rsidRPr="000D390B">
        <w:rPr>
          <w:rFonts w:ascii="Century" w:hAnsi="Century" w:cs="FrankRuehl"/>
          <w:spacing w:val="10"/>
          <w:szCs w:val="28"/>
          <w:rtl/>
        </w:rPr>
        <w:t xml:space="preserve"> </w:t>
      </w:r>
      <w:r w:rsidRPr="000D390B">
        <w:rPr>
          <w:rFonts w:ascii="Century" w:hAnsi="Century" w:cs="FrankRuehl" w:hint="eastAsia"/>
          <w:spacing w:val="10"/>
          <w:szCs w:val="28"/>
          <w:rtl/>
        </w:rPr>
        <w:t>היסוד</w:t>
      </w:r>
      <w:r>
        <w:rPr>
          <w:rFonts w:ascii="Century" w:hAnsi="Century" w:cs="FrankRuehl" w:hint="cs"/>
          <w:spacing w:val="10"/>
          <w:szCs w:val="28"/>
          <w:rtl/>
        </w:rPr>
        <w:t xml:space="preserve"> כך שזה יתפוס ברשתו את עניינו של דרעי עשויה להיחשב</w:t>
      </w:r>
      <w:r w:rsidRPr="000D390B">
        <w:rPr>
          <w:rFonts w:ascii="Century" w:hAnsi="Century" w:cs="FrankRuehl"/>
          <w:spacing w:val="10"/>
          <w:szCs w:val="28"/>
          <w:rtl/>
        </w:rPr>
        <w:t xml:space="preserve"> "חדירה" </w:t>
      </w:r>
      <w:r w:rsidRPr="000D390B">
        <w:rPr>
          <w:rFonts w:ascii="Century" w:hAnsi="Century" w:cs="FrankRuehl" w:hint="eastAsia"/>
          <w:spacing w:val="10"/>
          <w:szCs w:val="28"/>
          <w:rtl/>
        </w:rPr>
        <w:t>או</w:t>
      </w:r>
      <w:r w:rsidRPr="000D390B">
        <w:rPr>
          <w:rFonts w:ascii="Century" w:hAnsi="Century" w:cs="FrankRuehl"/>
          <w:spacing w:val="10"/>
          <w:szCs w:val="28"/>
          <w:rtl/>
        </w:rPr>
        <w:t xml:space="preserve"> </w:t>
      </w:r>
      <w:r w:rsidRPr="000D390B">
        <w:rPr>
          <w:rFonts w:ascii="Century" w:hAnsi="Century" w:cs="FrankRuehl" w:hint="eastAsia"/>
          <w:spacing w:val="10"/>
          <w:szCs w:val="28"/>
          <w:rtl/>
        </w:rPr>
        <w:t>אף</w:t>
      </w:r>
      <w:r w:rsidRPr="000D390B">
        <w:rPr>
          <w:rFonts w:ascii="Century" w:hAnsi="Century" w:cs="FrankRuehl"/>
          <w:spacing w:val="10"/>
          <w:szCs w:val="28"/>
          <w:rtl/>
        </w:rPr>
        <w:t xml:space="preserve"> "הסגת </w:t>
      </w:r>
      <w:r w:rsidRPr="000D390B">
        <w:rPr>
          <w:rFonts w:ascii="Century" w:hAnsi="Century" w:cs="FrankRuehl" w:hint="eastAsia"/>
          <w:spacing w:val="10"/>
          <w:szCs w:val="28"/>
          <w:rtl/>
        </w:rPr>
        <w:t>גבול</w:t>
      </w:r>
      <w:r w:rsidRPr="000D390B">
        <w:rPr>
          <w:rFonts w:ascii="Century" w:hAnsi="Century" w:cs="FrankRuehl"/>
          <w:spacing w:val="10"/>
          <w:szCs w:val="28"/>
          <w:rtl/>
        </w:rPr>
        <w:t xml:space="preserve">" </w:t>
      </w:r>
      <w:r w:rsidRPr="000D390B">
        <w:rPr>
          <w:rFonts w:ascii="Century" w:hAnsi="Century" w:cs="FrankRuehl" w:hint="eastAsia"/>
          <w:spacing w:val="10"/>
          <w:szCs w:val="28"/>
          <w:rtl/>
        </w:rPr>
        <w:t>של</w:t>
      </w:r>
      <w:r w:rsidRPr="000D390B">
        <w:rPr>
          <w:rFonts w:ascii="Century" w:hAnsi="Century" w:cs="FrankRuehl"/>
          <w:spacing w:val="10"/>
          <w:szCs w:val="28"/>
          <w:rtl/>
        </w:rPr>
        <w:t xml:space="preserve"> </w:t>
      </w:r>
      <w:r w:rsidRPr="000D390B">
        <w:rPr>
          <w:rFonts w:ascii="Century" w:hAnsi="Century" w:cs="FrankRuehl" w:hint="eastAsia"/>
          <w:spacing w:val="10"/>
          <w:szCs w:val="28"/>
          <w:rtl/>
        </w:rPr>
        <w:t>הרשות</w:t>
      </w:r>
      <w:r w:rsidRPr="000D390B">
        <w:rPr>
          <w:rFonts w:ascii="Century" w:hAnsi="Century" w:cs="FrankRuehl"/>
          <w:spacing w:val="10"/>
          <w:szCs w:val="28"/>
          <w:rtl/>
        </w:rPr>
        <w:t xml:space="preserve"> </w:t>
      </w:r>
      <w:r w:rsidRPr="000D390B">
        <w:rPr>
          <w:rFonts w:ascii="Century" w:hAnsi="Century" w:cs="FrankRuehl" w:hint="eastAsia"/>
          <w:spacing w:val="10"/>
          <w:szCs w:val="28"/>
          <w:rtl/>
        </w:rPr>
        <w:t>המכוננת</w:t>
      </w:r>
      <w:r w:rsidRPr="000D390B">
        <w:rPr>
          <w:rFonts w:ascii="Century" w:hAnsi="Century" w:cs="FrankRuehl"/>
          <w:spacing w:val="10"/>
          <w:szCs w:val="28"/>
          <w:rtl/>
        </w:rPr>
        <w:t xml:space="preserve"> </w:t>
      </w:r>
      <w:r w:rsidRPr="000D390B">
        <w:rPr>
          <w:rFonts w:ascii="Century" w:hAnsi="Century" w:cs="FrankRuehl" w:hint="eastAsia"/>
          <w:spacing w:val="10"/>
          <w:szCs w:val="28"/>
          <w:rtl/>
        </w:rPr>
        <w:t>אל</w:t>
      </w:r>
      <w:r w:rsidRPr="000D390B">
        <w:rPr>
          <w:rFonts w:ascii="Century" w:hAnsi="Century" w:cs="FrankRuehl"/>
          <w:spacing w:val="10"/>
          <w:szCs w:val="28"/>
          <w:rtl/>
        </w:rPr>
        <w:t xml:space="preserve"> </w:t>
      </w:r>
      <w:r w:rsidRPr="000D390B">
        <w:rPr>
          <w:rFonts w:ascii="Century" w:hAnsi="Century" w:cs="FrankRuehl" w:hint="eastAsia"/>
          <w:spacing w:val="10"/>
          <w:szCs w:val="28"/>
          <w:rtl/>
        </w:rPr>
        <w:t>תחומיה</w:t>
      </w:r>
      <w:r>
        <w:rPr>
          <w:rFonts w:ascii="Century" w:hAnsi="Century" w:cs="FrankRuehl" w:hint="cs"/>
          <w:spacing w:val="10"/>
          <w:szCs w:val="28"/>
          <w:rtl/>
        </w:rPr>
        <w:t xml:space="preserve"> הברורים</w:t>
      </w:r>
      <w:r w:rsidRPr="000D390B">
        <w:rPr>
          <w:rFonts w:ascii="Century" w:hAnsi="Century" w:cs="FrankRuehl"/>
          <w:spacing w:val="10"/>
          <w:szCs w:val="28"/>
          <w:rtl/>
        </w:rPr>
        <w:t xml:space="preserve"> של הרשות השופטת, </w:t>
      </w:r>
      <w:r>
        <w:rPr>
          <w:rFonts w:ascii="Century" w:hAnsi="Century" w:cs="FrankRuehl" w:hint="cs"/>
          <w:spacing w:val="10"/>
          <w:szCs w:val="28"/>
          <w:rtl/>
        </w:rPr>
        <w:t>מאחר שנועדה</w:t>
      </w:r>
      <w:r w:rsidRPr="000D390B">
        <w:rPr>
          <w:rFonts w:ascii="Century" w:hAnsi="Century" w:cs="FrankRuehl"/>
          <w:spacing w:val="10"/>
          <w:szCs w:val="28"/>
          <w:rtl/>
        </w:rPr>
        <w:t xml:space="preserve"> </w:t>
      </w:r>
      <w:r>
        <w:rPr>
          <w:rFonts w:ascii="Century" w:hAnsi="Century" w:cs="FrankRuehl" w:hint="cs"/>
          <w:spacing w:val="10"/>
          <w:szCs w:val="28"/>
          <w:rtl/>
        </w:rPr>
        <w:t>להשפיע</w:t>
      </w:r>
      <w:r w:rsidRPr="000D390B">
        <w:rPr>
          <w:rFonts w:ascii="Century" w:hAnsi="Century" w:cs="FrankRuehl"/>
          <w:spacing w:val="10"/>
          <w:szCs w:val="28"/>
          <w:rtl/>
        </w:rPr>
        <w:t xml:space="preserve"> על תוצאותיו של הליך פלילי </w:t>
      </w:r>
      <w:r>
        <w:rPr>
          <w:rFonts w:ascii="Century" w:hAnsi="Century" w:cs="FrankRuehl" w:hint="cs"/>
          <w:spacing w:val="10"/>
          <w:szCs w:val="28"/>
          <w:rtl/>
        </w:rPr>
        <w:t>קונקרטי</w:t>
      </w:r>
      <w:r w:rsidRPr="000D390B">
        <w:rPr>
          <w:rFonts w:ascii="Century" w:hAnsi="Century" w:cs="FrankRuehl"/>
          <w:spacing w:val="10"/>
          <w:szCs w:val="28"/>
          <w:rtl/>
        </w:rPr>
        <w:t>.</w:t>
      </w:r>
    </w:p>
    <w:p w14:paraId="6216BBBA" w14:textId="77777777" w:rsidR="00437A63" w:rsidRDefault="00437A63" w:rsidP="00437A63">
      <w:pPr>
        <w:pStyle w:val="af0"/>
        <w:spacing w:line="360" w:lineRule="auto"/>
        <w:ind w:left="0"/>
        <w:jc w:val="both"/>
        <w:rPr>
          <w:rFonts w:ascii="Century" w:hAnsi="Century" w:cs="FrankRuehl"/>
          <w:spacing w:val="10"/>
          <w:szCs w:val="28"/>
          <w:rtl/>
        </w:rPr>
      </w:pPr>
    </w:p>
    <w:p w14:paraId="1D2CC3C3" w14:textId="77777777" w:rsidR="00437A63" w:rsidRPr="004B1E65" w:rsidRDefault="00437A63" w:rsidP="00437A63">
      <w:pPr>
        <w:pStyle w:val="af0"/>
        <w:spacing w:line="360" w:lineRule="auto"/>
        <w:ind w:left="0"/>
        <w:jc w:val="both"/>
        <w:rPr>
          <w:rFonts w:ascii="Century" w:hAnsi="Century" w:cs="Miriam"/>
          <w:b/>
          <w:rtl/>
        </w:rPr>
      </w:pPr>
      <w:r w:rsidRPr="004B1E65">
        <w:rPr>
          <w:rFonts w:ascii="Century" w:hAnsi="Century" w:cs="Miriam"/>
          <w:b/>
          <w:rtl/>
        </w:rPr>
        <w:t>סוף דבר</w:t>
      </w:r>
    </w:p>
    <w:p w14:paraId="595EC69C" w14:textId="77777777" w:rsidR="00437A63" w:rsidRPr="000D390B" w:rsidRDefault="00437A63" w:rsidP="00437A63">
      <w:pPr>
        <w:pStyle w:val="af0"/>
        <w:spacing w:line="360" w:lineRule="auto"/>
        <w:ind w:left="0"/>
        <w:jc w:val="both"/>
        <w:rPr>
          <w:rFonts w:ascii="Century" w:hAnsi="Century" w:cs="FrankRuehl"/>
          <w:spacing w:val="10"/>
          <w:szCs w:val="28"/>
          <w:rtl/>
        </w:rPr>
      </w:pPr>
    </w:p>
    <w:p w14:paraId="23F64669" w14:textId="77777777" w:rsidR="00437A63" w:rsidRPr="000D390B"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51</w:t>
      </w:r>
      <w:r w:rsidRPr="000D390B">
        <w:rPr>
          <w:rFonts w:ascii="Century" w:hAnsi="Century" w:cs="FrankRuehl"/>
          <w:spacing w:val="10"/>
          <w:szCs w:val="28"/>
          <w:rtl/>
        </w:rPr>
        <w:t xml:space="preserve">. </w:t>
      </w:r>
      <w:r w:rsidRPr="000D390B">
        <w:rPr>
          <w:rFonts w:ascii="Century" w:hAnsi="Century" w:cs="FrankRuehl"/>
          <w:spacing w:val="10"/>
          <w:szCs w:val="28"/>
        </w:rPr>
        <w:tab/>
      </w:r>
      <w:r w:rsidRPr="000D390B">
        <w:rPr>
          <w:rFonts w:ascii="Century" w:hAnsi="Century" w:cs="FrankRuehl" w:hint="eastAsia"/>
          <w:spacing w:val="10"/>
          <w:szCs w:val="28"/>
          <w:rtl/>
        </w:rPr>
        <w:t>מכל</w:t>
      </w:r>
      <w:r w:rsidRPr="000D390B">
        <w:rPr>
          <w:rFonts w:ascii="Century" w:hAnsi="Century" w:cs="FrankRuehl"/>
          <w:spacing w:val="10"/>
          <w:szCs w:val="28"/>
          <w:rtl/>
        </w:rPr>
        <w:t xml:space="preserve"> מקום, </w:t>
      </w:r>
      <w:r>
        <w:rPr>
          <w:rFonts w:ascii="Century" w:hAnsi="Century" w:cs="FrankRuehl" w:hint="cs"/>
          <w:spacing w:val="10"/>
          <w:szCs w:val="28"/>
          <w:rtl/>
        </w:rPr>
        <w:t>בענייננו די לי בכך ש</w:t>
      </w:r>
      <w:r w:rsidRPr="000D390B">
        <w:rPr>
          <w:rFonts w:ascii="Century" w:hAnsi="Century" w:cs="FrankRuehl"/>
          <w:spacing w:val="10"/>
          <w:szCs w:val="28"/>
          <w:rtl/>
        </w:rPr>
        <w:t>בפנינו מניעות ספציפית החלה כלפי מי שהציג מצג שהיה בו כדי להשפיע, ואף השפיע</w:t>
      </w:r>
      <w:r>
        <w:rPr>
          <w:rFonts w:ascii="Century" w:hAnsi="Century" w:cs="FrankRuehl" w:hint="cs"/>
          <w:spacing w:val="10"/>
          <w:szCs w:val="28"/>
          <w:rtl/>
        </w:rPr>
        <w:t xml:space="preserve"> בפועל</w:t>
      </w:r>
      <w:r w:rsidRPr="000D390B">
        <w:rPr>
          <w:rFonts w:ascii="Century" w:hAnsi="Century" w:cs="FrankRuehl"/>
          <w:spacing w:val="10"/>
          <w:szCs w:val="28"/>
          <w:rtl/>
        </w:rPr>
        <w:t>, על תוצאותיו של ההליך הפלילי בעניינו.</w:t>
      </w:r>
    </w:p>
    <w:p w14:paraId="39F7E7A9" w14:textId="77777777" w:rsidR="00437A63" w:rsidRDefault="00437A63" w:rsidP="00437A63">
      <w:pPr>
        <w:pStyle w:val="af0"/>
        <w:spacing w:line="360" w:lineRule="auto"/>
        <w:ind w:left="0"/>
        <w:jc w:val="both"/>
        <w:rPr>
          <w:rFonts w:ascii="Century" w:hAnsi="Century" w:cs="FrankRuehl"/>
          <w:spacing w:val="10"/>
          <w:szCs w:val="28"/>
          <w:rtl/>
        </w:rPr>
      </w:pPr>
    </w:p>
    <w:p w14:paraId="767F1D1A" w14:textId="77777777" w:rsidR="00437A63" w:rsidRDefault="00437A63" w:rsidP="00437A63">
      <w:pPr>
        <w:pStyle w:val="af0"/>
        <w:spacing w:line="360" w:lineRule="auto"/>
        <w:ind w:left="0"/>
        <w:jc w:val="both"/>
        <w:rPr>
          <w:rFonts w:ascii="Century" w:hAnsi="Century" w:cs="FrankRuehl"/>
          <w:spacing w:val="10"/>
          <w:szCs w:val="28"/>
          <w:rtl/>
        </w:rPr>
      </w:pPr>
      <w:r>
        <w:rPr>
          <w:rFonts w:ascii="Century" w:hAnsi="Century" w:cs="FrankRuehl" w:hint="cs"/>
          <w:spacing w:val="10"/>
          <w:szCs w:val="28"/>
          <w:rtl/>
        </w:rPr>
        <w:t xml:space="preserve">52. </w:t>
      </w:r>
      <w:r>
        <w:rPr>
          <w:rFonts w:ascii="Century" w:hAnsi="Century" w:cs="FrankRuehl" w:hint="cs"/>
          <w:spacing w:val="10"/>
          <w:szCs w:val="28"/>
          <w:rtl/>
        </w:rPr>
        <w:tab/>
        <w:t xml:space="preserve">על כן, אני מסכימה עם חברתי הנשיאה </w:t>
      </w:r>
      <w:r w:rsidRPr="003D77EE">
        <w:rPr>
          <w:rFonts w:ascii="Century" w:hAnsi="Century" w:cs="Miriam" w:hint="eastAsia"/>
          <w:b/>
          <w:rtl/>
        </w:rPr>
        <w:t>חיות</w:t>
      </w:r>
      <w:r w:rsidRPr="00B62CA0">
        <w:rPr>
          <w:rFonts w:ascii="Century" w:hAnsi="Century" w:cs="FrankRuehl" w:hint="cs"/>
          <w:spacing w:val="10"/>
          <w:szCs w:val="28"/>
          <w:rtl/>
        </w:rPr>
        <w:t xml:space="preserve"> </w:t>
      </w:r>
      <w:r>
        <w:rPr>
          <w:rFonts w:ascii="Century" w:hAnsi="Century" w:cs="FrankRuehl" w:hint="cs"/>
          <w:spacing w:val="10"/>
          <w:szCs w:val="28"/>
          <w:rtl/>
        </w:rPr>
        <w:t xml:space="preserve">כי דין העתירות להתקבל. על רקע טעמיי לקבלת ההחלטה, אני סבורה כי על הצו על-תנאי להפוך למוחלט במובן זה שיוצהר כי מינויו של דרעי לכהונת שר הוא פסול וחסר תוקף. </w:t>
      </w:r>
    </w:p>
    <w:p w14:paraId="058C5F11" w14:textId="77777777" w:rsidR="00437A63" w:rsidRPr="00ED4F52" w:rsidRDefault="00437A63" w:rsidP="00437A63">
      <w:pPr>
        <w:pStyle w:val="af0"/>
        <w:spacing w:line="360" w:lineRule="auto"/>
        <w:ind w:left="0"/>
        <w:jc w:val="both"/>
        <w:rPr>
          <w:rFonts w:ascii="Century" w:hAnsi="Century" w:cs="FrankRuehl"/>
          <w:spacing w:val="10"/>
          <w:szCs w:val="28"/>
          <w:rtl/>
        </w:rPr>
      </w:pPr>
    </w:p>
    <w:p w14:paraId="7527C2F3" w14:textId="77777777" w:rsidR="00EF114E" w:rsidRDefault="00EF114E" w:rsidP="00EF114E">
      <w:pPr>
        <w:pStyle w:val="Ruller41"/>
        <w:rPr>
          <w:rtl/>
        </w:rPr>
      </w:pPr>
      <w:r>
        <w:rPr>
          <w:rtl/>
        </w:rPr>
        <w:tab/>
      </w:r>
      <w:r>
        <w:rPr>
          <w:rtl/>
        </w:rPr>
        <w:tab/>
      </w:r>
      <w:r>
        <w:rPr>
          <w:rtl/>
        </w:rPr>
        <w:tab/>
      </w:r>
      <w:r>
        <w:rPr>
          <w:rtl/>
        </w:rPr>
        <w:tab/>
      </w:r>
      <w:r>
        <w:rPr>
          <w:rtl/>
        </w:rPr>
        <w:tab/>
      </w:r>
      <w:r>
        <w:rPr>
          <w:rtl/>
        </w:rPr>
        <w:tab/>
      </w:r>
      <w:r>
        <w:rPr>
          <w:rtl/>
        </w:rPr>
        <w:tab/>
      </w:r>
      <w:r>
        <w:rPr>
          <w:rtl/>
        </w:rPr>
        <w:tab/>
      </w:r>
      <w:r>
        <w:rPr>
          <w:rtl/>
        </w:rPr>
        <w:tab/>
      </w:r>
      <w:r>
        <w:rPr>
          <w:rFonts w:hint="cs"/>
          <w:rtl/>
        </w:rPr>
        <w:t>ש ו פ ט ת</w:t>
      </w:r>
    </w:p>
    <w:p w14:paraId="116ED1D3" w14:textId="77777777" w:rsidR="00EF114E" w:rsidRDefault="00EF114E" w:rsidP="00EF114E">
      <w:pPr>
        <w:pStyle w:val="Ruller41"/>
        <w:rPr>
          <w:rtl/>
        </w:rPr>
      </w:pPr>
    </w:p>
    <w:p w14:paraId="637454B5" w14:textId="77777777" w:rsidR="00B65D90" w:rsidRDefault="00B65D90" w:rsidP="00D316ED">
      <w:pPr>
        <w:pStyle w:val="BODYVERDICT"/>
        <w:rPr>
          <w:rFonts w:cs="Miriam"/>
          <w:sz w:val="24"/>
          <w:szCs w:val="24"/>
          <w:u w:val="single"/>
          <w:rtl/>
        </w:rPr>
      </w:pPr>
    </w:p>
    <w:p w14:paraId="00E2816B" w14:textId="77777777" w:rsidR="00636252" w:rsidRDefault="00636252" w:rsidP="00D316ED">
      <w:pPr>
        <w:pStyle w:val="BODYVERDICT"/>
        <w:rPr>
          <w:rFonts w:cs="Miriam"/>
          <w:sz w:val="24"/>
          <w:szCs w:val="24"/>
          <w:u w:val="single"/>
          <w:rtl/>
        </w:rPr>
      </w:pPr>
    </w:p>
    <w:p w14:paraId="0C8B9B4C" w14:textId="77777777" w:rsidR="00EF114E" w:rsidRDefault="00EF114E" w:rsidP="00D316ED">
      <w:pPr>
        <w:pStyle w:val="BODYVERDICT"/>
        <w:rPr>
          <w:rFonts w:cs="Miriam"/>
          <w:sz w:val="24"/>
          <w:szCs w:val="24"/>
          <w:u w:val="single"/>
          <w:rtl/>
        </w:rPr>
      </w:pPr>
      <w:r w:rsidRPr="0083330E">
        <w:rPr>
          <w:rFonts w:cs="Miriam"/>
          <w:sz w:val="24"/>
          <w:szCs w:val="24"/>
          <w:u w:val="single"/>
          <w:rtl/>
        </w:rPr>
        <w:t>ה</w:t>
      </w:r>
      <w:r>
        <w:rPr>
          <w:rFonts w:cs="Miriam" w:hint="cs"/>
          <w:sz w:val="24"/>
          <w:szCs w:val="24"/>
          <w:u w:val="single"/>
          <w:rtl/>
        </w:rPr>
        <w:t>משנה לנשיאה ע</w:t>
      </w:r>
      <w:r w:rsidR="00D316ED">
        <w:rPr>
          <w:rFonts w:cs="Miriam" w:hint="cs"/>
          <w:sz w:val="24"/>
          <w:szCs w:val="24"/>
          <w:u w:val="single"/>
          <w:rtl/>
        </w:rPr>
        <w:t>'</w:t>
      </w:r>
      <w:r>
        <w:rPr>
          <w:rFonts w:cs="Miriam" w:hint="cs"/>
          <w:sz w:val="24"/>
          <w:szCs w:val="24"/>
          <w:u w:val="single"/>
          <w:rtl/>
        </w:rPr>
        <w:t xml:space="preserve"> פוגלמן</w:t>
      </w:r>
      <w:r w:rsidRPr="0083330E">
        <w:rPr>
          <w:rFonts w:cs="Miriam"/>
          <w:sz w:val="24"/>
          <w:szCs w:val="24"/>
          <w:u w:val="single"/>
          <w:rtl/>
        </w:rPr>
        <w:t>:</w:t>
      </w:r>
    </w:p>
    <w:p w14:paraId="62D179A4" w14:textId="77777777" w:rsidR="00EF114E" w:rsidRDefault="00EF114E" w:rsidP="00EF114E">
      <w:pPr>
        <w:pStyle w:val="BODYVERDICT"/>
        <w:rPr>
          <w:rFonts w:cs="Miriam"/>
          <w:sz w:val="24"/>
          <w:szCs w:val="24"/>
          <w:u w:val="single"/>
          <w:rtl/>
        </w:rPr>
      </w:pPr>
    </w:p>
    <w:p w14:paraId="1934756A" w14:textId="77777777" w:rsidR="00C21353" w:rsidRDefault="00C21353" w:rsidP="00C21353">
      <w:pPr>
        <w:jc w:val="right"/>
        <w:rPr>
          <w:rFonts w:cs="Miriam"/>
          <w:b/>
          <w:bCs/>
          <w:u w:val="single"/>
        </w:rPr>
      </w:pPr>
    </w:p>
    <w:p w14:paraId="0C8923CD" w14:textId="77777777" w:rsidR="00C21353" w:rsidRPr="00B65D90" w:rsidRDefault="00C21353" w:rsidP="00C21353">
      <w:pPr>
        <w:pStyle w:val="Ruller41"/>
        <w:rPr>
          <w:rFonts w:ascii="Century" w:hAnsi="Century" w:cs="Miriam"/>
          <w:b/>
          <w:spacing w:val="0"/>
          <w:sz w:val="4"/>
          <w:szCs w:val="6"/>
          <w:rtl/>
        </w:rPr>
      </w:pPr>
    </w:p>
    <w:p w14:paraId="042F1D1C" w14:textId="77777777" w:rsidR="00C21353" w:rsidRDefault="00C21353" w:rsidP="00C21353">
      <w:pPr>
        <w:pStyle w:val="Ruller41"/>
        <w:rPr>
          <w:rFonts w:ascii="Century" w:hAnsi="Century"/>
          <w:rtl/>
        </w:rPr>
      </w:pPr>
      <w:r>
        <w:rPr>
          <w:rFonts w:ascii="Century" w:hAnsi="Century"/>
          <w:rtl/>
        </w:rPr>
        <w:tab/>
      </w:r>
      <w:r>
        <w:rPr>
          <w:rFonts w:ascii="Century" w:hAnsi="Century" w:hint="cs"/>
          <w:rtl/>
        </w:rPr>
        <w:t xml:space="preserve">אני מצטרף לחוות דעתה של חברתי הנשיאה </w:t>
      </w:r>
      <w:r w:rsidRPr="00730A9C">
        <w:rPr>
          <w:rFonts w:ascii="Century" w:hAnsi="Century" w:cs="Miriam" w:hint="cs"/>
          <w:b/>
          <w:spacing w:val="0"/>
          <w:szCs w:val="24"/>
          <w:rtl/>
        </w:rPr>
        <w:t>א' חיות</w:t>
      </w:r>
      <w:r>
        <w:rPr>
          <w:rFonts w:ascii="Century" w:hAnsi="Century" w:hint="cs"/>
          <w:rtl/>
        </w:rPr>
        <w:t xml:space="preserve">. אף לשיטתי מינויו של חבר הכנסת אריה דרעי (להלן: </w:t>
      </w:r>
      <w:r>
        <w:rPr>
          <w:rFonts w:ascii="Century" w:hAnsi="Century" w:cs="Miriam" w:hint="cs"/>
          <w:b/>
          <w:spacing w:val="0"/>
          <w:szCs w:val="24"/>
          <w:rtl/>
        </w:rPr>
        <w:t>דרעי</w:t>
      </w:r>
      <w:r>
        <w:rPr>
          <w:rFonts w:ascii="Century" w:hAnsi="Century" w:hint="cs"/>
          <w:rtl/>
        </w:rPr>
        <w:t xml:space="preserve">), שהורשע בדין שלוש פעמים, לכהונה כשר הפנים וכשר הבריאות חורג ממתחם הסבירות ודינו להתבטל. נוכח מסקנתי זו לא ראיתי לטעת מסמרות ביחס לאמור בחוות דעתה של חברתי השופטת </w:t>
      </w:r>
      <w:r>
        <w:rPr>
          <w:rFonts w:ascii="Century" w:hAnsi="Century" w:cs="Miriam" w:hint="cs"/>
          <w:b/>
          <w:spacing w:val="0"/>
          <w:szCs w:val="24"/>
          <w:rtl/>
        </w:rPr>
        <w:t>ד' ברק-ארז</w:t>
      </w:r>
      <w:r>
        <w:rPr>
          <w:rFonts w:ascii="Century" w:hAnsi="Century" w:hint="cs"/>
          <w:rtl/>
        </w:rPr>
        <w:t xml:space="preserve"> בנוגע לקיומה של מניעות משפטית שקמה בעניינו של דרעי. אסתפק אפוא אך בהערות קצרות משלי בכל הנוגע לסוגיות העיקריות שהונחו לפנינו. </w:t>
      </w:r>
    </w:p>
    <w:p w14:paraId="1E7C600A" w14:textId="77777777" w:rsidR="00C21353" w:rsidRDefault="00C21353" w:rsidP="00C21353">
      <w:pPr>
        <w:pStyle w:val="Ruller41"/>
        <w:rPr>
          <w:rFonts w:ascii="Century" w:hAnsi="Century"/>
          <w:rtl/>
        </w:rPr>
      </w:pPr>
    </w:p>
    <w:p w14:paraId="247D2132" w14:textId="77777777" w:rsidR="00636252" w:rsidRDefault="00636252" w:rsidP="00C21353">
      <w:pPr>
        <w:pStyle w:val="Ruller41"/>
        <w:rPr>
          <w:rFonts w:ascii="Century" w:hAnsi="Century"/>
          <w:rtl/>
        </w:rPr>
      </w:pPr>
    </w:p>
    <w:p w14:paraId="6F6F5287" w14:textId="77777777" w:rsidR="00636252" w:rsidRDefault="00636252" w:rsidP="00C21353">
      <w:pPr>
        <w:pStyle w:val="Ruller41"/>
        <w:rPr>
          <w:rFonts w:ascii="Century" w:hAnsi="Century"/>
          <w:rtl/>
        </w:rPr>
      </w:pPr>
    </w:p>
    <w:p w14:paraId="1CBDFD4E" w14:textId="77777777" w:rsidR="00636252" w:rsidRDefault="00636252" w:rsidP="00C21353">
      <w:pPr>
        <w:pStyle w:val="Ruller41"/>
        <w:rPr>
          <w:rFonts w:ascii="Century" w:hAnsi="Century"/>
          <w:rtl/>
        </w:rPr>
      </w:pPr>
    </w:p>
    <w:p w14:paraId="3FAB6158" w14:textId="77777777" w:rsidR="00C21353" w:rsidRPr="00F41F13" w:rsidRDefault="00C21353" w:rsidP="00C21353">
      <w:pPr>
        <w:pStyle w:val="Ruller41"/>
        <w:rPr>
          <w:rFonts w:ascii="Century" w:hAnsi="Century" w:cs="Miriam"/>
          <w:b/>
          <w:spacing w:val="0"/>
          <w:szCs w:val="24"/>
          <w:rtl/>
        </w:rPr>
      </w:pPr>
      <w:r>
        <w:rPr>
          <w:rFonts w:ascii="Century" w:hAnsi="Century" w:cs="Miriam" w:hint="cs"/>
          <w:b/>
          <w:spacing w:val="0"/>
          <w:szCs w:val="24"/>
          <w:rtl/>
        </w:rPr>
        <w:lastRenderedPageBreak/>
        <w:t>סבירות המינוי</w:t>
      </w:r>
    </w:p>
    <w:p w14:paraId="2CC235CD" w14:textId="77777777" w:rsidR="00C21353" w:rsidRDefault="00C21353" w:rsidP="00C21353">
      <w:pPr>
        <w:pStyle w:val="Ruller41"/>
        <w:rPr>
          <w:rFonts w:ascii="Century" w:hAnsi="Century"/>
          <w:rtl/>
        </w:rPr>
      </w:pPr>
    </w:p>
    <w:p w14:paraId="3196C23B" w14:textId="77777777" w:rsidR="00C21353" w:rsidRDefault="00C21353" w:rsidP="00F56D4F">
      <w:pPr>
        <w:pStyle w:val="Ruller4"/>
        <w:numPr>
          <w:ilvl w:val="0"/>
          <w:numId w:val="29"/>
        </w:numPr>
      </w:pPr>
      <w:r>
        <w:rPr>
          <w:rFonts w:hint="cs"/>
          <w:rtl/>
        </w:rPr>
        <w:t xml:space="preserve">בבחינת שאלת מינויו של חבר כנסת בעל עבר פלילי לתפקיד שר צועדים אנו בתלם חרוש בפסיקתנו (ראו והשוו, בין היתר: </w:t>
      </w:r>
      <w:r w:rsidRPr="005D3E90">
        <w:rPr>
          <w:rFonts w:hint="eastAsia"/>
          <w:rtl/>
        </w:rPr>
        <w:t>בג</w:t>
      </w:r>
      <w:r>
        <w:rPr>
          <w:rFonts w:hint="cs"/>
          <w:rtl/>
        </w:rPr>
        <w:t>"</w:t>
      </w:r>
      <w:r w:rsidRPr="005D3E90">
        <w:rPr>
          <w:rFonts w:hint="eastAsia"/>
          <w:rtl/>
        </w:rPr>
        <w:t>ץ</w:t>
      </w:r>
      <w:r w:rsidRPr="005D3E90">
        <w:rPr>
          <w:rtl/>
        </w:rPr>
        <w:t xml:space="preserve"> 3095/15</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התנועה</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למען</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איכות</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השלטון</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בישראל</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נ</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ראש</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ממשלת</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ישראל</w:t>
      </w:r>
      <w:r>
        <w:rPr>
          <w:rFonts w:hint="cs"/>
          <w:rtl/>
        </w:rPr>
        <w:t xml:space="preserve">, פסקה 15 (13.8.2015) (להלן: עניין </w:t>
      </w:r>
      <w:r w:rsidRPr="00F56D4F">
        <w:rPr>
          <w:rFonts w:ascii="Century" w:hAnsi="Century" w:cs="Miriam" w:hint="cs"/>
          <w:b/>
          <w:spacing w:val="0"/>
          <w:sz w:val="22"/>
          <w:szCs w:val="24"/>
          <w:rtl/>
        </w:rPr>
        <w:t>דרעי השני</w:t>
      </w:r>
      <w:r w:rsidRPr="00F56D4F">
        <w:rPr>
          <w:rFonts w:ascii="Century" w:hAnsi="Century" w:hint="cs"/>
          <w:sz w:val="22"/>
          <w:rtl/>
        </w:rPr>
        <w:t>)</w:t>
      </w:r>
      <w:r>
        <w:rPr>
          <w:rFonts w:hint="cs"/>
          <w:rtl/>
        </w:rPr>
        <w:t xml:space="preserve">; בג"ץ 5853/07 </w:t>
      </w:r>
      <w:r w:rsidRPr="00F56D4F">
        <w:rPr>
          <w:rFonts w:ascii="Century" w:hAnsi="Century" w:cs="Miriam" w:hint="cs"/>
          <w:b/>
          <w:spacing w:val="0"/>
          <w:sz w:val="22"/>
          <w:szCs w:val="24"/>
          <w:rtl/>
        </w:rPr>
        <w:t>אמונה תנועת האישה הדתית לאומית נ' ראש הממשלה</w:t>
      </w:r>
      <w:r w:rsidRPr="00F56D4F">
        <w:rPr>
          <w:rFonts w:ascii="Century" w:hAnsi="Century" w:hint="cs"/>
          <w:sz w:val="22"/>
          <w:rtl/>
        </w:rPr>
        <w:t>, פ"ד סב(3) 445, 469-468</w:t>
      </w:r>
      <w:r w:rsidRPr="00F56D4F">
        <w:rPr>
          <w:rFonts w:ascii="Century" w:hAnsi="Century" w:cs="Miriam" w:hint="cs"/>
          <w:b/>
          <w:spacing w:val="0"/>
          <w:sz w:val="22"/>
          <w:szCs w:val="24"/>
          <w:rtl/>
        </w:rPr>
        <w:t xml:space="preserve"> </w:t>
      </w:r>
      <w:r w:rsidRPr="00F56D4F">
        <w:rPr>
          <w:rFonts w:ascii="Century" w:hAnsi="Century" w:hint="cs"/>
          <w:sz w:val="22"/>
          <w:rtl/>
        </w:rPr>
        <w:t>(2007);</w:t>
      </w:r>
      <w:r>
        <w:rPr>
          <w:rFonts w:hint="cs"/>
          <w:rtl/>
        </w:rPr>
        <w:t xml:space="preserve"> </w:t>
      </w:r>
      <w:r w:rsidRPr="00786010">
        <w:rPr>
          <w:rFonts w:hint="eastAsia"/>
          <w:rtl/>
        </w:rPr>
        <w:t>בג</w:t>
      </w:r>
      <w:r w:rsidRPr="00786010">
        <w:rPr>
          <w:rtl/>
        </w:rPr>
        <w:t>"</w:t>
      </w:r>
      <w:r w:rsidRPr="00786010">
        <w:rPr>
          <w:rFonts w:hint="eastAsia"/>
          <w:rtl/>
        </w:rPr>
        <w:t>ץ</w:t>
      </w:r>
      <w:r w:rsidRPr="00786010">
        <w:rPr>
          <w:rtl/>
        </w:rPr>
        <w:t xml:space="preserve"> 6163/92 </w:t>
      </w:r>
      <w:r w:rsidRPr="00F56D4F">
        <w:rPr>
          <w:rFonts w:ascii="Century" w:hAnsi="Century" w:cs="Miriam" w:hint="eastAsia"/>
          <w:b/>
          <w:spacing w:val="0"/>
          <w:sz w:val="22"/>
          <w:szCs w:val="24"/>
          <w:rtl/>
        </w:rPr>
        <w:t>אייזנברג</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נ</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שר</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הבינוי</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והשיכון</w:t>
      </w:r>
      <w:r w:rsidRPr="00786010">
        <w:rPr>
          <w:rtl/>
        </w:rPr>
        <w:t xml:space="preserve">, </w:t>
      </w:r>
      <w:r w:rsidRPr="00786010">
        <w:rPr>
          <w:rFonts w:hint="eastAsia"/>
          <w:rtl/>
        </w:rPr>
        <w:t>פ</w:t>
      </w:r>
      <w:r w:rsidRPr="00786010">
        <w:rPr>
          <w:rtl/>
        </w:rPr>
        <w:t>"</w:t>
      </w:r>
      <w:r w:rsidRPr="00786010">
        <w:rPr>
          <w:rFonts w:hint="eastAsia"/>
          <w:rtl/>
        </w:rPr>
        <w:t>ד</w:t>
      </w:r>
      <w:r w:rsidRPr="00786010">
        <w:rPr>
          <w:rtl/>
        </w:rPr>
        <w:t xml:space="preserve"> </w:t>
      </w:r>
      <w:r w:rsidRPr="00786010">
        <w:rPr>
          <w:rFonts w:hint="eastAsia"/>
          <w:rtl/>
        </w:rPr>
        <w:t>מז</w:t>
      </w:r>
      <w:r w:rsidRPr="00786010">
        <w:rPr>
          <w:rtl/>
        </w:rPr>
        <w:t>(2) 229, 257-256 (1993) (</w:t>
      </w:r>
      <w:r w:rsidRPr="00786010">
        <w:rPr>
          <w:rFonts w:hint="eastAsia"/>
          <w:rtl/>
        </w:rPr>
        <w:t>להלן</w:t>
      </w:r>
      <w:r w:rsidRPr="00786010">
        <w:rPr>
          <w:rtl/>
        </w:rPr>
        <w:t xml:space="preserve">: </w:t>
      </w:r>
      <w:r w:rsidRPr="00786010">
        <w:rPr>
          <w:rFonts w:hint="eastAsia"/>
          <w:rtl/>
        </w:rPr>
        <w:t>עניין</w:t>
      </w:r>
      <w:r w:rsidRPr="00786010">
        <w:rPr>
          <w:rtl/>
        </w:rPr>
        <w:t xml:space="preserve"> </w:t>
      </w:r>
      <w:r w:rsidRPr="00F56D4F">
        <w:rPr>
          <w:rFonts w:ascii="Century" w:hAnsi="Century" w:cs="Miriam" w:hint="eastAsia"/>
          <w:b/>
          <w:spacing w:val="0"/>
          <w:sz w:val="22"/>
          <w:szCs w:val="24"/>
          <w:rtl/>
        </w:rPr>
        <w:t>אייזנברג</w:t>
      </w:r>
      <w:r w:rsidRPr="00786010">
        <w:rPr>
          <w:rtl/>
        </w:rPr>
        <w:t>)</w:t>
      </w:r>
      <w:r>
        <w:rPr>
          <w:rFonts w:hint="cs"/>
          <w:rtl/>
        </w:rPr>
        <w:t>). למותר הוא לחזור על הדברים, ודי אם אציין כי כפי שנקבע פעמים רבות, מינויו של אדם לתפקיד ציבורי אינו מתמצה אך בהתקיימותם של תנאי הכשירות הפורמליים, אלא גם בהפעלת שיקול דעת סביר בבחינת תקינות המינוי. במסגרת בחינה זו על הגורם הממנה להידרש, בין היתר, לשאלה אם המינוי מתיישב עם "</w:t>
      </w:r>
      <w:r w:rsidRPr="00F56D4F">
        <w:rPr>
          <w:rFonts w:hint="cs"/>
          <w:sz w:val="28"/>
          <w:rtl/>
        </w:rPr>
        <w:t>עקרונות של הגינות, טוהר מידות ואמון הציבור ברשויות השלטון</w:t>
      </w:r>
      <w:r>
        <w:rPr>
          <w:rFonts w:hint="cs"/>
          <w:rtl/>
        </w:rPr>
        <w:t>" (</w:t>
      </w:r>
      <w:r w:rsidRPr="00DC1CBE">
        <w:rPr>
          <w:rFonts w:hint="eastAsia"/>
          <w:rtl/>
        </w:rPr>
        <w:t>בג</w:t>
      </w:r>
      <w:r>
        <w:rPr>
          <w:rFonts w:hint="cs"/>
          <w:rtl/>
        </w:rPr>
        <w:t>"</w:t>
      </w:r>
      <w:r w:rsidRPr="00DC1CBE">
        <w:rPr>
          <w:rFonts w:hint="eastAsia"/>
          <w:rtl/>
        </w:rPr>
        <w:t>ץ</w:t>
      </w:r>
      <w:r w:rsidRPr="00DC1CBE">
        <w:rPr>
          <w:rtl/>
        </w:rPr>
        <w:t xml:space="preserve"> 232/16 </w:t>
      </w:r>
      <w:r w:rsidRPr="00F56D4F">
        <w:rPr>
          <w:rFonts w:ascii="Century" w:hAnsi="Century" w:cs="Miriam" w:hint="eastAsia"/>
          <w:b/>
          <w:spacing w:val="0"/>
          <w:sz w:val="22"/>
          <w:szCs w:val="24"/>
          <w:rtl/>
        </w:rPr>
        <w:t>התנועה</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למען</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איכות</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השלטון</w:t>
      </w:r>
      <w:r w:rsidRPr="00F56D4F">
        <w:rPr>
          <w:rFonts w:ascii="Century" w:hAnsi="Century" w:cs="Miriam"/>
          <w:b/>
          <w:spacing w:val="0"/>
          <w:sz w:val="22"/>
          <w:szCs w:val="24"/>
          <w:rtl/>
        </w:rPr>
        <w:t xml:space="preserve"> </w:t>
      </w:r>
      <w:r w:rsidRPr="00F56D4F">
        <w:rPr>
          <w:rFonts w:ascii="Century" w:hAnsi="Century" w:cs="Miriam" w:hint="eastAsia"/>
          <w:b/>
          <w:spacing w:val="0"/>
          <w:sz w:val="22"/>
          <w:szCs w:val="24"/>
          <w:rtl/>
        </w:rPr>
        <w:t>בישראל</w:t>
      </w:r>
      <w:r w:rsidRPr="00F56D4F">
        <w:rPr>
          <w:rFonts w:ascii="Century" w:hAnsi="Century" w:cs="Miriam" w:hint="cs"/>
          <w:b/>
          <w:spacing w:val="0"/>
          <w:sz w:val="22"/>
          <w:szCs w:val="24"/>
          <w:rtl/>
        </w:rPr>
        <w:t xml:space="preserve"> נ' ראש ממשלת ישראל</w:t>
      </w:r>
      <w:r>
        <w:rPr>
          <w:rFonts w:hint="cs"/>
          <w:rtl/>
        </w:rPr>
        <w:t xml:space="preserve">, פסקה 8 לפסק הדין של השופט </w:t>
      </w:r>
      <w:r w:rsidRPr="00F56D4F">
        <w:rPr>
          <w:rFonts w:ascii="Century" w:hAnsi="Century" w:cs="Miriam" w:hint="cs"/>
          <w:b/>
          <w:spacing w:val="0"/>
          <w:sz w:val="22"/>
          <w:szCs w:val="24"/>
          <w:rtl/>
        </w:rPr>
        <w:t>ס' ג'ובראן</w:t>
      </w:r>
      <w:r>
        <w:rPr>
          <w:rFonts w:hint="cs"/>
          <w:rtl/>
        </w:rPr>
        <w:t xml:space="preserve"> (8.5.2016) (להלן: עניין </w:t>
      </w:r>
      <w:r w:rsidRPr="00F56D4F">
        <w:rPr>
          <w:rFonts w:ascii="Century" w:hAnsi="Century" w:cs="Miriam" w:hint="cs"/>
          <w:b/>
          <w:spacing w:val="0"/>
          <w:sz w:val="22"/>
          <w:szCs w:val="24"/>
          <w:rtl/>
        </w:rPr>
        <w:t>דרעי השלישי</w:t>
      </w:r>
      <w:r>
        <w:rPr>
          <w:rFonts w:hint="cs"/>
          <w:rtl/>
        </w:rPr>
        <w:t xml:space="preserve">)). באופן קונקרטי, בענייננו שלנו, נדרשים אנו לבחון את שיקול דעתו של הגורם הממנה </w:t>
      </w:r>
      <w:r>
        <w:rPr>
          <w:rtl/>
        </w:rPr>
        <w:t>–</w:t>
      </w:r>
      <w:r>
        <w:rPr>
          <w:rFonts w:hint="cs"/>
          <w:rtl/>
        </w:rPr>
        <w:t xml:space="preserve"> הוא ראש הממשלה </w:t>
      </w:r>
      <w:r>
        <w:rPr>
          <w:rtl/>
        </w:rPr>
        <w:t>–</w:t>
      </w:r>
      <w:r>
        <w:rPr>
          <w:rFonts w:hint="cs"/>
          <w:rtl/>
        </w:rPr>
        <w:t xml:space="preserve"> ואת המשקל שניתן לעברו הפלילי של המועמד במסגרת הפעלתו של שיקול דעת זה.</w:t>
      </w:r>
    </w:p>
    <w:p w14:paraId="7FA61338" w14:textId="77777777" w:rsidR="00C21353" w:rsidRDefault="00C21353" w:rsidP="00C21353">
      <w:pPr>
        <w:pStyle w:val="Ruller4"/>
        <w:numPr>
          <w:ilvl w:val="0"/>
          <w:numId w:val="0"/>
        </w:numPr>
      </w:pPr>
    </w:p>
    <w:p w14:paraId="213C379E" w14:textId="77777777" w:rsidR="00C21353" w:rsidRDefault="00C21353" w:rsidP="00C21353">
      <w:pPr>
        <w:pStyle w:val="Ruller4"/>
      </w:pPr>
      <w:r>
        <w:rPr>
          <w:rFonts w:hint="cs"/>
          <w:rtl/>
        </w:rPr>
        <w:t xml:space="preserve">בהקשר זה יש לחזור על מושכלות יסוד של הביקורת השיפוטית: בבחינת ההחלטה אם להעביר או לא להעביר שר מכהונתו, בית המשפט לא בוחן האם החלטת ראש הממשלה היא טובה וראויה. בית המשפט לא ייכנס בנעליו של ראש הממשלה, ויתערב בהחלטתו רק מקום שבו היא חורגת ממתחם הסבירות (בג"ץ 389/80 </w:t>
      </w:r>
      <w:r w:rsidRPr="007D5AC0">
        <w:rPr>
          <w:rFonts w:ascii="Century" w:hAnsi="Century" w:cs="Miriam" w:hint="cs"/>
          <w:b/>
          <w:spacing w:val="0"/>
          <w:sz w:val="22"/>
          <w:szCs w:val="24"/>
          <w:rtl/>
        </w:rPr>
        <w:t>דפי זהב בע"מ נ' רשות השידור</w:t>
      </w:r>
      <w:r>
        <w:rPr>
          <w:rFonts w:ascii="Century" w:hAnsi="Century" w:hint="cs"/>
          <w:sz w:val="22"/>
          <w:rtl/>
        </w:rPr>
        <w:t>, פ"ד לה(1) 421</w:t>
      </w:r>
      <w:r w:rsidRPr="007D5AC0">
        <w:rPr>
          <w:rFonts w:ascii="Century" w:hAnsi="Century" w:hint="cs"/>
          <w:sz w:val="22"/>
          <w:rtl/>
        </w:rPr>
        <w:t xml:space="preserve"> (1980)</w:t>
      </w:r>
      <w:r>
        <w:rPr>
          <w:rFonts w:hint="cs"/>
          <w:rtl/>
        </w:rPr>
        <w:t xml:space="preserve">; וראו למשל מהעת האחרונה: בג"ץ 6654/22 </w:t>
      </w:r>
      <w:r w:rsidRPr="007D5AC0">
        <w:rPr>
          <w:rFonts w:ascii="Century" w:hAnsi="Century" w:cs="Miriam" w:hint="cs"/>
          <w:b/>
          <w:spacing w:val="0"/>
          <w:sz w:val="22"/>
          <w:szCs w:val="24"/>
          <w:rtl/>
        </w:rPr>
        <w:t>פורום קהלת נ' ראש הממשלה</w:t>
      </w:r>
      <w:r w:rsidRPr="007D5AC0">
        <w:rPr>
          <w:rFonts w:ascii="Century" w:hAnsi="Century" w:hint="cs"/>
          <w:sz w:val="22"/>
          <w:rtl/>
        </w:rPr>
        <w:t xml:space="preserve">, פסק הדין של הנשיאה </w:t>
      </w:r>
      <w:r w:rsidRPr="007D5AC0">
        <w:rPr>
          <w:rFonts w:ascii="Century" w:hAnsi="Century" w:cs="Miriam" w:hint="cs"/>
          <w:b/>
          <w:spacing w:val="0"/>
          <w:sz w:val="22"/>
          <w:szCs w:val="24"/>
          <w:rtl/>
        </w:rPr>
        <w:t xml:space="preserve">א' חיות </w:t>
      </w:r>
      <w:r w:rsidRPr="007D5AC0">
        <w:rPr>
          <w:rFonts w:ascii="Century" w:hAnsi="Century" w:hint="cs"/>
          <w:sz w:val="22"/>
          <w:rtl/>
        </w:rPr>
        <w:t>ופסק דיני בשאלה השלישית (13.12.2022);</w:t>
      </w:r>
      <w:r>
        <w:rPr>
          <w:rFonts w:hint="cs"/>
          <w:rtl/>
        </w:rPr>
        <w:t xml:space="preserve"> בג"ץ 5782/21 </w:t>
      </w:r>
      <w:r w:rsidRPr="007D5AC0">
        <w:rPr>
          <w:rFonts w:ascii="Century" w:hAnsi="Century" w:cs="Miriam" w:hint="cs"/>
          <w:b/>
          <w:spacing w:val="0"/>
          <w:sz w:val="22"/>
          <w:szCs w:val="24"/>
          <w:rtl/>
        </w:rPr>
        <w:t>זילבר נ' שר האוצר</w:t>
      </w:r>
      <w:r w:rsidRPr="007D5AC0">
        <w:rPr>
          <w:rFonts w:ascii="Century" w:hAnsi="Century" w:hint="cs"/>
          <w:sz w:val="22"/>
          <w:rtl/>
        </w:rPr>
        <w:t xml:space="preserve">, פסקה 38 לפסק הדין של השופט </w:t>
      </w:r>
      <w:r w:rsidRPr="007D5AC0">
        <w:rPr>
          <w:rFonts w:ascii="Century" w:hAnsi="Century" w:cs="Miriam" w:hint="cs"/>
          <w:b/>
          <w:spacing w:val="0"/>
          <w:sz w:val="22"/>
          <w:szCs w:val="24"/>
          <w:rtl/>
        </w:rPr>
        <w:t>א' שטיין</w:t>
      </w:r>
      <w:r w:rsidRPr="007D5AC0">
        <w:rPr>
          <w:rFonts w:ascii="Century" w:hAnsi="Century" w:hint="cs"/>
          <w:sz w:val="22"/>
          <w:rtl/>
        </w:rPr>
        <w:t xml:space="preserve"> </w:t>
      </w:r>
      <w:r>
        <w:rPr>
          <w:rFonts w:ascii="Century" w:hAnsi="Century" w:hint="cs"/>
          <w:sz w:val="22"/>
          <w:rtl/>
        </w:rPr>
        <w:t>ו</w:t>
      </w:r>
      <w:r w:rsidRPr="007D5AC0">
        <w:rPr>
          <w:rFonts w:ascii="Century" w:hAnsi="Century" w:hint="cs"/>
          <w:sz w:val="22"/>
          <w:rtl/>
        </w:rPr>
        <w:t>פסקה 3 לפסק דיני (12.1.2022)</w:t>
      </w:r>
      <w:r>
        <w:rPr>
          <w:rFonts w:hint="cs"/>
          <w:rtl/>
        </w:rPr>
        <w:t xml:space="preserve">). הביקורת השיפוטית מופעלת אפוא על שיקול הדעת של הגורם המינהלי-הממנה בהפעלת הסמכות המינהלית למנות שר או להעבירו מתפקידו (וזאת בשונה מעניין </w:t>
      </w:r>
      <w:r>
        <w:rPr>
          <w:rFonts w:ascii="Century" w:hAnsi="Century" w:cs="Miriam" w:hint="cs"/>
          <w:b/>
          <w:spacing w:val="0"/>
          <w:sz w:val="22"/>
          <w:szCs w:val="24"/>
          <w:rtl/>
        </w:rPr>
        <w:t xml:space="preserve">הטלת המנדט </w:t>
      </w:r>
      <w:r>
        <w:rPr>
          <w:rFonts w:ascii="Century" w:hAnsi="Century" w:hint="cs"/>
          <w:sz w:val="22"/>
          <w:rtl/>
        </w:rPr>
        <w:t xml:space="preserve">שבמסגרתו ביקשו העותרים שנעביר תחת שבט הביקורת את שיקול דעתם של חברי הכנסת, שם דפוס הביקורת השיפוטית שונה בתכלית; בג"ץ 2592/20 </w:t>
      </w:r>
      <w:r>
        <w:rPr>
          <w:rFonts w:ascii="Century" w:hAnsi="Century" w:cs="Miriam" w:hint="cs"/>
          <w:b/>
          <w:spacing w:val="0"/>
          <w:sz w:val="22"/>
          <w:szCs w:val="24"/>
          <w:rtl/>
        </w:rPr>
        <w:t xml:space="preserve">התנועה למען איכות השלטון בישראל נ' היועץ המשפטי </w:t>
      </w:r>
      <w:r w:rsidRPr="0032552A">
        <w:rPr>
          <w:rFonts w:ascii="Century" w:hAnsi="Century" w:cs="Miriam" w:hint="cs"/>
          <w:b/>
          <w:spacing w:val="0"/>
          <w:sz w:val="22"/>
          <w:szCs w:val="24"/>
          <w:rtl/>
        </w:rPr>
        <w:t>לממשל</w:t>
      </w:r>
      <w:r w:rsidRPr="00CF6BF8">
        <w:rPr>
          <w:rFonts w:ascii="Century" w:hAnsi="Century" w:cs="Miriam" w:hint="cs"/>
          <w:b/>
          <w:spacing w:val="0"/>
          <w:sz w:val="22"/>
          <w:szCs w:val="24"/>
          <w:rtl/>
        </w:rPr>
        <w:t>ה</w:t>
      </w:r>
      <w:r w:rsidRPr="0032552A">
        <w:rPr>
          <w:rFonts w:ascii="Century" w:hAnsi="Century" w:hint="cs"/>
          <w:sz w:val="22"/>
          <w:rtl/>
        </w:rPr>
        <w:t xml:space="preserve"> </w:t>
      </w:r>
      <w:r>
        <w:rPr>
          <w:rFonts w:ascii="Century" w:hAnsi="Century" w:hint="cs"/>
          <w:sz w:val="22"/>
          <w:rtl/>
        </w:rPr>
        <w:t xml:space="preserve">(6.5.2020, 27.5.2020); כן ראו פסקה 53 לחוות דעתה של הנשיאה). </w:t>
      </w:r>
      <w:r>
        <w:rPr>
          <w:rFonts w:hint="cs"/>
          <w:rtl/>
        </w:rPr>
        <w:t>במסגרת העברתה של החלטת ראש הממשלה תחת שבט הביקורת השיפוטית, ייתן בית המשפט משקל לכך שלא כל התנהגות פלילית או לא אתית מצדו של שר תהפוך את המשך כהונתו לבלתי סבירה. כפי שכבר צוין בעבר, גם בהקשר זה:</w:t>
      </w:r>
    </w:p>
    <w:p w14:paraId="1E2E6E02" w14:textId="77777777" w:rsidR="00C21353" w:rsidRPr="007D5AC0" w:rsidRDefault="00C21353" w:rsidP="00C21353">
      <w:pPr>
        <w:pStyle w:val="Ruller4"/>
        <w:numPr>
          <w:ilvl w:val="0"/>
          <w:numId w:val="0"/>
        </w:numPr>
        <w:rPr>
          <w:rtl/>
        </w:rPr>
      </w:pPr>
    </w:p>
    <w:p w14:paraId="763F12BF" w14:textId="77777777" w:rsidR="00C21353" w:rsidRPr="007D5AC0" w:rsidRDefault="00C21353" w:rsidP="00C21353">
      <w:pPr>
        <w:pStyle w:val="Ruller5"/>
        <w:rPr>
          <w:rtl/>
        </w:rPr>
      </w:pPr>
      <w:r>
        <w:rPr>
          <w:rFonts w:hint="cs"/>
          <w:rtl/>
        </w:rPr>
        <w:lastRenderedPageBreak/>
        <w:t>"על בית המשפט לתת דעתו, בין השאר, גם למציאות החיים, הגורמת לכך שלעתים הציבור מבקש להיות מיוצג על-ידי אדם שאינו מופת להליכות נאותות" (</w:t>
      </w:r>
      <w:proofErr w:type="spellStart"/>
      <w:r>
        <w:rPr>
          <w:rFonts w:hint="cs"/>
          <w:rtl/>
        </w:rPr>
        <w:t>עש"ם</w:t>
      </w:r>
      <w:proofErr w:type="spellEnd"/>
      <w:r>
        <w:rPr>
          <w:rFonts w:hint="cs"/>
          <w:rtl/>
        </w:rPr>
        <w:t xml:space="preserve"> 4123/95 </w:t>
      </w:r>
      <w:r>
        <w:rPr>
          <w:rFonts w:ascii="Century" w:hAnsi="Century" w:cs="Miriam" w:hint="cs"/>
          <w:b/>
          <w:spacing w:val="0"/>
          <w:szCs w:val="24"/>
          <w:rtl/>
        </w:rPr>
        <w:t xml:space="preserve">אור נ' מדינת ישראל </w:t>
      </w:r>
      <w:r>
        <w:rPr>
          <w:rFonts w:ascii="Century" w:hAnsi="Century" w:cs="Miriam"/>
          <w:b/>
          <w:spacing w:val="0"/>
          <w:szCs w:val="24"/>
          <w:rtl/>
        </w:rPr>
        <w:t>–</w:t>
      </w:r>
      <w:r>
        <w:rPr>
          <w:rFonts w:ascii="Century" w:hAnsi="Century" w:cs="Miriam" w:hint="cs"/>
          <w:b/>
          <w:spacing w:val="0"/>
          <w:szCs w:val="24"/>
          <w:rtl/>
        </w:rPr>
        <w:t xml:space="preserve"> נציב שירות המדינה</w:t>
      </w:r>
      <w:r>
        <w:rPr>
          <w:rFonts w:ascii="Century" w:hAnsi="Century" w:hint="cs"/>
          <w:rtl/>
        </w:rPr>
        <w:t>, פ"ד מט(5) 184, 190 (1996)</w:t>
      </w:r>
      <w:r>
        <w:rPr>
          <w:rFonts w:hint="cs"/>
          <w:rtl/>
        </w:rPr>
        <w:t xml:space="preserve">; וראו: </w:t>
      </w:r>
      <w:r w:rsidRPr="007D5AC0">
        <w:rPr>
          <w:rFonts w:hint="eastAsia"/>
          <w:rtl/>
        </w:rPr>
        <w:t>בג</w:t>
      </w:r>
      <w:r w:rsidRPr="007D5AC0">
        <w:rPr>
          <w:rtl/>
        </w:rPr>
        <w:t>"</w:t>
      </w:r>
      <w:r w:rsidRPr="007D5AC0">
        <w:rPr>
          <w:rFonts w:hint="eastAsia"/>
          <w:rtl/>
        </w:rPr>
        <w:t>ץ</w:t>
      </w:r>
      <w:r w:rsidRPr="007D5AC0">
        <w:rPr>
          <w:rtl/>
        </w:rPr>
        <w:t xml:space="preserve"> 2533/97 </w:t>
      </w:r>
      <w:r w:rsidRPr="007D5AC0">
        <w:rPr>
          <w:rFonts w:ascii="Century" w:hAnsi="Century" w:cs="Miriam" w:hint="eastAsia"/>
          <w:b/>
          <w:spacing w:val="0"/>
          <w:szCs w:val="24"/>
          <w:rtl/>
        </w:rPr>
        <w:t>התנועה</w:t>
      </w:r>
      <w:r w:rsidRPr="007D5AC0">
        <w:rPr>
          <w:rFonts w:ascii="Century" w:hAnsi="Century" w:cs="Miriam"/>
          <w:b/>
          <w:spacing w:val="0"/>
          <w:szCs w:val="24"/>
          <w:rtl/>
        </w:rPr>
        <w:t xml:space="preserve"> </w:t>
      </w:r>
      <w:r w:rsidRPr="007D5AC0">
        <w:rPr>
          <w:rFonts w:ascii="Century" w:hAnsi="Century" w:cs="Miriam" w:hint="eastAsia"/>
          <w:b/>
          <w:spacing w:val="0"/>
          <w:szCs w:val="24"/>
          <w:rtl/>
        </w:rPr>
        <w:t>למען</w:t>
      </w:r>
      <w:r w:rsidRPr="007D5AC0">
        <w:rPr>
          <w:rFonts w:ascii="Century" w:hAnsi="Century" w:cs="Miriam"/>
          <w:b/>
          <w:spacing w:val="0"/>
          <w:szCs w:val="24"/>
          <w:rtl/>
        </w:rPr>
        <w:t xml:space="preserve"> </w:t>
      </w:r>
      <w:r w:rsidRPr="007D5AC0">
        <w:rPr>
          <w:rFonts w:ascii="Century" w:hAnsi="Century" w:cs="Miriam" w:hint="eastAsia"/>
          <w:b/>
          <w:spacing w:val="0"/>
          <w:szCs w:val="24"/>
          <w:rtl/>
        </w:rPr>
        <w:t>איכות</w:t>
      </w:r>
      <w:r w:rsidRPr="007D5AC0">
        <w:rPr>
          <w:rFonts w:ascii="Century" w:hAnsi="Century" w:cs="Miriam"/>
          <w:b/>
          <w:spacing w:val="0"/>
          <w:szCs w:val="24"/>
          <w:rtl/>
        </w:rPr>
        <w:t xml:space="preserve"> </w:t>
      </w:r>
      <w:r w:rsidRPr="007D5AC0">
        <w:rPr>
          <w:rFonts w:ascii="Century" w:hAnsi="Century" w:cs="Miriam" w:hint="eastAsia"/>
          <w:b/>
          <w:spacing w:val="0"/>
          <w:szCs w:val="24"/>
          <w:rtl/>
        </w:rPr>
        <w:t>השלטון</w:t>
      </w:r>
      <w:r w:rsidRPr="007D5AC0">
        <w:rPr>
          <w:rFonts w:ascii="Century" w:hAnsi="Century" w:cs="Miriam"/>
          <w:b/>
          <w:spacing w:val="0"/>
          <w:szCs w:val="24"/>
          <w:rtl/>
        </w:rPr>
        <w:t xml:space="preserve"> </w:t>
      </w:r>
      <w:r w:rsidRPr="007D5AC0">
        <w:rPr>
          <w:rFonts w:ascii="Century" w:hAnsi="Century" w:cs="Miriam" w:hint="eastAsia"/>
          <w:b/>
          <w:spacing w:val="0"/>
          <w:szCs w:val="24"/>
          <w:rtl/>
        </w:rPr>
        <w:t>בישראל</w:t>
      </w:r>
      <w:r w:rsidRPr="007D5AC0">
        <w:rPr>
          <w:rFonts w:ascii="Century" w:hAnsi="Century" w:cs="Miriam"/>
          <w:b/>
          <w:spacing w:val="0"/>
          <w:szCs w:val="24"/>
          <w:rtl/>
        </w:rPr>
        <w:t xml:space="preserve"> </w:t>
      </w:r>
      <w:r w:rsidRPr="007D5AC0">
        <w:rPr>
          <w:rFonts w:ascii="Century" w:hAnsi="Century" w:cs="Miriam" w:hint="eastAsia"/>
          <w:b/>
          <w:spacing w:val="0"/>
          <w:szCs w:val="24"/>
          <w:rtl/>
        </w:rPr>
        <w:t>נ</w:t>
      </w:r>
      <w:r w:rsidRPr="007D5AC0">
        <w:rPr>
          <w:rFonts w:ascii="Century" w:hAnsi="Century" w:cs="Miriam"/>
          <w:b/>
          <w:spacing w:val="0"/>
          <w:szCs w:val="24"/>
          <w:rtl/>
        </w:rPr>
        <w:t xml:space="preserve">' </w:t>
      </w:r>
      <w:r w:rsidRPr="007D5AC0">
        <w:rPr>
          <w:rFonts w:ascii="Century" w:hAnsi="Century" w:cs="Miriam" w:hint="eastAsia"/>
          <w:b/>
          <w:spacing w:val="0"/>
          <w:szCs w:val="24"/>
          <w:rtl/>
        </w:rPr>
        <w:t>ממשלת</w:t>
      </w:r>
      <w:r w:rsidRPr="007D5AC0">
        <w:rPr>
          <w:rFonts w:ascii="Century" w:hAnsi="Century" w:cs="Miriam"/>
          <w:b/>
          <w:spacing w:val="0"/>
          <w:szCs w:val="24"/>
          <w:rtl/>
        </w:rPr>
        <w:t xml:space="preserve"> </w:t>
      </w:r>
      <w:r w:rsidRPr="007D5AC0">
        <w:rPr>
          <w:rFonts w:ascii="Century" w:hAnsi="Century" w:cs="Miriam" w:hint="eastAsia"/>
          <w:b/>
          <w:spacing w:val="0"/>
          <w:szCs w:val="24"/>
          <w:rtl/>
        </w:rPr>
        <w:t>ישראל</w:t>
      </w:r>
      <w:r w:rsidRPr="007D5AC0">
        <w:rPr>
          <w:rtl/>
        </w:rPr>
        <w:t xml:space="preserve">, </w:t>
      </w:r>
      <w:r w:rsidRPr="007D5AC0">
        <w:rPr>
          <w:rFonts w:hint="eastAsia"/>
          <w:rtl/>
        </w:rPr>
        <w:t>פ</w:t>
      </w:r>
      <w:r w:rsidRPr="007D5AC0">
        <w:rPr>
          <w:rtl/>
        </w:rPr>
        <w:t>"</w:t>
      </w:r>
      <w:r w:rsidRPr="007D5AC0">
        <w:rPr>
          <w:rFonts w:hint="eastAsia"/>
          <w:rtl/>
        </w:rPr>
        <w:t>ד</w:t>
      </w:r>
      <w:r w:rsidRPr="007D5AC0">
        <w:rPr>
          <w:rtl/>
        </w:rPr>
        <w:t xml:space="preserve"> </w:t>
      </w:r>
      <w:r w:rsidRPr="007D5AC0">
        <w:rPr>
          <w:rFonts w:hint="eastAsia"/>
          <w:rtl/>
        </w:rPr>
        <w:t>נא</w:t>
      </w:r>
      <w:r w:rsidRPr="007D5AC0">
        <w:rPr>
          <w:rtl/>
        </w:rPr>
        <w:t xml:space="preserve">(3) 46, </w:t>
      </w:r>
      <w:r>
        <w:rPr>
          <w:rFonts w:hint="cs"/>
          <w:rtl/>
        </w:rPr>
        <w:t>62</w:t>
      </w:r>
      <w:r w:rsidRPr="007D5AC0">
        <w:rPr>
          <w:rtl/>
        </w:rPr>
        <w:t xml:space="preserve"> (1997)</w:t>
      </w:r>
      <w:r>
        <w:rPr>
          <w:rFonts w:hint="cs"/>
          <w:rtl/>
        </w:rPr>
        <w:t xml:space="preserve">). </w:t>
      </w:r>
    </w:p>
    <w:p w14:paraId="6CBF2949" w14:textId="77777777" w:rsidR="00C21353" w:rsidRPr="007D5AC0" w:rsidRDefault="00C21353" w:rsidP="00C21353">
      <w:pPr>
        <w:pStyle w:val="Ruller41"/>
      </w:pPr>
    </w:p>
    <w:p w14:paraId="7C9FD81E" w14:textId="77777777" w:rsidR="00C21353" w:rsidRDefault="00C21353" w:rsidP="00C21353">
      <w:pPr>
        <w:pStyle w:val="Ruller4"/>
        <w:rPr>
          <w:rtl/>
        </w:rPr>
      </w:pPr>
      <w:r>
        <w:rPr>
          <w:rFonts w:hint="cs"/>
          <w:rtl/>
        </w:rPr>
        <w:t xml:space="preserve">בעניינו האישי של דרעי, נקודת המוצא לדיון נעוצה בפסקי הדין הקודמים שדנו בשאלה זו בדיוק. בעניין </w:t>
      </w:r>
      <w:r>
        <w:rPr>
          <w:rFonts w:ascii="Century" w:hAnsi="Century" w:cs="Miriam" w:hint="cs"/>
          <w:b/>
          <w:spacing w:val="0"/>
          <w:sz w:val="22"/>
          <w:szCs w:val="24"/>
          <w:rtl/>
        </w:rPr>
        <w:t xml:space="preserve">דרעי השני </w:t>
      </w:r>
      <w:r>
        <w:rPr>
          <w:rFonts w:ascii="Century" w:hAnsi="Century" w:hint="cs"/>
          <w:sz w:val="22"/>
          <w:rtl/>
        </w:rPr>
        <w:t xml:space="preserve">קבע בית המשפט </w:t>
      </w:r>
      <w:r>
        <w:rPr>
          <w:rFonts w:hint="cs"/>
          <w:rtl/>
        </w:rPr>
        <w:t xml:space="preserve">כי מינויו של דרעי לשר </w:t>
      </w:r>
      <w:r w:rsidRPr="00860C57">
        <w:rPr>
          <w:rFonts w:hint="eastAsia"/>
          <w:rtl/>
        </w:rPr>
        <w:t>הכלכלה</w:t>
      </w:r>
      <w:r w:rsidRPr="00860C57">
        <w:rPr>
          <w:rtl/>
        </w:rPr>
        <w:t xml:space="preserve"> </w:t>
      </w:r>
      <w:r w:rsidRPr="00860C57">
        <w:rPr>
          <w:rFonts w:hint="eastAsia"/>
          <w:rtl/>
        </w:rPr>
        <w:t>ופיתוח</w:t>
      </w:r>
      <w:r w:rsidRPr="00860C57">
        <w:rPr>
          <w:rtl/>
        </w:rPr>
        <w:t xml:space="preserve"> </w:t>
      </w:r>
      <w:r w:rsidRPr="00860C57">
        <w:rPr>
          <w:rFonts w:hint="eastAsia"/>
          <w:rtl/>
        </w:rPr>
        <w:t>הנגב</w:t>
      </w:r>
      <w:r w:rsidRPr="00860C57">
        <w:rPr>
          <w:rtl/>
        </w:rPr>
        <w:t xml:space="preserve"> </w:t>
      </w:r>
      <w:r w:rsidRPr="00860C57">
        <w:rPr>
          <w:rFonts w:hint="eastAsia"/>
          <w:rtl/>
        </w:rPr>
        <w:t>והגליל</w:t>
      </w:r>
      <w:r>
        <w:rPr>
          <w:rFonts w:hint="cs"/>
          <w:rtl/>
        </w:rPr>
        <w:t xml:space="preserve"> מצוי "על גבול מתחם הסבירות" (עניין </w:t>
      </w:r>
      <w:r>
        <w:rPr>
          <w:rFonts w:ascii="Century" w:hAnsi="Century" w:cs="Miriam" w:hint="cs"/>
          <w:b/>
          <w:spacing w:val="0"/>
          <w:sz w:val="22"/>
          <w:szCs w:val="24"/>
          <w:rtl/>
        </w:rPr>
        <w:t>דרעי השני</w:t>
      </w:r>
      <w:r>
        <w:rPr>
          <w:rFonts w:hint="cs"/>
          <w:rtl/>
        </w:rPr>
        <w:t xml:space="preserve">, פסקה 23 לפסק הדין; בקשה לקיים דיון נוסף בפסק דין זה נדחתה, </w:t>
      </w:r>
      <w:r w:rsidRPr="00B52F94">
        <w:rPr>
          <w:rFonts w:hint="eastAsia"/>
          <w:rtl/>
        </w:rPr>
        <w:t>דנג</w:t>
      </w:r>
      <w:r>
        <w:rPr>
          <w:rFonts w:hint="cs"/>
          <w:rtl/>
        </w:rPr>
        <w:t>"</w:t>
      </w:r>
      <w:r w:rsidRPr="00B52F94">
        <w:rPr>
          <w:rFonts w:hint="eastAsia"/>
          <w:rtl/>
        </w:rPr>
        <w:t>ץ</w:t>
      </w:r>
      <w:r w:rsidRPr="00B52F94">
        <w:rPr>
          <w:rtl/>
        </w:rPr>
        <w:t xml:space="preserve"> 5806/15 </w:t>
      </w:r>
      <w:r w:rsidRPr="00B52F94">
        <w:rPr>
          <w:rFonts w:ascii="Century" w:hAnsi="Century" w:cs="Miriam"/>
          <w:b/>
          <w:spacing w:val="0"/>
          <w:sz w:val="22"/>
          <w:szCs w:val="24"/>
          <w:rtl/>
        </w:rPr>
        <w:t>‏</w:t>
      </w:r>
      <w:r w:rsidRPr="00B52F94">
        <w:rPr>
          <w:rFonts w:ascii="Century" w:hAnsi="Century" w:cs="Miriam" w:hint="eastAsia"/>
          <w:b/>
          <w:spacing w:val="0"/>
          <w:sz w:val="22"/>
          <w:szCs w:val="24"/>
          <w:rtl/>
        </w:rPr>
        <w:t>התנועה</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למען</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איכות</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השלטון</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בישראל</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נ</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ראש</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ממשלת</w:t>
      </w:r>
      <w:r w:rsidRPr="00B52F94">
        <w:rPr>
          <w:rFonts w:ascii="Century" w:hAnsi="Century" w:cs="Miriam"/>
          <w:b/>
          <w:spacing w:val="0"/>
          <w:sz w:val="22"/>
          <w:szCs w:val="24"/>
          <w:rtl/>
        </w:rPr>
        <w:t xml:space="preserve"> </w:t>
      </w:r>
      <w:r w:rsidRPr="00B52F94">
        <w:rPr>
          <w:rFonts w:ascii="Century" w:hAnsi="Century" w:cs="Miriam" w:hint="eastAsia"/>
          <w:b/>
          <w:spacing w:val="0"/>
          <w:sz w:val="22"/>
          <w:szCs w:val="24"/>
          <w:rtl/>
        </w:rPr>
        <w:t>ישראל</w:t>
      </w:r>
      <w:r>
        <w:rPr>
          <w:rFonts w:hint="cs"/>
          <w:rtl/>
        </w:rPr>
        <w:t xml:space="preserve"> (28.10.2015)). על מנת שלא לחזור על העובדות שלא לצורך, אזכיר בתמצית כי ברקע לאותו פסק דין ניצבו שתי פרשות שבמסגרתן הורשע דרעי בפלילים: </w:t>
      </w:r>
      <w:r>
        <w:rPr>
          <w:rFonts w:ascii="Century" w:hAnsi="Century" w:cs="Miriam" w:hint="cs"/>
          <w:b/>
          <w:spacing w:val="0"/>
          <w:sz w:val="22"/>
          <w:szCs w:val="24"/>
          <w:rtl/>
        </w:rPr>
        <w:t>הפרשה הראשונה</w:t>
      </w:r>
      <w:r>
        <w:rPr>
          <w:rFonts w:ascii="Century" w:hAnsi="Century" w:hint="cs"/>
          <w:sz w:val="22"/>
          <w:rtl/>
        </w:rPr>
        <w:t>, שידועה בכינויה "התיק האישי", מתייחסת לשורת עבירות חמורות שביצע דרעי בשנים 1990-1984 עת שכיהן כעוזר שר הפנים, כמנכ"ל המשרד וכשר הפנים. בגין הרשעתו בעבירות שוחד, מרמה והפרת אמונים וקבלת דבר במרמה בנסיבות מחמירות, הוטלו עליו ארבע שנות מאסר שהופחתו לשלוש בשלב הערעור (</w:t>
      </w:r>
      <w:r w:rsidRPr="00B90AF2">
        <w:rPr>
          <w:rFonts w:ascii="Century" w:hAnsi="Century" w:hint="eastAsia"/>
          <w:sz w:val="22"/>
          <w:rtl/>
        </w:rPr>
        <w:t>ע</w:t>
      </w:r>
      <w:r w:rsidRPr="00B90AF2">
        <w:rPr>
          <w:rFonts w:ascii="Century" w:hAnsi="Century"/>
          <w:sz w:val="22"/>
          <w:rtl/>
        </w:rPr>
        <w:t>"</w:t>
      </w:r>
      <w:r w:rsidRPr="00B90AF2">
        <w:rPr>
          <w:rFonts w:ascii="Century" w:hAnsi="Century" w:hint="eastAsia"/>
          <w:sz w:val="22"/>
          <w:rtl/>
        </w:rPr>
        <w:t>פ</w:t>
      </w:r>
      <w:r w:rsidRPr="00B90AF2">
        <w:rPr>
          <w:rFonts w:ascii="Century" w:hAnsi="Century"/>
          <w:sz w:val="22"/>
          <w:rtl/>
        </w:rPr>
        <w:t xml:space="preserve"> 3575/99 </w:t>
      </w:r>
      <w:r w:rsidRPr="00B90AF2">
        <w:rPr>
          <w:rFonts w:ascii="Century" w:hAnsi="Century" w:cs="Miriam" w:hint="eastAsia"/>
          <w:b/>
          <w:spacing w:val="0"/>
          <w:sz w:val="22"/>
          <w:szCs w:val="24"/>
          <w:rtl/>
        </w:rPr>
        <w:t>דרעי</w:t>
      </w:r>
      <w:r w:rsidRPr="00B90AF2">
        <w:rPr>
          <w:rFonts w:ascii="Century" w:hAnsi="Century" w:cs="Miriam"/>
          <w:b/>
          <w:spacing w:val="0"/>
          <w:sz w:val="22"/>
          <w:szCs w:val="24"/>
          <w:rtl/>
        </w:rPr>
        <w:t xml:space="preserve"> </w:t>
      </w:r>
      <w:r w:rsidRPr="00B90AF2">
        <w:rPr>
          <w:rFonts w:ascii="Century" w:hAnsi="Century" w:cs="Miriam" w:hint="eastAsia"/>
          <w:b/>
          <w:spacing w:val="0"/>
          <w:sz w:val="22"/>
          <w:szCs w:val="24"/>
          <w:rtl/>
        </w:rPr>
        <w:t>נ</w:t>
      </w:r>
      <w:r w:rsidRPr="00B90AF2">
        <w:rPr>
          <w:rFonts w:ascii="Century" w:hAnsi="Century" w:cs="Miriam"/>
          <w:b/>
          <w:spacing w:val="0"/>
          <w:sz w:val="22"/>
          <w:szCs w:val="24"/>
          <w:rtl/>
        </w:rPr>
        <w:t xml:space="preserve">' </w:t>
      </w:r>
      <w:r w:rsidRPr="00B90AF2">
        <w:rPr>
          <w:rFonts w:ascii="Century" w:hAnsi="Century" w:cs="Miriam" w:hint="eastAsia"/>
          <w:b/>
          <w:spacing w:val="0"/>
          <w:sz w:val="22"/>
          <w:szCs w:val="24"/>
          <w:rtl/>
        </w:rPr>
        <w:t>מדינת</w:t>
      </w:r>
      <w:r w:rsidRPr="00B90AF2">
        <w:rPr>
          <w:rFonts w:ascii="Century" w:hAnsi="Century" w:cs="Miriam"/>
          <w:b/>
          <w:spacing w:val="0"/>
          <w:sz w:val="22"/>
          <w:szCs w:val="24"/>
          <w:rtl/>
        </w:rPr>
        <w:t xml:space="preserve"> </w:t>
      </w:r>
      <w:r w:rsidRPr="00B90AF2">
        <w:rPr>
          <w:rFonts w:ascii="Century" w:hAnsi="Century" w:cs="Miriam" w:hint="eastAsia"/>
          <w:b/>
          <w:spacing w:val="0"/>
          <w:sz w:val="22"/>
          <w:szCs w:val="24"/>
          <w:rtl/>
        </w:rPr>
        <w:t>ישראל</w:t>
      </w:r>
      <w:r w:rsidRPr="00B90AF2">
        <w:rPr>
          <w:rFonts w:ascii="Century" w:hAnsi="Century"/>
          <w:sz w:val="22"/>
          <w:rtl/>
        </w:rPr>
        <w:t xml:space="preserve">, </w:t>
      </w:r>
      <w:r w:rsidRPr="00B90AF2">
        <w:rPr>
          <w:rFonts w:ascii="Century" w:hAnsi="Century" w:hint="eastAsia"/>
          <w:sz w:val="22"/>
          <w:rtl/>
        </w:rPr>
        <w:t>פ</w:t>
      </w:r>
      <w:r w:rsidRPr="00B90AF2">
        <w:rPr>
          <w:rFonts w:ascii="Century" w:hAnsi="Century"/>
          <w:sz w:val="22"/>
          <w:rtl/>
        </w:rPr>
        <w:t>"</w:t>
      </w:r>
      <w:r w:rsidRPr="00B90AF2">
        <w:rPr>
          <w:rFonts w:ascii="Century" w:hAnsi="Century" w:hint="eastAsia"/>
          <w:sz w:val="22"/>
          <w:rtl/>
        </w:rPr>
        <w:t>ד</w:t>
      </w:r>
      <w:r w:rsidRPr="00B90AF2">
        <w:rPr>
          <w:rFonts w:ascii="Century" w:hAnsi="Century"/>
          <w:sz w:val="22"/>
          <w:rtl/>
        </w:rPr>
        <w:t xml:space="preserve"> </w:t>
      </w:r>
      <w:r w:rsidRPr="00B90AF2">
        <w:rPr>
          <w:rFonts w:ascii="Century" w:hAnsi="Century" w:hint="eastAsia"/>
          <w:sz w:val="22"/>
          <w:rtl/>
        </w:rPr>
        <w:t>נד</w:t>
      </w:r>
      <w:r w:rsidRPr="00B90AF2">
        <w:rPr>
          <w:rFonts w:ascii="Century" w:hAnsi="Century"/>
          <w:sz w:val="22"/>
          <w:rtl/>
        </w:rPr>
        <w:t>(2) 721 (2000)</w:t>
      </w:r>
      <w:r>
        <w:rPr>
          <w:rFonts w:ascii="Century" w:hAnsi="Century" w:hint="cs"/>
          <w:sz w:val="22"/>
          <w:rtl/>
        </w:rPr>
        <w:t xml:space="preserve">). בחודש יולי 2002 שוחרר דרעי, לאחר ריצוי שני שלישים מתקופת מאסרו. </w:t>
      </w:r>
      <w:r>
        <w:rPr>
          <w:rFonts w:ascii="Century" w:hAnsi="Century" w:cs="Miriam" w:hint="cs"/>
          <w:b/>
          <w:spacing w:val="0"/>
          <w:sz w:val="22"/>
          <w:szCs w:val="24"/>
          <w:rtl/>
        </w:rPr>
        <w:t>הפרשה השנייה</w:t>
      </w:r>
      <w:r>
        <w:rPr>
          <w:rFonts w:ascii="Century" w:hAnsi="Century" w:hint="cs"/>
          <w:sz w:val="22"/>
          <w:rtl/>
        </w:rPr>
        <w:t xml:space="preserve">, ידועה בכינויה "התיק הציבורי", ובמסגרתה הורשע דרעי בשנת 2003 בעבירת הפרת אמונים כשפעל במהלך כהונתו כשר פנים להסדרת תמיכות לטובת עמותה שקרויה על שם חותניו ואשר נוהלה על ידי אחיו. על דרעי נגזרו שלושה חודשי מאסר על תנאי וקנס. לצד זאת, אוזכרה גם מעורבותו של דרעי בפרשת "בראון-חברון" (פסקה 5 לפסק הדין; וראו גם פסקה 5 לחוות דעתה של הנשיאה). </w:t>
      </w:r>
    </w:p>
    <w:p w14:paraId="1B32E7D1" w14:textId="77777777" w:rsidR="00C21353" w:rsidRDefault="00C21353" w:rsidP="00C21353">
      <w:pPr>
        <w:pStyle w:val="Ruller41"/>
        <w:rPr>
          <w:rtl/>
        </w:rPr>
      </w:pPr>
    </w:p>
    <w:p w14:paraId="0AF40C94" w14:textId="77777777" w:rsidR="00C21353" w:rsidRDefault="00C21353" w:rsidP="00C21353">
      <w:pPr>
        <w:pStyle w:val="Ruller4"/>
        <w:rPr>
          <w:rtl/>
        </w:rPr>
      </w:pPr>
      <w:r>
        <w:rPr>
          <w:rFonts w:hint="cs"/>
          <w:rtl/>
        </w:rPr>
        <w:t xml:space="preserve">בפסק הדין בעניין </w:t>
      </w:r>
      <w:r>
        <w:rPr>
          <w:rFonts w:ascii="Century" w:hAnsi="Century" w:cs="Miriam" w:hint="cs"/>
          <w:b/>
          <w:spacing w:val="0"/>
          <w:sz w:val="22"/>
          <w:szCs w:val="24"/>
          <w:rtl/>
        </w:rPr>
        <w:t xml:space="preserve">דרעי </w:t>
      </w:r>
      <w:r w:rsidRPr="00B47000">
        <w:rPr>
          <w:rFonts w:ascii="Century" w:hAnsi="Century" w:cs="Miriam" w:hint="cs"/>
          <w:b/>
          <w:spacing w:val="0"/>
          <w:sz w:val="22"/>
          <w:szCs w:val="24"/>
          <w:rtl/>
        </w:rPr>
        <w:t>השני</w:t>
      </w:r>
      <w:r>
        <w:rPr>
          <w:rFonts w:ascii="Century" w:hAnsi="Century" w:hint="cs"/>
          <w:sz w:val="22"/>
          <w:rtl/>
        </w:rPr>
        <w:t xml:space="preserve">, קבעה </w:t>
      </w:r>
      <w:r w:rsidRPr="00B47000">
        <w:rPr>
          <w:rFonts w:ascii="Century" w:hAnsi="Century" w:hint="cs"/>
          <w:sz w:val="22"/>
          <w:rtl/>
        </w:rPr>
        <w:t>השופטת</w:t>
      </w:r>
      <w:r w:rsidRPr="00B47000">
        <w:rPr>
          <w:rFonts w:hint="cs"/>
          <w:rtl/>
        </w:rPr>
        <w:t xml:space="preserve"> </w:t>
      </w:r>
      <w:r>
        <w:rPr>
          <w:rFonts w:ascii="Century" w:hAnsi="Century" w:cs="Miriam" w:hint="cs"/>
          <w:b/>
          <w:spacing w:val="0"/>
          <w:sz w:val="22"/>
          <w:szCs w:val="24"/>
          <w:rtl/>
        </w:rPr>
        <w:t xml:space="preserve">א' חיות </w:t>
      </w:r>
      <w:r>
        <w:rPr>
          <w:rFonts w:ascii="Century" w:hAnsi="Century" w:hint="cs"/>
          <w:sz w:val="22"/>
          <w:rtl/>
        </w:rPr>
        <w:t xml:space="preserve">כי לא ניתן להפריז בחומרת </w:t>
      </w:r>
      <w:r>
        <w:rPr>
          <w:rFonts w:hint="cs"/>
          <w:rtl/>
        </w:rPr>
        <w:t xml:space="preserve">הפרשיות שתוארו לעיל, אשר בוצעו בזיקה ישירה לתפקידים הציבוריים שמילא דרעי באותה עת; וכי יש בהן כדי להטיל עליו "כתם מוסרי כבד" (שם, פסקה 17). מן העבר השני, צוין </w:t>
      </w:r>
      <w:r w:rsidRPr="004F6840">
        <w:rPr>
          <w:rFonts w:hint="cs"/>
          <w:rtl/>
        </w:rPr>
        <w:t xml:space="preserve">כי יש לתת משקל רב לחלוף הזמן במסגרת בחינת מינויו לשר של מי שהורשע בפלילים. בכלל זאת, עמדה השופטת </w:t>
      </w:r>
      <w:r w:rsidRPr="004F6840">
        <w:rPr>
          <w:rFonts w:ascii="Century" w:hAnsi="Century" w:cs="Miriam" w:hint="cs"/>
          <w:b/>
          <w:spacing w:val="0"/>
          <w:sz w:val="22"/>
          <w:szCs w:val="24"/>
          <w:rtl/>
        </w:rPr>
        <w:t xml:space="preserve">חיות </w:t>
      </w:r>
      <w:r w:rsidRPr="004F6840">
        <w:rPr>
          <w:rFonts w:ascii="Century" w:hAnsi="Century" w:hint="cs"/>
          <w:sz w:val="22"/>
          <w:rtl/>
        </w:rPr>
        <w:t xml:space="preserve">על חלוף הזמן </w:t>
      </w:r>
      <w:r w:rsidRPr="004F6840">
        <w:rPr>
          <w:rFonts w:hint="cs"/>
          <w:rtl/>
        </w:rPr>
        <w:t xml:space="preserve">מתום תקופת המאסר שריצה דרעי (כ-13 שנים), ועל חלוף הזמן מביצוע המעשים שבגינם הורשע בתיק האישי (כ-30-25 שנים). עוד צוין בפסק הדין כי הגם שדרעי לא הביע בקולו חרטה על המעשים, ייתכן שהשנים הרבות שחלפו מאז </w:t>
      </w:r>
      <w:r w:rsidRPr="004F6840">
        <w:rPr>
          <w:rtl/>
        </w:rPr>
        <w:t>–</w:t>
      </w:r>
      <w:r w:rsidRPr="004F6840">
        <w:rPr>
          <w:rFonts w:hint="cs"/>
          <w:rtl/>
        </w:rPr>
        <w:t xml:space="preserve"> שבהן לא שב וביצע עבירות נוספות (על פי התשתית העובדתית שהייתה</w:t>
      </w:r>
      <w:r>
        <w:rPr>
          <w:rFonts w:hint="cs"/>
          <w:rtl/>
        </w:rPr>
        <w:t xml:space="preserve"> לפני בית המשפט אז) </w:t>
      </w:r>
      <w:r>
        <w:rPr>
          <w:rtl/>
        </w:rPr>
        <w:t>–</w:t>
      </w:r>
      <w:r>
        <w:rPr>
          <w:rFonts w:hint="cs"/>
          <w:rtl/>
        </w:rPr>
        <w:t xml:space="preserve"> מלמדות על הפנמת הפסול שבמעשיו (שם, פסקה 20). בנוסף התייחסה השופטת </w:t>
      </w:r>
      <w:r>
        <w:rPr>
          <w:rFonts w:ascii="Century" w:hAnsi="Century" w:cs="Miriam" w:hint="cs"/>
          <w:b/>
          <w:spacing w:val="0"/>
          <w:sz w:val="22"/>
          <w:szCs w:val="24"/>
          <w:rtl/>
        </w:rPr>
        <w:t xml:space="preserve">חיות </w:t>
      </w:r>
      <w:r>
        <w:rPr>
          <w:rFonts w:ascii="Century" w:hAnsi="Century" w:hint="cs"/>
          <w:sz w:val="22"/>
          <w:rtl/>
        </w:rPr>
        <w:t xml:space="preserve">לשיקול של "תקנת השבים", שמיועד לאפשר </w:t>
      </w:r>
      <w:r>
        <w:rPr>
          <w:rFonts w:ascii="Century" w:hAnsi="Century" w:hint="cs"/>
          <w:sz w:val="22"/>
          <w:rtl/>
        </w:rPr>
        <w:lastRenderedPageBreak/>
        <w:t xml:space="preserve">לאדם שהורשע בפלילים לפתוח "דף חדש" לאחר ששילם חובו לחברה. </w:t>
      </w:r>
      <w:r>
        <w:rPr>
          <w:rFonts w:hint="cs"/>
          <w:rtl/>
        </w:rPr>
        <w:t xml:space="preserve">משכך נקבע, בשים לב גם להיקף שיקול הדעת שמסור לראש הממשלה בעניינים אלה, כי מינויו של דרעי לתפקיד שר לא מקים עילה להתערבות ומצוי "על גבול מתחם הסבירות". חודשים ספורים לאחר מתן פסק הדין הובאה לפני בית משפט זה שאלת מינויו של דרעי לתפקיד שר הפנים, המשרד שבו כיהן בתקופת ביצוע העבירות בתיק האישי ובתיק הציבורי. בית המשפט דחה את העתירה בדעת רוב, וקבע כי מדובר ב"מקרה גבול", שחרף הקשיים שהוא מעורר, לא מקים עילה להתערבות (עניין </w:t>
      </w:r>
      <w:r>
        <w:rPr>
          <w:rFonts w:ascii="Century" w:hAnsi="Century" w:cs="Miriam" w:hint="cs"/>
          <w:b/>
          <w:spacing w:val="0"/>
          <w:sz w:val="22"/>
          <w:szCs w:val="24"/>
          <w:rtl/>
        </w:rPr>
        <w:t>דרעי השלישי</w:t>
      </w:r>
      <w:r>
        <w:rPr>
          <w:rFonts w:hint="cs"/>
          <w:rtl/>
        </w:rPr>
        <w:t xml:space="preserve">, פסקה 45 לפסק הדין של השופט </w:t>
      </w:r>
      <w:r>
        <w:rPr>
          <w:rFonts w:ascii="Century" w:hAnsi="Century" w:cs="Miriam" w:hint="cs"/>
          <w:b/>
          <w:spacing w:val="0"/>
          <w:sz w:val="22"/>
          <w:szCs w:val="24"/>
          <w:rtl/>
        </w:rPr>
        <w:t>ס' ג'ובראן</w:t>
      </w:r>
      <w:r>
        <w:rPr>
          <w:rFonts w:hint="cs"/>
          <w:rtl/>
        </w:rPr>
        <w:t xml:space="preserve">; בקשה לקיים דיון נוסף בפסק הדין נדחתה, דנג"ץ 4145/16 </w:t>
      </w:r>
      <w:r>
        <w:rPr>
          <w:rFonts w:ascii="Century" w:hAnsi="Century" w:cs="Miriam" w:hint="cs"/>
          <w:b/>
          <w:spacing w:val="0"/>
          <w:sz w:val="22"/>
          <w:szCs w:val="24"/>
          <w:rtl/>
        </w:rPr>
        <w:t xml:space="preserve">התנועה למען איכות השלטון בישראל נ' ראש ממשלת ישראל </w:t>
      </w:r>
      <w:r>
        <w:rPr>
          <w:rFonts w:ascii="Century" w:hAnsi="Century" w:hint="cs"/>
          <w:sz w:val="22"/>
          <w:rtl/>
        </w:rPr>
        <w:t>(7.8.2016)</w:t>
      </w:r>
      <w:r>
        <w:rPr>
          <w:rFonts w:hint="cs"/>
          <w:rtl/>
        </w:rPr>
        <w:t>).</w:t>
      </w:r>
    </w:p>
    <w:p w14:paraId="4F934076" w14:textId="77777777" w:rsidR="00C21353" w:rsidRDefault="00C21353" w:rsidP="00C21353">
      <w:pPr>
        <w:pStyle w:val="Ruller4"/>
        <w:numPr>
          <w:ilvl w:val="0"/>
          <w:numId w:val="0"/>
        </w:numPr>
        <w:rPr>
          <w:rtl/>
        </w:rPr>
      </w:pPr>
    </w:p>
    <w:p w14:paraId="5F1CDFA2" w14:textId="77777777" w:rsidR="00C21353" w:rsidRDefault="00C21353" w:rsidP="00C21353">
      <w:pPr>
        <w:pStyle w:val="Ruller4"/>
        <w:rPr>
          <w:rFonts w:ascii="Century" w:hAnsi="Century"/>
          <w:sz w:val="22"/>
          <w:rtl/>
        </w:rPr>
      </w:pPr>
      <w:r>
        <w:rPr>
          <w:rFonts w:hint="cs"/>
          <w:rtl/>
        </w:rPr>
        <w:t xml:space="preserve">הנה כי כן, פסקי הדין שניתנו בעניין </w:t>
      </w:r>
      <w:r>
        <w:rPr>
          <w:rFonts w:ascii="Century" w:hAnsi="Century" w:cs="Miriam" w:hint="cs"/>
          <w:b/>
          <w:spacing w:val="0"/>
          <w:sz w:val="22"/>
          <w:szCs w:val="24"/>
          <w:rtl/>
        </w:rPr>
        <w:t xml:space="preserve">דרעי השני </w:t>
      </w:r>
      <w:r>
        <w:rPr>
          <w:rFonts w:ascii="Century" w:hAnsi="Century" w:hint="cs"/>
          <w:sz w:val="22"/>
          <w:rtl/>
        </w:rPr>
        <w:t xml:space="preserve">ובעניין </w:t>
      </w:r>
      <w:r>
        <w:rPr>
          <w:rFonts w:ascii="Century" w:hAnsi="Century" w:cs="Miriam" w:hint="cs"/>
          <w:b/>
          <w:spacing w:val="0"/>
          <w:sz w:val="22"/>
          <w:szCs w:val="24"/>
          <w:rtl/>
        </w:rPr>
        <w:t>דרעי השלישי</w:t>
      </w:r>
      <w:r>
        <w:rPr>
          <w:rFonts w:ascii="Century" w:hAnsi="Century" w:hint="cs"/>
          <w:sz w:val="22"/>
          <w:rtl/>
        </w:rPr>
        <w:t xml:space="preserve"> מצאו קשיים ניכרים במינויו לתפקיד שר, אך נוכח המשקל שניתן לשיקול חלוף הזמן בבחינת סבירות המינוי, לא היה בקשיים אלה כדי להכריע כי המינוי אינו חוקי. עם זאת, אין זו התשתית העובדתית שניצבת לפנינו כיום. בעיני, שלושה הם השיקולים שמסיטים את נקודת האיזון בעניינו של דרעי ואשר מוליכים למסקנה כי ההחלטה למנותו היא החלטה בלתי סבירה שמחייבת התערבות: הרשעתו החדשה; המצג שהציג למערכת המשפט ואשר הוביל לגזר הדין בעניינו; והעובדה כי בעודו משמש חבר ממשלה תלוי ועומד נגדו עונש מאסר על תנאי.</w:t>
      </w:r>
    </w:p>
    <w:p w14:paraId="71BC31D9" w14:textId="77777777" w:rsidR="00C21353" w:rsidRDefault="00C21353" w:rsidP="00C21353">
      <w:pPr>
        <w:pStyle w:val="Ruller41"/>
        <w:rPr>
          <w:rtl/>
        </w:rPr>
      </w:pPr>
    </w:p>
    <w:p w14:paraId="5BD15687" w14:textId="77777777" w:rsidR="00C21353" w:rsidRPr="0096770D" w:rsidRDefault="00C21353" w:rsidP="00C21353">
      <w:pPr>
        <w:pStyle w:val="Ruller4"/>
      </w:pPr>
      <w:r w:rsidRPr="00622901">
        <w:rPr>
          <w:rFonts w:ascii="Century" w:hAnsi="Century" w:cs="Miriam" w:hint="cs"/>
          <w:b/>
          <w:spacing w:val="0"/>
          <w:sz w:val="22"/>
          <w:szCs w:val="24"/>
          <w:rtl/>
        </w:rPr>
        <w:t>ראשית, הרשעתו החדשה של דרעי</w:t>
      </w:r>
      <w:r>
        <w:rPr>
          <w:rFonts w:hint="cs"/>
          <w:rtl/>
        </w:rPr>
        <w:t>. חברתי הנשיאה פירטה בחוות דעתה את הצריך לענייננו בדבר הרשעתו החדשה (שם, פסקאות 11-7). די אם נשוב ונזכיר כי מדובר בהרשעה בשתי עבירות מס, הראשונה נוגעת לכך שדרעי סייע לאחיו לערוך הצהרה לשלטונות מיסוי מקרקעין שלא צוינה בה תמורת העסקה המלאה; והשנייה</w:t>
      </w:r>
      <w:r>
        <w:rPr>
          <w:rFonts w:hint="cs"/>
        </w:rPr>
        <w:t xml:space="preserve"> </w:t>
      </w:r>
      <w:r>
        <w:rPr>
          <w:rFonts w:hint="cs"/>
          <w:rtl/>
        </w:rPr>
        <w:t xml:space="preserve">נוגעת לכך שהכנסות של דרעי לא דווחו לפקיד השומה כמתחייב בדין. מדובר אפוא בהרשעה בעבירות שבמסגרתן פעל דרעי </w:t>
      </w:r>
      <w:r w:rsidRPr="00CB140C">
        <w:rPr>
          <w:rFonts w:ascii="Century" w:hAnsi="Century" w:cs="Miriam" w:hint="cs"/>
          <w:b/>
          <w:spacing w:val="0"/>
          <w:sz w:val="22"/>
          <w:szCs w:val="24"/>
          <w:rtl/>
        </w:rPr>
        <w:t>ביודעין</w:t>
      </w:r>
      <w:r w:rsidRPr="00CB140C">
        <w:rPr>
          <w:rFonts w:hint="cs"/>
          <w:rtl/>
        </w:rPr>
        <w:t xml:space="preserve"> </w:t>
      </w:r>
      <w:r>
        <w:rPr>
          <w:rFonts w:hint="cs"/>
          <w:rtl/>
        </w:rPr>
        <w:t xml:space="preserve">להציג מידע כוזב לרשויות המס לצורך הקטנת חבות המס. הרשעה זו </w:t>
      </w:r>
      <w:r>
        <w:rPr>
          <w:rtl/>
        </w:rPr>
        <w:t>–</w:t>
      </w:r>
      <w:r>
        <w:rPr>
          <w:rFonts w:hint="cs"/>
          <w:rtl/>
        </w:rPr>
        <w:t xml:space="preserve"> בניגוד להרשעותיו הקודמות </w:t>
      </w:r>
      <w:r>
        <w:rPr>
          <w:rtl/>
        </w:rPr>
        <w:t>–</w:t>
      </w:r>
      <w:r>
        <w:rPr>
          <w:rFonts w:hint="cs"/>
          <w:rtl/>
        </w:rPr>
        <w:t xml:space="preserve"> היא מהעת האחרונה, מחודש ינואר 2022. הצדדים שניהם ניסו להתבסס על האמור בגזר הדין ביחס להרשעות אלו, ואכן התמונה המצטיירת מגזר הדין ביחס לעבירות שבהן הורשע היא מורכבת: מחד גיסא, נקבע כי מדובר בעבירות ש"אינן כוללות זדון או כוונה להונות" מצדו של דרעי; כי "חלקו של [דרעי </w:t>
      </w:r>
      <w:r>
        <w:rPr>
          <w:rtl/>
        </w:rPr>
        <w:t>–</w:t>
      </w:r>
      <w:r>
        <w:rPr>
          <w:rFonts w:hint="cs"/>
          <w:rtl/>
        </w:rPr>
        <w:t xml:space="preserve"> ע' פ'] בביצוע העבירות המיוחסות לו הינו </w:t>
      </w:r>
      <w:r>
        <w:rPr>
          <w:rFonts w:ascii="Century" w:hAnsi="Century" w:cs="Miriam" w:hint="cs"/>
          <w:b/>
          <w:spacing w:val="0"/>
          <w:sz w:val="22"/>
          <w:szCs w:val="24"/>
          <w:rtl/>
        </w:rPr>
        <w:t>פאסיבי</w:t>
      </w:r>
      <w:r>
        <w:rPr>
          <w:rFonts w:ascii="Century" w:hAnsi="Century" w:hint="cs"/>
          <w:sz w:val="22"/>
          <w:rtl/>
        </w:rPr>
        <w:t xml:space="preserve">" (ההדגשה במקור </w:t>
      </w:r>
      <w:r>
        <w:rPr>
          <w:rFonts w:ascii="Century" w:hAnsi="Century"/>
          <w:sz w:val="22"/>
          <w:rtl/>
        </w:rPr>
        <w:t>–</w:t>
      </w:r>
      <w:r>
        <w:rPr>
          <w:rFonts w:ascii="Century" w:hAnsi="Century" w:hint="cs"/>
          <w:sz w:val="22"/>
          <w:rtl/>
        </w:rPr>
        <w:t xml:space="preserve"> ע' פ'); וכי מדובר בעבירות שמצויות ברף התחתון של משפחת עבירות המס. מאידך גיסא, נקבע גם כי "מעשיו של [דרעי </w:t>
      </w:r>
      <w:r>
        <w:rPr>
          <w:rFonts w:ascii="Century" w:hAnsi="Century"/>
          <w:sz w:val="22"/>
          <w:rtl/>
        </w:rPr>
        <w:t>–</w:t>
      </w:r>
      <w:r>
        <w:rPr>
          <w:rFonts w:ascii="Century" w:hAnsi="Century" w:hint="cs"/>
          <w:sz w:val="22"/>
          <w:rtl/>
        </w:rPr>
        <w:t xml:space="preserve"> ע' פ'] יצרו חלון מעוות דרכו נאלצו שלטונות המס להביט על קיומה של העסקה המופיעה </w:t>
      </w:r>
      <w:r w:rsidRPr="00BD566F">
        <w:rPr>
          <w:rFonts w:ascii="Century" w:hAnsi="Century" w:cs="Miriam" w:hint="cs"/>
          <w:b/>
          <w:spacing w:val="0"/>
          <w:sz w:val="22"/>
          <w:szCs w:val="24"/>
          <w:rtl/>
        </w:rPr>
        <w:t>באישום הראשון</w:t>
      </w:r>
      <w:r>
        <w:rPr>
          <w:rFonts w:ascii="Century" w:hAnsi="Century" w:hint="cs"/>
          <w:sz w:val="22"/>
          <w:rtl/>
        </w:rPr>
        <w:t xml:space="preserve"> [...] ובעניינו של </w:t>
      </w:r>
      <w:r w:rsidRPr="00BD566F">
        <w:rPr>
          <w:rFonts w:ascii="Century" w:hAnsi="Century" w:cs="Miriam" w:hint="cs"/>
          <w:b/>
          <w:spacing w:val="0"/>
          <w:sz w:val="22"/>
          <w:szCs w:val="24"/>
          <w:rtl/>
        </w:rPr>
        <w:t>האישום השני</w:t>
      </w:r>
      <w:r w:rsidRPr="00BD566F">
        <w:rPr>
          <w:rFonts w:ascii="Century" w:hAnsi="Century" w:hint="cs"/>
          <w:sz w:val="22"/>
          <w:rtl/>
        </w:rPr>
        <w:t xml:space="preserve"> </w:t>
      </w:r>
      <w:r>
        <w:rPr>
          <w:rFonts w:ascii="Century" w:hAnsi="Century"/>
          <w:sz w:val="22"/>
          <w:rtl/>
        </w:rPr>
        <w:t>–</w:t>
      </w:r>
      <w:r>
        <w:rPr>
          <w:rFonts w:ascii="Century" w:hAnsi="Century" w:hint="cs"/>
          <w:sz w:val="22"/>
          <w:rtl/>
        </w:rPr>
        <w:t xml:space="preserve"> הוריד הנאשם תריס אטום [על החברה שהקים </w:t>
      </w:r>
      <w:r>
        <w:rPr>
          <w:rFonts w:ascii="Century" w:hAnsi="Century"/>
          <w:sz w:val="22"/>
          <w:rtl/>
        </w:rPr>
        <w:t>–</w:t>
      </w:r>
      <w:r>
        <w:rPr>
          <w:rFonts w:ascii="Century" w:hAnsi="Century" w:hint="cs"/>
          <w:sz w:val="22"/>
          <w:rtl/>
        </w:rPr>
        <w:t xml:space="preserve"> ע' פ'] [...] ובכך הותיר </w:t>
      </w:r>
      <w:r>
        <w:rPr>
          <w:rFonts w:ascii="Century" w:hAnsi="Century" w:hint="cs"/>
          <w:sz w:val="22"/>
          <w:rtl/>
        </w:rPr>
        <w:lastRenderedPageBreak/>
        <w:t xml:space="preserve">את הצוהר דרכו מביטים שלטונות המס ופקידי השומה לתוך החברה וספריה </w:t>
      </w:r>
      <w:r>
        <w:rPr>
          <w:rFonts w:ascii="Century" w:hAnsi="Century"/>
          <w:sz w:val="22"/>
          <w:rtl/>
        </w:rPr>
        <w:t>–</w:t>
      </w:r>
      <w:r>
        <w:rPr>
          <w:rFonts w:ascii="Century" w:hAnsi="Century" w:hint="cs"/>
          <w:sz w:val="22"/>
          <w:rtl/>
        </w:rPr>
        <w:t xml:space="preserve"> סגור וחשוך" (ההדגשות במקור </w:t>
      </w:r>
      <w:r>
        <w:rPr>
          <w:rFonts w:ascii="Century" w:hAnsi="Century"/>
          <w:sz w:val="22"/>
          <w:rtl/>
        </w:rPr>
        <w:t>–</w:t>
      </w:r>
      <w:r>
        <w:rPr>
          <w:rFonts w:ascii="Century" w:hAnsi="Century" w:hint="cs"/>
          <w:sz w:val="22"/>
          <w:rtl/>
        </w:rPr>
        <w:t xml:space="preserve"> ע' פ'). על דרעי נגזרו 12 חודשי מאסר "אשר לא ירוצו אלא אם יעבור [דרעי </w:t>
      </w:r>
      <w:r>
        <w:rPr>
          <w:rFonts w:ascii="Century" w:hAnsi="Century"/>
          <w:sz w:val="22"/>
          <w:rtl/>
        </w:rPr>
        <w:t>–</w:t>
      </w:r>
      <w:r>
        <w:rPr>
          <w:rFonts w:ascii="Century" w:hAnsi="Century" w:hint="cs"/>
          <w:sz w:val="22"/>
          <w:rtl/>
        </w:rPr>
        <w:t xml:space="preserve"> ע' פ'] על אחת מהעבירות בהן הורשע, וזאת תוך שלוש שנים מהיום" וקנס כספי בסך 180,000 ש"ח.</w:t>
      </w:r>
    </w:p>
    <w:p w14:paraId="08F16D43" w14:textId="77777777" w:rsidR="00C21353" w:rsidRPr="0096770D" w:rsidRDefault="00C21353" w:rsidP="00C21353">
      <w:pPr>
        <w:pStyle w:val="Ruller4"/>
        <w:numPr>
          <w:ilvl w:val="0"/>
          <w:numId w:val="0"/>
        </w:numPr>
      </w:pPr>
    </w:p>
    <w:p w14:paraId="30F94C40" w14:textId="77777777" w:rsidR="00C21353" w:rsidRDefault="00C21353" w:rsidP="00C21353">
      <w:pPr>
        <w:pStyle w:val="Ruller4"/>
      </w:pPr>
      <w:r>
        <w:rPr>
          <w:rFonts w:ascii="Century" w:hAnsi="Century" w:hint="cs"/>
          <w:sz w:val="22"/>
          <w:rtl/>
        </w:rPr>
        <w:t xml:space="preserve">אף אם אניח לטובתו של דרעי שאין מדובר בעבירות ברף החומרה הגבוה (ומדובר בהנחה לצורך הדיון ולא בקביעה) השאלה אינה חומרתה של העבירה במדרג עבירות המס כי אם הכשל המוסרי שטמון בה. </w:t>
      </w:r>
      <w:r>
        <w:rPr>
          <w:rFonts w:hint="cs"/>
          <w:rtl/>
        </w:rPr>
        <w:t xml:space="preserve">מערכת גביית המס מושתת על דיווח מסודר ואמיתי לרשויות המס, ועבירות מעין אלו שהורשע בהן דרעי מסמאות את עיניי הרשויות ופוגעות ביכולתן לגבות מס אמת (רע"פ 9/09 </w:t>
      </w:r>
      <w:r>
        <w:rPr>
          <w:rFonts w:ascii="Century" w:hAnsi="Century" w:cs="Miriam" w:hint="cs"/>
          <w:b/>
          <w:spacing w:val="0"/>
          <w:sz w:val="22"/>
          <w:szCs w:val="24"/>
          <w:rtl/>
        </w:rPr>
        <w:t>מזרחי נ' מדינת ישראל</w:t>
      </w:r>
      <w:r>
        <w:rPr>
          <w:rFonts w:ascii="Century" w:hAnsi="Century" w:hint="cs"/>
          <w:sz w:val="22"/>
          <w:rtl/>
        </w:rPr>
        <w:t xml:space="preserve"> (6.1.2009)</w:t>
      </w:r>
      <w:r>
        <w:rPr>
          <w:rFonts w:hint="cs"/>
          <w:rtl/>
        </w:rPr>
        <w:t>). הן חותרת תחת ערך השוויון בנטל המס בין אזרחי המדינה ומכרסמות באמון הציבור במערכות הגבייה (</w:t>
      </w:r>
      <w:proofErr w:type="spellStart"/>
      <w:r>
        <w:rPr>
          <w:rFonts w:hint="cs"/>
          <w:rtl/>
        </w:rPr>
        <w:t>רע"פ</w:t>
      </w:r>
      <w:proofErr w:type="spellEnd"/>
      <w:r>
        <w:rPr>
          <w:rFonts w:hint="cs"/>
          <w:rtl/>
        </w:rPr>
        <w:t xml:space="preserve"> 977/13 </w:t>
      </w:r>
      <w:proofErr w:type="spellStart"/>
      <w:r>
        <w:rPr>
          <w:rFonts w:ascii="Century" w:hAnsi="Century" w:cs="Miriam" w:hint="cs"/>
          <w:b/>
          <w:spacing w:val="0"/>
          <w:sz w:val="22"/>
          <w:szCs w:val="24"/>
          <w:rtl/>
        </w:rPr>
        <w:t>אודיז</w:t>
      </w:r>
      <w:proofErr w:type="spellEnd"/>
      <w:r>
        <w:rPr>
          <w:rFonts w:ascii="Century" w:hAnsi="Century" w:cs="Miriam" w:hint="cs"/>
          <w:b/>
          <w:spacing w:val="0"/>
          <w:sz w:val="22"/>
          <w:szCs w:val="24"/>
          <w:rtl/>
        </w:rPr>
        <w:t xml:space="preserve"> נ' מדינת ישראל</w:t>
      </w:r>
      <w:r>
        <w:rPr>
          <w:rFonts w:ascii="Century" w:hAnsi="Century" w:hint="cs"/>
          <w:sz w:val="22"/>
          <w:rtl/>
        </w:rPr>
        <w:t>, פסקה 7</w:t>
      </w:r>
      <w:r>
        <w:rPr>
          <w:rFonts w:ascii="Century" w:hAnsi="Century" w:cs="Miriam" w:hint="cs"/>
          <w:b/>
          <w:spacing w:val="0"/>
          <w:sz w:val="22"/>
          <w:szCs w:val="24"/>
          <w:rtl/>
        </w:rPr>
        <w:t xml:space="preserve"> </w:t>
      </w:r>
      <w:r>
        <w:rPr>
          <w:rFonts w:ascii="Century" w:hAnsi="Century" w:hint="cs"/>
          <w:sz w:val="22"/>
          <w:rtl/>
        </w:rPr>
        <w:t>(20.2.2013)</w:t>
      </w:r>
      <w:r>
        <w:rPr>
          <w:rFonts w:hint="cs"/>
          <w:rtl/>
        </w:rPr>
        <w:t>). זאת ועוד, הרשעתו הנוכחית מתבססת גם על מעשים שבוצעו בעת כהונתו כחבר כנסת. לכך יש להוסיף</w:t>
      </w:r>
      <w:r>
        <w:rPr>
          <w:rFonts w:ascii="Century" w:hAnsi="Century" w:hint="cs"/>
          <w:sz w:val="22"/>
          <w:rtl/>
        </w:rPr>
        <w:t xml:space="preserve"> כי מדובר בהרשעה נוספת של מי שכבר הורשע פעמיים בביצוע עבירות פליליות. </w:t>
      </w:r>
      <w:r>
        <w:rPr>
          <w:rFonts w:hint="cs"/>
          <w:rtl/>
        </w:rPr>
        <w:t xml:space="preserve">הצטרפותה של הרשעה זו להרשעותיו הקודמות מלמדת על הפרה חוזרת ונשנית של חוקי המדינה ושל איסורים פליליים הקבועים בדין. </w:t>
      </w:r>
      <w:r w:rsidRPr="00894A63">
        <w:rPr>
          <w:rFonts w:ascii="Century" w:hAnsi="Century" w:hint="cs"/>
          <w:sz w:val="22"/>
          <w:rtl/>
        </w:rPr>
        <w:t xml:space="preserve">ברי כי יש ליתן </w:t>
      </w:r>
      <w:r>
        <w:rPr>
          <w:rFonts w:ascii="Century" w:hAnsi="Century" w:hint="cs"/>
          <w:sz w:val="22"/>
          <w:rtl/>
        </w:rPr>
        <w:t xml:space="preserve">לנתון זה </w:t>
      </w:r>
      <w:r w:rsidRPr="00894A63">
        <w:rPr>
          <w:rFonts w:ascii="Century" w:hAnsi="Century" w:hint="cs"/>
          <w:sz w:val="22"/>
          <w:rtl/>
        </w:rPr>
        <w:t>מש</w:t>
      </w:r>
      <w:r>
        <w:rPr>
          <w:rFonts w:ascii="Century" w:hAnsi="Century" w:hint="cs"/>
          <w:sz w:val="22"/>
          <w:rtl/>
        </w:rPr>
        <w:t>קל ממשי בשאלת סבירות המינוי; זאת בצד השיקולים הנוספים שעליהם אעמוד להלן.</w:t>
      </w:r>
    </w:p>
    <w:p w14:paraId="66EF13D5" w14:textId="77777777" w:rsidR="00C21353" w:rsidRDefault="00C21353" w:rsidP="00C21353">
      <w:pPr>
        <w:pStyle w:val="Ruller41"/>
        <w:rPr>
          <w:rtl/>
        </w:rPr>
      </w:pPr>
    </w:p>
    <w:p w14:paraId="7CD8B162" w14:textId="77777777" w:rsidR="00C21353" w:rsidRDefault="00C21353" w:rsidP="00C21353">
      <w:pPr>
        <w:pStyle w:val="Ruller4"/>
      </w:pPr>
      <w:r>
        <w:rPr>
          <w:rFonts w:hint="cs"/>
          <w:rtl/>
        </w:rPr>
        <w:t xml:space="preserve">בא כוחו של דרעי ביקש לטעון לפנינו שלא ניתן עוד ליתן משקל לעברו הפלילי המכביד של דרעי </w:t>
      </w:r>
      <w:r>
        <w:rPr>
          <w:rtl/>
        </w:rPr>
        <w:t>–</w:t>
      </w:r>
      <w:r>
        <w:rPr>
          <w:rFonts w:hint="cs"/>
          <w:rtl/>
        </w:rPr>
        <w:t xml:space="preserve"> וזאת מן הטעם שהעבירות שבהן הורשע במסגרת התיק האישי והתיק הציבורי, נמחקו מן המרשם הפלילי. תחילה, יש לדחות את הטענה כי ראש הממשלה אינו מוסמך לשקול עבירות אלו נוכח מחיקתן מהמרשם. סעיף 21(ב)(3) </w:t>
      </w:r>
      <w:r w:rsidRPr="00200405">
        <w:rPr>
          <w:rFonts w:ascii="Century" w:hAnsi="Century" w:hint="cs"/>
          <w:sz w:val="22"/>
          <w:rtl/>
        </w:rPr>
        <w:t xml:space="preserve">לחוק המידע הפלילי ותקנת השבים, התשע"ט-2019 (להלן: </w:t>
      </w:r>
      <w:r w:rsidRPr="00200405">
        <w:rPr>
          <w:rFonts w:ascii="Century" w:hAnsi="Century" w:cs="Miriam" w:hint="cs"/>
          <w:b/>
          <w:spacing w:val="0"/>
          <w:sz w:val="22"/>
          <w:szCs w:val="24"/>
          <w:rtl/>
        </w:rPr>
        <w:t>חוק המידע הפלילי</w:t>
      </w:r>
      <w:r w:rsidRPr="00200405">
        <w:rPr>
          <w:rFonts w:ascii="Century" w:hAnsi="Century" w:hint="cs"/>
          <w:sz w:val="22"/>
          <w:rtl/>
        </w:rPr>
        <w:t>)</w:t>
      </w:r>
      <w:r>
        <w:rPr>
          <w:rFonts w:hint="cs"/>
          <w:rtl/>
        </w:rPr>
        <w:t xml:space="preserve"> מתיר לגורמים שמפורטים בו לשקול אף עבירות שנמחקו (וראו בהקשר זה את האמור בחוות דעתה של הנשיאה, פסקאות 60-59). ההיתר שניתן בחוק המידע הפלילי לגורמים ממנים לשקול עבירות שנמחקו נובע בין היתר מן האינטרס לשמור על רמתו וטוהרו של השירות הציבורי ועל אמון הציבור בנושאי משרות שלטוניות בכירות (ראו והשוו: </w:t>
      </w:r>
      <w:proofErr w:type="spellStart"/>
      <w:r w:rsidRPr="00B32C65">
        <w:rPr>
          <w:rFonts w:hint="cs"/>
          <w:rtl/>
        </w:rPr>
        <w:t>דנ"פ</w:t>
      </w:r>
      <w:proofErr w:type="spellEnd"/>
      <w:r w:rsidRPr="00B32C65">
        <w:rPr>
          <w:rFonts w:hint="cs"/>
          <w:rtl/>
        </w:rPr>
        <w:t xml:space="preserve"> 9384/01 </w:t>
      </w:r>
      <w:r w:rsidRPr="00200405">
        <w:rPr>
          <w:rFonts w:ascii="Century" w:hAnsi="Century" w:cs="Miriam" w:hint="cs"/>
          <w:b/>
          <w:spacing w:val="0"/>
          <w:sz w:val="22"/>
          <w:szCs w:val="24"/>
          <w:rtl/>
        </w:rPr>
        <w:t xml:space="preserve">אל </w:t>
      </w:r>
      <w:proofErr w:type="spellStart"/>
      <w:r w:rsidRPr="00200405">
        <w:rPr>
          <w:rFonts w:ascii="Century" w:hAnsi="Century" w:cs="Miriam" w:hint="cs"/>
          <w:b/>
          <w:spacing w:val="0"/>
          <w:sz w:val="22"/>
          <w:szCs w:val="24"/>
          <w:rtl/>
        </w:rPr>
        <w:t>נסאסרה</w:t>
      </w:r>
      <w:proofErr w:type="spellEnd"/>
      <w:r w:rsidRPr="00200405">
        <w:rPr>
          <w:rFonts w:ascii="Century" w:hAnsi="Century" w:cs="Miriam" w:hint="cs"/>
          <w:b/>
          <w:spacing w:val="0"/>
          <w:sz w:val="22"/>
          <w:szCs w:val="24"/>
          <w:rtl/>
        </w:rPr>
        <w:t xml:space="preserve"> נ' לשכת עורכי-הדין בישראל, הוועד המרכזי</w:t>
      </w:r>
      <w:r w:rsidRPr="00B32C65">
        <w:rPr>
          <w:rFonts w:hint="cs"/>
          <w:rtl/>
        </w:rPr>
        <w:t>, פ"ד נט(4) 637</w:t>
      </w:r>
      <w:r>
        <w:rPr>
          <w:rFonts w:hint="cs"/>
          <w:rtl/>
        </w:rPr>
        <w:t>, 645, 664</w:t>
      </w:r>
      <w:r w:rsidRPr="00B32C65">
        <w:rPr>
          <w:rFonts w:hint="cs"/>
          <w:rtl/>
        </w:rPr>
        <w:t xml:space="preserve"> (2004)</w:t>
      </w:r>
      <w:r>
        <w:rPr>
          <w:rFonts w:hint="cs"/>
          <w:rtl/>
        </w:rPr>
        <w:t xml:space="preserve"> (להלן: עניין </w:t>
      </w:r>
      <w:r w:rsidRPr="00200405">
        <w:rPr>
          <w:rFonts w:ascii="Century" w:hAnsi="Century" w:cs="Miriam" w:hint="cs"/>
          <w:b/>
          <w:spacing w:val="0"/>
          <w:sz w:val="22"/>
          <w:szCs w:val="24"/>
          <w:rtl/>
        </w:rPr>
        <w:t xml:space="preserve">אל </w:t>
      </w:r>
      <w:proofErr w:type="spellStart"/>
      <w:r w:rsidRPr="00200405">
        <w:rPr>
          <w:rFonts w:ascii="Century" w:hAnsi="Century" w:cs="Miriam" w:hint="cs"/>
          <w:b/>
          <w:spacing w:val="0"/>
          <w:sz w:val="22"/>
          <w:szCs w:val="24"/>
          <w:rtl/>
        </w:rPr>
        <w:t>נסאסרה</w:t>
      </w:r>
      <w:proofErr w:type="spellEnd"/>
      <w:r>
        <w:rPr>
          <w:rFonts w:hint="cs"/>
          <w:rtl/>
        </w:rPr>
        <w:t xml:space="preserve">); כן ראו: </w:t>
      </w:r>
      <w:proofErr w:type="spellStart"/>
      <w:r>
        <w:rPr>
          <w:rFonts w:hint="cs"/>
          <w:rtl/>
        </w:rPr>
        <w:t>בש"פ</w:t>
      </w:r>
      <w:proofErr w:type="spellEnd"/>
      <w:r>
        <w:rPr>
          <w:rFonts w:hint="cs"/>
          <w:rtl/>
        </w:rPr>
        <w:t xml:space="preserve"> 1408/14 </w:t>
      </w:r>
      <w:r>
        <w:rPr>
          <w:rFonts w:ascii="Century" w:hAnsi="Century" w:cs="Miriam" w:hint="cs"/>
          <w:b/>
          <w:spacing w:val="0"/>
          <w:sz w:val="22"/>
          <w:szCs w:val="24"/>
          <w:rtl/>
        </w:rPr>
        <w:t>פלוני נ' מדינת ישראל</w:t>
      </w:r>
      <w:r>
        <w:rPr>
          <w:rFonts w:ascii="Century" w:hAnsi="Century" w:hint="cs"/>
          <w:sz w:val="22"/>
          <w:rtl/>
        </w:rPr>
        <w:t>, פסקה 16</w:t>
      </w:r>
      <w:r>
        <w:rPr>
          <w:rFonts w:ascii="Century" w:hAnsi="Century" w:cs="Miriam" w:hint="cs"/>
          <w:b/>
          <w:spacing w:val="0"/>
          <w:sz w:val="22"/>
          <w:szCs w:val="24"/>
          <w:rtl/>
        </w:rPr>
        <w:t xml:space="preserve"> </w:t>
      </w:r>
      <w:r>
        <w:rPr>
          <w:rFonts w:ascii="Century" w:hAnsi="Century" w:hint="cs"/>
          <w:sz w:val="22"/>
          <w:rtl/>
        </w:rPr>
        <w:t>(14.4.2014);</w:t>
      </w:r>
      <w:r>
        <w:rPr>
          <w:rFonts w:hint="cs"/>
          <w:rtl/>
        </w:rPr>
        <w:t xml:space="preserve"> יצחק עמית </w:t>
      </w:r>
      <w:r>
        <w:rPr>
          <w:rFonts w:ascii="Century" w:hAnsi="Century" w:cs="Miriam" w:hint="cs"/>
          <w:b/>
          <w:spacing w:val="0"/>
          <w:sz w:val="22"/>
          <w:szCs w:val="24"/>
          <w:rtl/>
        </w:rPr>
        <w:t xml:space="preserve">חסיונות ואינטרסים מוגנים </w:t>
      </w:r>
      <w:r>
        <w:rPr>
          <w:rFonts w:ascii="Century" w:hAnsi="Century" w:cs="Miriam"/>
          <w:b/>
          <w:spacing w:val="0"/>
          <w:sz w:val="22"/>
          <w:szCs w:val="24"/>
          <w:rtl/>
        </w:rPr>
        <w:t>–</w:t>
      </w:r>
      <w:r>
        <w:rPr>
          <w:rFonts w:ascii="Century" w:hAnsi="Century" w:cs="Miriam" w:hint="cs"/>
          <w:b/>
          <w:spacing w:val="0"/>
          <w:sz w:val="22"/>
          <w:szCs w:val="24"/>
          <w:rtl/>
        </w:rPr>
        <w:t xml:space="preserve"> הליכי גילוי ועיון במשפט האזרחי והפלילי</w:t>
      </w:r>
      <w:r>
        <w:rPr>
          <w:rFonts w:ascii="Century" w:hAnsi="Century" w:hint="cs"/>
          <w:sz w:val="22"/>
          <w:rtl/>
        </w:rPr>
        <w:t xml:space="preserve"> 813 (2021)</w:t>
      </w:r>
      <w:r>
        <w:rPr>
          <w:rFonts w:hint="cs"/>
          <w:rtl/>
        </w:rPr>
        <w:t>).</w:t>
      </w:r>
      <w:r w:rsidRPr="00E12E18">
        <w:rPr>
          <w:rFonts w:hint="cs"/>
          <w:rtl/>
        </w:rPr>
        <w:t xml:space="preserve"> </w:t>
      </w:r>
      <w:r>
        <w:rPr>
          <w:rFonts w:hint="cs"/>
          <w:rtl/>
        </w:rPr>
        <w:t xml:space="preserve">משכך, בעת בחינת מינויו של אדם </w:t>
      </w:r>
      <w:r>
        <w:rPr>
          <w:rtl/>
        </w:rPr>
        <w:t>–</w:t>
      </w:r>
      <w:r>
        <w:rPr>
          <w:rFonts w:hint="cs"/>
          <w:rtl/>
        </w:rPr>
        <w:t xml:space="preserve"> לא כל שכן מינויו למשרה רמה כשר בממשלה </w:t>
      </w:r>
      <w:r>
        <w:rPr>
          <w:rtl/>
        </w:rPr>
        <w:t>–</w:t>
      </w:r>
      <w:r>
        <w:rPr>
          <w:rFonts w:hint="cs"/>
          <w:rtl/>
        </w:rPr>
        <w:t xml:space="preserve"> על הרשות הממנה לבחון את מלוא התשתית הראייתית </w:t>
      </w:r>
      <w:r w:rsidRPr="00200405">
        <w:rPr>
          <w:rFonts w:ascii="Century" w:hAnsi="Century" w:cs="Miriam" w:hint="cs"/>
          <w:b/>
          <w:spacing w:val="0"/>
          <w:sz w:val="22"/>
          <w:szCs w:val="24"/>
          <w:rtl/>
        </w:rPr>
        <w:t>המינהלית</w:t>
      </w:r>
      <w:r w:rsidRPr="00200405">
        <w:rPr>
          <w:rFonts w:ascii="Century" w:hAnsi="Century" w:hint="cs"/>
          <w:sz w:val="22"/>
          <w:rtl/>
        </w:rPr>
        <w:t xml:space="preserve"> שניצבת לפניה בדבר התאמתו של אותו אדם למשרה. </w:t>
      </w:r>
      <w:r>
        <w:rPr>
          <w:rFonts w:hint="cs"/>
          <w:rtl/>
        </w:rPr>
        <w:t xml:space="preserve">בנסיבות מעין אלו רשאית הרשות </w:t>
      </w:r>
      <w:r>
        <w:rPr>
          <w:rFonts w:hint="cs"/>
          <w:rtl/>
        </w:rPr>
        <w:lastRenderedPageBreak/>
        <w:t xml:space="preserve">ואף מחויבת היא להידרש </w:t>
      </w:r>
      <w:r w:rsidRPr="00200405">
        <w:rPr>
          <w:rFonts w:ascii="Century" w:hAnsi="Century" w:hint="cs"/>
          <w:sz w:val="22"/>
          <w:rtl/>
        </w:rPr>
        <w:t>גם לעבירות פליליות שבהן הורשע (אף אם אלו נמחקו) ובידה להתייחס גם למעשים שבסופו של יום לא הולידו הרשעה פלילית (ראו והשוו: עניין</w:t>
      </w:r>
      <w:r w:rsidRPr="00200405">
        <w:rPr>
          <w:rFonts w:ascii="Century" w:hAnsi="Century" w:cs="Miriam" w:hint="cs"/>
          <w:b/>
          <w:spacing w:val="0"/>
          <w:sz w:val="22"/>
          <w:szCs w:val="24"/>
          <w:rtl/>
        </w:rPr>
        <w:t xml:space="preserve"> אייזנברג</w:t>
      </w:r>
      <w:r w:rsidRPr="00200405">
        <w:rPr>
          <w:rFonts w:ascii="Century" w:hAnsi="Century" w:hint="cs"/>
          <w:sz w:val="22"/>
          <w:rtl/>
        </w:rPr>
        <w:t xml:space="preserve">, בעמ' 272; בג"ץ 24/58 </w:t>
      </w:r>
      <w:r w:rsidRPr="00200405">
        <w:rPr>
          <w:rFonts w:ascii="Century" w:hAnsi="Century" w:cs="Miriam" w:hint="cs"/>
          <w:b/>
          <w:spacing w:val="0"/>
          <w:sz w:val="22"/>
          <w:szCs w:val="24"/>
          <w:rtl/>
        </w:rPr>
        <w:t>ארביב נ' שר הביטחון</w:t>
      </w:r>
      <w:r w:rsidRPr="00200405">
        <w:rPr>
          <w:rFonts w:ascii="Century" w:hAnsi="Century" w:hint="cs"/>
          <w:sz w:val="22"/>
          <w:rtl/>
        </w:rPr>
        <w:t xml:space="preserve">, פ"ד יב 651 (1958); בג"ץ 178/55 </w:t>
      </w:r>
      <w:r w:rsidRPr="00200405">
        <w:rPr>
          <w:rFonts w:ascii="Century" w:hAnsi="Century" w:cs="Miriam" w:hint="cs"/>
          <w:b/>
          <w:spacing w:val="0"/>
          <w:sz w:val="22"/>
          <w:szCs w:val="24"/>
          <w:rtl/>
        </w:rPr>
        <w:t>ארביב נ' מנהל המכס והבלו, חיפה</w:t>
      </w:r>
      <w:r w:rsidRPr="00200405">
        <w:rPr>
          <w:rFonts w:ascii="Century" w:hAnsi="Century" w:hint="cs"/>
          <w:sz w:val="22"/>
          <w:rtl/>
        </w:rPr>
        <w:t xml:space="preserve">, פ"ד י 407 (1956); כן ראו באופן כללי: </w:t>
      </w:r>
      <w:r w:rsidRPr="00200405">
        <w:rPr>
          <w:rFonts w:ascii="Century" w:hAnsi="Century" w:hint="eastAsia"/>
          <w:sz w:val="22"/>
          <w:rtl/>
        </w:rPr>
        <w:t>דפנה</w:t>
      </w:r>
      <w:r w:rsidRPr="00200405">
        <w:rPr>
          <w:rFonts w:ascii="Century" w:hAnsi="Century"/>
          <w:sz w:val="22"/>
          <w:rtl/>
        </w:rPr>
        <w:t xml:space="preserve"> </w:t>
      </w:r>
      <w:r w:rsidRPr="00200405">
        <w:rPr>
          <w:rFonts w:ascii="Century" w:hAnsi="Century" w:hint="eastAsia"/>
          <w:sz w:val="22"/>
          <w:rtl/>
        </w:rPr>
        <w:t>ברק</w:t>
      </w:r>
      <w:r w:rsidRPr="00200405">
        <w:rPr>
          <w:rFonts w:ascii="Century" w:hAnsi="Century"/>
          <w:sz w:val="22"/>
          <w:rtl/>
        </w:rPr>
        <w:t>-</w:t>
      </w:r>
      <w:r w:rsidRPr="00200405">
        <w:rPr>
          <w:rFonts w:ascii="Century" w:hAnsi="Century" w:hint="eastAsia"/>
          <w:sz w:val="22"/>
          <w:rtl/>
        </w:rPr>
        <w:t>ארז</w:t>
      </w:r>
      <w:r w:rsidRPr="00200405">
        <w:rPr>
          <w:rFonts w:ascii="Century" w:hAnsi="Century"/>
          <w:sz w:val="22"/>
          <w:rtl/>
        </w:rPr>
        <w:t xml:space="preserve"> </w:t>
      </w:r>
      <w:r w:rsidRPr="00200405">
        <w:rPr>
          <w:rFonts w:ascii="Century" w:hAnsi="Century" w:cs="Miriam" w:hint="eastAsia"/>
          <w:b/>
          <w:spacing w:val="0"/>
          <w:sz w:val="22"/>
          <w:szCs w:val="24"/>
          <w:rtl/>
        </w:rPr>
        <w:t>משפט</w:t>
      </w:r>
      <w:r w:rsidRPr="00200405">
        <w:rPr>
          <w:rFonts w:ascii="Century" w:hAnsi="Century" w:cs="Miriam"/>
          <w:b/>
          <w:spacing w:val="0"/>
          <w:sz w:val="22"/>
          <w:szCs w:val="24"/>
          <w:rtl/>
        </w:rPr>
        <w:t xml:space="preserve"> </w:t>
      </w:r>
      <w:r w:rsidRPr="00200405">
        <w:rPr>
          <w:rFonts w:ascii="Century" w:hAnsi="Century" w:cs="Miriam" w:hint="eastAsia"/>
          <w:b/>
          <w:spacing w:val="0"/>
          <w:sz w:val="22"/>
          <w:szCs w:val="24"/>
          <w:rtl/>
        </w:rPr>
        <w:t>מינהלי</w:t>
      </w:r>
      <w:r w:rsidRPr="00200405">
        <w:rPr>
          <w:rFonts w:ascii="Century" w:hAnsi="Century"/>
          <w:sz w:val="22"/>
          <w:rtl/>
        </w:rPr>
        <w:t xml:space="preserve"> </w:t>
      </w:r>
      <w:r w:rsidRPr="00200405">
        <w:rPr>
          <w:rFonts w:ascii="Century" w:hAnsi="Century" w:hint="eastAsia"/>
          <w:sz w:val="22"/>
          <w:rtl/>
        </w:rPr>
        <w:t>כרך</w:t>
      </w:r>
      <w:r w:rsidRPr="00200405">
        <w:rPr>
          <w:rFonts w:ascii="Century" w:hAnsi="Century"/>
          <w:sz w:val="22"/>
          <w:rtl/>
        </w:rPr>
        <w:t xml:space="preserve"> </w:t>
      </w:r>
      <w:r w:rsidRPr="00200405">
        <w:rPr>
          <w:rFonts w:ascii="Century" w:hAnsi="Century" w:hint="eastAsia"/>
          <w:sz w:val="22"/>
          <w:rtl/>
        </w:rPr>
        <w:t>א</w:t>
      </w:r>
      <w:r w:rsidRPr="00200405">
        <w:rPr>
          <w:rFonts w:ascii="Century" w:hAnsi="Century"/>
          <w:sz w:val="22"/>
          <w:rtl/>
        </w:rPr>
        <w:t xml:space="preserve"> </w:t>
      </w:r>
      <w:r w:rsidRPr="00200405">
        <w:rPr>
          <w:rFonts w:ascii="Century" w:hAnsi="Century" w:hint="cs"/>
          <w:sz w:val="22"/>
          <w:rtl/>
        </w:rPr>
        <w:t>455</w:t>
      </w:r>
      <w:r w:rsidRPr="00200405">
        <w:rPr>
          <w:rFonts w:ascii="Century" w:hAnsi="Century"/>
          <w:sz w:val="22"/>
          <w:rtl/>
        </w:rPr>
        <w:t>-451 (2010)</w:t>
      </w:r>
      <w:r w:rsidRPr="00200405">
        <w:rPr>
          <w:rFonts w:ascii="Century" w:hAnsi="Century" w:hint="cs"/>
          <w:sz w:val="22"/>
          <w:rtl/>
        </w:rPr>
        <w:t>).</w:t>
      </w:r>
    </w:p>
    <w:p w14:paraId="201A0918" w14:textId="77777777" w:rsidR="00C21353" w:rsidRDefault="00C21353" w:rsidP="00C21353">
      <w:pPr>
        <w:pStyle w:val="Ruller4"/>
        <w:numPr>
          <w:ilvl w:val="0"/>
          <w:numId w:val="0"/>
        </w:numPr>
      </w:pPr>
    </w:p>
    <w:p w14:paraId="21DBA760" w14:textId="77777777" w:rsidR="00C21353" w:rsidRPr="00DB3802" w:rsidRDefault="00C21353" w:rsidP="00C21353">
      <w:pPr>
        <w:pStyle w:val="Ruller4"/>
      </w:pPr>
      <w:r>
        <w:rPr>
          <w:rFonts w:hint="cs"/>
          <w:rtl/>
        </w:rPr>
        <w:t xml:space="preserve">בכל הנוגע לשאלת </w:t>
      </w:r>
      <w:r w:rsidRPr="00B16C0A">
        <w:rPr>
          <w:rFonts w:ascii="Century" w:hAnsi="Century" w:cs="Miriam" w:hint="cs"/>
          <w:b/>
          <w:spacing w:val="0"/>
          <w:sz w:val="22"/>
          <w:szCs w:val="24"/>
          <w:rtl/>
        </w:rPr>
        <w:t>המשקל</w:t>
      </w:r>
      <w:r w:rsidRPr="00B16C0A">
        <w:rPr>
          <w:rFonts w:ascii="Century" w:hAnsi="Century" w:hint="cs"/>
          <w:sz w:val="22"/>
          <w:rtl/>
        </w:rPr>
        <w:t xml:space="preserve"> </w:t>
      </w:r>
      <w:r>
        <w:rPr>
          <w:rFonts w:ascii="Century" w:hAnsi="Century" w:hint="cs"/>
          <w:sz w:val="22"/>
          <w:rtl/>
        </w:rPr>
        <w:t xml:space="preserve">שיש ליתן לאותן הרשעות, </w:t>
      </w:r>
      <w:r>
        <w:rPr>
          <w:rFonts w:hint="cs"/>
          <w:rtl/>
        </w:rPr>
        <w:t xml:space="preserve">ובכלל זאת לשאלה אם העבירות התיישנו או נמחקו, מקובלת עלי במישור העקרוני העמדה שהובעה גם בעניין </w:t>
      </w:r>
      <w:r w:rsidRPr="00CF38C4">
        <w:rPr>
          <w:rFonts w:ascii="Century" w:hAnsi="Century" w:cs="Miriam" w:hint="cs"/>
          <w:b/>
          <w:spacing w:val="0"/>
          <w:sz w:val="22"/>
          <w:szCs w:val="24"/>
          <w:rtl/>
        </w:rPr>
        <w:t xml:space="preserve">דרעי השני </w:t>
      </w:r>
      <w:r w:rsidRPr="00CF38C4">
        <w:rPr>
          <w:rFonts w:ascii="Century" w:hAnsi="Century" w:hint="cs"/>
          <w:sz w:val="22"/>
          <w:rtl/>
        </w:rPr>
        <w:t xml:space="preserve">ובעניין </w:t>
      </w:r>
      <w:r w:rsidRPr="00CF38C4">
        <w:rPr>
          <w:rFonts w:ascii="Century" w:hAnsi="Century" w:cs="Miriam" w:hint="cs"/>
          <w:b/>
          <w:spacing w:val="0"/>
          <w:sz w:val="22"/>
          <w:szCs w:val="24"/>
          <w:rtl/>
        </w:rPr>
        <w:t xml:space="preserve">דרעי </w:t>
      </w:r>
      <w:r w:rsidRPr="00C95EF5">
        <w:rPr>
          <w:rFonts w:ascii="Century" w:hAnsi="Century" w:cs="Miriam" w:hint="cs"/>
          <w:b/>
          <w:spacing w:val="0"/>
          <w:sz w:val="22"/>
          <w:szCs w:val="24"/>
          <w:rtl/>
        </w:rPr>
        <w:t>השלישי</w:t>
      </w:r>
      <w:r w:rsidRPr="00CF38C4">
        <w:rPr>
          <w:rFonts w:ascii="Century" w:hAnsi="Century" w:hint="cs"/>
          <w:sz w:val="22"/>
          <w:rtl/>
        </w:rPr>
        <w:t xml:space="preserve">, </w:t>
      </w:r>
      <w:r>
        <w:rPr>
          <w:rFonts w:ascii="Century" w:hAnsi="Century" w:hint="cs"/>
          <w:sz w:val="22"/>
          <w:rtl/>
        </w:rPr>
        <w:t xml:space="preserve">שלפיה </w:t>
      </w:r>
      <w:r w:rsidRPr="00CF38C4">
        <w:rPr>
          <w:rFonts w:ascii="Century" w:hAnsi="Century" w:hint="cs"/>
          <w:sz w:val="22"/>
          <w:rtl/>
        </w:rPr>
        <w:t>שיקול</w:t>
      </w:r>
      <w:r>
        <w:rPr>
          <w:rFonts w:ascii="Century" w:hAnsi="Century" w:hint="cs"/>
          <w:sz w:val="22"/>
          <w:rtl/>
        </w:rPr>
        <w:t xml:space="preserve"> אחרון</w:t>
      </w:r>
      <w:r w:rsidRPr="00CF38C4">
        <w:rPr>
          <w:rFonts w:ascii="Century" w:hAnsi="Century" w:hint="cs"/>
          <w:sz w:val="22"/>
          <w:rtl/>
        </w:rPr>
        <w:t xml:space="preserve"> זה הוא מהשיקולים העיקריים שמקהים את </w:t>
      </w:r>
      <w:r>
        <w:rPr>
          <w:rFonts w:ascii="Century" w:hAnsi="Century" w:hint="cs"/>
          <w:sz w:val="22"/>
          <w:rtl/>
        </w:rPr>
        <w:t>משקל</w:t>
      </w:r>
      <w:r w:rsidRPr="00CF38C4">
        <w:rPr>
          <w:rFonts w:ascii="Century" w:hAnsi="Century" w:hint="cs"/>
          <w:sz w:val="22"/>
          <w:rtl/>
        </w:rPr>
        <w:t xml:space="preserve"> חומרת המעשים שבהם הורשע. זאת ועוד, מקובלת עליי נקודת המוצא של בא כוחו של דרעי בטיעונו כי מחיקת ההרשעה (בנוסף על התיישנותה) נושאת עמה משקל </w:t>
      </w:r>
      <w:r w:rsidRPr="000D5ADE">
        <w:rPr>
          <w:rFonts w:ascii="Century" w:hAnsi="Century" w:hint="cs"/>
          <w:sz w:val="22"/>
          <w:rtl/>
        </w:rPr>
        <w:t xml:space="preserve">בהקשר זה </w:t>
      </w:r>
      <w:r w:rsidRPr="0018447A">
        <w:rPr>
          <w:rFonts w:ascii="Century" w:hAnsi="Century" w:hint="cs"/>
          <w:sz w:val="22"/>
          <w:rtl/>
        </w:rPr>
        <w:t xml:space="preserve">(וראו באופן כללי: </w:t>
      </w:r>
      <w:r w:rsidRPr="0018447A">
        <w:rPr>
          <w:rFonts w:hint="cs"/>
          <w:rtl/>
        </w:rPr>
        <w:t xml:space="preserve">ש"ז </w:t>
      </w:r>
      <w:proofErr w:type="spellStart"/>
      <w:r w:rsidRPr="0018447A">
        <w:rPr>
          <w:rFonts w:hint="cs"/>
          <w:rtl/>
        </w:rPr>
        <w:t>פלר</w:t>
      </w:r>
      <w:proofErr w:type="spellEnd"/>
      <w:r w:rsidRPr="0018447A">
        <w:rPr>
          <w:rFonts w:hint="cs"/>
          <w:rtl/>
        </w:rPr>
        <w:t xml:space="preserve"> </w:t>
      </w:r>
      <w:r w:rsidRPr="0018447A">
        <w:rPr>
          <w:rFonts w:cs="Miriam" w:hint="cs"/>
          <w:b/>
          <w:spacing w:val="0"/>
          <w:sz w:val="22"/>
          <w:szCs w:val="24"/>
          <w:rtl/>
        </w:rPr>
        <w:t>יסודות בדיני העונשין</w:t>
      </w:r>
      <w:r w:rsidRPr="0018447A">
        <w:rPr>
          <w:rFonts w:cs="Miriam" w:hint="cs"/>
          <w:b/>
          <w:spacing w:val="0"/>
          <w:szCs w:val="24"/>
          <w:rtl/>
        </w:rPr>
        <w:t xml:space="preserve"> </w:t>
      </w:r>
      <w:r w:rsidRPr="0018447A">
        <w:rPr>
          <w:rFonts w:hint="cs"/>
          <w:rtl/>
        </w:rPr>
        <w:t xml:space="preserve">כרך ב </w:t>
      </w:r>
      <w:r>
        <w:rPr>
          <w:rFonts w:hint="cs"/>
          <w:rtl/>
        </w:rPr>
        <w:t xml:space="preserve">664-663 </w:t>
      </w:r>
      <w:r w:rsidRPr="0018447A">
        <w:rPr>
          <w:rFonts w:hint="cs"/>
          <w:rtl/>
        </w:rPr>
        <w:t>(1987)</w:t>
      </w:r>
      <w:r w:rsidRPr="0018447A">
        <w:rPr>
          <w:rFonts w:ascii="Century" w:hAnsi="Century" w:hint="cs"/>
          <w:sz w:val="22"/>
          <w:rtl/>
        </w:rPr>
        <w:t>). עם זאת</w:t>
      </w:r>
      <w:r w:rsidRPr="00181903">
        <w:rPr>
          <w:rFonts w:ascii="Century" w:hAnsi="Century" w:hint="cs"/>
          <w:sz w:val="22"/>
          <w:rtl/>
        </w:rPr>
        <w:t>,</w:t>
      </w:r>
      <w:r w:rsidRPr="000D5ADE">
        <w:rPr>
          <w:rFonts w:ascii="Century" w:hAnsi="Century" w:hint="cs"/>
          <w:sz w:val="22"/>
          <w:rtl/>
        </w:rPr>
        <w:t xml:space="preserve"> כאמור, לפני </w:t>
      </w:r>
      <w:r>
        <w:rPr>
          <w:rFonts w:ascii="Century" w:hAnsi="Century" w:hint="cs"/>
          <w:sz w:val="22"/>
          <w:rtl/>
        </w:rPr>
        <w:t>כשנה</w:t>
      </w:r>
      <w:r w:rsidRPr="000D5ADE">
        <w:rPr>
          <w:rFonts w:ascii="Century" w:hAnsi="Century" w:hint="cs"/>
          <w:sz w:val="22"/>
          <w:rtl/>
        </w:rPr>
        <w:t xml:space="preserve"> הורשע דרעי </w:t>
      </w:r>
      <w:r w:rsidRPr="000D5ADE">
        <w:rPr>
          <w:rFonts w:ascii="Century" w:hAnsi="Century"/>
          <w:sz w:val="22"/>
          <w:rtl/>
        </w:rPr>
        <w:t>–</w:t>
      </w:r>
      <w:r w:rsidRPr="00CF38C4">
        <w:rPr>
          <w:rFonts w:ascii="Century" w:hAnsi="Century" w:hint="cs"/>
          <w:sz w:val="22"/>
          <w:rtl/>
        </w:rPr>
        <w:t xml:space="preserve"> בפעם השלישית </w:t>
      </w:r>
      <w:r w:rsidRPr="00CF38C4">
        <w:rPr>
          <w:rFonts w:ascii="Century" w:hAnsi="Century"/>
          <w:sz w:val="22"/>
          <w:rtl/>
        </w:rPr>
        <w:t>–</w:t>
      </w:r>
      <w:r w:rsidRPr="00CF38C4">
        <w:rPr>
          <w:rFonts w:ascii="Century" w:hAnsi="Century" w:hint="cs"/>
          <w:sz w:val="22"/>
          <w:rtl/>
        </w:rPr>
        <w:t xml:space="preserve"> בביצוע עבירות פליליות. לכאורה, עשוי הדבר לעורר שאלה בדבר</w:t>
      </w:r>
      <w:r>
        <w:rPr>
          <w:rFonts w:ascii="Century" w:hAnsi="Century" w:hint="cs"/>
          <w:sz w:val="22"/>
          <w:rtl/>
        </w:rPr>
        <w:t xml:space="preserve"> </w:t>
      </w:r>
      <w:r w:rsidRPr="00B16C0A">
        <w:rPr>
          <w:rFonts w:ascii="Century" w:hAnsi="Century" w:cs="Miriam" w:hint="cs"/>
          <w:b/>
          <w:spacing w:val="0"/>
          <w:sz w:val="22"/>
          <w:szCs w:val="24"/>
          <w:rtl/>
        </w:rPr>
        <w:t>עצם מחיקת</w:t>
      </w:r>
      <w:r w:rsidRPr="00B16C0A">
        <w:rPr>
          <w:rFonts w:ascii="Century" w:hAnsi="Century" w:hint="cs"/>
          <w:sz w:val="22"/>
          <w:rtl/>
        </w:rPr>
        <w:t xml:space="preserve"> </w:t>
      </w:r>
      <w:r w:rsidRPr="00CF38C4">
        <w:rPr>
          <w:rFonts w:ascii="Century" w:hAnsi="Century" w:hint="cs"/>
          <w:sz w:val="22"/>
          <w:rtl/>
        </w:rPr>
        <w:t>האישומים הקודמים (</w:t>
      </w:r>
      <w:r>
        <w:rPr>
          <w:rFonts w:ascii="Century" w:hAnsi="Century" w:hint="cs"/>
          <w:sz w:val="22"/>
          <w:rtl/>
        </w:rPr>
        <w:t xml:space="preserve">ראו את הוראות הדין שנוגעות לתקופת המחיקה מקום שבו נצברה לחובתו של אדם הרשעה נוספת: סעיף 21(ג) לחוק המידע הפלילי, ובמסגרת </w:t>
      </w:r>
      <w:r w:rsidRPr="00181903">
        <w:rPr>
          <w:rFonts w:ascii="Century" w:hAnsi="Century" w:hint="cs"/>
          <w:sz w:val="22"/>
          <w:rtl/>
        </w:rPr>
        <w:t>החוק הקודם: סעיף 16(ב1) ל</w:t>
      </w:r>
      <w:r w:rsidRPr="00181903">
        <w:rPr>
          <w:rFonts w:ascii="Century" w:hAnsi="Century" w:hint="eastAsia"/>
          <w:sz w:val="22"/>
          <w:rtl/>
        </w:rPr>
        <w:t>חוק</w:t>
      </w:r>
      <w:r w:rsidRPr="00181903">
        <w:rPr>
          <w:rFonts w:ascii="Century" w:hAnsi="Century"/>
          <w:sz w:val="22"/>
          <w:rtl/>
        </w:rPr>
        <w:t xml:space="preserve"> </w:t>
      </w:r>
      <w:r w:rsidRPr="00181903">
        <w:rPr>
          <w:rFonts w:ascii="Century" w:hAnsi="Century" w:hint="eastAsia"/>
          <w:sz w:val="22"/>
          <w:rtl/>
        </w:rPr>
        <w:t>המרשם</w:t>
      </w:r>
      <w:r w:rsidRPr="00181903">
        <w:rPr>
          <w:rFonts w:ascii="Century" w:hAnsi="Century"/>
          <w:sz w:val="22"/>
          <w:rtl/>
        </w:rPr>
        <w:t xml:space="preserve"> </w:t>
      </w:r>
      <w:r w:rsidRPr="00181903">
        <w:rPr>
          <w:rFonts w:ascii="Century" w:hAnsi="Century" w:hint="eastAsia"/>
          <w:sz w:val="22"/>
          <w:rtl/>
        </w:rPr>
        <w:t>הפלילי</w:t>
      </w:r>
      <w:r w:rsidRPr="00181903">
        <w:rPr>
          <w:rFonts w:ascii="Century" w:hAnsi="Century"/>
          <w:sz w:val="22"/>
          <w:rtl/>
        </w:rPr>
        <w:t xml:space="preserve"> </w:t>
      </w:r>
      <w:r w:rsidRPr="00181903">
        <w:rPr>
          <w:rFonts w:ascii="Century" w:hAnsi="Century" w:hint="eastAsia"/>
          <w:sz w:val="22"/>
          <w:rtl/>
        </w:rPr>
        <w:t>ותקנת</w:t>
      </w:r>
      <w:r w:rsidRPr="00181903">
        <w:rPr>
          <w:rFonts w:ascii="Century" w:hAnsi="Century"/>
          <w:sz w:val="22"/>
          <w:rtl/>
        </w:rPr>
        <w:t xml:space="preserve"> </w:t>
      </w:r>
      <w:r w:rsidRPr="00181903">
        <w:rPr>
          <w:rFonts w:ascii="Century" w:hAnsi="Century" w:hint="eastAsia"/>
          <w:sz w:val="22"/>
          <w:rtl/>
        </w:rPr>
        <w:t>השבים</w:t>
      </w:r>
      <w:r w:rsidRPr="00181903">
        <w:rPr>
          <w:rFonts w:ascii="Century" w:hAnsi="Century"/>
          <w:sz w:val="22"/>
          <w:rtl/>
        </w:rPr>
        <w:t xml:space="preserve">, </w:t>
      </w:r>
      <w:r w:rsidRPr="00181903">
        <w:rPr>
          <w:rFonts w:ascii="Century" w:hAnsi="Century" w:hint="cs"/>
          <w:sz w:val="22"/>
          <w:rtl/>
        </w:rPr>
        <w:t>ה</w:t>
      </w:r>
      <w:r w:rsidRPr="00181903">
        <w:rPr>
          <w:rFonts w:ascii="Century" w:hAnsi="Century" w:hint="eastAsia"/>
          <w:sz w:val="22"/>
          <w:rtl/>
        </w:rPr>
        <w:t>תשמ</w:t>
      </w:r>
      <w:r w:rsidRPr="00181903">
        <w:rPr>
          <w:rFonts w:ascii="Century" w:hAnsi="Century"/>
          <w:sz w:val="22"/>
          <w:rtl/>
        </w:rPr>
        <w:t>"</w:t>
      </w:r>
      <w:r w:rsidRPr="00181903">
        <w:rPr>
          <w:rFonts w:ascii="Century" w:hAnsi="Century" w:hint="eastAsia"/>
          <w:sz w:val="22"/>
          <w:rtl/>
        </w:rPr>
        <w:t>א</w:t>
      </w:r>
      <w:r w:rsidRPr="00181903">
        <w:rPr>
          <w:rFonts w:ascii="Century" w:hAnsi="Century"/>
          <w:sz w:val="22"/>
          <w:rtl/>
        </w:rPr>
        <w:t>-1981</w:t>
      </w:r>
      <w:r w:rsidRPr="00181903">
        <w:rPr>
          <w:rFonts w:ascii="Century" w:hAnsi="Century" w:hint="cs"/>
          <w:sz w:val="22"/>
          <w:rtl/>
        </w:rPr>
        <w:t>). ואולם</w:t>
      </w:r>
      <w:r w:rsidRPr="00181903">
        <w:rPr>
          <w:rFonts w:hint="cs"/>
          <w:rtl/>
        </w:rPr>
        <w:t xml:space="preserve">, אף </w:t>
      </w:r>
      <w:r>
        <w:rPr>
          <w:rFonts w:hint="cs"/>
          <w:rtl/>
        </w:rPr>
        <w:t>בהנחה</w:t>
      </w:r>
      <w:r w:rsidRPr="00181903">
        <w:rPr>
          <w:rFonts w:hint="cs"/>
          <w:rtl/>
        </w:rPr>
        <w:t xml:space="preserve"> </w:t>
      </w:r>
      <w:r>
        <w:rPr>
          <w:rFonts w:hint="cs"/>
          <w:rtl/>
        </w:rPr>
        <w:t>ש</w:t>
      </w:r>
      <w:r w:rsidRPr="00181903">
        <w:rPr>
          <w:rFonts w:hint="cs"/>
          <w:rtl/>
        </w:rPr>
        <w:t>עב</w:t>
      </w:r>
      <w:r>
        <w:rPr>
          <w:rFonts w:hint="cs"/>
          <w:rtl/>
        </w:rPr>
        <w:t>י</w:t>
      </w:r>
      <w:r w:rsidRPr="00181903">
        <w:rPr>
          <w:rFonts w:hint="cs"/>
          <w:rtl/>
        </w:rPr>
        <w:t>רות אלו אכן נמחקו (</w:t>
      </w:r>
      <w:r>
        <w:rPr>
          <w:rFonts w:hint="cs"/>
          <w:rtl/>
        </w:rPr>
        <w:t xml:space="preserve">נוכח העמדה </w:t>
      </w:r>
      <w:r w:rsidRPr="00181903">
        <w:rPr>
          <w:rFonts w:hint="cs"/>
          <w:rtl/>
        </w:rPr>
        <w:t>הפרשנית שהציג</w:t>
      </w:r>
      <w:r>
        <w:rPr>
          <w:rFonts w:hint="cs"/>
          <w:rtl/>
        </w:rPr>
        <w:t xml:space="preserve"> בא כוח היועצת המשפטית לממשלה בדיון לפנינו בהקשר זה, שאיני נוטע בה מסמרות)</w:t>
      </w:r>
      <w:r w:rsidRPr="00B16C0A">
        <w:rPr>
          <w:rFonts w:ascii="Century" w:hAnsi="Century" w:hint="cs"/>
          <w:sz w:val="22"/>
          <w:rtl/>
        </w:rPr>
        <w:t xml:space="preserve">, </w:t>
      </w:r>
      <w:r>
        <w:rPr>
          <w:rFonts w:ascii="Century" w:hAnsi="Century" w:hint="cs"/>
          <w:sz w:val="22"/>
          <w:rtl/>
        </w:rPr>
        <w:t>העבירה הנוספת מפחיתה</w:t>
      </w:r>
      <w:r w:rsidRPr="00B16C0A">
        <w:rPr>
          <w:rFonts w:ascii="Century" w:hAnsi="Century" w:hint="cs"/>
          <w:sz w:val="22"/>
          <w:rtl/>
        </w:rPr>
        <w:t xml:space="preserve"> בעיני</w:t>
      </w:r>
      <w:r>
        <w:rPr>
          <w:rFonts w:ascii="Century" w:hAnsi="Century" w:hint="cs"/>
          <w:sz w:val="22"/>
          <w:rtl/>
        </w:rPr>
        <w:t xml:space="preserve"> באופן ניכר את</w:t>
      </w:r>
      <w:r w:rsidRPr="00B16C0A">
        <w:rPr>
          <w:rFonts w:ascii="Century" w:hAnsi="Century" w:hint="cs"/>
          <w:sz w:val="22"/>
          <w:rtl/>
        </w:rPr>
        <w:t xml:space="preserve"> המשקל שיש ליתן לחלוף הזמן </w:t>
      </w:r>
      <w:r>
        <w:rPr>
          <w:rFonts w:ascii="Century" w:hAnsi="Century" w:hint="cs"/>
          <w:sz w:val="22"/>
          <w:rtl/>
        </w:rPr>
        <w:t xml:space="preserve">כשיקול </w:t>
      </w:r>
      <w:r w:rsidRPr="00B16C0A">
        <w:rPr>
          <w:rFonts w:ascii="Century" w:hAnsi="Century" w:hint="cs"/>
          <w:sz w:val="22"/>
          <w:rtl/>
        </w:rPr>
        <w:t xml:space="preserve">ממתן. </w:t>
      </w:r>
      <w:r>
        <w:rPr>
          <w:rFonts w:ascii="Century" w:hAnsi="Century" w:hint="cs"/>
          <w:sz w:val="22"/>
          <w:rtl/>
        </w:rPr>
        <w:t xml:space="preserve">בא </w:t>
      </w:r>
      <w:r w:rsidRPr="00B16C0A">
        <w:rPr>
          <w:rFonts w:ascii="Century" w:hAnsi="Century" w:hint="cs"/>
          <w:sz w:val="22"/>
          <w:rtl/>
        </w:rPr>
        <w:t>כוחו של דרעי</w:t>
      </w:r>
      <w:r>
        <w:rPr>
          <w:rFonts w:ascii="Century" w:hAnsi="Century" w:hint="cs"/>
          <w:sz w:val="22"/>
          <w:rtl/>
        </w:rPr>
        <w:t xml:space="preserve"> ביקש לסמוך ידיו </w:t>
      </w:r>
      <w:r w:rsidRPr="00B16C0A">
        <w:rPr>
          <w:rFonts w:ascii="Century" w:hAnsi="Century" w:hint="cs"/>
          <w:sz w:val="22"/>
          <w:rtl/>
        </w:rPr>
        <w:t xml:space="preserve">על </w:t>
      </w:r>
      <w:proofErr w:type="spellStart"/>
      <w:r w:rsidRPr="00B16C0A">
        <w:rPr>
          <w:rFonts w:ascii="Century" w:hAnsi="Century" w:hint="cs"/>
          <w:sz w:val="22"/>
          <w:rtl/>
        </w:rPr>
        <w:t>הרציונלים</w:t>
      </w:r>
      <w:proofErr w:type="spellEnd"/>
      <w:r>
        <w:rPr>
          <w:rFonts w:ascii="Century" w:hAnsi="Century" w:hint="cs"/>
          <w:sz w:val="22"/>
          <w:rtl/>
        </w:rPr>
        <w:t xml:space="preserve"> השיקומיים</w:t>
      </w:r>
      <w:r w:rsidRPr="00B16C0A">
        <w:rPr>
          <w:rFonts w:ascii="Century" w:hAnsi="Century" w:hint="cs"/>
          <w:sz w:val="22"/>
          <w:rtl/>
        </w:rPr>
        <w:t xml:space="preserve"> שביסוד חוק המידע הפלילי, אך יפים לעניין זה דבריה של השופטת </w:t>
      </w:r>
      <w:r w:rsidRPr="00B16C0A">
        <w:rPr>
          <w:rFonts w:ascii="Century" w:hAnsi="Century" w:cs="Miriam" w:hint="cs"/>
          <w:b/>
          <w:spacing w:val="0"/>
          <w:sz w:val="22"/>
          <w:szCs w:val="24"/>
          <w:rtl/>
        </w:rPr>
        <w:t xml:space="preserve">ד' ביניש </w:t>
      </w:r>
      <w:r w:rsidRPr="00B16C0A">
        <w:rPr>
          <w:rFonts w:ascii="Century" w:hAnsi="Century" w:hint="cs"/>
          <w:sz w:val="22"/>
          <w:rtl/>
        </w:rPr>
        <w:t xml:space="preserve">בעניין </w:t>
      </w:r>
      <w:r w:rsidRPr="00B16C0A">
        <w:rPr>
          <w:rFonts w:ascii="Century" w:hAnsi="Century" w:cs="Miriam" w:hint="cs"/>
          <w:b/>
          <w:spacing w:val="0"/>
          <w:sz w:val="22"/>
          <w:szCs w:val="24"/>
          <w:rtl/>
        </w:rPr>
        <w:t xml:space="preserve">אל </w:t>
      </w:r>
      <w:proofErr w:type="spellStart"/>
      <w:r w:rsidRPr="00B16C0A">
        <w:rPr>
          <w:rFonts w:ascii="Century" w:hAnsi="Century" w:cs="Miriam" w:hint="cs"/>
          <w:b/>
          <w:spacing w:val="0"/>
          <w:sz w:val="22"/>
          <w:szCs w:val="24"/>
          <w:rtl/>
        </w:rPr>
        <w:t>נסאסרה</w:t>
      </w:r>
      <w:proofErr w:type="spellEnd"/>
      <w:r w:rsidRPr="00B16C0A">
        <w:rPr>
          <w:rFonts w:ascii="Century" w:hAnsi="Century" w:hint="cs"/>
          <w:sz w:val="22"/>
          <w:rtl/>
        </w:rPr>
        <w:t>:</w:t>
      </w:r>
    </w:p>
    <w:p w14:paraId="02B0D68F" w14:textId="77777777" w:rsidR="00C21353" w:rsidRDefault="00C21353" w:rsidP="00C21353">
      <w:pPr>
        <w:pStyle w:val="Ruller4"/>
        <w:numPr>
          <w:ilvl w:val="0"/>
          <w:numId w:val="0"/>
        </w:numPr>
        <w:rPr>
          <w:rtl/>
        </w:rPr>
      </w:pPr>
    </w:p>
    <w:p w14:paraId="5523E6C4" w14:textId="77777777" w:rsidR="00C21353" w:rsidRDefault="00C21353" w:rsidP="00C21353">
      <w:pPr>
        <w:pStyle w:val="Ruller5"/>
        <w:rPr>
          <w:rtl/>
        </w:rPr>
      </w:pPr>
      <w:r>
        <w:rPr>
          <w:rFonts w:hint="cs"/>
          <w:rtl/>
        </w:rPr>
        <w:t>"</w:t>
      </w:r>
      <w:r>
        <w:rPr>
          <w:rFonts w:hint="eastAsia"/>
          <w:rtl/>
        </w:rPr>
        <w:t>אין</w:t>
      </w:r>
      <w:r>
        <w:rPr>
          <w:rtl/>
        </w:rPr>
        <w:t xml:space="preserve"> </w:t>
      </w:r>
      <w:r>
        <w:rPr>
          <w:rFonts w:hint="eastAsia"/>
          <w:rtl/>
        </w:rPr>
        <w:t>ספק</w:t>
      </w:r>
      <w:r>
        <w:rPr>
          <w:rtl/>
        </w:rPr>
        <w:t xml:space="preserve"> </w:t>
      </w:r>
      <w:r>
        <w:rPr>
          <w:rFonts w:hint="eastAsia"/>
          <w:rtl/>
        </w:rPr>
        <w:t>כי</w:t>
      </w:r>
      <w:r>
        <w:rPr>
          <w:rtl/>
        </w:rPr>
        <w:t xml:space="preserve"> </w:t>
      </w:r>
      <w:r>
        <w:rPr>
          <w:rFonts w:hint="eastAsia"/>
          <w:rtl/>
        </w:rPr>
        <w:t>התכלית</w:t>
      </w:r>
      <w:r>
        <w:rPr>
          <w:rtl/>
        </w:rPr>
        <w:t xml:space="preserve"> </w:t>
      </w:r>
      <w:r>
        <w:rPr>
          <w:rFonts w:hint="eastAsia"/>
          <w:rtl/>
        </w:rPr>
        <w:t>השיקומית</w:t>
      </w:r>
      <w:r>
        <w:rPr>
          <w:rtl/>
        </w:rPr>
        <w:t xml:space="preserve"> </w:t>
      </w:r>
      <w:r>
        <w:rPr>
          <w:rFonts w:hint="eastAsia"/>
          <w:rtl/>
        </w:rPr>
        <w:t>המונחת</w:t>
      </w:r>
      <w:r>
        <w:rPr>
          <w:rtl/>
        </w:rPr>
        <w:t xml:space="preserve"> </w:t>
      </w:r>
      <w:r>
        <w:rPr>
          <w:rFonts w:hint="eastAsia"/>
          <w:rtl/>
        </w:rPr>
        <w:t>בבסיס</w:t>
      </w:r>
      <w:r>
        <w:rPr>
          <w:rtl/>
        </w:rPr>
        <w:t xml:space="preserve"> </w:t>
      </w:r>
      <w:r>
        <w:rPr>
          <w:rFonts w:hint="eastAsia"/>
          <w:rtl/>
        </w:rPr>
        <w:t>הסדר</w:t>
      </w:r>
      <w:r>
        <w:rPr>
          <w:rtl/>
        </w:rPr>
        <w:t xml:space="preserve"> </w:t>
      </w:r>
      <w:r>
        <w:rPr>
          <w:rFonts w:hint="eastAsia"/>
          <w:rtl/>
        </w:rPr>
        <w:t>ההתיישנות</w:t>
      </w:r>
      <w:r>
        <w:rPr>
          <w:rtl/>
        </w:rPr>
        <w:t xml:space="preserve"> </w:t>
      </w:r>
      <w:r>
        <w:rPr>
          <w:rFonts w:hint="eastAsia"/>
          <w:rtl/>
        </w:rPr>
        <w:t>והמחיקה</w:t>
      </w:r>
      <w:r>
        <w:rPr>
          <w:rtl/>
        </w:rPr>
        <w:t xml:space="preserve"> </w:t>
      </w:r>
      <w:r>
        <w:rPr>
          <w:rFonts w:hint="eastAsia"/>
          <w:rtl/>
        </w:rPr>
        <w:t>של</w:t>
      </w:r>
      <w:r>
        <w:rPr>
          <w:rtl/>
        </w:rPr>
        <w:t xml:space="preserve"> </w:t>
      </w:r>
      <w:r>
        <w:rPr>
          <w:rFonts w:hint="eastAsia"/>
          <w:rtl/>
        </w:rPr>
        <w:t>ההרשעות</w:t>
      </w:r>
      <w:r>
        <w:rPr>
          <w:rtl/>
        </w:rPr>
        <w:t xml:space="preserve"> </w:t>
      </w:r>
      <w:r>
        <w:rPr>
          <w:rFonts w:hint="eastAsia"/>
          <w:rtl/>
        </w:rPr>
        <w:t>ראויה</w:t>
      </w:r>
      <w:r>
        <w:rPr>
          <w:rtl/>
        </w:rPr>
        <w:t xml:space="preserve"> </w:t>
      </w:r>
      <w:r>
        <w:rPr>
          <w:rFonts w:hint="eastAsia"/>
          <w:rtl/>
        </w:rPr>
        <w:t>היא</w:t>
      </w:r>
      <w:r>
        <w:rPr>
          <w:rtl/>
        </w:rPr>
        <w:t xml:space="preserve">. </w:t>
      </w:r>
      <w:r>
        <w:rPr>
          <w:rFonts w:hint="eastAsia"/>
          <w:rtl/>
        </w:rPr>
        <w:t>יש</w:t>
      </w:r>
      <w:r>
        <w:rPr>
          <w:rtl/>
        </w:rPr>
        <w:t xml:space="preserve"> </w:t>
      </w:r>
      <w:r>
        <w:rPr>
          <w:rFonts w:hint="eastAsia"/>
          <w:rtl/>
        </w:rPr>
        <w:t>בה</w:t>
      </w:r>
      <w:r>
        <w:rPr>
          <w:rtl/>
        </w:rPr>
        <w:t xml:space="preserve"> </w:t>
      </w:r>
      <w:r>
        <w:rPr>
          <w:rFonts w:hint="eastAsia"/>
          <w:rtl/>
        </w:rPr>
        <w:t>כדי</w:t>
      </w:r>
      <w:r>
        <w:rPr>
          <w:rtl/>
        </w:rPr>
        <w:t xml:space="preserve"> </w:t>
      </w:r>
      <w:r>
        <w:rPr>
          <w:rFonts w:hint="eastAsia"/>
          <w:rtl/>
        </w:rPr>
        <w:t>לשרת</w:t>
      </w:r>
      <w:r>
        <w:rPr>
          <w:rtl/>
        </w:rPr>
        <w:t xml:space="preserve"> </w:t>
      </w:r>
      <w:r>
        <w:rPr>
          <w:rFonts w:hint="eastAsia"/>
          <w:rtl/>
        </w:rPr>
        <w:t>את</w:t>
      </w:r>
      <w:r>
        <w:rPr>
          <w:rtl/>
        </w:rPr>
        <w:t xml:space="preserve"> </w:t>
      </w:r>
      <w:r>
        <w:rPr>
          <w:rFonts w:hint="eastAsia"/>
          <w:rtl/>
        </w:rPr>
        <w:t>טובת</w:t>
      </w:r>
      <w:r>
        <w:rPr>
          <w:rtl/>
        </w:rPr>
        <w:t xml:space="preserve"> </w:t>
      </w:r>
      <w:r>
        <w:rPr>
          <w:rFonts w:hint="eastAsia"/>
          <w:rtl/>
        </w:rPr>
        <w:t>הכלל</w:t>
      </w:r>
      <w:r>
        <w:rPr>
          <w:rtl/>
        </w:rPr>
        <w:t xml:space="preserve">, </w:t>
      </w:r>
      <w:r>
        <w:rPr>
          <w:rFonts w:hint="eastAsia"/>
          <w:rtl/>
        </w:rPr>
        <w:t>שהרי</w:t>
      </w:r>
      <w:r>
        <w:rPr>
          <w:rtl/>
        </w:rPr>
        <w:t xml:space="preserve"> </w:t>
      </w:r>
      <w:r>
        <w:rPr>
          <w:rFonts w:hint="eastAsia"/>
          <w:rtl/>
        </w:rPr>
        <w:t>שילובו</w:t>
      </w:r>
      <w:r>
        <w:rPr>
          <w:rtl/>
        </w:rPr>
        <w:t xml:space="preserve"> </w:t>
      </w:r>
      <w:r>
        <w:rPr>
          <w:rFonts w:hint="eastAsia"/>
          <w:rtl/>
        </w:rPr>
        <w:t>בחברה</w:t>
      </w:r>
      <w:r>
        <w:rPr>
          <w:rtl/>
        </w:rPr>
        <w:t xml:space="preserve"> </w:t>
      </w:r>
      <w:r>
        <w:rPr>
          <w:rFonts w:hint="eastAsia"/>
          <w:rtl/>
        </w:rPr>
        <w:t>של</w:t>
      </w:r>
      <w:r>
        <w:rPr>
          <w:rtl/>
        </w:rPr>
        <w:t xml:space="preserve"> </w:t>
      </w:r>
      <w:r>
        <w:rPr>
          <w:rFonts w:hint="eastAsia"/>
          <w:rtl/>
        </w:rPr>
        <w:t>עבריין</w:t>
      </w:r>
      <w:r>
        <w:rPr>
          <w:rtl/>
        </w:rPr>
        <w:t xml:space="preserve"> </w:t>
      </w:r>
      <w:r>
        <w:rPr>
          <w:rFonts w:hint="eastAsia"/>
          <w:rtl/>
        </w:rPr>
        <w:t>שריצה</w:t>
      </w:r>
      <w:r>
        <w:rPr>
          <w:rtl/>
        </w:rPr>
        <w:t xml:space="preserve"> </w:t>
      </w:r>
      <w:r>
        <w:rPr>
          <w:rFonts w:hint="eastAsia"/>
          <w:rtl/>
        </w:rPr>
        <w:t>את</w:t>
      </w:r>
      <w:r>
        <w:rPr>
          <w:rtl/>
        </w:rPr>
        <w:t xml:space="preserve"> </w:t>
      </w:r>
      <w:r>
        <w:rPr>
          <w:rFonts w:hint="eastAsia"/>
          <w:rtl/>
        </w:rPr>
        <w:t>עונשו</w:t>
      </w:r>
      <w:r>
        <w:rPr>
          <w:rtl/>
        </w:rPr>
        <w:t xml:space="preserve"> </w:t>
      </w:r>
      <w:r w:rsidRPr="00307391">
        <w:rPr>
          <w:rFonts w:ascii="Century" w:hAnsi="Century" w:cs="Miriam" w:hint="eastAsia"/>
          <w:b/>
          <w:spacing w:val="0"/>
          <w:szCs w:val="24"/>
          <w:rtl/>
        </w:rPr>
        <w:t>ולא</w:t>
      </w:r>
      <w:r w:rsidRPr="00307391">
        <w:rPr>
          <w:rFonts w:ascii="Century" w:hAnsi="Century" w:cs="Miriam"/>
          <w:b/>
          <w:spacing w:val="0"/>
          <w:szCs w:val="24"/>
          <w:rtl/>
        </w:rPr>
        <w:t xml:space="preserve"> </w:t>
      </w:r>
      <w:r w:rsidRPr="00307391">
        <w:rPr>
          <w:rFonts w:ascii="Century" w:hAnsi="Century" w:cs="Miriam" w:hint="eastAsia"/>
          <w:b/>
          <w:spacing w:val="0"/>
          <w:szCs w:val="24"/>
          <w:rtl/>
        </w:rPr>
        <w:t>שב</w:t>
      </w:r>
      <w:r w:rsidRPr="00307391">
        <w:rPr>
          <w:rFonts w:ascii="Century" w:hAnsi="Century" w:cs="Miriam"/>
          <w:b/>
          <w:spacing w:val="0"/>
          <w:szCs w:val="24"/>
          <w:rtl/>
        </w:rPr>
        <w:t xml:space="preserve"> </w:t>
      </w:r>
      <w:r w:rsidRPr="00307391">
        <w:rPr>
          <w:rFonts w:ascii="Century" w:hAnsi="Century" w:cs="Miriam" w:hint="eastAsia"/>
          <w:b/>
          <w:spacing w:val="0"/>
          <w:szCs w:val="24"/>
          <w:rtl/>
        </w:rPr>
        <w:t>לבצע</w:t>
      </w:r>
      <w:r w:rsidRPr="00307391">
        <w:rPr>
          <w:rFonts w:ascii="Century" w:hAnsi="Century" w:cs="Miriam"/>
          <w:b/>
          <w:spacing w:val="0"/>
          <w:szCs w:val="24"/>
          <w:rtl/>
        </w:rPr>
        <w:t xml:space="preserve"> </w:t>
      </w:r>
      <w:r w:rsidRPr="00307391">
        <w:rPr>
          <w:rFonts w:ascii="Century" w:hAnsi="Century" w:cs="Miriam" w:hint="eastAsia"/>
          <w:b/>
          <w:spacing w:val="0"/>
          <w:szCs w:val="24"/>
          <w:rtl/>
        </w:rPr>
        <w:t>מעשי</w:t>
      </w:r>
      <w:r w:rsidRPr="00307391">
        <w:rPr>
          <w:rFonts w:ascii="Century" w:hAnsi="Century" w:cs="Miriam"/>
          <w:b/>
          <w:spacing w:val="0"/>
          <w:szCs w:val="24"/>
          <w:rtl/>
        </w:rPr>
        <w:t xml:space="preserve"> </w:t>
      </w:r>
      <w:r w:rsidRPr="00307391">
        <w:rPr>
          <w:rFonts w:ascii="Century" w:hAnsi="Century" w:cs="Miriam" w:hint="eastAsia"/>
          <w:b/>
          <w:spacing w:val="0"/>
          <w:szCs w:val="24"/>
          <w:rtl/>
        </w:rPr>
        <w:t>עבירה</w:t>
      </w:r>
      <w:r>
        <w:rPr>
          <w:rtl/>
        </w:rPr>
        <w:t xml:space="preserve">, </w:t>
      </w:r>
      <w:r>
        <w:rPr>
          <w:rFonts w:hint="eastAsia"/>
          <w:rtl/>
        </w:rPr>
        <w:t>מאפשר</w:t>
      </w:r>
      <w:r>
        <w:rPr>
          <w:rtl/>
        </w:rPr>
        <w:t xml:space="preserve"> </w:t>
      </w:r>
      <w:r>
        <w:rPr>
          <w:rFonts w:hint="eastAsia"/>
          <w:rtl/>
        </w:rPr>
        <w:t>לו</w:t>
      </w:r>
      <w:r>
        <w:rPr>
          <w:rtl/>
        </w:rPr>
        <w:t xml:space="preserve"> </w:t>
      </w:r>
      <w:r>
        <w:rPr>
          <w:rFonts w:hint="eastAsia"/>
          <w:rtl/>
        </w:rPr>
        <w:t>לתרום</w:t>
      </w:r>
      <w:r>
        <w:rPr>
          <w:rtl/>
        </w:rPr>
        <w:t xml:space="preserve"> </w:t>
      </w:r>
      <w:r>
        <w:rPr>
          <w:rFonts w:hint="eastAsia"/>
          <w:rtl/>
        </w:rPr>
        <w:t>מכישוריו</w:t>
      </w:r>
      <w:r>
        <w:rPr>
          <w:rtl/>
        </w:rPr>
        <w:t xml:space="preserve"> </w:t>
      </w:r>
      <w:r>
        <w:rPr>
          <w:rFonts w:hint="eastAsia"/>
          <w:rtl/>
        </w:rPr>
        <w:t>לטובת</w:t>
      </w:r>
      <w:r>
        <w:rPr>
          <w:rtl/>
        </w:rPr>
        <w:t xml:space="preserve"> </w:t>
      </w:r>
      <w:r>
        <w:rPr>
          <w:rFonts w:hint="eastAsia"/>
          <w:rtl/>
        </w:rPr>
        <w:t>הרבים</w:t>
      </w:r>
      <w:r>
        <w:rPr>
          <w:rtl/>
        </w:rPr>
        <w:t xml:space="preserve"> </w:t>
      </w:r>
      <w:r>
        <w:rPr>
          <w:rFonts w:hint="eastAsia"/>
          <w:rtl/>
        </w:rPr>
        <w:t>באופן</w:t>
      </w:r>
      <w:r>
        <w:rPr>
          <w:rtl/>
        </w:rPr>
        <w:t xml:space="preserve"> </w:t>
      </w:r>
      <w:r>
        <w:rPr>
          <w:rFonts w:hint="eastAsia"/>
          <w:rtl/>
        </w:rPr>
        <w:t>שהחברה</w:t>
      </w:r>
      <w:r>
        <w:rPr>
          <w:rtl/>
        </w:rPr>
        <w:t xml:space="preserve"> </w:t>
      </w:r>
      <w:r>
        <w:rPr>
          <w:rFonts w:hint="eastAsia"/>
          <w:rtl/>
        </w:rPr>
        <w:t>כולה</w:t>
      </w:r>
      <w:r>
        <w:rPr>
          <w:rtl/>
        </w:rPr>
        <w:t xml:space="preserve"> </w:t>
      </w:r>
      <w:r>
        <w:rPr>
          <w:rFonts w:hint="eastAsia"/>
          <w:rtl/>
        </w:rPr>
        <w:t>יוצאת</w:t>
      </w:r>
      <w:r>
        <w:rPr>
          <w:rtl/>
        </w:rPr>
        <w:t xml:space="preserve"> </w:t>
      </w:r>
      <w:r>
        <w:rPr>
          <w:rFonts w:hint="eastAsia"/>
          <w:rtl/>
        </w:rPr>
        <w:t>נשכרת</w:t>
      </w:r>
      <w:r>
        <w:rPr>
          <w:rtl/>
        </w:rPr>
        <w:t xml:space="preserve">. </w:t>
      </w:r>
      <w:r>
        <w:rPr>
          <w:rFonts w:hint="eastAsia"/>
          <w:rtl/>
        </w:rPr>
        <w:t>ברי</w:t>
      </w:r>
      <w:r>
        <w:rPr>
          <w:rtl/>
        </w:rPr>
        <w:t xml:space="preserve"> </w:t>
      </w:r>
      <w:r>
        <w:rPr>
          <w:rFonts w:hint="eastAsia"/>
          <w:rtl/>
        </w:rPr>
        <w:t>כי</w:t>
      </w:r>
      <w:r>
        <w:rPr>
          <w:rtl/>
        </w:rPr>
        <w:t xml:space="preserve"> </w:t>
      </w:r>
      <w:r>
        <w:rPr>
          <w:rFonts w:hint="eastAsia"/>
          <w:rtl/>
        </w:rPr>
        <w:t>התכלית</w:t>
      </w:r>
      <w:r>
        <w:rPr>
          <w:rtl/>
        </w:rPr>
        <w:t xml:space="preserve"> </w:t>
      </w:r>
      <w:r>
        <w:rPr>
          <w:rFonts w:hint="eastAsia"/>
          <w:rtl/>
        </w:rPr>
        <w:t>האמורה</w:t>
      </w:r>
      <w:r>
        <w:rPr>
          <w:rtl/>
        </w:rPr>
        <w:t xml:space="preserve"> </w:t>
      </w:r>
      <w:r>
        <w:rPr>
          <w:rFonts w:hint="eastAsia"/>
          <w:rtl/>
        </w:rPr>
        <w:t>משרתת</w:t>
      </w:r>
      <w:r>
        <w:rPr>
          <w:rtl/>
        </w:rPr>
        <w:t xml:space="preserve"> </w:t>
      </w:r>
      <w:r>
        <w:rPr>
          <w:rFonts w:hint="eastAsia"/>
          <w:rtl/>
        </w:rPr>
        <w:t>את</w:t>
      </w:r>
      <w:r>
        <w:rPr>
          <w:rtl/>
        </w:rPr>
        <w:t xml:space="preserve"> </w:t>
      </w:r>
      <w:r>
        <w:rPr>
          <w:rFonts w:hint="eastAsia"/>
          <w:rtl/>
        </w:rPr>
        <w:t>טובתו</w:t>
      </w:r>
      <w:r>
        <w:rPr>
          <w:rtl/>
        </w:rPr>
        <w:t xml:space="preserve"> </w:t>
      </w:r>
      <w:r>
        <w:rPr>
          <w:rFonts w:hint="eastAsia"/>
          <w:rtl/>
        </w:rPr>
        <w:t>של</w:t>
      </w:r>
      <w:r>
        <w:rPr>
          <w:rtl/>
        </w:rPr>
        <w:t xml:space="preserve"> </w:t>
      </w:r>
      <w:r>
        <w:rPr>
          <w:rFonts w:hint="eastAsia"/>
          <w:rtl/>
        </w:rPr>
        <w:t>הפרט</w:t>
      </w:r>
      <w:r>
        <w:rPr>
          <w:rtl/>
        </w:rPr>
        <w:t xml:space="preserve"> </w:t>
      </w:r>
      <w:r w:rsidRPr="0031421F">
        <w:rPr>
          <w:rFonts w:ascii="Century" w:hAnsi="Century" w:cs="Miriam" w:hint="eastAsia"/>
          <w:b/>
          <w:spacing w:val="0"/>
          <w:szCs w:val="24"/>
          <w:rtl/>
        </w:rPr>
        <w:t>המצליח</w:t>
      </w:r>
      <w:r w:rsidRPr="0031421F">
        <w:rPr>
          <w:rFonts w:ascii="Century" w:hAnsi="Century" w:cs="Miriam"/>
          <w:b/>
          <w:spacing w:val="0"/>
          <w:szCs w:val="24"/>
          <w:rtl/>
        </w:rPr>
        <w:t xml:space="preserve"> </w:t>
      </w:r>
      <w:r w:rsidRPr="0031421F">
        <w:rPr>
          <w:rFonts w:ascii="Century" w:hAnsi="Century" w:cs="Miriam" w:hint="eastAsia"/>
          <w:b/>
          <w:spacing w:val="0"/>
          <w:szCs w:val="24"/>
          <w:rtl/>
        </w:rPr>
        <w:t>להתנתק</w:t>
      </w:r>
      <w:r w:rsidRPr="0031421F">
        <w:rPr>
          <w:rFonts w:ascii="Century" w:hAnsi="Century" w:cs="Miriam"/>
          <w:b/>
          <w:spacing w:val="0"/>
          <w:szCs w:val="24"/>
          <w:rtl/>
        </w:rPr>
        <w:t xml:space="preserve"> </w:t>
      </w:r>
      <w:r w:rsidRPr="0031421F">
        <w:rPr>
          <w:rFonts w:ascii="Century" w:hAnsi="Century" w:cs="Miriam" w:hint="eastAsia"/>
          <w:b/>
          <w:spacing w:val="0"/>
          <w:szCs w:val="24"/>
          <w:rtl/>
        </w:rPr>
        <w:t>ממעגל</w:t>
      </w:r>
      <w:r w:rsidRPr="0031421F">
        <w:rPr>
          <w:rFonts w:ascii="Century" w:hAnsi="Century" w:cs="Miriam"/>
          <w:b/>
          <w:spacing w:val="0"/>
          <w:szCs w:val="24"/>
          <w:rtl/>
        </w:rPr>
        <w:t xml:space="preserve"> </w:t>
      </w:r>
      <w:r w:rsidRPr="0031421F">
        <w:rPr>
          <w:rFonts w:ascii="Century" w:hAnsi="Century" w:cs="Miriam" w:hint="eastAsia"/>
          <w:b/>
          <w:spacing w:val="0"/>
          <w:szCs w:val="24"/>
          <w:rtl/>
        </w:rPr>
        <w:t>העבריינות</w:t>
      </w:r>
      <w:r>
        <w:rPr>
          <w:rtl/>
        </w:rPr>
        <w:t xml:space="preserve"> </w:t>
      </w:r>
      <w:r>
        <w:rPr>
          <w:rFonts w:hint="eastAsia"/>
          <w:rtl/>
        </w:rPr>
        <w:t>ולהגשים</w:t>
      </w:r>
      <w:r>
        <w:rPr>
          <w:rtl/>
        </w:rPr>
        <w:t xml:space="preserve"> </w:t>
      </w:r>
      <w:r>
        <w:rPr>
          <w:rFonts w:hint="eastAsia"/>
          <w:rtl/>
        </w:rPr>
        <w:t>עצמו</w:t>
      </w:r>
      <w:r>
        <w:rPr>
          <w:rtl/>
        </w:rPr>
        <w:t xml:space="preserve"> </w:t>
      </w:r>
      <w:r>
        <w:rPr>
          <w:rFonts w:hint="eastAsia"/>
          <w:rtl/>
        </w:rPr>
        <w:t>באופן</w:t>
      </w:r>
      <w:r>
        <w:rPr>
          <w:rtl/>
        </w:rPr>
        <w:t xml:space="preserve"> </w:t>
      </w:r>
      <w:r>
        <w:rPr>
          <w:rFonts w:hint="eastAsia"/>
          <w:rtl/>
        </w:rPr>
        <w:t>התורם</w:t>
      </w:r>
      <w:r>
        <w:rPr>
          <w:rtl/>
        </w:rPr>
        <w:t xml:space="preserve"> </w:t>
      </w:r>
      <w:r>
        <w:rPr>
          <w:rFonts w:hint="eastAsia"/>
          <w:rtl/>
        </w:rPr>
        <w:t>לחברה</w:t>
      </w:r>
      <w:r>
        <w:rPr>
          <w:rtl/>
        </w:rPr>
        <w:t xml:space="preserve"> </w:t>
      </w:r>
      <w:r>
        <w:rPr>
          <w:rFonts w:hint="eastAsia"/>
          <w:rtl/>
        </w:rPr>
        <w:t>שבקרבה</w:t>
      </w:r>
      <w:r>
        <w:rPr>
          <w:rtl/>
        </w:rPr>
        <w:t xml:space="preserve"> </w:t>
      </w:r>
      <w:r>
        <w:rPr>
          <w:rFonts w:hint="eastAsia"/>
          <w:rtl/>
        </w:rPr>
        <w:t>הוא</w:t>
      </w:r>
      <w:r>
        <w:rPr>
          <w:rtl/>
        </w:rPr>
        <w:t xml:space="preserve"> </w:t>
      </w:r>
      <w:r>
        <w:rPr>
          <w:rFonts w:hint="eastAsia"/>
          <w:rtl/>
        </w:rPr>
        <w:t>חי</w:t>
      </w:r>
      <w:r>
        <w:rPr>
          <w:rtl/>
        </w:rPr>
        <w:t xml:space="preserve">. </w:t>
      </w:r>
      <w:r>
        <w:rPr>
          <w:rFonts w:hint="eastAsia"/>
          <w:rtl/>
        </w:rPr>
        <w:t>זאת</w:t>
      </w:r>
      <w:r>
        <w:rPr>
          <w:rtl/>
        </w:rPr>
        <w:t xml:space="preserve"> </w:t>
      </w:r>
      <w:r>
        <w:rPr>
          <w:rFonts w:hint="eastAsia"/>
          <w:rtl/>
        </w:rPr>
        <w:t>ועוד</w:t>
      </w:r>
      <w:r>
        <w:rPr>
          <w:rtl/>
        </w:rPr>
        <w:t xml:space="preserve">, </w:t>
      </w:r>
      <w:r>
        <w:rPr>
          <w:rFonts w:hint="eastAsia"/>
          <w:rtl/>
        </w:rPr>
        <w:t>מתן</w:t>
      </w:r>
      <w:r>
        <w:rPr>
          <w:rtl/>
        </w:rPr>
        <w:t xml:space="preserve"> </w:t>
      </w:r>
      <w:r>
        <w:rPr>
          <w:rFonts w:hint="eastAsia"/>
          <w:rtl/>
        </w:rPr>
        <w:t>אפשרות</w:t>
      </w:r>
      <w:r>
        <w:rPr>
          <w:rtl/>
        </w:rPr>
        <w:t xml:space="preserve"> </w:t>
      </w:r>
      <w:r>
        <w:rPr>
          <w:rFonts w:hint="eastAsia"/>
          <w:rtl/>
        </w:rPr>
        <w:t>לעבריין</w:t>
      </w:r>
      <w:r>
        <w:rPr>
          <w:rtl/>
        </w:rPr>
        <w:t xml:space="preserve"> </w:t>
      </w:r>
      <w:r>
        <w:rPr>
          <w:rFonts w:hint="eastAsia"/>
          <w:rtl/>
        </w:rPr>
        <w:t>שריצה</w:t>
      </w:r>
      <w:r>
        <w:rPr>
          <w:rtl/>
        </w:rPr>
        <w:t xml:space="preserve"> </w:t>
      </w:r>
      <w:r>
        <w:rPr>
          <w:rFonts w:hint="eastAsia"/>
          <w:rtl/>
        </w:rPr>
        <w:t>את</w:t>
      </w:r>
      <w:r>
        <w:rPr>
          <w:rtl/>
        </w:rPr>
        <w:t xml:space="preserve"> </w:t>
      </w:r>
      <w:r>
        <w:rPr>
          <w:rFonts w:hint="eastAsia"/>
          <w:rtl/>
        </w:rPr>
        <w:t>עונשו</w:t>
      </w:r>
      <w:r>
        <w:rPr>
          <w:rtl/>
        </w:rPr>
        <w:t xml:space="preserve"> </w:t>
      </w:r>
      <w:r w:rsidRPr="0031421F">
        <w:rPr>
          <w:rFonts w:ascii="Century" w:hAnsi="Century" w:cs="Miriam" w:hint="eastAsia"/>
          <w:b/>
          <w:spacing w:val="0"/>
          <w:szCs w:val="24"/>
          <w:rtl/>
        </w:rPr>
        <w:t>ושב</w:t>
      </w:r>
      <w:r w:rsidRPr="0031421F">
        <w:rPr>
          <w:rFonts w:ascii="Century" w:hAnsi="Century" w:cs="Miriam"/>
          <w:b/>
          <w:spacing w:val="0"/>
          <w:szCs w:val="24"/>
          <w:rtl/>
        </w:rPr>
        <w:t xml:space="preserve"> </w:t>
      </w:r>
      <w:r w:rsidRPr="0031421F">
        <w:rPr>
          <w:rFonts w:ascii="Century" w:hAnsi="Century" w:cs="Miriam" w:hint="eastAsia"/>
          <w:b/>
          <w:spacing w:val="0"/>
          <w:szCs w:val="24"/>
          <w:rtl/>
        </w:rPr>
        <w:t>לנהל</w:t>
      </w:r>
      <w:r w:rsidRPr="0031421F">
        <w:rPr>
          <w:rFonts w:ascii="Century" w:hAnsi="Century" w:cs="Miriam"/>
          <w:b/>
          <w:spacing w:val="0"/>
          <w:szCs w:val="24"/>
          <w:rtl/>
        </w:rPr>
        <w:t xml:space="preserve"> </w:t>
      </w:r>
      <w:r w:rsidRPr="0031421F">
        <w:rPr>
          <w:rFonts w:ascii="Century" w:hAnsi="Century" w:cs="Miriam" w:hint="eastAsia"/>
          <w:b/>
          <w:spacing w:val="0"/>
          <w:szCs w:val="24"/>
          <w:rtl/>
        </w:rPr>
        <w:t>חיים</w:t>
      </w:r>
      <w:r w:rsidRPr="0031421F">
        <w:rPr>
          <w:rFonts w:ascii="Century" w:hAnsi="Century" w:cs="Miriam"/>
          <w:b/>
          <w:spacing w:val="0"/>
          <w:szCs w:val="24"/>
          <w:rtl/>
        </w:rPr>
        <w:t xml:space="preserve"> </w:t>
      </w:r>
      <w:r w:rsidRPr="0031421F">
        <w:rPr>
          <w:rFonts w:ascii="Century" w:hAnsi="Century" w:cs="Miriam" w:hint="eastAsia"/>
          <w:b/>
          <w:spacing w:val="0"/>
          <w:szCs w:val="24"/>
          <w:rtl/>
        </w:rPr>
        <w:t>נורמטיביים</w:t>
      </w:r>
      <w:r w:rsidRPr="0031421F">
        <w:rPr>
          <w:rtl/>
        </w:rPr>
        <w:t xml:space="preserve"> </w:t>
      </w:r>
      <w:r>
        <w:rPr>
          <w:rFonts w:hint="eastAsia"/>
          <w:rtl/>
        </w:rPr>
        <w:t>לפתוח</w:t>
      </w:r>
      <w:r>
        <w:rPr>
          <w:rtl/>
        </w:rPr>
        <w:t xml:space="preserve"> </w:t>
      </w:r>
      <w:r>
        <w:rPr>
          <w:rFonts w:hint="eastAsia"/>
          <w:rtl/>
        </w:rPr>
        <w:t>דף</w:t>
      </w:r>
      <w:r>
        <w:rPr>
          <w:rtl/>
        </w:rPr>
        <w:t xml:space="preserve"> </w:t>
      </w:r>
      <w:r>
        <w:rPr>
          <w:rFonts w:hint="eastAsia"/>
          <w:rtl/>
        </w:rPr>
        <w:t>חדש</w:t>
      </w:r>
      <w:r>
        <w:rPr>
          <w:rtl/>
        </w:rPr>
        <w:t xml:space="preserve"> </w:t>
      </w:r>
      <w:r>
        <w:rPr>
          <w:rFonts w:hint="eastAsia"/>
          <w:rtl/>
        </w:rPr>
        <w:t>בחייו</w:t>
      </w:r>
      <w:r>
        <w:rPr>
          <w:rtl/>
        </w:rPr>
        <w:t xml:space="preserve"> </w:t>
      </w:r>
      <w:r>
        <w:rPr>
          <w:rFonts w:hint="eastAsia"/>
          <w:rtl/>
        </w:rPr>
        <w:t>בלא</w:t>
      </w:r>
      <w:r>
        <w:rPr>
          <w:rtl/>
        </w:rPr>
        <w:t xml:space="preserve"> </w:t>
      </w:r>
      <w:r>
        <w:rPr>
          <w:rFonts w:hint="eastAsia"/>
          <w:rtl/>
        </w:rPr>
        <w:t>שעברו</w:t>
      </w:r>
      <w:r>
        <w:rPr>
          <w:rtl/>
        </w:rPr>
        <w:t xml:space="preserve"> </w:t>
      </w:r>
      <w:r>
        <w:rPr>
          <w:rFonts w:hint="eastAsia"/>
          <w:rtl/>
        </w:rPr>
        <w:t>הפלילי</w:t>
      </w:r>
      <w:r>
        <w:rPr>
          <w:rtl/>
        </w:rPr>
        <w:t xml:space="preserve"> </w:t>
      </w:r>
      <w:r>
        <w:rPr>
          <w:rFonts w:hint="eastAsia"/>
          <w:rtl/>
        </w:rPr>
        <w:t>יעמוד</w:t>
      </w:r>
      <w:r>
        <w:rPr>
          <w:rtl/>
        </w:rPr>
        <w:t xml:space="preserve"> </w:t>
      </w:r>
      <w:r>
        <w:rPr>
          <w:rFonts w:hint="eastAsia"/>
          <w:rtl/>
        </w:rPr>
        <w:t>לו</w:t>
      </w:r>
      <w:r>
        <w:rPr>
          <w:rtl/>
        </w:rPr>
        <w:t xml:space="preserve"> </w:t>
      </w:r>
      <w:r>
        <w:rPr>
          <w:rFonts w:hint="eastAsia"/>
          <w:rtl/>
        </w:rPr>
        <w:t>לרועץ</w:t>
      </w:r>
      <w:r>
        <w:rPr>
          <w:rtl/>
        </w:rPr>
        <w:t xml:space="preserve">, </w:t>
      </w:r>
      <w:r>
        <w:rPr>
          <w:rFonts w:hint="eastAsia"/>
          <w:rtl/>
        </w:rPr>
        <w:t>מגנה</w:t>
      </w:r>
      <w:r>
        <w:rPr>
          <w:rtl/>
        </w:rPr>
        <w:t xml:space="preserve"> </w:t>
      </w:r>
      <w:r>
        <w:rPr>
          <w:rFonts w:hint="eastAsia"/>
          <w:rtl/>
        </w:rPr>
        <w:t>על</w:t>
      </w:r>
      <w:r>
        <w:rPr>
          <w:rtl/>
        </w:rPr>
        <w:t xml:space="preserve"> </w:t>
      </w:r>
      <w:r>
        <w:rPr>
          <w:rFonts w:hint="eastAsia"/>
          <w:rtl/>
        </w:rPr>
        <w:t>כבודו</w:t>
      </w:r>
      <w:r>
        <w:rPr>
          <w:rtl/>
        </w:rPr>
        <w:t xml:space="preserve"> </w:t>
      </w:r>
      <w:r>
        <w:rPr>
          <w:rFonts w:hint="eastAsia"/>
          <w:rtl/>
        </w:rPr>
        <w:t>כאדם</w:t>
      </w:r>
      <w:r>
        <w:rPr>
          <w:rtl/>
        </w:rPr>
        <w:t xml:space="preserve"> </w:t>
      </w:r>
      <w:r>
        <w:rPr>
          <w:rFonts w:hint="eastAsia"/>
          <w:rtl/>
        </w:rPr>
        <w:t>ועל</w:t>
      </w:r>
      <w:r>
        <w:rPr>
          <w:rtl/>
        </w:rPr>
        <w:t xml:space="preserve"> </w:t>
      </w:r>
      <w:r>
        <w:rPr>
          <w:rFonts w:hint="eastAsia"/>
          <w:rtl/>
        </w:rPr>
        <w:t>זכותו</w:t>
      </w:r>
      <w:r>
        <w:rPr>
          <w:rtl/>
        </w:rPr>
        <w:t xml:space="preserve"> </w:t>
      </w:r>
      <w:r>
        <w:rPr>
          <w:rFonts w:hint="eastAsia"/>
          <w:rtl/>
        </w:rPr>
        <w:t>לפרטיות</w:t>
      </w:r>
      <w:r>
        <w:rPr>
          <w:rtl/>
        </w:rPr>
        <w:t xml:space="preserve"> </w:t>
      </w:r>
      <w:r>
        <w:rPr>
          <w:rFonts w:hint="eastAsia"/>
          <w:rtl/>
        </w:rPr>
        <w:t>ולצנעת</w:t>
      </w:r>
      <w:r>
        <w:rPr>
          <w:rtl/>
        </w:rPr>
        <w:t xml:space="preserve"> </w:t>
      </w:r>
      <w:r>
        <w:rPr>
          <w:rFonts w:hint="eastAsia"/>
          <w:rtl/>
        </w:rPr>
        <w:t>הפרט</w:t>
      </w:r>
      <w:r>
        <w:rPr>
          <w:rtl/>
        </w:rPr>
        <w:t xml:space="preserve"> – </w:t>
      </w:r>
      <w:r>
        <w:rPr>
          <w:rFonts w:hint="eastAsia"/>
          <w:rtl/>
        </w:rPr>
        <w:t>זכויות</w:t>
      </w:r>
      <w:r>
        <w:rPr>
          <w:rtl/>
        </w:rPr>
        <w:t xml:space="preserve"> </w:t>
      </w:r>
      <w:r>
        <w:rPr>
          <w:rFonts w:hint="eastAsia"/>
          <w:rtl/>
        </w:rPr>
        <w:t>יסוד</w:t>
      </w:r>
      <w:r>
        <w:rPr>
          <w:rtl/>
        </w:rPr>
        <w:t xml:space="preserve"> </w:t>
      </w:r>
      <w:r>
        <w:rPr>
          <w:rFonts w:hint="eastAsia"/>
          <w:rtl/>
        </w:rPr>
        <w:t>שזכו</w:t>
      </w:r>
      <w:r>
        <w:rPr>
          <w:rtl/>
        </w:rPr>
        <w:t xml:space="preserve"> </w:t>
      </w:r>
      <w:r>
        <w:rPr>
          <w:rFonts w:hint="eastAsia"/>
          <w:rtl/>
        </w:rPr>
        <w:t>למעמד</w:t>
      </w:r>
      <w:r>
        <w:rPr>
          <w:rtl/>
        </w:rPr>
        <w:t xml:space="preserve"> </w:t>
      </w:r>
      <w:r>
        <w:rPr>
          <w:rFonts w:hint="eastAsia"/>
          <w:rtl/>
        </w:rPr>
        <w:t>חוקתי</w:t>
      </w:r>
      <w:r>
        <w:rPr>
          <w:rtl/>
        </w:rPr>
        <w:t xml:space="preserve"> </w:t>
      </w:r>
      <w:r>
        <w:rPr>
          <w:rFonts w:hint="eastAsia"/>
          <w:rtl/>
        </w:rPr>
        <w:t>מפורש</w:t>
      </w:r>
      <w:r>
        <w:rPr>
          <w:rtl/>
        </w:rPr>
        <w:t xml:space="preserve"> </w:t>
      </w:r>
      <w:r>
        <w:rPr>
          <w:rFonts w:hint="eastAsia"/>
          <w:rtl/>
        </w:rPr>
        <w:t>בשיטתנו</w:t>
      </w:r>
      <w:r>
        <w:rPr>
          <w:rtl/>
        </w:rPr>
        <w:t xml:space="preserve"> </w:t>
      </w:r>
      <w:r>
        <w:rPr>
          <w:rFonts w:hint="eastAsia"/>
          <w:rtl/>
        </w:rPr>
        <w:t>המשפטית</w:t>
      </w:r>
      <w:r>
        <w:rPr>
          <w:rtl/>
        </w:rPr>
        <w:t xml:space="preserve"> </w:t>
      </w:r>
      <w:r>
        <w:rPr>
          <w:rFonts w:hint="eastAsia"/>
          <w:rtl/>
        </w:rPr>
        <w:t>בעקבות</w:t>
      </w:r>
      <w:r>
        <w:rPr>
          <w:rtl/>
        </w:rPr>
        <w:t xml:space="preserve"> </w:t>
      </w:r>
      <w:r>
        <w:rPr>
          <w:rFonts w:hint="eastAsia"/>
          <w:rtl/>
        </w:rPr>
        <w:t>עיגונן</w:t>
      </w:r>
      <w:r>
        <w:rPr>
          <w:rtl/>
        </w:rPr>
        <w:t xml:space="preserve"> </w:t>
      </w:r>
      <w:r>
        <w:rPr>
          <w:rFonts w:hint="eastAsia"/>
          <w:rtl/>
        </w:rPr>
        <w:t>בחוק</w:t>
      </w:r>
      <w:r>
        <w:rPr>
          <w:rtl/>
        </w:rPr>
        <w:t>-</w:t>
      </w:r>
      <w:r>
        <w:rPr>
          <w:rFonts w:hint="eastAsia"/>
          <w:rtl/>
        </w:rPr>
        <w:t>יסוד</w:t>
      </w:r>
      <w:r>
        <w:rPr>
          <w:rtl/>
        </w:rPr>
        <w:t xml:space="preserve">: </w:t>
      </w:r>
      <w:r>
        <w:rPr>
          <w:rFonts w:hint="eastAsia"/>
          <w:rtl/>
        </w:rPr>
        <w:t>כבוד</w:t>
      </w:r>
      <w:r>
        <w:rPr>
          <w:rtl/>
        </w:rPr>
        <w:t xml:space="preserve"> </w:t>
      </w:r>
      <w:r>
        <w:rPr>
          <w:rFonts w:hint="eastAsia"/>
          <w:rtl/>
        </w:rPr>
        <w:t>האדם</w:t>
      </w:r>
      <w:r>
        <w:rPr>
          <w:rtl/>
        </w:rPr>
        <w:t xml:space="preserve"> </w:t>
      </w:r>
      <w:r>
        <w:rPr>
          <w:rFonts w:hint="eastAsia"/>
          <w:rtl/>
        </w:rPr>
        <w:t>וחירותו</w:t>
      </w:r>
      <w:r>
        <w:rPr>
          <w:rFonts w:hint="cs"/>
          <w:rtl/>
        </w:rPr>
        <w:t xml:space="preserve"> [...] </w:t>
      </w:r>
      <w:r>
        <w:rPr>
          <w:rFonts w:hint="eastAsia"/>
          <w:rtl/>
        </w:rPr>
        <w:t>זכות</w:t>
      </w:r>
      <w:r>
        <w:rPr>
          <w:rtl/>
        </w:rPr>
        <w:t xml:space="preserve"> </w:t>
      </w:r>
      <w:r>
        <w:rPr>
          <w:rFonts w:hint="eastAsia"/>
          <w:rtl/>
        </w:rPr>
        <w:t>חוקתית</w:t>
      </w:r>
      <w:r>
        <w:rPr>
          <w:rtl/>
        </w:rPr>
        <w:t xml:space="preserve"> </w:t>
      </w:r>
      <w:r>
        <w:rPr>
          <w:rFonts w:hint="eastAsia"/>
          <w:rtl/>
        </w:rPr>
        <w:t>נוספת</w:t>
      </w:r>
      <w:r>
        <w:rPr>
          <w:rtl/>
        </w:rPr>
        <w:t xml:space="preserve"> </w:t>
      </w:r>
      <w:r>
        <w:rPr>
          <w:rFonts w:hint="eastAsia"/>
          <w:rtl/>
        </w:rPr>
        <w:t>הזוכה</w:t>
      </w:r>
      <w:r>
        <w:rPr>
          <w:rtl/>
        </w:rPr>
        <w:t xml:space="preserve"> </w:t>
      </w:r>
      <w:r>
        <w:rPr>
          <w:rFonts w:hint="eastAsia"/>
          <w:rtl/>
        </w:rPr>
        <w:t>להגנה</w:t>
      </w:r>
      <w:r>
        <w:rPr>
          <w:rtl/>
        </w:rPr>
        <w:t xml:space="preserve"> </w:t>
      </w:r>
      <w:r>
        <w:rPr>
          <w:rFonts w:hint="eastAsia"/>
          <w:rtl/>
        </w:rPr>
        <w:t>במסגרת</w:t>
      </w:r>
      <w:r>
        <w:rPr>
          <w:rtl/>
        </w:rPr>
        <w:t xml:space="preserve"> </w:t>
      </w:r>
      <w:r>
        <w:rPr>
          <w:rFonts w:hint="eastAsia"/>
          <w:rtl/>
        </w:rPr>
        <w:t>הסדר</w:t>
      </w:r>
      <w:r>
        <w:rPr>
          <w:rtl/>
        </w:rPr>
        <w:t xml:space="preserve"> </w:t>
      </w:r>
      <w:r>
        <w:rPr>
          <w:rFonts w:hint="eastAsia"/>
          <w:rtl/>
        </w:rPr>
        <w:t>ההתיישנות</w:t>
      </w:r>
      <w:r>
        <w:rPr>
          <w:rtl/>
        </w:rPr>
        <w:t xml:space="preserve"> </w:t>
      </w:r>
      <w:r>
        <w:rPr>
          <w:rFonts w:hint="eastAsia"/>
          <w:rtl/>
        </w:rPr>
        <w:t>והמחיקה</w:t>
      </w:r>
      <w:r>
        <w:rPr>
          <w:rtl/>
        </w:rPr>
        <w:t xml:space="preserve"> </w:t>
      </w:r>
      <w:r>
        <w:rPr>
          <w:rFonts w:hint="eastAsia"/>
          <w:rtl/>
        </w:rPr>
        <w:t>של</w:t>
      </w:r>
      <w:r>
        <w:rPr>
          <w:rtl/>
        </w:rPr>
        <w:t xml:space="preserve"> </w:t>
      </w:r>
      <w:r>
        <w:rPr>
          <w:rFonts w:hint="eastAsia"/>
          <w:rtl/>
        </w:rPr>
        <w:t>ההרשעות</w:t>
      </w:r>
      <w:r>
        <w:rPr>
          <w:rtl/>
        </w:rPr>
        <w:t xml:space="preserve"> </w:t>
      </w:r>
      <w:r>
        <w:rPr>
          <w:rFonts w:hint="eastAsia"/>
          <w:rtl/>
        </w:rPr>
        <w:t>היא</w:t>
      </w:r>
      <w:r>
        <w:rPr>
          <w:rtl/>
        </w:rPr>
        <w:t xml:space="preserve"> </w:t>
      </w:r>
      <w:r>
        <w:rPr>
          <w:rFonts w:hint="eastAsia"/>
          <w:rtl/>
        </w:rPr>
        <w:t>זכותו</w:t>
      </w:r>
      <w:r>
        <w:rPr>
          <w:rtl/>
        </w:rPr>
        <w:t xml:space="preserve"> </w:t>
      </w:r>
      <w:r>
        <w:rPr>
          <w:rFonts w:hint="eastAsia"/>
          <w:rtl/>
        </w:rPr>
        <w:t>של</w:t>
      </w:r>
      <w:r>
        <w:rPr>
          <w:rtl/>
        </w:rPr>
        <w:t xml:space="preserve"> </w:t>
      </w:r>
      <w:r>
        <w:rPr>
          <w:rFonts w:hint="eastAsia"/>
          <w:rtl/>
        </w:rPr>
        <w:t>עבריין</w:t>
      </w:r>
      <w:r>
        <w:rPr>
          <w:rtl/>
        </w:rPr>
        <w:t xml:space="preserve"> </w:t>
      </w:r>
      <w:r>
        <w:rPr>
          <w:rFonts w:hint="eastAsia"/>
          <w:rtl/>
        </w:rPr>
        <w:t>שריצה</w:t>
      </w:r>
      <w:r>
        <w:rPr>
          <w:rtl/>
        </w:rPr>
        <w:t xml:space="preserve"> </w:t>
      </w:r>
      <w:r>
        <w:rPr>
          <w:rFonts w:hint="eastAsia"/>
          <w:rtl/>
        </w:rPr>
        <w:t>את</w:t>
      </w:r>
      <w:r>
        <w:rPr>
          <w:rtl/>
        </w:rPr>
        <w:t xml:space="preserve"> </w:t>
      </w:r>
      <w:r>
        <w:rPr>
          <w:rFonts w:hint="eastAsia"/>
          <w:rtl/>
        </w:rPr>
        <w:lastRenderedPageBreak/>
        <w:t>עונשו</w:t>
      </w:r>
      <w:r>
        <w:rPr>
          <w:rtl/>
        </w:rPr>
        <w:t xml:space="preserve"> </w:t>
      </w:r>
      <w:r>
        <w:rPr>
          <w:rFonts w:hint="eastAsia"/>
          <w:rtl/>
        </w:rPr>
        <w:t>לחופש</w:t>
      </w:r>
      <w:r>
        <w:rPr>
          <w:rtl/>
        </w:rPr>
        <w:t xml:space="preserve"> </w:t>
      </w:r>
      <w:r w:rsidRPr="00D42D1D">
        <w:rPr>
          <w:rFonts w:ascii="Century" w:hAnsi="Century" w:hint="eastAsia"/>
          <w:rtl/>
        </w:rPr>
        <w:t>עיסוק</w:t>
      </w:r>
      <w:r w:rsidRPr="00D42D1D">
        <w:rPr>
          <w:rFonts w:ascii="Century" w:hAnsi="Century" w:cs="Miriam"/>
          <w:b/>
          <w:spacing w:val="0"/>
          <w:szCs w:val="24"/>
          <w:rtl/>
        </w:rPr>
        <w:t xml:space="preserve"> </w:t>
      </w:r>
      <w:r w:rsidRPr="00307391">
        <w:rPr>
          <w:rFonts w:ascii="Century" w:hAnsi="Century" w:cs="Miriam" w:hint="eastAsia"/>
          <w:b/>
          <w:spacing w:val="0"/>
          <w:szCs w:val="24"/>
          <w:rtl/>
        </w:rPr>
        <w:t>ובלבד</w:t>
      </w:r>
      <w:r w:rsidRPr="00307391">
        <w:rPr>
          <w:rFonts w:ascii="Century" w:hAnsi="Century" w:cs="Miriam"/>
          <w:b/>
          <w:spacing w:val="0"/>
          <w:szCs w:val="24"/>
          <w:rtl/>
        </w:rPr>
        <w:t xml:space="preserve"> </w:t>
      </w:r>
      <w:r w:rsidRPr="00307391">
        <w:rPr>
          <w:rFonts w:ascii="Century" w:hAnsi="Century" w:cs="Miriam" w:hint="eastAsia"/>
          <w:b/>
          <w:spacing w:val="0"/>
          <w:szCs w:val="24"/>
          <w:rtl/>
        </w:rPr>
        <w:t>ששב</w:t>
      </w:r>
      <w:r w:rsidRPr="00307391">
        <w:rPr>
          <w:rFonts w:ascii="Century" w:hAnsi="Century" w:cs="Miriam"/>
          <w:b/>
          <w:spacing w:val="0"/>
          <w:szCs w:val="24"/>
          <w:rtl/>
        </w:rPr>
        <w:t xml:space="preserve"> </w:t>
      </w:r>
      <w:r w:rsidRPr="00307391">
        <w:rPr>
          <w:rFonts w:ascii="Century" w:hAnsi="Century" w:cs="Miriam" w:hint="eastAsia"/>
          <w:b/>
          <w:spacing w:val="0"/>
          <w:szCs w:val="24"/>
          <w:rtl/>
        </w:rPr>
        <w:t>למוטב</w:t>
      </w:r>
      <w:r>
        <w:rPr>
          <w:rFonts w:hint="cs"/>
          <w:rtl/>
        </w:rPr>
        <w:t xml:space="preserve">" (ההדגשות הוספו </w:t>
      </w:r>
      <w:r>
        <w:rPr>
          <w:rtl/>
        </w:rPr>
        <w:t>–</w:t>
      </w:r>
      <w:r>
        <w:rPr>
          <w:rFonts w:hint="cs"/>
          <w:rtl/>
        </w:rPr>
        <w:t xml:space="preserve"> ע' פ'; שם, בעמ' 662). </w:t>
      </w:r>
    </w:p>
    <w:p w14:paraId="5D58DD99" w14:textId="77777777" w:rsidR="00C21353" w:rsidRPr="00DB3802" w:rsidRDefault="00C21353" w:rsidP="00C21353">
      <w:pPr>
        <w:pStyle w:val="Ruller41"/>
      </w:pPr>
    </w:p>
    <w:p w14:paraId="353A12BF" w14:textId="77777777" w:rsidR="00C21353" w:rsidRDefault="00C21353" w:rsidP="00C21353">
      <w:pPr>
        <w:pStyle w:val="Ruller4"/>
        <w:numPr>
          <w:ilvl w:val="0"/>
          <w:numId w:val="0"/>
        </w:numPr>
        <w:rPr>
          <w:rtl/>
        </w:rPr>
      </w:pPr>
      <w:r>
        <w:rPr>
          <w:rFonts w:ascii="Century" w:hAnsi="Century"/>
          <w:sz w:val="22"/>
          <w:rtl/>
        </w:rPr>
        <w:tab/>
      </w:r>
      <w:r>
        <w:rPr>
          <w:rFonts w:ascii="Century" w:hAnsi="Century" w:hint="cs"/>
          <w:sz w:val="22"/>
          <w:rtl/>
        </w:rPr>
        <w:t xml:space="preserve">בהינתן הרשעתו החדשה, לא ניתן להתייחס אל דרעי כמי "ששב למוטב" או כמי "שריצה את עונשו ולא שב לבצע מעשי עבירה". נהפוך הוא: הצטרפותה של ההרשעה החדשה מלמדת על דפוס של פגיעה בשלטון החוק. בנסיבות אלו, המשקל שיש ליתן לשיקול חלוף הזמן ולתקנת השבים בבחינת סבירות מינויו פוחת באופן ניכר. משכך, ואף בהנחה שהרשעותיו הקודמות של דרעי במסגרת התיק האישי והתיק הציבורי נמחקו מן המרשם, הן נושאות </w:t>
      </w:r>
      <w:r>
        <w:rPr>
          <w:rtl/>
        </w:rPr>
        <w:t>–</w:t>
      </w:r>
      <w:r>
        <w:rPr>
          <w:rFonts w:ascii="Century" w:hAnsi="Century" w:hint="cs"/>
          <w:sz w:val="22"/>
          <w:rtl/>
        </w:rPr>
        <w:t xml:space="preserve"> במצטבר להרשעתו האחרונה </w:t>
      </w:r>
      <w:r>
        <w:rPr>
          <w:rtl/>
        </w:rPr>
        <w:t>–</w:t>
      </w:r>
      <w:r>
        <w:rPr>
          <w:rFonts w:ascii="Century" w:hAnsi="Century" w:hint="cs"/>
          <w:sz w:val="22"/>
          <w:rtl/>
        </w:rPr>
        <w:t xml:space="preserve"> משקל ניכר בבחינת סבירות ההחלטה למנותו כשר בממשלה.</w:t>
      </w:r>
      <w:r>
        <w:rPr>
          <w:rFonts w:hint="cs"/>
          <w:rtl/>
        </w:rPr>
        <w:t xml:space="preserve"> </w:t>
      </w:r>
    </w:p>
    <w:p w14:paraId="0FEDECE6" w14:textId="77777777" w:rsidR="00C21353" w:rsidRDefault="00C21353" w:rsidP="00C21353">
      <w:pPr>
        <w:pStyle w:val="Ruller41"/>
        <w:rPr>
          <w:rtl/>
        </w:rPr>
      </w:pPr>
    </w:p>
    <w:p w14:paraId="35A60048" w14:textId="77777777" w:rsidR="00C21353" w:rsidRDefault="00C21353" w:rsidP="00C21353">
      <w:pPr>
        <w:pStyle w:val="Ruller4"/>
        <w:rPr>
          <w:rtl/>
        </w:rPr>
      </w:pPr>
      <w:r>
        <w:rPr>
          <w:rFonts w:ascii="Century" w:hAnsi="Century" w:cs="Miriam" w:hint="cs"/>
          <w:b/>
          <w:spacing w:val="0"/>
          <w:sz w:val="22"/>
          <w:szCs w:val="24"/>
          <w:rtl/>
        </w:rPr>
        <w:t>השיקול השני שמסיט את נקודת האיזון בעניינו של דרעי</w:t>
      </w:r>
      <w:r>
        <w:rPr>
          <w:rFonts w:hint="cs"/>
          <w:rtl/>
        </w:rPr>
        <w:t xml:space="preserve"> הוא מצג השווא שהציג לפני מערכת המשפט כמי שעתיד לעזוב את החיים הפוליטיים. בפתח הדברים בהקשר זה יש להדגיש כי </w:t>
      </w:r>
      <w:r>
        <w:rPr>
          <w:rFonts w:ascii="Century" w:hAnsi="Century" w:cs="Miriam" w:hint="cs"/>
          <w:b/>
          <w:spacing w:val="0"/>
          <w:sz w:val="22"/>
          <w:szCs w:val="24"/>
          <w:rtl/>
        </w:rPr>
        <w:t xml:space="preserve">הסדר הטיעון </w:t>
      </w:r>
      <w:r>
        <w:rPr>
          <w:rFonts w:ascii="Century" w:hAnsi="Century" w:hint="cs"/>
          <w:sz w:val="22"/>
          <w:rtl/>
        </w:rPr>
        <w:t xml:space="preserve">לא כולל הבטחה של דרעי לפרוש מן החיים הפוליטיים. עם זאת, דומה כי דרעי יצר במכוון מצג של פרישה כאמור וזאת בין היתר כדי להימנע מהכרעה בשאלת הקלון שדבק בעבירות שביצע וכדי להיטיב עמו בגזר הדין. כך, כבר במסגרת תגובתו של דרעי לעתירה שהוגשה נגד הסדר הטיעון, ציין ביום </w:t>
      </w:r>
      <w:r>
        <w:rPr>
          <w:rFonts w:hint="cs"/>
          <w:rtl/>
        </w:rPr>
        <w:t xml:space="preserve">6.1.2022 כי הסדר זה הוא חלק "ממהלך רחב של נטילת אחריות מצד [דרעי </w:t>
      </w:r>
      <w:r>
        <w:rPr>
          <w:rtl/>
        </w:rPr>
        <w:t>–</w:t>
      </w:r>
      <w:r>
        <w:rPr>
          <w:rFonts w:hint="cs"/>
          <w:rtl/>
        </w:rPr>
        <w:t xml:space="preserve"> ע' פ'], המתבטא בראש ובראשונה בחתימתו על הסדר הטיעון, וכן </w:t>
      </w:r>
      <w:r w:rsidRPr="002D5743">
        <w:rPr>
          <w:rFonts w:ascii="Century" w:hAnsi="Century" w:cs="Miriam" w:hint="cs"/>
          <w:b/>
          <w:spacing w:val="0"/>
          <w:sz w:val="22"/>
          <w:szCs w:val="24"/>
          <w:rtl/>
        </w:rPr>
        <w:t>בעזיבתו את הכהונה הציבורית</w:t>
      </w:r>
      <w:r>
        <w:rPr>
          <w:rFonts w:hint="cs"/>
          <w:rtl/>
        </w:rPr>
        <w:t xml:space="preserve">" (ההדגשה הוספה </w:t>
      </w:r>
      <w:r>
        <w:rPr>
          <w:rtl/>
        </w:rPr>
        <w:t>–</w:t>
      </w:r>
      <w:r>
        <w:rPr>
          <w:rFonts w:hint="cs"/>
          <w:rtl/>
        </w:rPr>
        <w:t xml:space="preserve"> ע' פ'; סעיף 83 לתגובת דרעי לעתירה בבג"ץ 8954/21 </w:t>
      </w:r>
      <w:r w:rsidRPr="003236DC">
        <w:rPr>
          <w:rFonts w:ascii="Century" w:hAnsi="Century" w:cs="Miriam" w:hint="eastAsia"/>
          <w:b/>
          <w:spacing w:val="0"/>
          <w:sz w:val="22"/>
          <w:szCs w:val="24"/>
          <w:rtl/>
        </w:rPr>
        <w:t>התנועה</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למען</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איכות</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השלטון</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בישראל</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נ</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היועץ</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המשפטי</w:t>
      </w:r>
      <w:r w:rsidRPr="003236DC">
        <w:rPr>
          <w:rFonts w:ascii="Century" w:hAnsi="Century" w:cs="Miriam"/>
          <w:b/>
          <w:spacing w:val="0"/>
          <w:sz w:val="22"/>
          <w:szCs w:val="24"/>
          <w:rtl/>
        </w:rPr>
        <w:t xml:space="preserve"> </w:t>
      </w:r>
      <w:r w:rsidRPr="003236DC">
        <w:rPr>
          <w:rFonts w:ascii="Century" w:hAnsi="Century" w:cs="Miriam" w:hint="eastAsia"/>
          <w:b/>
          <w:spacing w:val="0"/>
          <w:sz w:val="22"/>
          <w:szCs w:val="24"/>
          <w:rtl/>
        </w:rPr>
        <w:t>לממשלה</w:t>
      </w:r>
      <w:r>
        <w:rPr>
          <w:rFonts w:hint="cs"/>
          <w:rtl/>
        </w:rPr>
        <w:t xml:space="preserve">). בהמשך, </w:t>
      </w:r>
      <w:r w:rsidRPr="00716FDC">
        <w:rPr>
          <w:rFonts w:ascii="Century" w:hAnsi="Century" w:hint="cs"/>
          <w:sz w:val="22"/>
          <w:rtl/>
        </w:rPr>
        <w:t xml:space="preserve">במסגרת הטיעונים לעונש בבית משפט השלום, ציין התובע במפורש כי </w:t>
      </w:r>
      <w:r>
        <w:rPr>
          <w:rFonts w:ascii="Century" w:hAnsi="Century" w:hint="cs"/>
          <w:sz w:val="22"/>
          <w:rtl/>
        </w:rPr>
        <w:t>כ</w:t>
      </w:r>
      <w:r w:rsidRPr="00716FDC">
        <w:rPr>
          <w:rFonts w:ascii="Century" w:hAnsi="Century" w:hint="cs"/>
          <w:sz w:val="22"/>
          <w:rtl/>
        </w:rPr>
        <w:t>נסיב</w:t>
      </w:r>
      <w:r>
        <w:rPr>
          <w:rFonts w:ascii="Century" w:hAnsi="Century" w:hint="cs"/>
          <w:sz w:val="22"/>
          <w:rtl/>
        </w:rPr>
        <w:t>ה</w:t>
      </w:r>
      <w:r w:rsidRPr="00716FDC">
        <w:rPr>
          <w:rFonts w:ascii="Century" w:hAnsi="Century" w:hint="cs"/>
          <w:sz w:val="22"/>
          <w:rtl/>
        </w:rPr>
        <w:t xml:space="preserve"> לקולא, על בית המשפט לשקול את הודאתו של דרעי, את נטילת האחריות שלו על מעשיו ואת "פרישתו מחייו הפוליטיים" (פרוטוקול הדיון מיום 25.1.2022, בעמ' 6, ש' 9-8)</w:t>
      </w:r>
      <w:r>
        <w:rPr>
          <w:rFonts w:hint="cs"/>
          <w:rtl/>
        </w:rPr>
        <w:t xml:space="preserve">. בשלב זה, ניתן היה לצפות כי מי שמתעתד להמשיך בחייו הציבוריים יתקן את בא כוח התביעה, ויבהיר כי המהלך האישי מתמצה בהתפטרות מתפקידו כחבר כנסת. חרף האמור, בדבריו של דרעי עצמו לפני בית המשפט אך חיזק את המצג האמור: "[אני </w:t>
      </w:r>
      <w:r>
        <w:rPr>
          <w:rtl/>
        </w:rPr>
        <w:t>–</w:t>
      </w:r>
      <w:r>
        <w:rPr>
          <w:rFonts w:hint="cs"/>
          <w:rtl/>
        </w:rPr>
        <w:t xml:space="preserve"> ע' פ'] רוצה להמשיך עם הזמן שנשאר לי להשקיע בצרכי ציבור בלי לערב את המלחמות הללו ולהמשיך לייצג את השכבות בציבור שאני מייצג </w:t>
      </w:r>
      <w:r w:rsidRPr="00716FDC">
        <w:rPr>
          <w:rFonts w:ascii="Century" w:hAnsi="Century" w:cs="Miriam" w:hint="cs"/>
          <w:b/>
          <w:spacing w:val="0"/>
          <w:sz w:val="22"/>
          <w:szCs w:val="24"/>
          <w:rtl/>
        </w:rPr>
        <w:t>בצורה אחרת גם אם לא מהכנסת</w:t>
      </w:r>
      <w:r>
        <w:rPr>
          <w:rFonts w:hint="cs"/>
          <w:rtl/>
        </w:rPr>
        <w:t xml:space="preserve">" ומיד לאחר מכן הוסיף "אני לוקח אחריות" (ההדגשות הוספו </w:t>
      </w:r>
      <w:r>
        <w:rPr>
          <w:rtl/>
        </w:rPr>
        <w:t>–</w:t>
      </w:r>
      <w:r>
        <w:rPr>
          <w:rFonts w:hint="cs"/>
          <w:rtl/>
        </w:rPr>
        <w:t xml:space="preserve"> ע' פ'; פרוטוקול הדיון מיום 25.1.2022, בעמ' 13, ש' 23-17). על רקע מצג זה קבע בית משפט השלום בגזר דינו כי התרחקותו של דרעי מהחיים הציבוריים היא "נסיבה חשובה" לגזר הדין בעניינו, וכלשון בית המשפט בגזר הדין:</w:t>
      </w:r>
    </w:p>
    <w:p w14:paraId="3C65A3FF" w14:textId="77777777" w:rsidR="00C21353" w:rsidRDefault="00C21353" w:rsidP="00C21353">
      <w:pPr>
        <w:pStyle w:val="Ruller41"/>
        <w:rPr>
          <w:rtl/>
        </w:rPr>
      </w:pPr>
    </w:p>
    <w:p w14:paraId="22513F50" w14:textId="77777777" w:rsidR="00636252" w:rsidRDefault="00636252" w:rsidP="00C21353">
      <w:pPr>
        <w:pStyle w:val="Ruller41"/>
        <w:rPr>
          <w:rtl/>
        </w:rPr>
      </w:pPr>
    </w:p>
    <w:p w14:paraId="21F69317" w14:textId="77777777" w:rsidR="00636252" w:rsidRDefault="00636252" w:rsidP="00C21353">
      <w:pPr>
        <w:pStyle w:val="Ruller41"/>
        <w:rPr>
          <w:rtl/>
        </w:rPr>
      </w:pPr>
    </w:p>
    <w:p w14:paraId="0B75A796" w14:textId="77777777" w:rsidR="00636252" w:rsidRPr="00E101DE" w:rsidRDefault="00636252" w:rsidP="00C21353">
      <w:pPr>
        <w:pStyle w:val="Ruller41"/>
        <w:rPr>
          <w:rtl/>
        </w:rPr>
      </w:pPr>
    </w:p>
    <w:p w14:paraId="3BAACAE2" w14:textId="77777777" w:rsidR="00C21353" w:rsidRPr="00E101DE" w:rsidRDefault="00C21353" w:rsidP="00C21353">
      <w:pPr>
        <w:pStyle w:val="Ruller5"/>
        <w:rPr>
          <w:rFonts w:ascii="Times New Roman" w:hAnsi="Times New Roman" w:cs="Times New Roman"/>
          <w:sz w:val="27"/>
          <w:szCs w:val="27"/>
        </w:rPr>
      </w:pPr>
      <w:r w:rsidRPr="00E101DE">
        <w:rPr>
          <w:rFonts w:hint="cs"/>
          <w:rtl/>
        </w:rPr>
        <w:t xml:space="preserve">"[...] </w:t>
      </w:r>
      <w:r w:rsidRPr="00E101DE">
        <w:rPr>
          <w:rtl/>
        </w:rPr>
        <w:t>מדובר בנסיבה חשובה הבאה ללמד שתי נקודות חשובות אודות הנאשם.</w:t>
      </w:r>
    </w:p>
    <w:p w14:paraId="22360C15" w14:textId="77777777" w:rsidR="00C21353" w:rsidRPr="00E101DE" w:rsidRDefault="00C21353" w:rsidP="00C21353">
      <w:pPr>
        <w:pStyle w:val="Ruller5"/>
        <w:rPr>
          <w:rFonts w:ascii="Times New Roman" w:hAnsi="Times New Roman" w:cs="Times New Roman"/>
          <w:sz w:val="27"/>
          <w:szCs w:val="27"/>
          <w:rtl/>
        </w:rPr>
      </w:pPr>
      <w:r w:rsidRPr="00E101DE">
        <w:rPr>
          <w:b/>
          <w:bCs/>
          <w:rtl/>
        </w:rPr>
        <w:t>הראשונה</w:t>
      </w:r>
      <w:r w:rsidRPr="00E101DE">
        <w:rPr>
          <w:rtl/>
        </w:rPr>
        <w:t>, הנאשם, איש ציבור מזה כשנים רבות, מדיר עצמו מעתה מרצון מעיסוק בצרכי ציבור. שיקוליו הרחבים אינם פרושים בפניי, אך נדמה כי תולדות חייו מלמדים כי הוא ראה בהיותו נבחר ציבור ייעוד ודרך חיים, וכעת נוכח התיק דנן ואישומיו – הרי שהוא מוותר על כך, וזאת מרצונו.</w:t>
      </w:r>
    </w:p>
    <w:p w14:paraId="0E7A3C27" w14:textId="77777777" w:rsidR="00C21353" w:rsidRPr="00E101DE" w:rsidRDefault="00C21353" w:rsidP="00C21353">
      <w:pPr>
        <w:pStyle w:val="Ruller5"/>
        <w:rPr>
          <w:rFonts w:ascii="Times New Roman" w:hAnsi="Times New Roman" w:cs="Times New Roman"/>
          <w:sz w:val="27"/>
          <w:szCs w:val="27"/>
          <w:rtl/>
        </w:rPr>
      </w:pPr>
      <w:r w:rsidRPr="00E101DE">
        <w:rPr>
          <w:rtl/>
        </w:rPr>
        <w:t>אין זה קורבן קל למי שמיצב עצמו כשליח ציבור בעשורים האחרונים ונדמה כי המאשימה עצמה רומזת על כי היא רואה בכך חלק מן העונש אשר אותו הטיל הנאשם על עצמו.</w:t>
      </w:r>
    </w:p>
    <w:p w14:paraId="02625254" w14:textId="77777777" w:rsidR="00C21353" w:rsidRPr="00E101DE" w:rsidRDefault="00C21353" w:rsidP="00C21353">
      <w:pPr>
        <w:pStyle w:val="Ruller5"/>
        <w:rPr>
          <w:rFonts w:ascii="Times New Roman" w:hAnsi="Times New Roman" w:cs="Times New Roman"/>
          <w:sz w:val="27"/>
          <w:szCs w:val="27"/>
          <w:rtl/>
        </w:rPr>
      </w:pPr>
      <w:r w:rsidRPr="00E101DE">
        <w:rPr>
          <w:b/>
          <w:bCs/>
          <w:rtl/>
        </w:rPr>
        <w:t>הנקודה השנייה</w:t>
      </w:r>
      <w:r w:rsidRPr="00E101DE">
        <w:rPr>
          <w:rtl/>
        </w:rPr>
        <w:t>, הינה מניעתית בטיבה.</w:t>
      </w:r>
    </w:p>
    <w:p w14:paraId="10FD0FCC" w14:textId="77777777" w:rsidR="00C21353" w:rsidRPr="00E101DE" w:rsidRDefault="00C21353" w:rsidP="00C21353">
      <w:pPr>
        <w:pStyle w:val="Ruller5"/>
        <w:rPr>
          <w:rFonts w:ascii="Times New Roman" w:hAnsi="Times New Roman" w:cs="Times New Roman"/>
          <w:sz w:val="27"/>
          <w:szCs w:val="27"/>
          <w:rtl/>
        </w:rPr>
      </w:pPr>
      <w:r w:rsidRPr="00E101DE">
        <w:rPr>
          <w:rtl/>
        </w:rPr>
        <w:t>כל החושש מן הנאשם ומפגיעתו בקופה הציבורית ויטען כי קיימת בו מסוכנות בכל הכרוך במשאו ובמתנו בענייני ממון הרבים או היחיד - יוכל למצוא מנוח לחשש זה ולומר בוודאות כי הנאשם לא ייגע עוד בצרכי ציבור הכורכים בתוכם עיסוק כלכלי, וזאת בשל התרחקותו מהזירה הציבורית</w:t>
      </w:r>
      <w:r w:rsidRPr="00E101DE">
        <w:rPr>
          <w:rFonts w:hint="cs"/>
          <w:rtl/>
        </w:rPr>
        <w:t xml:space="preserve">" (ההדגשה במקור </w:t>
      </w:r>
      <w:r w:rsidRPr="00E101DE">
        <w:rPr>
          <w:rtl/>
        </w:rPr>
        <w:t>–</w:t>
      </w:r>
      <w:r w:rsidRPr="00E101DE">
        <w:rPr>
          <w:rFonts w:hint="cs"/>
          <w:rtl/>
        </w:rPr>
        <w:t xml:space="preserve"> ע' פ'; שם, בעמ' 7)</w:t>
      </w:r>
      <w:r w:rsidRPr="00E101DE">
        <w:rPr>
          <w:rtl/>
        </w:rPr>
        <w:t>.</w:t>
      </w:r>
      <w:r w:rsidRPr="00E101DE">
        <w:rPr>
          <w:rFonts w:hint="cs"/>
          <w:rtl/>
        </w:rPr>
        <w:t xml:space="preserve"> </w:t>
      </w:r>
    </w:p>
    <w:p w14:paraId="5753D030" w14:textId="77777777" w:rsidR="00C21353" w:rsidRDefault="00C21353" w:rsidP="00C21353">
      <w:pPr>
        <w:pStyle w:val="Ruller41"/>
        <w:rPr>
          <w:rtl/>
        </w:rPr>
      </w:pPr>
    </w:p>
    <w:p w14:paraId="4566B26E" w14:textId="77777777" w:rsidR="00C21353" w:rsidRPr="00711783" w:rsidRDefault="00C21353" w:rsidP="00C21353">
      <w:pPr>
        <w:pStyle w:val="Ruller41"/>
        <w:rPr>
          <w:rtl/>
        </w:rPr>
      </w:pPr>
      <w:r>
        <w:rPr>
          <w:rtl/>
        </w:rPr>
        <w:tab/>
      </w:r>
      <w:r>
        <w:rPr>
          <w:rFonts w:hint="cs"/>
          <w:rtl/>
        </w:rPr>
        <w:t xml:space="preserve">ואולם, דרעי הבהיר בדבריו ובמעשיו כי בין המצג בבית המשפט לבין המציאות קיימת זיקה רופפת לכל היותר, שמתמצית בהתפטרותו מהכנסת. </w:t>
      </w:r>
      <w:r w:rsidRPr="007B5A88">
        <w:rPr>
          <w:rFonts w:hint="cs"/>
          <w:rtl/>
        </w:rPr>
        <w:t>כך, למחרת היום התייצב דרעי מול הציבור והבהיר, בלשונו, כי אינו "הולך לשום מקום" וכי ימשיך לשרת</w:t>
      </w:r>
      <w:r>
        <w:rPr>
          <w:rFonts w:hint="cs"/>
          <w:rtl/>
        </w:rPr>
        <w:t xml:space="preserve"> את הציבור גם מהכנסת (ראו סעיף 209 לתשובת היועצת המשפטית לממשלה; כן ראו פסקה 12 לחוות דעתה של הנשיאה ופסקה 13 לחוות דעתה של השופת </w:t>
      </w:r>
      <w:r>
        <w:rPr>
          <w:rFonts w:ascii="Century" w:hAnsi="Century" w:cs="Miriam" w:hint="cs"/>
          <w:b/>
          <w:spacing w:val="0"/>
          <w:szCs w:val="24"/>
          <w:rtl/>
        </w:rPr>
        <w:t>ד' ברק-ארז</w:t>
      </w:r>
      <w:r>
        <w:rPr>
          <w:rFonts w:hint="cs"/>
          <w:rtl/>
        </w:rPr>
        <w:t xml:space="preserve">). להתנהלות זו של דרעי, שבמסגרתה פעל בניגוד למצגיו לפני בית המשפט, יש ליתן משקל בבחינת מינויו לתפקיד שר (וראו בהקשר זה את חוות דעתה של חברתי השופטת </w:t>
      </w:r>
      <w:r>
        <w:rPr>
          <w:rFonts w:ascii="Century" w:hAnsi="Century" w:cs="Miriam" w:hint="cs"/>
          <w:b/>
          <w:spacing w:val="0"/>
          <w:szCs w:val="24"/>
          <w:rtl/>
        </w:rPr>
        <w:t>ברק-ארז</w:t>
      </w:r>
      <w:r>
        <w:rPr>
          <w:rFonts w:hint="cs"/>
          <w:rtl/>
        </w:rPr>
        <w:t xml:space="preserve">). לבסוף, אני סבור כי התנהלות זו מלמדת גם על היעדרה של חרטה, לא כל שכן הכאה על חטא ולקיחת אחריות מצדו של דרעי בגין הרשעותיו הפליליות. ונזכיר כי קיומה או היעדרה של חרטה כבר הוכרו בפסיקתנו כשיקול בבחינת סבירות ההחלטה למנות לתפקיד בכיר את מי שהורשע בפלילים (ראו, למשל: בג"ץ 3997/14 </w:t>
      </w:r>
      <w:r>
        <w:rPr>
          <w:rFonts w:ascii="Century" w:hAnsi="Century" w:cs="Miriam" w:hint="cs"/>
          <w:b/>
          <w:spacing w:val="0"/>
          <w:szCs w:val="24"/>
          <w:rtl/>
        </w:rPr>
        <w:t>התנועה למען איכות השלטון נ' שר החוץ</w:t>
      </w:r>
      <w:r>
        <w:rPr>
          <w:rFonts w:ascii="Century" w:hAnsi="Century" w:hint="cs"/>
          <w:rtl/>
        </w:rPr>
        <w:t>, פסקה 27 (12.2.2015)</w:t>
      </w:r>
      <w:r>
        <w:rPr>
          <w:rFonts w:hint="cs"/>
          <w:rtl/>
        </w:rPr>
        <w:t xml:space="preserve">; עניין </w:t>
      </w:r>
      <w:r w:rsidRPr="00943BE4">
        <w:rPr>
          <w:rFonts w:ascii="Century" w:hAnsi="Century" w:cs="Miriam" w:hint="cs"/>
          <w:b/>
          <w:spacing w:val="0"/>
          <w:szCs w:val="24"/>
          <w:rtl/>
        </w:rPr>
        <w:t>אייזנברג</w:t>
      </w:r>
      <w:r>
        <w:rPr>
          <w:rFonts w:hint="cs"/>
          <w:rtl/>
        </w:rPr>
        <w:t>, בעמ' 262).</w:t>
      </w:r>
    </w:p>
    <w:p w14:paraId="0FD7FC82" w14:textId="77777777" w:rsidR="00C21353" w:rsidRPr="001468C9" w:rsidRDefault="00C21353" w:rsidP="00C21353">
      <w:pPr>
        <w:pStyle w:val="Ruller41"/>
      </w:pPr>
    </w:p>
    <w:p w14:paraId="6BFEB2D5" w14:textId="77777777" w:rsidR="00C21353" w:rsidRDefault="00C21353" w:rsidP="00C21353">
      <w:pPr>
        <w:pStyle w:val="Ruller4"/>
        <w:rPr>
          <w:rtl/>
        </w:rPr>
      </w:pPr>
      <w:r>
        <w:rPr>
          <w:rFonts w:ascii="Century" w:hAnsi="Century" w:cs="Miriam" w:hint="cs"/>
          <w:b/>
          <w:spacing w:val="0"/>
          <w:sz w:val="22"/>
          <w:szCs w:val="24"/>
          <w:rtl/>
        </w:rPr>
        <w:t>שלישית</w:t>
      </w:r>
      <w:r>
        <w:rPr>
          <w:rFonts w:hint="cs"/>
          <w:rtl/>
        </w:rPr>
        <w:t xml:space="preserve">, העובדה שנגד דרעי תלוי ועומד מאסר על תנאי (תקופה זו תסתיים ביום 31.1.2025) מקרינה כשלעצמה על סבירות המינוי. המצב שבו שר בממשלה הוא מי שהורשע בעבירות פליליות שהענישה בגינן עודנה מרחפת מעליו טומן בחובו פגיעה </w:t>
      </w:r>
      <w:r>
        <w:rPr>
          <w:rFonts w:hint="cs"/>
          <w:rtl/>
        </w:rPr>
        <w:lastRenderedPageBreak/>
        <w:t xml:space="preserve">משמעותית באמון הציבור במוסדות השלטון ובטוהר המידות של נושאי המשרות הבכירות בשירות הציבורי.  </w:t>
      </w:r>
    </w:p>
    <w:p w14:paraId="251F8AA5" w14:textId="77777777" w:rsidR="00C21353" w:rsidRPr="00D30589" w:rsidRDefault="00C21353" w:rsidP="00C21353">
      <w:pPr>
        <w:pStyle w:val="Ruller41"/>
      </w:pPr>
    </w:p>
    <w:p w14:paraId="461699C2" w14:textId="77777777" w:rsidR="00C21353" w:rsidRPr="00D70E73" w:rsidRDefault="00C21353" w:rsidP="00C21353">
      <w:pPr>
        <w:pStyle w:val="Ruller4"/>
      </w:pPr>
      <w:r>
        <w:rPr>
          <w:rFonts w:hint="cs"/>
          <w:rtl/>
        </w:rPr>
        <w:t xml:space="preserve">כמשקל נגד לשיקולים אלה ביקשו דרעי וראש הממשלה נתניהו להעלות שורה של טעמים שממקמים לשיטתם את מינויו של דרעי בתוך מתחם הסבירות. בכלל זאת, ניתן למנות בין היתר את הצורך ביציבות שלטונית, את כישוריו וניסיונו של דרעי ואת העובדה שציבור גדול בחר בו כיו"ר מפלגת ש"ס. אכן, שיקולים אלה הם שיקולים רלוונטיים בבחינת סבירות מינויו של דרעי. חברתי הנשיאה </w:t>
      </w:r>
      <w:r w:rsidRPr="00CF38C4">
        <w:rPr>
          <w:rFonts w:ascii="Century" w:hAnsi="Century" w:cs="Miriam" w:hint="cs"/>
          <w:b/>
          <w:spacing w:val="0"/>
          <w:sz w:val="22"/>
          <w:szCs w:val="24"/>
          <w:rtl/>
        </w:rPr>
        <w:t>חיות</w:t>
      </w:r>
      <w:r>
        <w:rPr>
          <w:rFonts w:ascii="Century" w:hAnsi="Century" w:hint="cs"/>
          <w:sz w:val="22"/>
          <w:rtl/>
        </w:rPr>
        <w:t xml:space="preserve"> התייחסה לסוגיות אלו בחוות דעתה (פסקאות 52-51)</w:t>
      </w:r>
      <w:r>
        <w:rPr>
          <w:rFonts w:hint="cs"/>
          <w:rtl/>
        </w:rPr>
        <w:t xml:space="preserve">. כמוה </w:t>
      </w:r>
      <w:r>
        <w:rPr>
          <w:rtl/>
        </w:rPr>
        <w:t>–</w:t>
      </w:r>
      <w:r>
        <w:rPr>
          <w:rFonts w:hint="cs"/>
          <w:rtl/>
        </w:rPr>
        <w:t xml:space="preserve"> אף אני בדעה כי אין בהן כדי להטות את הכף בעניינו של דרעי. בהקשר לטיעונים אלה אך אוסיף ואעיר כי ציבור הבוחרים שבחר בדרעי בחר בו לכהונה </w:t>
      </w:r>
      <w:r w:rsidRPr="00D70E73">
        <w:rPr>
          <w:rFonts w:ascii="Century" w:hAnsi="Century" w:cs="Miriam" w:hint="cs"/>
          <w:b/>
          <w:spacing w:val="0"/>
          <w:sz w:val="22"/>
          <w:szCs w:val="24"/>
          <w:rtl/>
        </w:rPr>
        <w:t>כחבר כנסת</w:t>
      </w:r>
      <w:r>
        <w:rPr>
          <w:rFonts w:hint="cs"/>
          <w:rtl/>
        </w:rPr>
        <w:t xml:space="preserve">. כפי שכבר ציינו בעבר, לנבחר הציבור אין זכות קנויה לשמש כשר (עניין </w:t>
      </w:r>
      <w:r>
        <w:rPr>
          <w:rFonts w:ascii="Century" w:hAnsi="Century" w:cs="Miriam" w:hint="cs"/>
          <w:b/>
          <w:spacing w:val="0"/>
          <w:sz w:val="22"/>
          <w:szCs w:val="24"/>
          <w:rtl/>
        </w:rPr>
        <w:t>דרעי השני</w:t>
      </w:r>
      <w:r>
        <w:rPr>
          <w:rFonts w:ascii="Century" w:hAnsi="Century" w:hint="cs"/>
          <w:sz w:val="22"/>
          <w:rtl/>
        </w:rPr>
        <w:t>, פסקה 22</w:t>
      </w:r>
      <w:r>
        <w:rPr>
          <w:rFonts w:hint="cs"/>
          <w:rtl/>
        </w:rPr>
        <w:t xml:space="preserve">; כן ראו חוות דעתה של השופטת </w:t>
      </w:r>
      <w:r>
        <w:rPr>
          <w:rFonts w:ascii="Century" w:hAnsi="Century" w:cs="Miriam" w:hint="cs"/>
          <w:b/>
          <w:spacing w:val="0"/>
          <w:sz w:val="22"/>
          <w:szCs w:val="24"/>
          <w:rtl/>
        </w:rPr>
        <w:t>ד' ברק-ארז</w:t>
      </w:r>
      <w:r w:rsidRPr="00BE469F">
        <w:rPr>
          <w:rFonts w:ascii="Century" w:hAnsi="Century"/>
          <w:sz w:val="22"/>
          <w:rtl/>
        </w:rPr>
        <w:t>,</w:t>
      </w:r>
      <w:r>
        <w:rPr>
          <w:rFonts w:ascii="Century" w:hAnsi="Century" w:cs="Miriam" w:hint="cs"/>
          <w:b/>
          <w:spacing w:val="0"/>
          <w:sz w:val="22"/>
          <w:szCs w:val="24"/>
          <w:rtl/>
        </w:rPr>
        <w:t xml:space="preserve"> </w:t>
      </w:r>
      <w:r w:rsidRPr="00BE469F">
        <w:rPr>
          <w:rFonts w:ascii="Century" w:hAnsi="Century" w:hint="eastAsia"/>
          <w:sz w:val="22"/>
          <w:rtl/>
        </w:rPr>
        <w:t>פסקאות</w:t>
      </w:r>
      <w:r w:rsidRPr="00746AD2">
        <w:rPr>
          <w:rFonts w:ascii="Century" w:hAnsi="Century" w:cs="Miriam" w:hint="cs"/>
          <w:b/>
          <w:spacing w:val="0"/>
          <w:sz w:val="22"/>
          <w:szCs w:val="24"/>
          <w:rtl/>
        </w:rPr>
        <w:t xml:space="preserve"> </w:t>
      </w:r>
      <w:r w:rsidRPr="00BE469F">
        <w:rPr>
          <w:rFonts w:ascii="Century" w:hAnsi="Century"/>
          <w:sz w:val="22"/>
          <w:rtl/>
        </w:rPr>
        <w:t>40-39</w:t>
      </w:r>
      <w:r>
        <w:rPr>
          <w:rFonts w:hint="cs"/>
          <w:rtl/>
        </w:rPr>
        <w:t xml:space="preserve">). זאת ועוד, מקום שבו נבחר חבר כנסת לכהונת שר, מוטלת עליו חובה לשרת את ציבור בוחריו אך בה בעת את כלל הציבור (בג"ץ 3094/93 </w:t>
      </w:r>
      <w:r>
        <w:rPr>
          <w:rFonts w:ascii="Century" w:hAnsi="Century" w:cs="Miriam" w:hint="cs"/>
          <w:b/>
          <w:spacing w:val="0"/>
          <w:sz w:val="22"/>
          <w:szCs w:val="24"/>
          <w:rtl/>
        </w:rPr>
        <w:t>התנועה למען איכות השלטון בישראל נ' ממשלת ישראל</w:t>
      </w:r>
      <w:r>
        <w:rPr>
          <w:rFonts w:hint="cs"/>
          <w:rtl/>
        </w:rPr>
        <w:t xml:space="preserve">, פ"ד מז(5) 404, 426 (1993)). בכובעו זה, נתון הוא לביקורת שיפוטית, שבגדרה עלול להידרש בית המשפט גם למצב שבו "ייכשל השר וידבק בו רבב של עבירה על החוק. יש שבשל מהות העבירה והנסיבות שבהן התבצעה תועמד בסימן שאלה האפשרות שיוסיף ויכהן בתפקידו" (שם). לשיקולים הקואליציוניים שאותם מנה ראש הממשלה, אכן ניתן לתת משקל, אך אין בהם עצמה מספקת כדי להוות משקל נגד לעברו הפלילי של דרעי (ראו והשוו לאמור שם, בעמ' 427). </w:t>
      </w:r>
    </w:p>
    <w:p w14:paraId="6C157BB2" w14:textId="77777777" w:rsidR="00C21353" w:rsidRDefault="00C21353" w:rsidP="00C21353">
      <w:pPr>
        <w:pStyle w:val="Ruller41"/>
        <w:rPr>
          <w:rtl/>
        </w:rPr>
      </w:pPr>
    </w:p>
    <w:p w14:paraId="0F373BCD" w14:textId="77777777" w:rsidR="00C21353" w:rsidRDefault="00C21353" w:rsidP="00C21353">
      <w:pPr>
        <w:pStyle w:val="Ruller4"/>
        <w:rPr>
          <w:rtl/>
        </w:rPr>
      </w:pPr>
      <w:r>
        <w:rPr>
          <w:rFonts w:hint="cs"/>
          <w:rtl/>
        </w:rPr>
        <w:t xml:space="preserve">הנה כי כן, מאז פסקי הדין הקודמים שמצאו את מינויו של דרעי "על גבול" מתחם הסבירות אירעו תמורות משמעותיות. בראשן, הרשעתו של דרעי בשתי עבירות נוספות ואף בפעם זו, מבלי שהביע חרטה. תמורות אלו מטות </w:t>
      </w:r>
      <w:r>
        <w:rPr>
          <w:rtl/>
        </w:rPr>
        <w:t>–</w:t>
      </w:r>
      <w:r>
        <w:rPr>
          <w:rFonts w:hint="cs"/>
          <w:rtl/>
        </w:rPr>
        <w:t xml:space="preserve"> באופן מובהק וברור </w:t>
      </w:r>
      <w:r>
        <w:rPr>
          <w:rtl/>
        </w:rPr>
        <w:t>–</w:t>
      </w:r>
      <w:r>
        <w:rPr>
          <w:rFonts w:hint="cs"/>
          <w:rtl/>
        </w:rPr>
        <w:t xml:space="preserve"> את נקודת האיזון בעניינו של דרעי. נוכח כל האמור לעיל, מינויו של דרעי לתפקיד שר בממשלת ישראל חורג בצורה קיצונית ממתחם הסבירות, ולפיכך אינו יכול לעמוד.</w:t>
      </w:r>
    </w:p>
    <w:p w14:paraId="54FDDCBF" w14:textId="77777777" w:rsidR="00C21353" w:rsidRDefault="00C21353" w:rsidP="00C21353">
      <w:pPr>
        <w:pStyle w:val="Ruller41"/>
        <w:rPr>
          <w:rtl/>
        </w:rPr>
      </w:pPr>
    </w:p>
    <w:p w14:paraId="2A0A6AD9" w14:textId="77777777" w:rsidR="00C21353" w:rsidRPr="00F41F13" w:rsidRDefault="00C21353" w:rsidP="00C21353">
      <w:pPr>
        <w:pStyle w:val="Ruller41"/>
        <w:rPr>
          <w:rFonts w:ascii="Century" w:hAnsi="Century" w:cs="Miriam"/>
          <w:b/>
          <w:spacing w:val="0"/>
          <w:szCs w:val="24"/>
          <w:rtl/>
        </w:rPr>
      </w:pPr>
      <w:r>
        <w:rPr>
          <w:rFonts w:ascii="Century" w:hAnsi="Century" w:cs="Miriam" w:hint="cs"/>
          <w:b/>
          <w:spacing w:val="0"/>
          <w:szCs w:val="24"/>
          <w:rtl/>
        </w:rPr>
        <w:t>חוקתיות התיקון לחוק-יסוד: הממשלה</w:t>
      </w:r>
    </w:p>
    <w:p w14:paraId="6CB1CA0A" w14:textId="77777777" w:rsidR="00C21353" w:rsidRDefault="00C21353" w:rsidP="00C21353">
      <w:pPr>
        <w:pStyle w:val="Ruller41"/>
        <w:rPr>
          <w:rtl/>
        </w:rPr>
      </w:pPr>
    </w:p>
    <w:p w14:paraId="7BA0DF36" w14:textId="77777777" w:rsidR="00C21353" w:rsidRDefault="00C21353" w:rsidP="00C21353">
      <w:pPr>
        <w:pStyle w:val="Ruller4"/>
        <w:rPr>
          <w:rtl/>
        </w:rPr>
      </w:pPr>
      <w:r>
        <w:rPr>
          <w:rFonts w:hint="cs"/>
          <w:rtl/>
        </w:rPr>
        <w:t xml:space="preserve">במסגרת התיק שלפנינו הועלו גם טענות נכבדות שכוונו לחוקתיות התיקון לחוק-יסוד: הממשלה (להלן גם: </w:t>
      </w:r>
      <w:r>
        <w:rPr>
          <w:rFonts w:ascii="Century" w:hAnsi="Century" w:cs="Miriam" w:hint="cs"/>
          <w:b/>
          <w:spacing w:val="0"/>
          <w:sz w:val="22"/>
          <w:szCs w:val="24"/>
          <w:rtl/>
        </w:rPr>
        <w:t>התיקון</w:t>
      </w:r>
      <w:r>
        <w:rPr>
          <w:rFonts w:hint="cs"/>
          <w:rtl/>
        </w:rPr>
        <w:t xml:space="preserve">) שנועד לאפשר לדרעי לקיים את תנאי הכשירות לכהונת שר. תחילה אציין כי איני רואה לקבל את טענות הכנסת (ראו למשל סעיפים 7, 72-69 לתשובה מטעמה) שלפיה בית משפט זה נעדר סמכות להפעיל ביקורת שיפוטית על חוקי היסוד וזאת בפרט בהינתן פסיקתנו </w:t>
      </w:r>
      <w:r>
        <w:rPr>
          <w:rtl/>
        </w:rPr>
        <w:t>–</w:t>
      </w:r>
      <w:r>
        <w:rPr>
          <w:rFonts w:hint="cs"/>
          <w:rtl/>
        </w:rPr>
        <w:t xml:space="preserve"> שניתנה בהרכבים מורחבים </w:t>
      </w:r>
      <w:r>
        <w:rPr>
          <w:rtl/>
        </w:rPr>
        <w:t>–</w:t>
      </w:r>
      <w:r>
        <w:rPr>
          <w:rFonts w:hint="cs"/>
          <w:rtl/>
        </w:rPr>
        <w:t xml:space="preserve"> בשאלת </w:t>
      </w:r>
      <w:r>
        <w:rPr>
          <w:rFonts w:hint="cs"/>
          <w:rtl/>
        </w:rPr>
        <w:lastRenderedPageBreak/>
        <w:t xml:space="preserve">השימוש לרעה בסמכות המכוננת (בג"ץ 2905/20 </w:t>
      </w:r>
      <w:r>
        <w:rPr>
          <w:rFonts w:ascii="Century" w:hAnsi="Century" w:cs="Miriam" w:hint="cs"/>
          <w:b/>
          <w:spacing w:val="0"/>
          <w:sz w:val="22"/>
          <w:szCs w:val="24"/>
          <w:rtl/>
        </w:rPr>
        <w:t xml:space="preserve">התנועה למען איכות השלטון בישראל נ' כנסת ישראל </w:t>
      </w:r>
      <w:r>
        <w:rPr>
          <w:rFonts w:ascii="Century" w:hAnsi="Century" w:hint="cs"/>
          <w:sz w:val="22"/>
          <w:rtl/>
        </w:rPr>
        <w:t>(12.7.2021)</w:t>
      </w:r>
      <w:r>
        <w:rPr>
          <w:rFonts w:hint="cs"/>
          <w:rtl/>
        </w:rPr>
        <w:t xml:space="preserve">; בג"ץ 5969/20 </w:t>
      </w:r>
      <w:r>
        <w:rPr>
          <w:rFonts w:ascii="Century" w:hAnsi="Century" w:cs="Miriam" w:hint="cs"/>
          <w:b/>
          <w:spacing w:val="0"/>
          <w:sz w:val="22"/>
          <w:szCs w:val="24"/>
          <w:rtl/>
        </w:rPr>
        <w:t xml:space="preserve">שפיר נ' </w:t>
      </w:r>
      <w:r w:rsidRPr="002B19C9">
        <w:rPr>
          <w:rFonts w:ascii="Century" w:hAnsi="Century" w:cs="Miriam" w:hint="cs"/>
          <w:b/>
          <w:spacing w:val="0"/>
          <w:sz w:val="22"/>
          <w:szCs w:val="24"/>
          <w:rtl/>
        </w:rPr>
        <w:t>הכנסת</w:t>
      </w:r>
      <w:r>
        <w:rPr>
          <w:rFonts w:hint="cs"/>
          <w:rtl/>
        </w:rPr>
        <w:t xml:space="preserve"> (23.5.2021) (להלן: עניין </w:t>
      </w:r>
      <w:r>
        <w:rPr>
          <w:rFonts w:ascii="Century" w:hAnsi="Century" w:cs="Miriam" w:hint="cs"/>
          <w:b/>
          <w:spacing w:val="0"/>
          <w:sz w:val="22"/>
          <w:szCs w:val="24"/>
          <w:rtl/>
        </w:rPr>
        <w:t>שפיר</w:t>
      </w:r>
      <w:r>
        <w:rPr>
          <w:rFonts w:hint="cs"/>
          <w:rtl/>
        </w:rPr>
        <w:t xml:space="preserve">)). עם זאת, משמצאתי כי דין המינוי להיפסל במישור המינהלי, איני נדרש לטעת מסמרות בשאלה אם הכנסת עשתה שימוש לרעה בסמכותה המכוננת במסגרת התיקון, שכן הטענות המכוונות לחוקתיות התיקון אינן מכוונות בעיקרן כלפי התיקון גופו כי אם לתחולתו בעניינו של דרעי. מסקנה זו נטועה בכלל שלפיו בית המשפט יפנה לפסילת חוק כ"מוצא אחרון". כבר בעניין </w:t>
      </w:r>
      <w:r>
        <w:rPr>
          <w:rFonts w:ascii="Century" w:hAnsi="Century" w:cs="Miriam" w:hint="cs"/>
          <w:b/>
          <w:spacing w:val="0"/>
          <w:sz w:val="22"/>
          <w:szCs w:val="24"/>
          <w:rtl/>
        </w:rPr>
        <w:t>בנק המזרחי</w:t>
      </w:r>
      <w:r>
        <w:rPr>
          <w:rFonts w:ascii="Century" w:hAnsi="Century" w:hint="cs"/>
          <w:sz w:val="22"/>
          <w:rtl/>
        </w:rPr>
        <w:t xml:space="preserve"> עמד בית משפט זה על הריסון המתחייב בכל הנוגע לביקורת חוקתית, בהפנותו לקווים המנחים שהתווה השופט </w:t>
      </w:r>
      <w:proofErr w:type="spellStart"/>
      <w:r>
        <w:rPr>
          <w:rFonts w:ascii="Century" w:hAnsi="Century" w:hint="cs"/>
          <w:sz w:val="22"/>
          <w:rtl/>
        </w:rPr>
        <w:t>ברנדייס</w:t>
      </w:r>
      <w:proofErr w:type="spellEnd"/>
      <w:r>
        <w:rPr>
          <w:rFonts w:ascii="Century" w:hAnsi="Century" w:hint="cs"/>
          <w:sz w:val="22"/>
          <w:rtl/>
        </w:rPr>
        <w:t xml:space="preserve"> בפרשת </w:t>
      </w:r>
      <w:proofErr w:type="spellStart"/>
      <w:r>
        <w:rPr>
          <w:rFonts w:ascii="Century" w:hAnsi="Century" w:hint="cs"/>
          <w:sz w:val="22"/>
          <w:rtl/>
        </w:rPr>
        <w:t>אשוונדר</w:t>
      </w:r>
      <w:proofErr w:type="spellEnd"/>
      <w:r>
        <w:rPr>
          <w:rFonts w:ascii="Century" w:hAnsi="Century" w:hint="cs"/>
          <w:sz w:val="22"/>
          <w:rtl/>
        </w:rPr>
        <w:t xml:space="preserve"> (</w:t>
      </w:r>
      <w:proofErr w:type="spellStart"/>
      <w:r w:rsidRPr="00AB41F7">
        <w:rPr>
          <w:rFonts w:ascii="Century" w:hAnsi="Century" w:cs="Miriam"/>
          <w:bCs/>
          <w:spacing w:val="0"/>
          <w:sz w:val="22"/>
          <w:szCs w:val="24"/>
        </w:rPr>
        <w:t>Ashwander</w:t>
      </w:r>
      <w:proofErr w:type="spellEnd"/>
      <w:r w:rsidRPr="00AB41F7">
        <w:rPr>
          <w:rFonts w:ascii="Century" w:hAnsi="Century" w:cs="Miriam"/>
          <w:bCs/>
          <w:spacing w:val="0"/>
          <w:sz w:val="22"/>
          <w:szCs w:val="24"/>
        </w:rPr>
        <w:t xml:space="preserve"> v. Tennessee Valley Auth., 297 U.S. 288</w:t>
      </w:r>
      <w:r>
        <w:rPr>
          <w:rFonts w:ascii="Century" w:hAnsi="Century" w:cs="Miriam"/>
          <w:bCs/>
          <w:spacing w:val="0"/>
          <w:sz w:val="22"/>
          <w:szCs w:val="24"/>
        </w:rPr>
        <w:t xml:space="preserve"> (1936)</w:t>
      </w:r>
      <w:r>
        <w:rPr>
          <w:rFonts w:ascii="Century" w:hAnsi="Century" w:hint="cs"/>
          <w:sz w:val="22"/>
          <w:rtl/>
        </w:rPr>
        <w:t xml:space="preserve">). לענייננו חשוב הוא הכלל שלפיו בית המשפט ידון בשאלות בעלות אופי חוקתי רק כאשר הדבר דרוש </w:t>
      </w:r>
      <w:r w:rsidRPr="00AB41F7">
        <w:rPr>
          <w:rFonts w:ascii="Century" w:hAnsi="Century" w:cs="Miriam" w:hint="eastAsia"/>
          <w:b/>
          <w:spacing w:val="0"/>
          <w:sz w:val="22"/>
          <w:szCs w:val="24"/>
          <w:rtl/>
        </w:rPr>
        <w:t>באופן</w:t>
      </w:r>
      <w:r w:rsidRPr="00AB41F7">
        <w:rPr>
          <w:rFonts w:ascii="Century" w:hAnsi="Century" w:cs="Miriam"/>
          <w:b/>
          <w:spacing w:val="0"/>
          <w:sz w:val="22"/>
          <w:szCs w:val="24"/>
          <w:rtl/>
        </w:rPr>
        <w:t xml:space="preserve"> </w:t>
      </w:r>
      <w:r w:rsidRPr="00091F47">
        <w:rPr>
          <w:rFonts w:ascii="Century" w:hAnsi="Century" w:cs="Miriam" w:hint="cs"/>
          <w:b/>
          <w:spacing w:val="0"/>
          <w:sz w:val="22"/>
          <w:szCs w:val="24"/>
          <w:rtl/>
        </w:rPr>
        <w:t xml:space="preserve">החלטי </w:t>
      </w:r>
      <w:r>
        <w:rPr>
          <w:rFonts w:ascii="Century" w:hAnsi="Century" w:hint="cs"/>
          <w:sz w:val="22"/>
          <w:rtl/>
        </w:rPr>
        <w:t>(</w:t>
      </w:r>
      <w:r w:rsidRPr="00AB41F7">
        <w:rPr>
          <w:rFonts w:ascii="Century" w:hAnsi="Century" w:cs="Miriam"/>
          <w:bCs/>
          <w:spacing w:val="0"/>
          <w:sz w:val="22"/>
          <w:szCs w:val="24"/>
        </w:rPr>
        <w:t>Absolutely necessary</w:t>
      </w:r>
      <w:r>
        <w:rPr>
          <w:rFonts w:ascii="Century" w:hAnsi="Century" w:hint="cs"/>
          <w:sz w:val="22"/>
          <w:rtl/>
        </w:rPr>
        <w:t xml:space="preserve">) (ע"א 6821/93 </w:t>
      </w:r>
      <w:r>
        <w:rPr>
          <w:rFonts w:ascii="Century" w:hAnsi="Century" w:cs="Miriam" w:hint="cs"/>
          <w:b/>
          <w:spacing w:val="0"/>
          <w:sz w:val="22"/>
          <w:szCs w:val="24"/>
          <w:rtl/>
        </w:rPr>
        <w:t>בנק המזרחי המאוחד בע"מ נ' מגדל כפר שיתופי</w:t>
      </w:r>
      <w:r>
        <w:rPr>
          <w:rFonts w:ascii="Century" w:hAnsi="Century" w:hint="cs"/>
          <w:sz w:val="22"/>
          <w:rtl/>
        </w:rPr>
        <w:t xml:space="preserve">, פ"ד מט(4) 221, 350-349 (1995); כן ראו: בג"ץ 5744/16 </w:t>
      </w:r>
      <w:r>
        <w:rPr>
          <w:rFonts w:ascii="Century" w:hAnsi="Century" w:cs="Miriam" w:hint="cs"/>
          <w:b/>
          <w:spacing w:val="0"/>
          <w:sz w:val="22"/>
          <w:szCs w:val="24"/>
          <w:rtl/>
        </w:rPr>
        <w:t>בן מאיר נ' הכנסת</w:t>
      </w:r>
      <w:r>
        <w:rPr>
          <w:rFonts w:ascii="Century" w:hAnsi="Century" w:hint="cs"/>
          <w:sz w:val="22"/>
          <w:rtl/>
        </w:rPr>
        <w:t xml:space="preserve">, פסקה 3 לפסק הדין של השופט </w:t>
      </w:r>
      <w:r>
        <w:rPr>
          <w:rFonts w:ascii="Century" w:hAnsi="Century" w:cs="Miriam" w:hint="cs"/>
          <w:b/>
          <w:spacing w:val="0"/>
          <w:sz w:val="22"/>
          <w:szCs w:val="24"/>
          <w:rtl/>
        </w:rPr>
        <w:t>מ' מזוז</w:t>
      </w:r>
      <w:r>
        <w:rPr>
          <w:rFonts w:ascii="Century" w:hAnsi="Century" w:hint="cs"/>
          <w:sz w:val="22"/>
          <w:rtl/>
        </w:rPr>
        <w:t xml:space="preserve"> (27.5.2018); וראו והשוו: </w:t>
      </w:r>
      <w:r w:rsidRPr="009056E6">
        <w:rPr>
          <w:rFonts w:hint="eastAsia"/>
          <w:rtl/>
        </w:rPr>
        <w:t>פסק</w:t>
      </w:r>
      <w:r w:rsidRPr="009056E6">
        <w:rPr>
          <w:rtl/>
        </w:rPr>
        <w:t xml:space="preserve"> </w:t>
      </w:r>
      <w:r w:rsidRPr="009056E6">
        <w:rPr>
          <w:rFonts w:hint="eastAsia"/>
          <w:rtl/>
        </w:rPr>
        <w:t>דיני</w:t>
      </w:r>
      <w:r w:rsidRPr="009056E6">
        <w:rPr>
          <w:rtl/>
        </w:rPr>
        <w:t xml:space="preserve"> </w:t>
      </w:r>
      <w:r w:rsidRPr="009056E6">
        <w:rPr>
          <w:rFonts w:hint="eastAsia"/>
          <w:rtl/>
        </w:rPr>
        <w:t>בבג</w:t>
      </w:r>
      <w:r w:rsidRPr="009056E6">
        <w:rPr>
          <w:rtl/>
        </w:rPr>
        <w:t>"</w:t>
      </w:r>
      <w:r w:rsidRPr="009056E6">
        <w:rPr>
          <w:rFonts w:hint="eastAsia"/>
          <w:rtl/>
        </w:rPr>
        <w:t>ץ</w:t>
      </w:r>
      <w:r w:rsidRPr="009056E6">
        <w:rPr>
          <w:rtl/>
        </w:rPr>
        <w:t xml:space="preserve"> 5469/20 </w:t>
      </w:r>
      <w:r w:rsidRPr="007F0BB8">
        <w:rPr>
          <w:rFonts w:ascii="Century" w:hAnsi="Century" w:cs="Miriam" w:hint="eastAsia"/>
          <w:b/>
          <w:spacing w:val="0"/>
          <w:sz w:val="22"/>
          <w:szCs w:val="24"/>
          <w:rtl/>
        </w:rPr>
        <w:t>אחריות</w:t>
      </w:r>
      <w:r w:rsidRPr="007F0BB8">
        <w:rPr>
          <w:rFonts w:ascii="Century" w:hAnsi="Century" w:cs="Miriam"/>
          <w:b/>
          <w:spacing w:val="0"/>
          <w:sz w:val="22"/>
          <w:szCs w:val="24"/>
          <w:rtl/>
        </w:rPr>
        <w:t xml:space="preserve"> </w:t>
      </w:r>
      <w:r w:rsidRPr="007F0BB8">
        <w:rPr>
          <w:rFonts w:ascii="Century" w:hAnsi="Century" w:cs="Miriam" w:hint="eastAsia"/>
          <w:b/>
          <w:spacing w:val="0"/>
          <w:sz w:val="22"/>
          <w:szCs w:val="24"/>
          <w:rtl/>
        </w:rPr>
        <w:t>לאומית</w:t>
      </w:r>
      <w:r w:rsidRPr="007F0BB8">
        <w:rPr>
          <w:rFonts w:ascii="Century" w:hAnsi="Century" w:cs="Miriam"/>
          <w:b/>
          <w:spacing w:val="0"/>
          <w:sz w:val="22"/>
          <w:szCs w:val="24"/>
          <w:rtl/>
        </w:rPr>
        <w:t xml:space="preserve"> – </w:t>
      </w:r>
      <w:r w:rsidRPr="007F0BB8">
        <w:rPr>
          <w:rFonts w:ascii="Century" w:hAnsi="Century" w:cs="Miriam" w:hint="eastAsia"/>
          <w:b/>
          <w:spacing w:val="0"/>
          <w:sz w:val="22"/>
          <w:szCs w:val="24"/>
          <w:rtl/>
        </w:rPr>
        <w:t>ישראל</w:t>
      </w:r>
      <w:r w:rsidRPr="007F0BB8">
        <w:rPr>
          <w:rFonts w:ascii="Century" w:hAnsi="Century" w:cs="Miriam"/>
          <w:b/>
          <w:spacing w:val="0"/>
          <w:sz w:val="22"/>
          <w:szCs w:val="24"/>
          <w:rtl/>
        </w:rPr>
        <w:t xml:space="preserve"> </w:t>
      </w:r>
      <w:r w:rsidRPr="007F0BB8">
        <w:rPr>
          <w:rFonts w:ascii="Century" w:hAnsi="Century" w:cs="Miriam" w:hint="eastAsia"/>
          <w:b/>
          <w:spacing w:val="0"/>
          <w:sz w:val="22"/>
          <w:szCs w:val="24"/>
          <w:rtl/>
        </w:rPr>
        <w:t>הבית</w:t>
      </w:r>
      <w:r w:rsidRPr="007F0BB8">
        <w:rPr>
          <w:rFonts w:ascii="Century" w:hAnsi="Century" w:cs="Miriam"/>
          <w:b/>
          <w:spacing w:val="0"/>
          <w:sz w:val="22"/>
          <w:szCs w:val="24"/>
          <w:rtl/>
        </w:rPr>
        <w:t xml:space="preserve"> </w:t>
      </w:r>
      <w:r w:rsidRPr="007F0BB8">
        <w:rPr>
          <w:rFonts w:ascii="Century" w:hAnsi="Century" w:cs="Miriam" w:hint="eastAsia"/>
          <w:b/>
          <w:spacing w:val="0"/>
          <w:sz w:val="22"/>
          <w:szCs w:val="24"/>
          <w:rtl/>
        </w:rPr>
        <w:t>שלי</w:t>
      </w:r>
      <w:r w:rsidRPr="007F0BB8">
        <w:rPr>
          <w:rFonts w:ascii="Century" w:hAnsi="Century" w:cs="Miriam"/>
          <w:b/>
          <w:spacing w:val="0"/>
          <w:sz w:val="22"/>
          <w:szCs w:val="24"/>
          <w:rtl/>
        </w:rPr>
        <w:t xml:space="preserve"> </w:t>
      </w:r>
      <w:r w:rsidRPr="007F0BB8">
        <w:rPr>
          <w:rFonts w:ascii="Century" w:hAnsi="Century" w:cs="Miriam" w:hint="eastAsia"/>
          <w:b/>
          <w:spacing w:val="0"/>
          <w:sz w:val="22"/>
          <w:szCs w:val="24"/>
          <w:rtl/>
        </w:rPr>
        <w:t>נ</w:t>
      </w:r>
      <w:r w:rsidRPr="007F0BB8">
        <w:rPr>
          <w:rFonts w:ascii="Century" w:hAnsi="Century" w:cs="Miriam"/>
          <w:b/>
          <w:spacing w:val="0"/>
          <w:sz w:val="22"/>
          <w:szCs w:val="24"/>
          <w:rtl/>
        </w:rPr>
        <w:t xml:space="preserve">' </w:t>
      </w:r>
      <w:r w:rsidRPr="007F0BB8">
        <w:rPr>
          <w:rFonts w:ascii="Century" w:hAnsi="Century" w:cs="Miriam" w:hint="eastAsia"/>
          <w:b/>
          <w:spacing w:val="0"/>
          <w:sz w:val="22"/>
          <w:szCs w:val="24"/>
          <w:rtl/>
        </w:rPr>
        <w:t>ממשלת</w:t>
      </w:r>
      <w:r w:rsidRPr="007F0BB8">
        <w:rPr>
          <w:rFonts w:ascii="Century" w:hAnsi="Century" w:cs="Miriam"/>
          <w:b/>
          <w:spacing w:val="0"/>
          <w:sz w:val="22"/>
          <w:szCs w:val="24"/>
          <w:rtl/>
        </w:rPr>
        <w:t xml:space="preserve"> </w:t>
      </w:r>
      <w:r w:rsidRPr="007F0BB8">
        <w:rPr>
          <w:rFonts w:ascii="Century" w:hAnsi="Century" w:cs="Miriam" w:hint="eastAsia"/>
          <w:b/>
          <w:spacing w:val="0"/>
          <w:sz w:val="22"/>
          <w:szCs w:val="24"/>
          <w:rtl/>
        </w:rPr>
        <w:t>ישראל</w:t>
      </w:r>
      <w:r w:rsidRPr="007F0BB8">
        <w:rPr>
          <w:rtl/>
        </w:rPr>
        <w:t xml:space="preserve"> </w:t>
      </w:r>
      <w:r w:rsidRPr="009056E6">
        <w:rPr>
          <w:rtl/>
        </w:rPr>
        <w:t>(4.4.2021)</w:t>
      </w:r>
      <w:r>
        <w:rPr>
          <w:rFonts w:hint="cs"/>
          <w:rtl/>
        </w:rPr>
        <w:t xml:space="preserve">; בג"ץ 813/14 </w:t>
      </w:r>
      <w:r w:rsidRPr="007F0BB8">
        <w:rPr>
          <w:rFonts w:ascii="Century" w:hAnsi="Century" w:cs="Miriam" w:hint="cs"/>
          <w:b/>
          <w:spacing w:val="0"/>
          <w:sz w:val="22"/>
          <w:szCs w:val="24"/>
          <w:rtl/>
        </w:rPr>
        <w:t>פלונים נ' שר הפנים</w:t>
      </w:r>
      <w:r>
        <w:rPr>
          <w:rFonts w:hint="cs"/>
          <w:rtl/>
        </w:rPr>
        <w:t xml:space="preserve">, פסקה 24 (18.10.2017); בג"ץ 2311/11 </w:t>
      </w:r>
      <w:r w:rsidRPr="005218F3">
        <w:rPr>
          <w:rFonts w:ascii="Century" w:hAnsi="Century" w:cs="Miriam" w:hint="cs"/>
          <w:b/>
          <w:spacing w:val="0"/>
          <w:sz w:val="22"/>
          <w:szCs w:val="24"/>
          <w:rtl/>
        </w:rPr>
        <w:t>סבח נ' הכנסת</w:t>
      </w:r>
      <w:r>
        <w:rPr>
          <w:rFonts w:ascii="Century" w:hAnsi="Century" w:cs="Miriam" w:hint="cs"/>
          <w:b/>
          <w:spacing w:val="0"/>
          <w:sz w:val="22"/>
          <w:szCs w:val="24"/>
          <w:rtl/>
        </w:rPr>
        <w:t xml:space="preserve">, </w:t>
      </w:r>
      <w:r w:rsidRPr="005218F3">
        <w:rPr>
          <w:rFonts w:ascii="Century" w:hAnsi="Century" w:hint="cs"/>
          <w:sz w:val="22"/>
          <w:rtl/>
        </w:rPr>
        <w:t>פסקה 84 לפסק דינו של השופט</w:t>
      </w:r>
      <w:r w:rsidRPr="005218F3">
        <w:rPr>
          <w:rFonts w:ascii="Century" w:hAnsi="Century" w:cs="Miriam" w:hint="cs"/>
          <w:b/>
          <w:spacing w:val="0"/>
          <w:sz w:val="22"/>
          <w:szCs w:val="24"/>
          <w:rtl/>
        </w:rPr>
        <w:t xml:space="preserve"> </w:t>
      </w:r>
      <w:r>
        <w:rPr>
          <w:rFonts w:ascii="Century" w:hAnsi="Century" w:cs="Miriam" w:hint="cs"/>
          <w:b/>
          <w:spacing w:val="0"/>
          <w:sz w:val="22"/>
          <w:szCs w:val="24"/>
          <w:rtl/>
        </w:rPr>
        <w:t>ס' ג'ובראן</w:t>
      </w:r>
      <w:r w:rsidRPr="005218F3">
        <w:rPr>
          <w:rFonts w:hint="cs"/>
          <w:rtl/>
        </w:rPr>
        <w:t xml:space="preserve"> </w:t>
      </w:r>
      <w:r>
        <w:rPr>
          <w:rFonts w:hint="cs"/>
          <w:rtl/>
        </w:rPr>
        <w:t xml:space="preserve">(17.9.2014); </w:t>
      </w:r>
      <w:r w:rsidRPr="009056E6">
        <w:rPr>
          <w:rFonts w:hint="eastAsia"/>
          <w:rtl/>
        </w:rPr>
        <w:t>בג</w:t>
      </w:r>
      <w:r w:rsidRPr="009056E6">
        <w:rPr>
          <w:rtl/>
        </w:rPr>
        <w:t>"</w:t>
      </w:r>
      <w:r w:rsidRPr="009056E6">
        <w:rPr>
          <w:rFonts w:hint="eastAsia"/>
          <w:rtl/>
        </w:rPr>
        <w:t>ץ</w:t>
      </w:r>
      <w:r w:rsidRPr="009056E6">
        <w:rPr>
          <w:rtl/>
        </w:rPr>
        <w:t xml:space="preserve"> 7146/12 </w:t>
      </w:r>
      <w:r w:rsidRPr="009056E6">
        <w:rPr>
          <w:rFonts w:ascii="Century" w:hAnsi="Century" w:cs="Miriam" w:hint="eastAsia"/>
          <w:b/>
          <w:spacing w:val="0"/>
          <w:sz w:val="22"/>
          <w:szCs w:val="24"/>
          <w:rtl/>
        </w:rPr>
        <w:t>אדם</w:t>
      </w:r>
      <w:r w:rsidRPr="009056E6">
        <w:rPr>
          <w:rFonts w:ascii="Century" w:hAnsi="Century" w:cs="Miriam"/>
          <w:b/>
          <w:spacing w:val="0"/>
          <w:sz w:val="22"/>
          <w:szCs w:val="24"/>
          <w:rtl/>
        </w:rPr>
        <w:t xml:space="preserve"> </w:t>
      </w:r>
      <w:r w:rsidRPr="009056E6">
        <w:rPr>
          <w:rFonts w:ascii="Century" w:hAnsi="Century" w:cs="Miriam" w:hint="eastAsia"/>
          <w:b/>
          <w:spacing w:val="0"/>
          <w:sz w:val="22"/>
          <w:szCs w:val="24"/>
          <w:rtl/>
        </w:rPr>
        <w:t>נ</w:t>
      </w:r>
      <w:r w:rsidRPr="009056E6">
        <w:rPr>
          <w:rFonts w:ascii="Century" w:hAnsi="Century" w:cs="Miriam"/>
          <w:b/>
          <w:spacing w:val="0"/>
          <w:sz w:val="22"/>
          <w:szCs w:val="24"/>
          <w:rtl/>
        </w:rPr>
        <w:t xml:space="preserve">' </w:t>
      </w:r>
      <w:r w:rsidRPr="009056E6">
        <w:rPr>
          <w:rFonts w:ascii="Century" w:hAnsi="Century" w:cs="Miriam" w:hint="eastAsia"/>
          <w:b/>
          <w:spacing w:val="0"/>
          <w:sz w:val="22"/>
          <w:szCs w:val="24"/>
          <w:rtl/>
        </w:rPr>
        <w:t>כנסת</w:t>
      </w:r>
      <w:r w:rsidRPr="009056E6">
        <w:rPr>
          <w:rFonts w:ascii="Century" w:hAnsi="Century" w:cs="Miriam"/>
          <w:b/>
          <w:spacing w:val="0"/>
          <w:sz w:val="22"/>
          <w:szCs w:val="24"/>
          <w:rtl/>
        </w:rPr>
        <w:t xml:space="preserve"> </w:t>
      </w:r>
      <w:r w:rsidRPr="009056E6">
        <w:rPr>
          <w:rFonts w:ascii="Century" w:hAnsi="Century" w:cs="Miriam" w:hint="eastAsia"/>
          <w:b/>
          <w:spacing w:val="0"/>
          <w:sz w:val="22"/>
          <w:szCs w:val="24"/>
          <w:rtl/>
        </w:rPr>
        <w:t>ישראל</w:t>
      </w:r>
      <w:r w:rsidRPr="009056E6">
        <w:rPr>
          <w:rtl/>
        </w:rPr>
        <w:t xml:space="preserve">, </w:t>
      </w:r>
      <w:r w:rsidRPr="009056E6">
        <w:rPr>
          <w:rFonts w:hint="eastAsia"/>
          <w:rtl/>
        </w:rPr>
        <w:t>פ</w:t>
      </w:r>
      <w:r w:rsidRPr="009056E6">
        <w:rPr>
          <w:rtl/>
        </w:rPr>
        <w:t>"</w:t>
      </w:r>
      <w:r w:rsidRPr="009056E6">
        <w:rPr>
          <w:rFonts w:hint="eastAsia"/>
          <w:rtl/>
        </w:rPr>
        <w:t>ד</w:t>
      </w:r>
      <w:r w:rsidRPr="009056E6">
        <w:rPr>
          <w:rtl/>
        </w:rPr>
        <w:t xml:space="preserve"> </w:t>
      </w:r>
      <w:r w:rsidRPr="009056E6">
        <w:rPr>
          <w:rFonts w:hint="eastAsia"/>
          <w:rtl/>
        </w:rPr>
        <w:t>סד</w:t>
      </w:r>
      <w:r w:rsidRPr="009056E6">
        <w:rPr>
          <w:rtl/>
        </w:rPr>
        <w:t>(2) 717, 848 (2013);</w:t>
      </w:r>
      <w:r w:rsidRPr="009056E6">
        <w:rPr>
          <w:rFonts w:hint="eastAsia"/>
          <w:rtl/>
        </w:rPr>
        <w:t xml:space="preserve"> בג</w:t>
      </w:r>
      <w:r w:rsidRPr="009056E6">
        <w:rPr>
          <w:rtl/>
        </w:rPr>
        <w:t>"</w:t>
      </w:r>
      <w:r w:rsidRPr="009056E6">
        <w:rPr>
          <w:rFonts w:hint="eastAsia"/>
          <w:rtl/>
        </w:rPr>
        <w:t>ץ</w:t>
      </w:r>
      <w:r w:rsidRPr="009056E6">
        <w:rPr>
          <w:rtl/>
        </w:rPr>
        <w:t xml:space="preserve"> 4562/92 </w:t>
      </w:r>
      <w:r w:rsidRPr="009056E6">
        <w:rPr>
          <w:rFonts w:ascii="Century" w:hAnsi="Century" w:cs="Miriam" w:hint="eastAsia"/>
          <w:b/>
          <w:spacing w:val="0"/>
          <w:sz w:val="22"/>
          <w:szCs w:val="24"/>
          <w:rtl/>
        </w:rPr>
        <w:t>זנדברג</w:t>
      </w:r>
      <w:r w:rsidRPr="009056E6">
        <w:rPr>
          <w:rFonts w:ascii="Century" w:hAnsi="Century" w:cs="Miriam"/>
          <w:b/>
          <w:spacing w:val="0"/>
          <w:sz w:val="22"/>
          <w:szCs w:val="24"/>
          <w:rtl/>
        </w:rPr>
        <w:t xml:space="preserve"> </w:t>
      </w:r>
      <w:r w:rsidRPr="009056E6">
        <w:rPr>
          <w:rFonts w:ascii="Century" w:hAnsi="Century" w:cs="Miriam" w:hint="eastAsia"/>
          <w:b/>
          <w:spacing w:val="0"/>
          <w:sz w:val="22"/>
          <w:szCs w:val="24"/>
          <w:rtl/>
        </w:rPr>
        <w:t>נ</w:t>
      </w:r>
      <w:r w:rsidRPr="009056E6">
        <w:rPr>
          <w:rFonts w:ascii="Century" w:hAnsi="Century" w:cs="Miriam"/>
          <w:b/>
          <w:spacing w:val="0"/>
          <w:sz w:val="22"/>
          <w:szCs w:val="24"/>
          <w:rtl/>
        </w:rPr>
        <w:t xml:space="preserve">' </w:t>
      </w:r>
      <w:r w:rsidRPr="009056E6">
        <w:rPr>
          <w:rFonts w:ascii="Century" w:hAnsi="Century" w:cs="Miriam" w:hint="eastAsia"/>
          <w:b/>
          <w:spacing w:val="0"/>
          <w:sz w:val="22"/>
          <w:szCs w:val="24"/>
          <w:rtl/>
        </w:rPr>
        <w:t>רשות</w:t>
      </w:r>
      <w:r w:rsidRPr="009056E6">
        <w:rPr>
          <w:rFonts w:ascii="Century" w:hAnsi="Century" w:cs="Miriam"/>
          <w:b/>
          <w:spacing w:val="0"/>
          <w:sz w:val="22"/>
          <w:szCs w:val="24"/>
          <w:rtl/>
        </w:rPr>
        <w:t xml:space="preserve"> </w:t>
      </w:r>
      <w:r w:rsidRPr="009056E6">
        <w:rPr>
          <w:rFonts w:ascii="Century" w:hAnsi="Century" w:cs="Miriam" w:hint="eastAsia"/>
          <w:b/>
          <w:spacing w:val="0"/>
          <w:sz w:val="22"/>
          <w:szCs w:val="24"/>
          <w:rtl/>
        </w:rPr>
        <w:t>השידור</w:t>
      </w:r>
      <w:r w:rsidRPr="009056E6">
        <w:rPr>
          <w:rtl/>
        </w:rPr>
        <w:t xml:space="preserve">, </w:t>
      </w:r>
      <w:r w:rsidRPr="009056E6">
        <w:rPr>
          <w:rFonts w:hint="eastAsia"/>
          <w:rtl/>
        </w:rPr>
        <w:t>פ</w:t>
      </w:r>
      <w:r w:rsidRPr="009056E6">
        <w:rPr>
          <w:rtl/>
        </w:rPr>
        <w:t>"</w:t>
      </w:r>
      <w:r w:rsidRPr="009056E6">
        <w:rPr>
          <w:rFonts w:hint="eastAsia"/>
          <w:rtl/>
        </w:rPr>
        <w:t>ד</w:t>
      </w:r>
      <w:r w:rsidRPr="009056E6">
        <w:rPr>
          <w:rtl/>
        </w:rPr>
        <w:t xml:space="preserve"> </w:t>
      </w:r>
      <w:r w:rsidRPr="009056E6">
        <w:rPr>
          <w:rFonts w:hint="eastAsia"/>
          <w:rtl/>
        </w:rPr>
        <w:t>נ</w:t>
      </w:r>
      <w:r w:rsidRPr="009056E6">
        <w:rPr>
          <w:rtl/>
        </w:rPr>
        <w:t>(2) 793, 814 (1996);</w:t>
      </w:r>
      <w:r>
        <w:rPr>
          <w:rFonts w:hint="cs"/>
          <w:rtl/>
        </w:rPr>
        <w:t xml:space="preserve"> </w:t>
      </w:r>
      <w:r w:rsidRPr="009056E6">
        <w:rPr>
          <w:rFonts w:hint="eastAsia"/>
          <w:rtl/>
        </w:rPr>
        <w:t>אהרן</w:t>
      </w:r>
      <w:r w:rsidRPr="009056E6">
        <w:rPr>
          <w:rtl/>
        </w:rPr>
        <w:t xml:space="preserve"> </w:t>
      </w:r>
      <w:r w:rsidRPr="009056E6">
        <w:rPr>
          <w:rFonts w:hint="eastAsia"/>
          <w:rtl/>
        </w:rPr>
        <w:t>ברק</w:t>
      </w:r>
      <w:r w:rsidRPr="009056E6">
        <w:rPr>
          <w:rtl/>
        </w:rPr>
        <w:t xml:space="preserve"> </w:t>
      </w:r>
      <w:r w:rsidRPr="00DA2984">
        <w:rPr>
          <w:rFonts w:ascii="Century" w:hAnsi="Century" w:cs="Miriam" w:hint="eastAsia"/>
          <w:b/>
          <w:spacing w:val="0"/>
          <w:sz w:val="22"/>
          <w:szCs w:val="24"/>
          <w:rtl/>
        </w:rPr>
        <w:t>פרשנות</w:t>
      </w:r>
      <w:r w:rsidRPr="00DA2984">
        <w:rPr>
          <w:rFonts w:ascii="Century" w:hAnsi="Century" w:cs="Miriam"/>
          <w:b/>
          <w:spacing w:val="0"/>
          <w:sz w:val="22"/>
          <w:szCs w:val="24"/>
          <w:rtl/>
        </w:rPr>
        <w:t xml:space="preserve"> </w:t>
      </w:r>
      <w:r w:rsidRPr="00DA2984">
        <w:rPr>
          <w:rFonts w:ascii="Century" w:hAnsi="Century" w:cs="Miriam" w:hint="eastAsia"/>
          <w:b/>
          <w:spacing w:val="0"/>
          <w:sz w:val="22"/>
          <w:szCs w:val="24"/>
          <w:rtl/>
        </w:rPr>
        <w:t>במשפט</w:t>
      </w:r>
      <w:r w:rsidRPr="009056E6">
        <w:rPr>
          <w:rtl/>
        </w:rPr>
        <w:t xml:space="preserve"> </w:t>
      </w:r>
      <w:r w:rsidRPr="009056E6">
        <w:rPr>
          <w:rFonts w:hint="eastAsia"/>
          <w:rtl/>
        </w:rPr>
        <w:t>כרך</w:t>
      </w:r>
      <w:r w:rsidRPr="009056E6">
        <w:rPr>
          <w:rtl/>
        </w:rPr>
        <w:t xml:space="preserve"> </w:t>
      </w:r>
      <w:r w:rsidRPr="009056E6">
        <w:rPr>
          <w:rFonts w:hint="eastAsia"/>
          <w:rtl/>
        </w:rPr>
        <w:t>ג</w:t>
      </w:r>
      <w:r w:rsidRPr="009056E6">
        <w:rPr>
          <w:rtl/>
        </w:rPr>
        <w:t xml:space="preserve"> – </w:t>
      </w:r>
      <w:r w:rsidRPr="009056E6">
        <w:rPr>
          <w:rFonts w:hint="eastAsia"/>
          <w:rtl/>
        </w:rPr>
        <w:t>פרשנות</w:t>
      </w:r>
      <w:r w:rsidRPr="009056E6">
        <w:rPr>
          <w:rtl/>
        </w:rPr>
        <w:t xml:space="preserve"> </w:t>
      </w:r>
      <w:r w:rsidRPr="009056E6">
        <w:rPr>
          <w:rFonts w:hint="eastAsia"/>
          <w:rtl/>
        </w:rPr>
        <w:t>חוקתית</w:t>
      </w:r>
      <w:r>
        <w:rPr>
          <w:rtl/>
        </w:rPr>
        <w:t xml:space="preserve"> 737 (1994)</w:t>
      </w:r>
      <w:r>
        <w:rPr>
          <w:rFonts w:hint="cs"/>
          <w:rtl/>
        </w:rPr>
        <w:t xml:space="preserve">; יגאל מרזל "השהיית הכרזת הבטלות" </w:t>
      </w:r>
      <w:r w:rsidRPr="0099464C">
        <w:rPr>
          <w:rFonts w:ascii="Century" w:hAnsi="Century" w:cs="Miriam" w:hint="cs"/>
          <w:b/>
          <w:spacing w:val="0"/>
          <w:sz w:val="22"/>
          <w:szCs w:val="24"/>
          <w:rtl/>
        </w:rPr>
        <w:t>משפט וממשל</w:t>
      </w:r>
      <w:r>
        <w:rPr>
          <w:rFonts w:hint="cs"/>
          <w:rtl/>
        </w:rPr>
        <w:t xml:space="preserve"> ט 39, 88-87 (2005)). הדברים נכונים</w:t>
      </w:r>
      <w:r w:rsidRPr="008942E1">
        <w:rPr>
          <w:rtl/>
        </w:rPr>
        <w:t xml:space="preserve">, </w:t>
      </w:r>
      <w:r w:rsidRPr="008942E1">
        <w:rPr>
          <w:rFonts w:hint="eastAsia"/>
          <w:rtl/>
        </w:rPr>
        <w:t>על</w:t>
      </w:r>
      <w:r w:rsidRPr="008942E1">
        <w:rPr>
          <w:rtl/>
        </w:rPr>
        <w:t xml:space="preserve"> </w:t>
      </w:r>
      <w:r w:rsidRPr="008942E1">
        <w:rPr>
          <w:rFonts w:hint="eastAsia"/>
          <w:rtl/>
        </w:rPr>
        <w:t>דרך</w:t>
      </w:r>
      <w:r w:rsidRPr="008942E1">
        <w:rPr>
          <w:rtl/>
        </w:rPr>
        <w:t xml:space="preserve"> </w:t>
      </w:r>
      <w:r w:rsidRPr="008942E1">
        <w:rPr>
          <w:rFonts w:hint="eastAsia"/>
          <w:rtl/>
        </w:rPr>
        <w:t>קל</w:t>
      </w:r>
      <w:r w:rsidRPr="008942E1">
        <w:rPr>
          <w:rtl/>
        </w:rPr>
        <w:t xml:space="preserve"> </w:t>
      </w:r>
      <w:r w:rsidRPr="008942E1">
        <w:rPr>
          <w:rFonts w:hint="eastAsia"/>
          <w:rtl/>
        </w:rPr>
        <w:t>וחומר</w:t>
      </w:r>
      <w:r w:rsidRPr="008942E1">
        <w:rPr>
          <w:rtl/>
        </w:rPr>
        <w:t xml:space="preserve">, </w:t>
      </w:r>
      <w:r>
        <w:rPr>
          <w:rFonts w:hint="cs"/>
          <w:rtl/>
        </w:rPr>
        <w:t>כאשר עסקינן בביקורת שיפוטית על</w:t>
      </w:r>
      <w:r w:rsidRPr="008942E1">
        <w:rPr>
          <w:rtl/>
        </w:rPr>
        <w:t xml:space="preserve"> </w:t>
      </w:r>
      <w:r w:rsidRPr="008942E1">
        <w:rPr>
          <w:rFonts w:hint="eastAsia"/>
          <w:rtl/>
        </w:rPr>
        <w:t>חוקי</w:t>
      </w:r>
      <w:r w:rsidRPr="008942E1">
        <w:rPr>
          <w:rtl/>
        </w:rPr>
        <w:t xml:space="preserve"> </w:t>
      </w:r>
      <w:r w:rsidRPr="008942E1">
        <w:rPr>
          <w:rFonts w:hint="eastAsia"/>
          <w:rtl/>
        </w:rPr>
        <w:t>יסוד</w:t>
      </w:r>
      <w:r>
        <w:rPr>
          <w:rFonts w:hint="cs"/>
          <w:rtl/>
        </w:rPr>
        <w:t xml:space="preserve"> (ראו והשוו: בג"ץ 5555/18 </w:t>
      </w:r>
      <w:r>
        <w:rPr>
          <w:rFonts w:ascii="Century" w:hAnsi="Century" w:cs="Miriam" w:hint="cs"/>
          <w:b/>
          <w:spacing w:val="0"/>
          <w:sz w:val="22"/>
          <w:szCs w:val="24"/>
          <w:rtl/>
        </w:rPr>
        <w:t>חסון נ' כנסת ישראל</w:t>
      </w:r>
      <w:r>
        <w:rPr>
          <w:rFonts w:ascii="Century" w:hAnsi="Century" w:hint="cs"/>
          <w:sz w:val="22"/>
          <w:rtl/>
        </w:rPr>
        <w:t xml:space="preserve">, פסקה </w:t>
      </w:r>
      <w:r>
        <w:rPr>
          <w:rFonts w:hint="cs"/>
          <w:rtl/>
        </w:rPr>
        <w:t xml:space="preserve">9 לפסק דיני (8.7.2021); עניין </w:t>
      </w:r>
      <w:r>
        <w:rPr>
          <w:rFonts w:ascii="Century" w:hAnsi="Century" w:cs="Miriam" w:hint="cs"/>
          <w:b/>
          <w:spacing w:val="0"/>
          <w:sz w:val="22"/>
          <w:szCs w:val="24"/>
          <w:rtl/>
        </w:rPr>
        <w:t>שפיר</w:t>
      </w:r>
      <w:r>
        <w:rPr>
          <w:rFonts w:ascii="Century" w:hAnsi="Century" w:hint="cs"/>
          <w:sz w:val="22"/>
          <w:rtl/>
        </w:rPr>
        <w:t xml:space="preserve">, פסקה 4 לפסק הדין של השופט </w:t>
      </w:r>
      <w:r>
        <w:rPr>
          <w:rFonts w:ascii="Century" w:hAnsi="Century" w:cs="Miriam" w:hint="cs"/>
          <w:b/>
          <w:spacing w:val="0"/>
          <w:sz w:val="22"/>
          <w:szCs w:val="24"/>
          <w:rtl/>
        </w:rPr>
        <w:t>י' עמית</w:t>
      </w:r>
      <w:r>
        <w:rPr>
          <w:rFonts w:hint="cs"/>
          <w:rtl/>
        </w:rPr>
        <w:t>)</w:t>
      </w:r>
      <w:r w:rsidRPr="008942E1">
        <w:rPr>
          <w:rtl/>
        </w:rPr>
        <w:t>.</w:t>
      </w:r>
      <w:r>
        <w:rPr>
          <w:rFonts w:hint="cs"/>
          <w:rtl/>
        </w:rPr>
        <w:t xml:space="preserve"> לגופם של דברים, אציין כי מקובלים עליי דבריה של הנשיאה בחוות דעתה, לרבות הקשיים עליהם היא מצביעה בתיקון נושא דיוננו (פסקאות 45-42).</w:t>
      </w:r>
    </w:p>
    <w:p w14:paraId="65A004F0" w14:textId="77777777" w:rsidR="00C21353" w:rsidRPr="00270571" w:rsidRDefault="00C21353" w:rsidP="00C21353">
      <w:pPr>
        <w:pStyle w:val="Ruller41"/>
        <w:rPr>
          <w:rtl/>
        </w:rPr>
      </w:pPr>
    </w:p>
    <w:p w14:paraId="46EA61CD" w14:textId="77777777" w:rsidR="00C21353" w:rsidRPr="00D45890" w:rsidRDefault="00C21353" w:rsidP="00C21353">
      <w:pPr>
        <w:pStyle w:val="Ruller41"/>
        <w:rPr>
          <w:rFonts w:ascii="Century" w:hAnsi="Century" w:cs="Miriam"/>
          <w:b/>
          <w:spacing w:val="0"/>
          <w:szCs w:val="24"/>
          <w:rtl/>
        </w:rPr>
      </w:pPr>
      <w:r>
        <w:rPr>
          <w:rFonts w:ascii="Century" w:hAnsi="Century" w:cs="Miriam" w:hint="cs"/>
          <w:b/>
          <w:spacing w:val="0"/>
          <w:szCs w:val="24"/>
          <w:rtl/>
        </w:rPr>
        <w:t>סוף דבר</w:t>
      </w:r>
    </w:p>
    <w:p w14:paraId="28B6BD8E" w14:textId="77777777" w:rsidR="00C21353" w:rsidRDefault="00C21353" w:rsidP="00C21353">
      <w:pPr>
        <w:pStyle w:val="Ruller41"/>
        <w:rPr>
          <w:rtl/>
        </w:rPr>
      </w:pPr>
    </w:p>
    <w:p w14:paraId="0592C063" w14:textId="77777777" w:rsidR="00C21353" w:rsidRDefault="00C21353" w:rsidP="00C21353">
      <w:pPr>
        <w:pStyle w:val="Ruller4"/>
        <w:rPr>
          <w:rtl/>
        </w:rPr>
      </w:pPr>
      <w:r>
        <w:rPr>
          <w:rFonts w:hint="cs"/>
          <w:rtl/>
        </w:rPr>
        <w:t xml:space="preserve">ראש הממשלה בחר למנות לתפקידי שר את מי שהורשע שלוש פעמים בעבירות פליליות: הראשונה, בשלהי שנות ה-90 בעבירות חמורות של טוהר המידות, ובהן לקיחת שוחד; השנייה, בראשית שנות ה-2000 בעבירת הפרת אמונים; והשלישית, לפני כשנה, בעבירות מס שביסודן העלמת והסתרת מידע מרשויות המס, שחותרת תחת רעיון השוויון בנטל המס. כל אותן שנים דרעי לא הביע חרטה על העבירות שביצע, ויצר מצג שווא של פרישה מהחיים הפוליטיים שעליו נשען בית משפט השלום כשגזר את עונשו. בנסיבות </w:t>
      </w:r>
      <w:r>
        <w:rPr>
          <w:rFonts w:hint="cs"/>
          <w:rtl/>
        </w:rPr>
        <w:lastRenderedPageBreak/>
        <w:t>אלו, מינויו של מי שבאופן שיטתי במהלך כהונה במשרה ציבורית פוגע בשלטון החוק ולא מציית לחוקי המדינה חורג בצורה ניכרת ממתחם הסבירות, ואינו חוקי.</w:t>
      </w:r>
    </w:p>
    <w:p w14:paraId="69EB5A99" w14:textId="77777777" w:rsidR="00C21353" w:rsidRDefault="00C21353" w:rsidP="00C21353">
      <w:pPr>
        <w:pStyle w:val="Ruller41"/>
        <w:rPr>
          <w:rtl/>
        </w:rPr>
      </w:pPr>
    </w:p>
    <w:p w14:paraId="04FF881C" w14:textId="77777777" w:rsidR="00C21353" w:rsidRPr="00EF668D" w:rsidRDefault="00C21353" w:rsidP="00C21353">
      <w:pPr>
        <w:pStyle w:val="Ruller41"/>
        <w:rPr>
          <w:rtl/>
        </w:rPr>
      </w:pPr>
      <w:r>
        <w:rPr>
          <w:rtl/>
        </w:rPr>
        <w:tab/>
      </w:r>
      <w:r>
        <w:rPr>
          <w:rFonts w:hint="cs"/>
          <w:rtl/>
        </w:rPr>
        <w:t>משכך, מצטרף אני לתוצאה המוצעת על ידי חברתי, שלפיה ייעשה הצו על תנאי למוחלט וגם להשקפתי ראוי להורות כי על ראש הממשלה להפעיל את סמכותו לפי סעיף 22(ב) לחוק-יסוד: הממשלה ולהעביר את דרעי מתפקידו כשר הפנים ושר הבריאות.</w:t>
      </w:r>
    </w:p>
    <w:p w14:paraId="5A155C8F" w14:textId="77777777" w:rsidR="00EF114E" w:rsidRDefault="00EF114E" w:rsidP="00EF114E">
      <w:pPr>
        <w:pStyle w:val="BODYVERDICT"/>
        <w:rPr>
          <w:rFonts w:cs="Miriam"/>
          <w:b/>
          <w:bCs/>
          <w:sz w:val="24"/>
          <w:szCs w:val="24"/>
          <w:rtl/>
        </w:rPr>
      </w:pPr>
    </w:p>
    <w:p w14:paraId="008CB13F" w14:textId="77777777" w:rsidR="00B65D90" w:rsidRDefault="00B65D90" w:rsidP="00EF114E">
      <w:pPr>
        <w:pStyle w:val="BODYVERDICT"/>
        <w:rPr>
          <w:rFonts w:cs="Miriam"/>
          <w:b/>
          <w:bCs/>
          <w:sz w:val="24"/>
          <w:szCs w:val="24"/>
          <w:rtl/>
        </w:rPr>
      </w:pPr>
    </w:p>
    <w:p w14:paraId="30786274" w14:textId="77777777" w:rsidR="00EF114E" w:rsidRDefault="00EF114E" w:rsidP="00EF114E">
      <w:pPr>
        <w:pStyle w:val="Ruller41"/>
        <w:rPr>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hint="cs"/>
          <w:rtl/>
        </w:rPr>
        <w:t>המשנה לנשיאה</w:t>
      </w:r>
    </w:p>
    <w:p w14:paraId="1565C832" w14:textId="77777777" w:rsidR="00EF114E" w:rsidRDefault="00EF114E" w:rsidP="00EF114E">
      <w:pPr>
        <w:pStyle w:val="Ruller41"/>
        <w:rPr>
          <w:rtl/>
        </w:rPr>
      </w:pPr>
    </w:p>
    <w:p w14:paraId="7CBDF326" w14:textId="77777777" w:rsidR="00B65D90" w:rsidRDefault="00B65D90" w:rsidP="00EF114E">
      <w:pPr>
        <w:pStyle w:val="BODYVERDICT"/>
        <w:rPr>
          <w:rFonts w:cs="Miriam"/>
          <w:sz w:val="24"/>
          <w:szCs w:val="24"/>
          <w:u w:val="single"/>
          <w:rtl/>
        </w:rPr>
      </w:pPr>
    </w:p>
    <w:p w14:paraId="1E25FE38" w14:textId="77777777" w:rsidR="00EF114E" w:rsidRDefault="00EF114E" w:rsidP="00B65D90">
      <w:pPr>
        <w:pStyle w:val="BODYVERDICT"/>
        <w:rPr>
          <w:rFonts w:cs="Miriam"/>
          <w:b/>
          <w:bCs/>
          <w:sz w:val="24"/>
          <w:szCs w:val="24"/>
          <w:rtl/>
        </w:rPr>
      </w:pPr>
      <w:r w:rsidRPr="0083330E">
        <w:rPr>
          <w:rFonts w:cs="Miriam"/>
          <w:sz w:val="24"/>
          <w:szCs w:val="24"/>
          <w:u w:val="single"/>
          <w:rtl/>
        </w:rPr>
        <w:t>ה</w:t>
      </w:r>
      <w:r>
        <w:rPr>
          <w:rFonts w:cs="Miriam" w:hint="cs"/>
          <w:sz w:val="24"/>
          <w:szCs w:val="24"/>
          <w:u w:val="single"/>
          <w:rtl/>
        </w:rPr>
        <w:t>שופט א</w:t>
      </w:r>
      <w:r w:rsidR="00B65D90">
        <w:rPr>
          <w:rFonts w:cs="Miriam" w:hint="cs"/>
          <w:sz w:val="24"/>
          <w:szCs w:val="24"/>
          <w:u w:val="single"/>
          <w:rtl/>
        </w:rPr>
        <w:t>'</w:t>
      </w:r>
      <w:r>
        <w:rPr>
          <w:rFonts w:cs="Miriam" w:hint="cs"/>
          <w:sz w:val="24"/>
          <w:szCs w:val="24"/>
          <w:u w:val="single"/>
          <w:rtl/>
        </w:rPr>
        <w:t xml:space="preserve"> שטיין:</w:t>
      </w:r>
    </w:p>
    <w:p w14:paraId="32965A86" w14:textId="77777777" w:rsidR="00C36C78" w:rsidRPr="00E32B9B" w:rsidRDefault="00C36C78" w:rsidP="00C36C78">
      <w:pPr>
        <w:pStyle w:val="Ruller41"/>
        <w:rPr>
          <w:sz w:val="30"/>
          <w:szCs w:val="44"/>
          <w:rtl/>
        </w:rPr>
      </w:pPr>
    </w:p>
    <w:p w14:paraId="4D1B98A7" w14:textId="77777777" w:rsidR="00C36C78" w:rsidRPr="00FD1264" w:rsidRDefault="00C36C78" w:rsidP="00C36C78">
      <w:pPr>
        <w:pStyle w:val="Ruller41"/>
        <w:rPr>
          <w:rFonts w:ascii="Century" w:hAnsi="Century" w:cs="Miriam"/>
          <w:b/>
          <w:spacing w:val="0"/>
          <w:szCs w:val="24"/>
          <w:rtl/>
        </w:rPr>
      </w:pPr>
      <w:r w:rsidRPr="00FD1264">
        <w:rPr>
          <w:rFonts w:ascii="Century" w:hAnsi="Century" w:cs="Miriam" w:hint="cs"/>
          <w:b/>
          <w:spacing w:val="0"/>
          <w:szCs w:val="24"/>
          <w:rtl/>
        </w:rPr>
        <w:t xml:space="preserve">הצהרתו של </w:t>
      </w:r>
      <w:r>
        <w:rPr>
          <w:rFonts w:ascii="Century" w:hAnsi="Century" w:cs="Miriam" w:hint="cs"/>
          <w:b/>
          <w:spacing w:val="0"/>
          <w:szCs w:val="24"/>
          <w:rtl/>
        </w:rPr>
        <w:t>מר</w:t>
      </w:r>
      <w:r w:rsidRPr="00FD1264">
        <w:rPr>
          <w:rFonts w:ascii="Century" w:hAnsi="Century" w:cs="Miriam" w:hint="cs"/>
          <w:b/>
          <w:spacing w:val="0"/>
          <w:szCs w:val="24"/>
          <w:rtl/>
        </w:rPr>
        <w:t xml:space="preserve"> אריה מכלוף דרעי בבית משפט השלום ירושלים</w:t>
      </w:r>
    </w:p>
    <w:p w14:paraId="36BC0D91" w14:textId="77777777" w:rsidR="00C36C78" w:rsidRDefault="00C36C78" w:rsidP="00C36C78">
      <w:pPr>
        <w:pStyle w:val="Ruller41"/>
        <w:rPr>
          <w:rtl/>
        </w:rPr>
      </w:pPr>
    </w:p>
    <w:p w14:paraId="676157C7" w14:textId="77777777" w:rsidR="00C36C78" w:rsidRDefault="00C36C78" w:rsidP="00C36C78">
      <w:pPr>
        <w:pStyle w:val="Ruller4"/>
        <w:numPr>
          <w:ilvl w:val="0"/>
          <w:numId w:val="30"/>
        </w:numPr>
        <w:rPr>
          <w:rtl/>
        </w:rPr>
      </w:pPr>
      <w:r>
        <w:rPr>
          <w:rFonts w:hint="cs"/>
          <w:rtl/>
        </w:rPr>
        <w:t xml:space="preserve">ביום 25.1.2022, נתקיימה בבית משפט השלום ירושלים (הנשיא </w:t>
      </w:r>
      <w:r w:rsidRPr="00C36C78">
        <w:rPr>
          <w:rFonts w:ascii="Century" w:hAnsi="Century" w:cs="Miriam" w:hint="cs"/>
          <w:b/>
          <w:spacing w:val="0"/>
          <w:sz w:val="22"/>
          <w:szCs w:val="24"/>
          <w:rtl/>
        </w:rPr>
        <w:t>ש' הרבסט</w:t>
      </w:r>
      <w:r>
        <w:rPr>
          <w:rFonts w:hint="cs"/>
          <w:rtl/>
        </w:rPr>
        <w:t xml:space="preserve">) (להלן: </w:t>
      </w:r>
      <w:r w:rsidRPr="00C36C78">
        <w:rPr>
          <w:rFonts w:ascii="Century" w:hAnsi="Century" w:cs="Miriam" w:hint="eastAsia"/>
          <w:b/>
          <w:spacing w:val="0"/>
          <w:szCs w:val="24"/>
          <w:rtl/>
        </w:rPr>
        <w:t>בית</w:t>
      </w:r>
      <w:r w:rsidRPr="00C36C78">
        <w:rPr>
          <w:rFonts w:ascii="Century" w:hAnsi="Century" w:cs="Miriam"/>
          <w:b/>
          <w:spacing w:val="0"/>
          <w:szCs w:val="24"/>
          <w:rtl/>
        </w:rPr>
        <w:t xml:space="preserve"> </w:t>
      </w:r>
      <w:r w:rsidRPr="00C36C78">
        <w:rPr>
          <w:rFonts w:ascii="Century" w:hAnsi="Century" w:cs="Miriam" w:hint="eastAsia"/>
          <w:b/>
          <w:spacing w:val="0"/>
          <w:szCs w:val="24"/>
          <w:rtl/>
        </w:rPr>
        <w:t>משפט</w:t>
      </w:r>
      <w:r w:rsidRPr="00C36C78">
        <w:rPr>
          <w:rFonts w:ascii="Century" w:hAnsi="Century" w:cs="Miriam"/>
          <w:b/>
          <w:spacing w:val="0"/>
          <w:szCs w:val="24"/>
          <w:rtl/>
        </w:rPr>
        <w:t xml:space="preserve"> </w:t>
      </w:r>
      <w:r w:rsidRPr="00C36C78">
        <w:rPr>
          <w:rFonts w:ascii="Century" w:hAnsi="Century" w:cs="Miriam" w:hint="eastAsia"/>
          <w:b/>
          <w:spacing w:val="0"/>
          <w:szCs w:val="24"/>
          <w:rtl/>
        </w:rPr>
        <w:t>השלום</w:t>
      </w:r>
      <w:r>
        <w:rPr>
          <w:rFonts w:hint="cs"/>
          <w:rtl/>
        </w:rPr>
        <w:t xml:space="preserve">) ישיבה בה אישר בית המשפט את הסדר הטיעון שערך מר </w:t>
      </w:r>
      <w:r w:rsidRPr="00FD1264">
        <w:rPr>
          <w:rFonts w:hint="eastAsia"/>
          <w:rtl/>
        </w:rPr>
        <w:t>אריה</w:t>
      </w:r>
      <w:r w:rsidRPr="00FD1264">
        <w:rPr>
          <w:rtl/>
        </w:rPr>
        <w:t xml:space="preserve"> </w:t>
      </w:r>
      <w:r w:rsidRPr="00FD1264">
        <w:rPr>
          <w:rFonts w:hint="eastAsia"/>
          <w:rtl/>
        </w:rPr>
        <w:t>מכלוף</w:t>
      </w:r>
      <w:r w:rsidRPr="00FD1264">
        <w:rPr>
          <w:rtl/>
        </w:rPr>
        <w:t xml:space="preserve"> </w:t>
      </w:r>
      <w:r w:rsidRPr="00FD1264">
        <w:rPr>
          <w:rFonts w:hint="eastAsia"/>
          <w:rtl/>
        </w:rPr>
        <w:t>דרע</w:t>
      </w:r>
      <w:r w:rsidRPr="006D575B">
        <w:rPr>
          <w:rFonts w:hint="eastAsia"/>
          <w:rtl/>
        </w:rPr>
        <w:t>י</w:t>
      </w:r>
      <w:r w:rsidRPr="006D575B">
        <w:rPr>
          <w:rFonts w:hint="cs"/>
          <w:rtl/>
        </w:rPr>
        <w:t xml:space="preserve"> </w:t>
      </w:r>
      <w:r w:rsidRPr="006D575B">
        <w:rPr>
          <w:rtl/>
        </w:rPr>
        <w:t>–</w:t>
      </w:r>
      <w:r w:rsidRPr="006D575B">
        <w:rPr>
          <w:rFonts w:hint="cs"/>
          <w:rtl/>
        </w:rPr>
        <w:t xml:space="preserve"> </w:t>
      </w:r>
      <w:r w:rsidRPr="006D575B">
        <w:rPr>
          <w:rFonts w:hint="eastAsia"/>
          <w:rtl/>
        </w:rPr>
        <w:t>משיב</w:t>
      </w:r>
      <w:r w:rsidRPr="006D575B">
        <w:rPr>
          <w:rtl/>
        </w:rPr>
        <w:t xml:space="preserve"> 7</w:t>
      </w:r>
      <w:r w:rsidRPr="006D575B">
        <w:rPr>
          <w:rFonts w:hint="cs"/>
          <w:rtl/>
        </w:rPr>
        <w:t xml:space="preserve"> בבג"ץ 8948/22, </w:t>
      </w:r>
      <w:r w:rsidRPr="006D575B">
        <w:rPr>
          <w:rFonts w:hint="eastAsia"/>
          <w:rtl/>
        </w:rPr>
        <w:t>משיב</w:t>
      </w:r>
      <w:r w:rsidRPr="006D575B">
        <w:rPr>
          <w:rtl/>
        </w:rPr>
        <w:t xml:space="preserve"> 2</w:t>
      </w:r>
      <w:r w:rsidRPr="006D575B">
        <w:rPr>
          <w:rFonts w:hint="cs"/>
          <w:rtl/>
        </w:rPr>
        <w:t xml:space="preserve"> בבג"ץ 8949/22, ו</w:t>
      </w:r>
      <w:r w:rsidRPr="006D575B">
        <w:rPr>
          <w:rFonts w:hint="eastAsia"/>
          <w:rtl/>
        </w:rPr>
        <w:t>משיב</w:t>
      </w:r>
      <w:r w:rsidRPr="006D575B">
        <w:rPr>
          <w:rtl/>
        </w:rPr>
        <w:t xml:space="preserve"> 3</w:t>
      </w:r>
      <w:r>
        <w:rPr>
          <w:rFonts w:hint="cs"/>
          <w:rtl/>
        </w:rPr>
        <w:t xml:space="preserve"> בבג"ץ 8982/22 (להלן: </w:t>
      </w:r>
      <w:r w:rsidRPr="00C36C78">
        <w:rPr>
          <w:rFonts w:ascii="Century" w:hAnsi="Century" w:cs="Miriam" w:hint="cs"/>
          <w:b/>
          <w:spacing w:val="0"/>
          <w:szCs w:val="24"/>
          <w:rtl/>
        </w:rPr>
        <w:t>דרעי</w:t>
      </w:r>
      <w:r>
        <w:rPr>
          <w:rFonts w:hint="cs"/>
          <w:rtl/>
        </w:rPr>
        <w:t xml:space="preserve">) </w:t>
      </w:r>
      <w:r>
        <w:rPr>
          <w:rtl/>
        </w:rPr>
        <w:t>–</w:t>
      </w:r>
      <w:r>
        <w:rPr>
          <w:rFonts w:hint="cs"/>
          <w:rtl/>
        </w:rPr>
        <w:t xml:space="preserve"> עם התביעה בגדרו של ת"פ 56231-12-21 (להלן: </w:t>
      </w:r>
      <w:r w:rsidRPr="00C36C78">
        <w:rPr>
          <w:rFonts w:ascii="Century" w:hAnsi="Century" w:cs="Miriam" w:hint="cs"/>
          <w:b/>
          <w:spacing w:val="0"/>
          <w:szCs w:val="24"/>
          <w:rtl/>
        </w:rPr>
        <w:t>הסדר הטיעון</w:t>
      </w:r>
      <w:r>
        <w:rPr>
          <w:rFonts w:hint="cs"/>
          <w:rtl/>
        </w:rPr>
        <w:t xml:space="preserve"> או </w:t>
      </w:r>
      <w:r w:rsidRPr="00C36C78">
        <w:rPr>
          <w:rFonts w:ascii="Century" w:hAnsi="Century" w:cs="Miriam" w:hint="cs"/>
          <w:b/>
          <w:spacing w:val="0"/>
          <w:szCs w:val="24"/>
          <w:rtl/>
        </w:rPr>
        <w:t>ההסדר</w:t>
      </w:r>
      <w:r>
        <w:rPr>
          <w:rFonts w:hint="cs"/>
          <w:rtl/>
        </w:rPr>
        <w:t xml:space="preserve">). באותה ישיבה, הודיע דרעי כי הוא התפטר מכהונתו כחבר כנסת, הגיש לבית המשפט את כתב התפטרותו מכהונה בכנסת, אישר את הסכמתו המלאה להסדר הטיעון, הודה בעובדות כתב-האישום אשר הוגש נגדו במסגרת ההסדר, והצהיר, בין היתר, כדלקמן: </w:t>
      </w:r>
    </w:p>
    <w:p w14:paraId="1C7160E9" w14:textId="77777777" w:rsidR="00C36C78" w:rsidRDefault="00C36C78" w:rsidP="00C36C78">
      <w:pPr>
        <w:pStyle w:val="Ruller41"/>
        <w:rPr>
          <w:rtl/>
        </w:rPr>
      </w:pPr>
    </w:p>
    <w:p w14:paraId="449F8889" w14:textId="77777777" w:rsidR="00C36C78" w:rsidRDefault="00C36C78" w:rsidP="00C36C78">
      <w:pPr>
        <w:pStyle w:val="Ruller5"/>
        <w:rPr>
          <w:rtl/>
        </w:rPr>
      </w:pPr>
      <w:r>
        <w:rPr>
          <w:rFonts w:hint="cs"/>
          <w:rtl/>
        </w:rPr>
        <w:t xml:space="preserve">"[...] שקלתי שיקולים והחלטתי שאני לא רוצה לחזור למה שהיה לפני 20 ו-30 שנה </w:t>
      </w:r>
      <w:r w:rsidRPr="00124A11">
        <w:rPr>
          <w:rFonts w:ascii="Century" w:hAnsi="Century" w:cs="Miriam" w:hint="cs"/>
          <w:b/>
          <w:spacing w:val="0"/>
          <w:szCs w:val="24"/>
          <w:rtl/>
        </w:rPr>
        <w:t xml:space="preserve">ורוצה להמשיך </w:t>
      </w:r>
      <w:r w:rsidRPr="00124A11">
        <w:rPr>
          <w:rFonts w:ascii="Century" w:hAnsi="Century" w:cs="Miriam" w:hint="cs"/>
          <w:b/>
          <w:spacing w:val="0"/>
          <w:szCs w:val="24"/>
          <w:u w:val="single"/>
          <w:rtl/>
        </w:rPr>
        <w:t>עם הזמן שנשאר לי</w:t>
      </w:r>
      <w:r w:rsidRPr="00124A11">
        <w:rPr>
          <w:rFonts w:ascii="Century" w:hAnsi="Century" w:cs="Miriam" w:hint="cs"/>
          <w:b/>
          <w:spacing w:val="0"/>
          <w:szCs w:val="24"/>
          <w:rtl/>
        </w:rPr>
        <w:t xml:space="preserve"> להשקיע בצרכי ציבור בלי לערב את המלחמות הללו ולהמשיך לייצג את השכבות והציבור שאני מייצג ב</w:t>
      </w:r>
      <w:r>
        <w:rPr>
          <w:rFonts w:ascii="Century" w:hAnsi="Century" w:cs="Miriam" w:hint="cs"/>
          <w:b/>
          <w:spacing w:val="0"/>
          <w:szCs w:val="24"/>
          <w:rtl/>
        </w:rPr>
        <w:t xml:space="preserve">צורה אחרת </w:t>
      </w:r>
      <w:r w:rsidRPr="00B630FB">
        <w:rPr>
          <w:rFonts w:ascii="Century" w:hAnsi="Century" w:cs="Miriam" w:hint="eastAsia"/>
          <w:b/>
          <w:spacing w:val="0"/>
          <w:szCs w:val="24"/>
          <w:u w:val="single"/>
          <w:rtl/>
        </w:rPr>
        <w:t>גם</w:t>
      </w:r>
      <w:r w:rsidRPr="00B630FB">
        <w:rPr>
          <w:rFonts w:ascii="Century" w:hAnsi="Century" w:cs="Miriam"/>
          <w:b/>
          <w:spacing w:val="0"/>
          <w:szCs w:val="24"/>
          <w:u w:val="single"/>
          <w:rtl/>
        </w:rPr>
        <w:t xml:space="preserve"> </w:t>
      </w:r>
      <w:r w:rsidRPr="00B630FB">
        <w:rPr>
          <w:rFonts w:ascii="Century" w:hAnsi="Century" w:cs="Miriam" w:hint="eastAsia"/>
          <w:b/>
          <w:spacing w:val="0"/>
          <w:szCs w:val="24"/>
          <w:u w:val="single"/>
          <w:rtl/>
        </w:rPr>
        <w:t>אם</w:t>
      </w:r>
      <w:r w:rsidRPr="00B630FB">
        <w:rPr>
          <w:rFonts w:ascii="Century" w:hAnsi="Century" w:cs="Miriam"/>
          <w:b/>
          <w:spacing w:val="0"/>
          <w:szCs w:val="24"/>
          <w:u w:val="single"/>
          <w:rtl/>
        </w:rPr>
        <w:t xml:space="preserve"> </w:t>
      </w:r>
      <w:r w:rsidRPr="00B630FB">
        <w:rPr>
          <w:rFonts w:ascii="Century" w:hAnsi="Century" w:cs="Miriam" w:hint="eastAsia"/>
          <w:b/>
          <w:spacing w:val="0"/>
          <w:szCs w:val="24"/>
          <w:u w:val="single"/>
          <w:rtl/>
        </w:rPr>
        <w:t>לא</w:t>
      </w:r>
      <w:r w:rsidRPr="00B630FB">
        <w:rPr>
          <w:rFonts w:ascii="Century" w:hAnsi="Century" w:cs="Miriam"/>
          <w:b/>
          <w:spacing w:val="0"/>
          <w:szCs w:val="24"/>
          <w:u w:val="single"/>
          <w:rtl/>
        </w:rPr>
        <w:t xml:space="preserve"> </w:t>
      </w:r>
      <w:r w:rsidRPr="00B630FB">
        <w:rPr>
          <w:rFonts w:ascii="Century" w:hAnsi="Century" w:cs="Miriam" w:hint="eastAsia"/>
          <w:b/>
          <w:spacing w:val="0"/>
          <w:szCs w:val="24"/>
          <w:u w:val="single"/>
          <w:rtl/>
        </w:rPr>
        <w:t>מהכנסת</w:t>
      </w:r>
      <w:r>
        <w:rPr>
          <w:rFonts w:hint="cs"/>
          <w:rtl/>
        </w:rPr>
        <w:t xml:space="preserve">. </w:t>
      </w:r>
      <w:r w:rsidRPr="00124A11">
        <w:rPr>
          <w:rFonts w:ascii="Century" w:hAnsi="Century" w:cs="Miriam" w:hint="cs"/>
          <w:b/>
          <w:spacing w:val="0"/>
          <w:szCs w:val="24"/>
          <w:rtl/>
        </w:rPr>
        <w:t>החלטתי בלב לא קל אבל בעצתם ובהוראתם של הרבנים שאני מתייעץ איתם, היה חשוב לי להדגיש</w:t>
      </w:r>
      <w:r>
        <w:rPr>
          <w:rFonts w:hint="cs"/>
          <w:rtl/>
        </w:rPr>
        <w:t xml:space="preserve">. אני לוקח אחריות, מצטרף לבקשה של המדינה ושל עורך דיני, ומבקש מכב' בית המשפט הנכבד, אני גם מודה לכם שהקלתם עלינו בצורה שעשיתם את הדיון, אני מבקש לאמץ את ההסדר והבקשה שלי לעשות זה במהרה" (ראו: עמ' 13 לפרוטוקול הדיון מיום 25.1.2022; ההדגשה הוספה </w:t>
      </w:r>
      <w:r>
        <w:rPr>
          <w:rtl/>
        </w:rPr>
        <w:t>–</w:t>
      </w:r>
      <w:r>
        <w:rPr>
          <w:rFonts w:hint="cs"/>
          <w:rtl/>
        </w:rPr>
        <w:t xml:space="preserve"> א.ש.).  </w:t>
      </w:r>
    </w:p>
    <w:p w14:paraId="3745CAF5" w14:textId="77777777" w:rsidR="00C36C78" w:rsidRDefault="00C36C78" w:rsidP="00C36C78">
      <w:pPr>
        <w:pStyle w:val="Ruller41"/>
        <w:rPr>
          <w:rtl/>
        </w:rPr>
      </w:pPr>
    </w:p>
    <w:p w14:paraId="0B87F505" w14:textId="77777777" w:rsidR="00C36C78" w:rsidRDefault="00C36C78" w:rsidP="00C36C78">
      <w:pPr>
        <w:pStyle w:val="Ruller4"/>
      </w:pPr>
      <w:r>
        <w:rPr>
          <w:rFonts w:hint="cs"/>
          <w:rtl/>
        </w:rPr>
        <w:t xml:space="preserve">הצהרה זו אומרת בלשון שאינה משתמעת לשני פנים </w:t>
      </w:r>
      <w:r>
        <w:rPr>
          <w:rtl/>
        </w:rPr>
        <w:t>–</w:t>
      </w:r>
      <w:r>
        <w:rPr>
          <w:rFonts w:hint="cs"/>
          <w:rtl/>
        </w:rPr>
        <w:t xml:space="preserve"> כמעט ב"רחל בתך הקטנה" </w:t>
      </w:r>
      <w:r>
        <w:rPr>
          <w:rtl/>
        </w:rPr>
        <w:t>–</w:t>
      </w:r>
      <w:r>
        <w:rPr>
          <w:rFonts w:hint="cs"/>
          <w:rtl/>
        </w:rPr>
        <w:t xml:space="preserve"> את הדברים הבאים: </w:t>
      </w:r>
      <w:r w:rsidRPr="002510CC">
        <w:rPr>
          <w:rFonts w:ascii="Century" w:hAnsi="Century" w:cs="Miriam" w:hint="cs"/>
          <w:b/>
          <w:spacing w:val="0"/>
          <w:sz w:val="22"/>
          <w:szCs w:val="24"/>
          <w:rtl/>
        </w:rPr>
        <w:t xml:space="preserve">דרעי, חבר הכנסת לשעבר ושר לשעבר, פורש מהזירה </w:t>
      </w:r>
      <w:r w:rsidRPr="002510CC">
        <w:rPr>
          <w:rFonts w:ascii="Century" w:hAnsi="Century" w:cs="Miriam" w:hint="cs"/>
          <w:b/>
          <w:spacing w:val="0"/>
          <w:sz w:val="22"/>
          <w:szCs w:val="24"/>
          <w:rtl/>
        </w:rPr>
        <w:lastRenderedPageBreak/>
        <w:t>הפוליטית ועובר לעשייה הציבורית שמחוץ לכנסת ולממשלה</w:t>
      </w:r>
      <w:r>
        <w:rPr>
          <w:rFonts w:hint="cs"/>
          <w:rtl/>
        </w:rPr>
        <w:t xml:space="preserve">. אין מקום עמנו לקבל את טענת בא-כוחו של דרעי, עו"ד נ' תל-צור, אשר עלתה בדיון בעתירות שהתקיים לפנינו, לפיה הסברה כי דרעי התחייב לפרוש מהחיים הפוליטיים </w:t>
      </w:r>
      <w:r>
        <w:rPr>
          <w:rtl/>
        </w:rPr>
        <w:t>–</w:t>
      </w:r>
      <w:r>
        <w:rPr>
          <w:rFonts w:hint="cs"/>
          <w:rtl/>
        </w:rPr>
        <w:t xml:space="preserve"> מקורה ב"אי-הבנה" (</w:t>
      </w:r>
      <w:r w:rsidRPr="00A07F04">
        <w:rPr>
          <w:rFonts w:hint="eastAsia"/>
          <w:rtl/>
        </w:rPr>
        <w:t>ראו</w:t>
      </w:r>
      <w:r w:rsidRPr="00A07F04">
        <w:rPr>
          <w:rtl/>
        </w:rPr>
        <w:t>:</w:t>
      </w:r>
      <w:r>
        <w:rPr>
          <w:rFonts w:hint="cs"/>
          <w:rtl/>
        </w:rPr>
        <w:t xml:space="preserve"> עמ' 23 לפרוטוקול הדיון בעתירות מיום 5.1.2022</w:t>
      </w:r>
      <w:r w:rsidRPr="00A07F04">
        <w:rPr>
          <w:rFonts w:hint="cs"/>
          <w:rtl/>
        </w:rPr>
        <w:t>).</w:t>
      </w:r>
      <w:r>
        <w:rPr>
          <w:rFonts w:hint="cs"/>
          <w:rtl/>
        </w:rPr>
        <w:t xml:space="preserve"> איני רואה מקום לאי-הבנות באשר להצהרתו של דרעי ולמה שמשתמע ממנה לכל בר-דעת. ברי הוא, כי אין מדובר בפליטת-פה. דרעי מסר הצהרה זו בישיבה מכרעת של בית המשפט ובנוכחות סנגוריו </w:t>
      </w:r>
      <w:r>
        <w:rPr>
          <w:rtl/>
        </w:rPr>
        <w:t>–</w:t>
      </w:r>
      <w:r>
        <w:rPr>
          <w:rFonts w:hint="cs"/>
          <w:rtl/>
        </w:rPr>
        <w:t xml:space="preserve"> תוך שהוא מדגיש כי עשה כן, כלשונו, "</w:t>
      </w:r>
      <w:r w:rsidRPr="0066426B">
        <w:rPr>
          <w:rFonts w:hint="eastAsia"/>
          <w:rtl/>
        </w:rPr>
        <w:t>בלב</w:t>
      </w:r>
      <w:r w:rsidRPr="0066426B">
        <w:rPr>
          <w:rtl/>
        </w:rPr>
        <w:t xml:space="preserve"> </w:t>
      </w:r>
      <w:r w:rsidRPr="0066426B">
        <w:rPr>
          <w:rFonts w:hint="eastAsia"/>
          <w:rtl/>
        </w:rPr>
        <w:t>לא</w:t>
      </w:r>
      <w:r w:rsidRPr="0066426B">
        <w:rPr>
          <w:rtl/>
        </w:rPr>
        <w:t xml:space="preserve"> </w:t>
      </w:r>
      <w:r w:rsidRPr="0066426B">
        <w:rPr>
          <w:rFonts w:hint="eastAsia"/>
          <w:rtl/>
        </w:rPr>
        <w:t>קל</w:t>
      </w:r>
      <w:r w:rsidRPr="0066426B">
        <w:rPr>
          <w:rtl/>
        </w:rPr>
        <w:t xml:space="preserve"> </w:t>
      </w:r>
      <w:r w:rsidRPr="0066426B">
        <w:rPr>
          <w:rFonts w:hint="eastAsia"/>
          <w:rtl/>
        </w:rPr>
        <w:t>אבל</w:t>
      </w:r>
      <w:r w:rsidRPr="0066426B">
        <w:rPr>
          <w:rtl/>
        </w:rPr>
        <w:t xml:space="preserve"> </w:t>
      </w:r>
      <w:r w:rsidRPr="0066426B">
        <w:rPr>
          <w:rFonts w:hint="eastAsia"/>
          <w:rtl/>
        </w:rPr>
        <w:t>בעצתם</w:t>
      </w:r>
      <w:r w:rsidRPr="0066426B">
        <w:rPr>
          <w:rtl/>
        </w:rPr>
        <w:t xml:space="preserve"> </w:t>
      </w:r>
      <w:r w:rsidRPr="0066426B">
        <w:rPr>
          <w:rFonts w:hint="eastAsia"/>
          <w:rtl/>
        </w:rPr>
        <w:t>ובהוראתם</w:t>
      </w:r>
      <w:r w:rsidRPr="0066426B">
        <w:rPr>
          <w:rtl/>
        </w:rPr>
        <w:t xml:space="preserve"> </w:t>
      </w:r>
      <w:r w:rsidRPr="0066426B">
        <w:rPr>
          <w:rFonts w:hint="eastAsia"/>
          <w:rtl/>
        </w:rPr>
        <w:t>של</w:t>
      </w:r>
      <w:r w:rsidRPr="0066426B">
        <w:rPr>
          <w:rtl/>
        </w:rPr>
        <w:t xml:space="preserve"> </w:t>
      </w:r>
      <w:r w:rsidRPr="0066426B">
        <w:rPr>
          <w:rFonts w:hint="eastAsia"/>
          <w:rtl/>
        </w:rPr>
        <w:t>הרבנים</w:t>
      </w:r>
      <w:r w:rsidRPr="0066426B">
        <w:rPr>
          <w:rtl/>
        </w:rPr>
        <w:t xml:space="preserve"> </w:t>
      </w:r>
      <w:r w:rsidRPr="0066426B">
        <w:rPr>
          <w:rFonts w:hint="eastAsia"/>
          <w:rtl/>
        </w:rPr>
        <w:t>שאני</w:t>
      </w:r>
      <w:r w:rsidRPr="0066426B">
        <w:rPr>
          <w:rtl/>
        </w:rPr>
        <w:t xml:space="preserve"> </w:t>
      </w:r>
      <w:r w:rsidRPr="0066426B">
        <w:rPr>
          <w:rFonts w:hint="eastAsia"/>
          <w:rtl/>
        </w:rPr>
        <w:t>מתייעץ</w:t>
      </w:r>
      <w:r w:rsidRPr="0066426B">
        <w:rPr>
          <w:rtl/>
        </w:rPr>
        <w:t xml:space="preserve"> </w:t>
      </w:r>
      <w:r w:rsidRPr="0066426B">
        <w:rPr>
          <w:rFonts w:hint="eastAsia"/>
          <w:rtl/>
        </w:rPr>
        <w:t>איתם</w:t>
      </w:r>
      <w:r>
        <w:rPr>
          <w:rFonts w:hint="cs"/>
          <w:rtl/>
        </w:rPr>
        <w:t>". אשר על כן, מדובר בהצהרה ברורה וחד-משמעית אשר נמסרה על ידי דרעי ביישוב דעת ובמתכונת הידועה של "סבר, קיבל והצהיר".</w:t>
      </w:r>
    </w:p>
    <w:p w14:paraId="79CF7663" w14:textId="77777777" w:rsidR="00C36C78" w:rsidRDefault="00C36C78" w:rsidP="00C36C78">
      <w:pPr>
        <w:pStyle w:val="Ruller4"/>
        <w:numPr>
          <w:ilvl w:val="0"/>
          <w:numId w:val="0"/>
        </w:numPr>
      </w:pPr>
    </w:p>
    <w:p w14:paraId="26FDAF4C" w14:textId="77777777" w:rsidR="00C36C78" w:rsidRDefault="00C36C78" w:rsidP="00C36C78">
      <w:pPr>
        <w:pStyle w:val="Ruller4"/>
      </w:pPr>
      <w:r>
        <w:rPr>
          <w:rFonts w:hint="cs"/>
          <w:rtl/>
        </w:rPr>
        <w:t xml:space="preserve">בעקבות הצהרה זו, אושר הסדר הטיעון בהתאם לבקשתם המשותפת של דרעי והתביעה. בהתאם לאותו הסדר, הרשיע בית משפט השלום את דרעי בעבירות מס, ובהן: מסירת הצהרה כוזבת לרשויות מיסוי מקרקעין, אשר סייעה לאחיו להפחית מס רכישה שלא כדין; וכן דיווח כוזב לרשויות מס הכנסה, אשר הסיט חלק מהכנסות החברה בבעלותו של דרעי לחברה של אחיו. בהמשך לכך, השית בית המשפט על דרעי את העונשים עליהם הוסכם בהסדר הטיעון: קנס כספי בסך של 180,000 ש"ח ומאסר על תנאי (ראו: גזר הדין מיום 1.2.2022 שניתן בת"פ (שלום י-ם) 56231-12-21 (להלן: </w:t>
      </w:r>
      <w:r w:rsidRPr="00654784">
        <w:rPr>
          <w:rFonts w:ascii="Century" w:hAnsi="Century" w:cs="Miriam" w:hint="eastAsia"/>
          <w:b/>
          <w:spacing w:val="0"/>
          <w:sz w:val="22"/>
          <w:szCs w:val="24"/>
          <w:rtl/>
        </w:rPr>
        <w:t>גזר</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הדין</w:t>
      </w:r>
      <w:r>
        <w:rPr>
          <w:rFonts w:hint="cs"/>
          <w:rtl/>
        </w:rPr>
        <w:t xml:space="preserve">)). </w:t>
      </w:r>
    </w:p>
    <w:p w14:paraId="6D3ACFD9" w14:textId="77777777" w:rsidR="00C36C78" w:rsidRDefault="00C36C78" w:rsidP="00C36C78">
      <w:pPr>
        <w:pStyle w:val="Ruller4"/>
        <w:numPr>
          <w:ilvl w:val="0"/>
          <w:numId w:val="0"/>
        </w:numPr>
      </w:pPr>
    </w:p>
    <w:p w14:paraId="04449E7D" w14:textId="77777777" w:rsidR="00C36C78" w:rsidRDefault="00C36C78" w:rsidP="00C36C78">
      <w:pPr>
        <w:pStyle w:val="Ruller4"/>
        <w:rPr>
          <w:rtl/>
        </w:rPr>
      </w:pPr>
      <w:r>
        <w:rPr>
          <w:rFonts w:hint="cs"/>
          <w:rtl/>
        </w:rPr>
        <w:t>במסגרת גזר הדין, הדגיש בית המשפט את הדברים הבאים:</w:t>
      </w:r>
    </w:p>
    <w:p w14:paraId="5780CF31" w14:textId="77777777" w:rsidR="00C36C78" w:rsidRDefault="00C36C78" w:rsidP="00C36C78">
      <w:pPr>
        <w:pStyle w:val="Ruller41"/>
        <w:rPr>
          <w:rtl/>
        </w:rPr>
      </w:pPr>
    </w:p>
    <w:p w14:paraId="039963F8" w14:textId="77777777" w:rsidR="00C36C78" w:rsidRPr="00615A26" w:rsidRDefault="00C36C78" w:rsidP="00C36C78">
      <w:pPr>
        <w:pStyle w:val="Ruller5"/>
        <w:rPr>
          <w:rtl/>
        </w:rPr>
      </w:pPr>
      <w:r w:rsidRPr="00615A26">
        <w:rPr>
          <w:rFonts w:hint="cs"/>
          <w:rtl/>
        </w:rPr>
        <w:t xml:space="preserve">"כל החושש מן הנאשם ומפגיעתו בקופה הציבורית ויטען כי קיימת בו מסוכנות בכל הכרוך במשאו ובמתנו בענייני ממון הרבים או היחיד </w:t>
      </w:r>
      <w:r w:rsidRPr="00615A26">
        <w:rPr>
          <w:rtl/>
        </w:rPr>
        <w:t>–</w:t>
      </w:r>
      <w:r w:rsidRPr="00615A26">
        <w:rPr>
          <w:rFonts w:hint="cs"/>
          <w:rtl/>
        </w:rPr>
        <w:t xml:space="preserve"> יוכל למצוא מנוח לחשש זה ולומר </w:t>
      </w:r>
      <w:r w:rsidRPr="00615A26">
        <w:rPr>
          <w:rFonts w:ascii="Century" w:hAnsi="Century" w:cs="Miriam" w:hint="cs"/>
          <w:b/>
          <w:spacing w:val="0"/>
          <w:szCs w:val="24"/>
          <w:rtl/>
        </w:rPr>
        <w:t>בוודאות כי הנאשם לא ייגע עוד בצרכי ציבור</w:t>
      </w:r>
      <w:r w:rsidRPr="00615A26">
        <w:rPr>
          <w:rFonts w:hint="cs"/>
          <w:rtl/>
        </w:rPr>
        <w:t xml:space="preserve"> הכורכים בתוכם עיסוק כלכלי, וזאת </w:t>
      </w:r>
      <w:r w:rsidRPr="00615A26">
        <w:rPr>
          <w:rFonts w:ascii="Century" w:hAnsi="Century" w:cs="Miriam" w:hint="cs"/>
          <w:b/>
          <w:spacing w:val="0"/>
          <w:szCs w:val="24"/>
          <w:rtl/>
        </w:rPr>
        <w:t>בשל התרחקותו מהזירה הציבורית</w:t>
      </w:r>
      <w:r w:rsidRPr="00615A26">
        <w:rPr>
          <w:rFonts w:hint="cs"/>
          <w:rtl/>
        </w:rPr>
        <w:t>" (ראו</w:t>
      </w:r>
      <w:r>
        <w:rPr>
          <w:rFonts w:hint="cs"/>
          <w:rtl/>
        </w:rPr>
        <w:t>:</w:t>
      </w:r>
      <w:r w:rsidRPr="00615A26">
        <w:rPr>
          <w:rFonts w:hint="cs"/>
          <w:rtl/>
        </w:rPr>
        <w:t xml:space="preserve"> עמ' 7 לגזר הדין</w:t>
      </w:r>
      <w:r>
        <w:rPr>
          <w:rFonts w:hint="cs"/>
          <w:rtl/>
        </w:rPr>
        <w:t xml:space="preserve">; ההדגשה הוספה </w:t>
      </w:r>
      <w:r>
        <w:rPr>
          <w:rtl/>
        </w:rPr>
        <w:t>–</w:t>
      </w:r>
      <w:r>
        <w:rPr>
          <w:rFonts w:hint="cs"/>
          <w:rtl/>
        </w:rPr>
        <w:t xml:space="preserve"> א.ש.).</w:t>
      </w:r>
    </w:p>
    <w:p w14:paraId="2E9CDA6A" w14:textId="77777777" w:rsidR="00C36C78" w:rsidRPr="00124A11" w:rsidRDefault="00C36C78" w:rsidP="00C36C78">
      <w:pPr>
        <w:pStyle w:val="Ruller41"/>
      </w:pPr>
    </w:p>
    <w:p w14:paraId="5273EC9F" w14:textId="77777777" w:rsidR="00C36C78" w:rsidRDefault="00C36C78" w:rsidP="00C36C78">
      <w:pPr>
        <w:pStyle w:val="Ruller4"/>
        <w:rPr>
          <w:rtl/>
        </w:rPr>
      </w:pPr>
      <w:r>
        <w:rPr>
          <w:rFonts w:hint="cs"/>
          <w:rtl/>
        </w:rPr>
        <w:t xml:space="preserve">ברי הוא, כי דברים אלה של בית משפט השלום נאמרו בהסתמכו על הצהרתו של דרעי שצוטטה לעיל. </w:t>
      </w:r>
    </w:p>
    <w:p w14:paraId="444980FA" w14:textId="77777777" w:rsidR="00C36C78" w:rsidRDefault="00C36C78" w:rsidP="00C36C78">
      <w:pPr>
        <w:pStyle w:val="Ruller41"/>
        <w:rPr>
          <w:rtl/>
        </w:rPr>
      </w:pPr>
    </w:p>
    <w:p w14:paraId="52E5E244" w14:textId="77777777" w:rsidR="00636252" w:rsidRDefault="00636252" w:rsidP="00C36C78">
      <w:pPr>
        <w:pStyle w:val="Ruller41"/>
        <w:rPr>
          <w:rtl/>
        </w:rPr>
      </w:pPr>
    </w:p>
    <w:p w14:paraId="582636AC" w14:textId="77777777" w:rsidR="00636252" w:rsidRDefault="00636252" w:rsidP="00C36C78">
      <w:pPr>
        <w:pStyle w:val="Ruller41"/>
        <w:rPr>
          <w:rtl/>
        </w:rPr>
      </w:pPr>
    </w:p>
    <w:p w14:paraId="4D0C5ADF" w14:textId="77777777" w:rsidR="00636252" w:rsidRDefault="00636252" w:rsidP="00C36C78">
      <w:pPr>
        <w:pStyle w:val="Ruller41"/>
        <w:rPr>
          <w:rtl/>
        </w:rPr>
      </w:pPr>
    </w:p>
    <w:p w14:paraId="6E06F68C" w14:textId="77777777" w:rsidR="00636252" w:rsidRDefault="00636252" w:rsidP="00C36C78">
      <w:pPr>
        <w:pStyle w:val="Ruller41"/>
        <w:rPr>
          <w:rtl/>
        </w:rPr>
      </w:pPr>
    </w:p>
    <w:p w14:paraId="1C2D5B63" w14:textId="77777777" w:rsidR="00636252" w:rsidRDefault="00636252" w:rsidP="00C36C78">
      <w:pPr>
        <w:pStyle w:val="Ruller41"/>
        <w:rPr>
          <w:rtl/>
        </w:rPr>
      </w:pPr>
    </w:p>
    <w:p w14:paraId="1317A8A1" w14:textId="77777777" w:rsidR="00C36C78" w:rsidRPr="00615A26" w:rsidRDefault="00C36C78" w:rsidP="00C36C78">
      <w:pPr>
        <w:pStyle w:val="Ruller41"/>
        <w:rPr>
          <w:rFonts w:ascii="Century" w:hAnsi="Century" w:cs="Miriam"/>
          <w:b/>
          <w:spacing w:val="0"/>
          <w:szCs w:val="24"/>
          <w:rtl/>
        </w:rPr>
      </w:pPr>
      <w:r w:rsidRPr="00615A26">
        <w:rPr>
          <w:rFonts w:ascii="Century" w:hAnsi="Century" w:cs="Miriam" w:hint="cs"/>
          <w:b/>
          <w:spacing w:val="0"/>
          <w:szCs w:val="24"/>
          <w:rtl/>
        </w:rPr>
        <w:t>התועלת שדרעי הפיק מהצהרתו בפני בית משפט השלום</w:t>
      </w:r>
    </w:p>
    <w:p w14:paraId="0DACDCCB" w14:textId="77777777" w:rsidR="00C36C78" w:rsidRPr="00615A26" w:rsidRDefault="00C36C78" w:rsidP="00C36C78">
      <w:pPr>
        <w:pStyle w:val="Ruller41"/>
      </w:pPr>
    </w:p>
    <w:p w14:paraId="3B9F02FB" w14:textId="77777777" w:rsidR="00C36C78" w:rsidRDefault="00C36C78" w:rsidP="00C36C78">
      <w:pPr>
        <w:pStyle w:val="Ruller4"/>
        <w:rPr>
          <w:rtl/>
        </w:rPr>
      </w:pPr>
      <w:r>
        <w:rPr>
          <w:rFonts w:hint="cs"/>
          <w:rtl/>
        </w:rPr>
        <w:t>כדי להבין את התועלת העיקרית אשר הופקה על ידי דרעי בעזרתה של אותה הצהרה, חובה עלינו לעיין בסעיף 42א(א) לחוק יסוד: הכנסת, אשר קובע לאמור:</w:t>
      </w:r>
    </w:p>
    <w:p w14:paraId="5E42299A" w14:textId="77777777" w:rsidR="00C36C78" w:rsidRDefault="00C36C78" w:rsidP="00C36C78">
      <w:pPr>
        <w:pStyle w:val="Ruller41"/>
        <w:rPr>
          <w:rtl/>
        </w:rPr>
      </w:pPr>
    </w:p>
    <w:p w14:paraId="2B42F1A8" w14:textId="77777777" w:rsidR="00C36C78" w:rsidRPr="00C73591" w:rsidRDefault="00C36C78" w:rsidP="00C36C78">
      <w:pPr>
        <w:pStyle w:val="Ruller5"/>
      </w:pPr>
      <w:r>
        <w:rPr>
          <w:rFonts w:hint="cs"/>
          <w:rtl/>
        </w:rPr>
        <w:t>"</w:t>
      </w:r>
      <w:r w:rsidRPr="00C73591">
        <w:rPr>
          <w:rFonts w:hint="eastAsia"/>
          <w:rtl/>
        </w:rPr>
        <w:t>חבר</w:t>
      </w:r>
      <w:r w:rsidRPr="00C73591">
        <w:rPr>
          <w:rtl/>
        </w:rPr>
        <w:t xml:space="preserve"> </w:t>
      </w:r>
      <w:r w:rsidRPr="00C73591">
        <w:rPr>
          <w:rFonts w:hint="eastAsia"/>
          <w:rtl/>
        </w:rPr>
        <w:t>הכנסת</w:t>
      </w:r>
      <w:r w:rsidRPr="00C73591">
        <w:rPr>
          <w:rtl/>
        </w:rPr>
        <w:t xml:space="preserve"> </w:t>
      </w:r>
      <w:r w:rsidRPr="00C73591">
        <w:rPr>
          <w:rFonts w:hint="eastAsia"/>
          <w:rtl/>
        </w:rPr>
        <w:t>שהורשע</w:t>
      </w:r>
      <w:r w:rsidRPr="00C73591">
        <w:rPr>
          <w:rtl/>
        </w:rPr>
        <w:t xml:space="preserve"> </w:t>
      </w:r>
      <w:r w:rsidRPr="00C73591">
        <w:rPr>
          <w:rFonts w:hint="eastAsia"/>
          <w:rtl/>
        </w:rPr>
        <w:t>בפסק</w:t>
      </w:r>
      <w:r w:rsidRPr="00C73591">
        <w:rPr>
          <w:rtl/>
        </w:rPr>
        <w:t xml:space="preserve"> </w:t>
      </w:r>
      <w:r w:rsidRPr="00C73591">
        <w:rPr>
          <w:rFonts w:hint="eastAsia"/>
          <w:rtl/>
        </w:rPr>
        <w:t>דין</w:t>
      </w:r>
      <w:r w:rsidRPr="00C73591">
        <w:rPr>
          <w:rtl/>
        </w:rPr>
        <w:t xml:space="preserve"> </w:t>
      </w:r>
      <w:r w:rsidRPr="00C73591">
        <w:rPr>
          <w:rFonts w:hint="eastAsia"/>
          <w:rtl/>
        </w:rPr>
        <w:t>סופי</w:t>
      </w:r>
      <w:r w:rsidRPr="00C73591">
        <w:rPr>
          <w:rtl/>
        </w:rPr>
        <w:t xml:space="preserve"> </w:t>
      </w:r>
      <w:r w:rsidRPr="00C73591">
        <w:rPr>
          <w:rFonts w:hint="eastAsia"/>
          <w:rtl/>
        </w:rPr>
        <w:t>בעבירה</w:t>
      </w:r>
      <w:r w:rsidRPr="00C73591">
        <w:rPr>
          <w:rtl/>
        </w:rPr>
        <w:t xml:space="preserve"> </w:t>
      </w:r>
      <w:r w:rsidRPr="00C73591">
        <w:rPr>
          <w:rFonts w:hint="eastAsia"/>
          <w:rtl/>
        </w:rPr>
        <w:t>פלילית</w:t>
      </w:r>
      <w:r w:rsidRPr="00C73591">
        <w:rPr>
          <w:rtl/>
        </w:rPr>
        <w:t xml:space="preserve">, </w:t>
      </w:r>
      <w:r w:rsidRPr="00C73591">
        <w:rPr>
          <w:rFonts w:hint="eastAsia"/>
          <w:rtl/>
        </w:rPr>
        <w:t>וקבע</w:t>
      </w:r>
      <w:r w:rsidRPr="00C73591">
        <w:rPr>
          <w:rtl/>
        </w:rPr>
        <w:t xml:space="preserve"> </w:t>
      </w:r>
      <w:r w:rsidRPr="00C73591">
        <w:rPr>
          <w:rFonts w:hint="eastAsia"/>
          <w:rtl/>
        </w:rPr>
        <w:t>בית</w:t>
      </w:r>
      <w:r w:rsidRPr="00C73591">
        <w:rPr>
          <w:rtl/>
        </w:rPr>
        <w:t xml:space="preserve"> </w:t>
      </w:r>
      <w:r w:rsidRPr="00C73591">
        <w:rPr>
          <w:rFonts w:hint="eastAsia"/>
          <w:rtl/>
        </w:rPr>
        <w:t>המשפט</w:t>
      </w:r>
      <w:r w:rsidRPr="00C73591">
        <w:rPr>
          <w:rtl/>
        </w:rPr>
        <w:t xml:space="preserve">, </w:t>
      </w:r>
      <w:r w:rsidRPr="00C73591">
        <w:rPr>
          <w:rFonts w:hint="eastAsia"/>
          <w:rtl/>
        </w:rPr>
        <w:t>ביוזמתו</w:t>
      </w:r>
      <w:r w:rsidRPr="00C73591">
        <w:rPr>
          <w:rtl/>
        </w:rPr>
        <w:t xml:space="preserve"> </w:t>
      </w:r>
      <w:r w:rsidRPr="00C73591">
        <w:rPr>
          <w:rFonts w:hint="eastAsia"/>
          <w:rtl/>
        </w:rPr>
        <w:t>או</w:t>
      </w:r>
      <w:r w:rsidRPr="00C73591">
        <w:rPr>
          <w:rtl/>
        </w:rPr>
        <w:t xml:space="preserve"> </w:t>
      </w:r>
      <w:r w:rsidRPr="00C73591">
        <w:rPr>
          <w:rFonts w:hint="eastAsia"/>
          <w:rtl/>
        </w:rPr>
        <w:t>לבקשת</w:t>
      </w:r>
      <w:r w:rsidRPr="00C73591">
        <w:rPr>
          <w:rtl/>
        </w:rPr>
        <w:t xml:space="preserve"> </w:t>
      </w:r>
      <w:r w:rsidRPr="00C73591">
        <w:rPr>
          <w:rFonts w:hint="eastAsia"/>
          <w:rtl/>
        </w:rPr>
        <w:t>היועץ</w:t>
      </w:r>
      <w:r w:rsidRPr="00C73591">
        <w:rPr>
          <w:rtl/>
        </w:rPr>
        <w:t xml:space="preserve"> </w:t>
      </w:r>
      <w:r w:rsidRPr="00C73591">
        <w:rPr>
          <w:rFonts w:hint="eastAsia"/>
          <w:rtl/>
        </w:rPr>
        <w:t>המשפטי</w:t>
      </w:r>
      <w:r w:rsidRPr="00C73591">
        <w:rPr>
          <w:rtl/>
        </w:rPr>
        <w:t xml:space="preserve"> </w:t>
      </w:r>
      <w:r w:rsidRPr="00C73591">
        <w:rPr>
          <w:rFonts w:hint="eastAsia"/>
          <w:rtl/>
        </w:rPr>
        <w:t>לממשלה</w:t>
      </w:r>
      <w:r w:rsidRPr="00C73591">
        <w:rPr>
          <w:rtl/>
        </w:rPr>
        <w:t xml:space="preserve">, </w:t>
      </w:r>
      <w:r w:rsidRPr="00C73591">
        <w:rPr>
          <w:rFonts w:hint="eastAsia"/>
          <w:rtl/>
        </w:rPr>
        <w:t>שיש</w:t>
      </w:r>
      <w:r w:rsidRPr="00C73591">
        <w:rPr>
          <w:rtl/>
        </w:rPr>
        <w:t xml:space="preserve"> </w:t>
      </w:r>
      <w:r w:rsidRPr="00C73591">
        <w:rPr>
          <w:rFonts w:hint="eastAsia"/>
          <w:rtl/>
        </w:rPr>
        <w:t>עם</w:t>
      </w:r>
      <w:r w:rsidRPr="00C73591">
        <w:rPr>
          <w:rtl/>
        </w:rPr>
        <w:t xml:space="preserve"> </w:t>
      </w:r>
      <w:r w:rsidRPr="00C73591">
        <w:rPr>
          <w:rFonts w:hint="eastAsia"/>
          <w:rtl/>
        </w:rPr>
        <w:t>העבירה</w:t>
      </w:r>
      <w:r w:rsidRPr="00C73591">
        <w:rPr>
          <w:rtl/>
        </w:rPr>
        <w:t xml:space="preserve"> </w:t>
      </w:r>
      <w:r w:rsidRPr="00C73591">
        <w:rPr>
          <w:rFonts w:hint="eastAsia"/>
          <w:rtl/>
        </w:rPr>
        <w:t>קלון</w:t>
      </w:r>
      <w:r w:rsidRPr="00C73591">
        <w:rPr>
          <w:rtl/>
        </w:rPr>
        <w:t xml:space="preserve">, </w:t>
      </w:r>
      <w:r w:rsidRPr="00C73591">
        <w:rPr>
          <w:rFonts w:hint="eastAsia"/>
          <w:rtl/>
        </w:rPr>
        <w:t>תיפסק</w:t>
      </w:r>
      <w:r w:rsidRPr="00C73591">
        <w:rPr>
          <w:rtl/>
        </w:rPr>
        <w:t xml:space="preserve"> </w:t>
      </w:r>
      <w:r w:rsidRPr="00C73591">
        <w:rPr>
          <w:rFonts w:hint="eastAsia"/>
          <w:rtl/>
        </w:rPr>
        <w:t>חברותו</w:t>
      </w:r>
      <w:r w:rsidRPr="00C73591">
        <w:rPr>
          <w:rtl/>
        </w:rPr>
        <w:t xml:space="preserve"> </w:t>
      </w:r>
      <w:r w:rsidRPr="00C73591">
        <w:rPr>
          <w:rFonts w:hint="eastAsia"/>
          <w:rtl/>
        </w:rPr>
        <w:t>בכנסת</w:t>
      </w:r>
      <w:r w:rsidRPr="00C73591">
        <w:rPr>
          <w:rtl/>
        </w:rPr>
        <w:t xml:space="preserve"> </w:t>
      </w:r>
      <w:r w:rsidRPr="00C73591">
        <w:rPr>
          <w:rFonts w:hint="eastAsia"/>
          <w:rtl/>
        </w:rPr>
        <w:t>ביום</w:t>
      </w:r>
      <w:r w:rsidRPr="00C73591">
        <w:rPr>
          <w:rtl/>
        </w:rPr>
        <w:t xml:space="preserve"> </w:t>
      </w:r>
      <w:r w:rsidRPr="00C73591">
        <w:rPr>
          <w:rFonts w:hint="eastAsia"/>
          <w:rtl/>
        </w:rPr>
        <w:t>שפסק</w:t>
      </w:r>
      <w:r w:rsidRPr="00C73591">
        <w:rPr>
          <w:rtl/>
        </w:rPr>
        <w:t xml:space="preserve"> </w:t>
      </w:r>
      <w:r w:rsidRPr="00C73591">
        <w:rPr>
          <w:rFonts w:hint="eastAsia"/>
          <w:rtl/>
        </w:rPr>
        <w:t>הדין</w:t>
      </w:r>
      <w:r w:rsidRPr="00C73591">
        <w:rPr>
          <w:rtl/>
        </w:rPr>
        <w:t xml:space="preserve"> </w:t>
      </w:r>
      <w:r w:rsidRPr="00C73591">
        <w:rPr>
          <w:rFonts w:hint="eastAsia"/>
          <w:rtl/>
        </w:rPr>
        <w:t>נעשה</w:t>
      </w:r>
      <w:r w:rsidRPr="00C73591">
        <w:rPr>
          <w:rtl/>
        </w:rPr>
        <w:t xml:space="preserve"> </w:t>
      </w:r>
      <w:r w:rsidRPr="00C73591">
        <w:rPr>
          <w:rFonts w:hint="eastAsia"/>
          <w:rtl/>
        </w:rPr>
        <w:t>סופי</w:t>
      </w:r>
      <w:r w:rsidRPr="00C73591">
        <w:rPr>
          <w:rtl/>
        </w:rPr>
        <w:t xml:space="preserve">, </w:t>
      </w:r>
      <w:r w:rsidRPr="00C73591">
        <w:rPr>
          <w:rFonts w:hint="eastAsia"/>
          <w:rtl/>
        </w:rPr>
        <w:t>ואין</w:t>
      </w:r>
      <w:r w:rsidRPr="00C73591">
        <w:rPr>
          <w:rtl/>
        </w:rPr>
        <w:t xml:space="preserve"> </w:t>
      </w:r>
      <w:r w:rsidRPr="00C73591">
        <w:rPr>
          <w:rFonts w:hint="eastAsia"/>
          <w:rtl/>
        </w:rPr>
        <w:t>נפקא</w:t>
      </w:r>
      <w:r w:rsidRPr="00C73591">
        <w:rPr>
          <w:rtl/>
        </w:rPr>
        <w:t xml:space="preserve"> </w:t>
      </w:r>
      <w:r w:rsidRPr="00C73591">
        <w:rPr>
          <w:rFonts w:hint="eastAsia"/>
          <w:rtl/>
        </w:rPr>
        <w:t>מינה</w:t>
      </w:r>
      <w:r w:rsidRPr="00C73591">
        <w:rPr>
          <w:rtl/>
        </w:rPr>
        <w:t xml:space="preserve"> </w:t>
      </w:r>
      <w:r w:rsidRPr="00C73591">
        <w:rPr>
          <w:rFonts w:hint="eastAsia"/>
          <w:rtl/>
        </w:rPr>
        <w:t>אם</w:t>
      </w:r>
      <w:r w:rsidRPr="00C73591">
        <w:rPr>
          <w:rtl/>
        </w:rPr>
        <w:t xml:space="preserve"> </w:t>
      </w:r>
      <w:r w:rsidRPr="00C73591">
        <w:rPr>
          <w:rFonts w:hint="eastAsia"/>
          <w:rtl/>
        </w:rPr>
        <w:t>העבירה</w:t>
      </w:r>
      <w:r w:rsidRPr="00C73591">
        <w:rPr>
          <w:rtl/>
        </w:rPr>
        <w:t xml:space="preserve"> </w:t>
      </w:r>
      <w:r w:rsidRPr="00C73591">
        <w:rPr>
          <w:rFonts w:hint="eastAsia"/>
          <w:rtl/>
        </w:rPr>
        <w:t>נעברה</w:t>
      </w:r>
      <w:r w:rsidRPr="00C73591">
        <w:rPr>
          <w:rtl/>
        </w:rPr>
        <w:t xml:space="preserve"> </w:t>
      </w:r>
      <w:r w:rsidRPr="00C73591">
        <w:rPr>
          <w:rFonts w:hint="eastAsia"/>
          <w:rtl/>
        </w:rPr>
        <w:t>בזמן</w:t>
      </w:r>
      <w:r w:rsidRPr="00C73591">
        <w:rPr>
          <w:rtl/>
        </w:rPr>
        <w:t xml:space="preserve"> </w:t>
      </w:r>
      <w:r w:rsidRPr="00C73591">
        <w:rPr>
          <w:rFonts w:hint="eastAsia"/>
          <w:rtl/>
        </w:rPr>
        <w:t>שהיה</w:t>
      </w:r>
      <w:r w:rsidRPr="00C73591">
        <w:rPr>
          <w:rtl/>
        </w:rPr>
        <w:t xml:space="preserve"> </w:t>
      </w:r>
      <w:r w:rsidRPr="00C73591">
        <w:rPr>
          <w:rFonts w:hint="eastAsia"/>
          <w:rtl/>
        </w:rPr>
        <w:t>חבר</w:t>
      </w:r>
      <w:r w:rsidRPr="00C73591">
        <w:rPr>
          <w:rtl/>
        </w:rPr>
        <w:t xml:space="preserve"> </w:t>
      </w:r>
      <w:r w:rsidRPr="00C73591">
        <w:rPr>
          <w:rFonts w:hint="eastAsia"/>
          <w:rtl/>
        </w:rPr>
        <w:t>אותה</w:t>
      </w:r>
      <w:r w:rsidRPr="00C73591">
        <w:rPr>
          <w:rtl/>
        </w:rPr>
        <w:t xml:space="preserve"> </w:t>
      </w:r>
      <w:r w:rsidRPr="00C73591">
        <w:rPr>
          <w:rFonts w:hint="eastAsia"/>
          <w:rtl/>
        </w:rPr>
        <w:t>הכנסת</w:t>
      </w:r>
      <w:r w:rsidRPr="00C73591">
        <w:rPr>
          <w:rtl/>
        </w:rPr>
        <w:t xml:space="preserve">, </w:t>
      </w:r>
      <w:r w:rsidRPr="00C73591">
        <w:rPr>
          <w:rFonts w:hint="eastAsia"/>
          <w:rtl/>
        </w:rPr>
        <w:t>חבר</w:t>
      </w:r>
      <w:r w:rsidRPr="00C73591">
        <w:rPr>
          <w:rtl/>
        </w:rPr>
        <w:t xml:space="preserve"> </w:t>
      </w:r>
      <w:r w:rsidRPr="00C73591">
        <w:rPr>
          <w:rFonts w:hint="eastAsia"/>
          <w:rtl/>
        </w:rPr>
        <w:t>כנסת</w:t>
      </w:r>
      <w:r w:rsidRPr="00C73591">
        <w:rPr>
          <w:rtl/>
        </w:rPr>
        <w:t xml:space="preserve"> </w:t>
      </w:r>
      <w:r w:rsidRPr="00C73591">
        <w:rPr>
          <w:rFonts w:hint="eastAsia"/>
          <w:rtl/>
        </w:rPr>
        <w:t>קודמת</w:t>
      </w:r>
      <w:r w:rsidRPr="00C73591">
        <w:rPr>
          <w:rtl/>
        </w:rPr>
        <w:t xml:space="preserve"> </w:t>
      </w:r>
      <w:r w:rsidRPr="00C73591">
        <w:rPr>
          <w:rFonts w:hint="eastAsia"/>
          <w:rtl/>
        </w:rPr>
        <w:t>או</w:t>
      </w:r>
      <w:r w:rsidRPr="00C73591">
        <w:rPr>
          <w:rtl/>
        </w:rPr>
        <w:t xml:space="preserve"> </w:t>
      </w:r>
      <w:r w:rsidRPr="00C73591">
        <w:rPr>
          <w:rFonts w:hint="eastAsia"/>
          <w:rtl/>
        </w:rPr>
        <w:t>לפני</w:t>
      </w:r>
      <w:r w:rsidRPr="00C73591">
        <w:rPr>
          <w:rtl/>
        </w:rPr>
        <w:t xml:space="preserve"> </w:t>
      </w:r>
      <w:r w:rsidRPr="00C73591">
        <w:rPr>
          <w:rFonts w:hint="eastAsia"/>
          <w:rtl/>
        </w:rPr>
        <w:t>שהיה</w:t>
      </w:r>
      <w:r w:rsidRPr="00C73591">
        <w:rPr>
          <w:rtl/>
        </w:rPr>
        <w:t xml:space="preserve"> </w:t>
      </w:r>
      <w:r w:rsidRPr="00C73591">
        <w:rPr>
          <w:rFonts w:hint="eastAsia"/>
          <w:rtl/>
        </w:rPr>
        <w:t>לחבר</w:t>
      </w:r>
      <w:r w:rsidRPr="00C73591">
        <w:rPr>
          <w:rtl/>
        </w:rPr>
        <w:t xml:space="preserve"> </w:t>
      </w:r>
      <w:r w:rsidRPr="00C73591">
        <w:rPr>
          <w:rFonts w:hint="eastAsia"/>
          <w:rtl/>
        </w:rPr>
        <w:t>הכנסת</w:t>
      </w:r>
      <w:r>
        <w:rPr>
          <w:rFonts w:hint="cs"/>
          <w:rtl/>
        </w:rPr>
        <w:t>".</w:t>
      </w:r>
    </w:p>
    <w:p w14:paraId="423D8569" w14:textId="77777777" w:rsidR="00C36C78" w:rsidRPr="00E32B9B" w:rsidRDefault="00C36C78" w:rsidP="00C36C78">
      <w:pPr>
        <w:pStyle w:val="Ruller5"/>
        <w:rPr>
          <w:sz w:val="28"/>
          <w:szCs w:val="40"/>
          <w:rtl/>
        </w:rPr>
      </w:pPr>
    </w:p>
    <w:p w14:paraId="4D33DCA5" w14:textId="77777777" w:rsidR="00C36C78" w:rsidRDefault="00C36C78" w:rsidP="00C36C78">
      <w:pPr>
        <w:pStyle w:val="Ruller4"/>
      </w:pPr>
      <w:r w:rsidRPr="00D44540">
        <w:rPr>
          <w:rFonts w:hint="eastAsia"/>
          <w:rtl/>
        </w:rPr>
        <w:t>לאור</w:t>
      </w:r>
      <w:r w:rsidRPr="00D44540">
        <w:rPr>
          <w:rtl/>
        </w:rPr>
        <w:t xml:space="preserve"> </w:t>
      </w:r>
      <w:r w:rsidRPr="00D44540">
        <w:rPr>
          <w:rFonts w:hint="eastAsia"/>
          <w:rtl/>
        </w:rPr>
        <w:t>האמור</w:t>
      </w:r>
      <w:r w:rsidRPr="00D44540">
        <w:rPr>
          <w:rtl/>
        </w:rPr>
        <w:t xml:space="preserve"> </w:t>
      </w:r>
      <w:r w:rsidRPr="00D44540">
        <w:rPr>
          <w:rFonts w:hint="eastAsia"/>
          <w:rtl/>
        </w:rPr>
        <w:t>בסעיף</w:t>
      </w:r>
      <w:r w:rsidRPr="00D44540">
        <w:rPr>
          <w:rtl/>
        </w:rPr>
        <w:t xml:space="preserve"> </w:t>
      </w:r>
      <w:r w:rsidRPr="00D44540">
        <w:rPr>
          <w:rFonts w:hint="eastAsia"/>
          <w:rtl/>
        </w:rPr>
        <w:t>זה</w:t>
      </w:r>
      <w:r w:rsidRPr="00D44540">
        <w:rPr>
          <w:rtl/>
        </w:rPr>
        <w:t xml:space="preserve">, </w:t>
      </w:r>
      <w:r w:rsidRPr="00D44540">
        <w:rPr>
          <w:rFonts w:hint="eastAsia"/>
          <w:rtl/>
        </w:rPr>
        <w:t>ברי</w:t>
      </w:r>
      <w:r w:rsidRPr="00D44540">
        <w:rPr>
          <w:rtl/>
        </w:rPr>
        <w:t xml:space="preserve"> </w:t>
      </w:r>
      <w:r w:rsidRPr="00D44540">
        <w:rPr>
          <w:rFonts w:hint="eastAsia"/>
          <w:rtl/>
        </w:rPr>
        <w:t>הוא</w:t>
      </w:r>
      <w:r w:rsidRPr="00D44540">
        <w:rPr>
          <w:rtl/>
        </w:rPr>
        <w:t xml:space="preserve"> </w:t>
      </w:r>
      <w:r w:rsidRPr="00D44540">
        <w:rPr>
          <w:rFonts w:hint="eastAsia"/>
          <w:rtl/>
        </w:rPr>
        <w:t>כי</w:t>
      </w:r>
      <w:r w:rsidRPr="00D44540">
        <w:rPr>
          <w:rtl/>
        </w:rPr>
        <w:t xml:space="preserve"> </w:t>
      </w:r>
      <w:r w:rsidRPr="00D44540">
        <w:rPr>
          <w:rFonts w:hint="eastAsia"/>
          <w:rtl/>
        </w:rPr>
        <w:t>התפטרותו</w:t>
      </w:r>
      <w:r w:rsidRPr="00D44540">
        <w:rPr>
          <w:rtl/>
        </w:rPr>
        <w:t xml:space="preserve"> </w:t>
      </w:r>
      <w:r w:rsidRPr="00D44540">
        <w:rPr>
          <w:rFonts w:hint="eastAsia"/>
          <w:rtl/>
        </w:rPr>
        <w:t>של</w:t>
      </w:r>
      <w:r w:rsidRPr="00D44540">
        <w:rPr>
          <w:rtl/>
        </w:rPr>
        <w:t xml:space="preserve"> </w:t>
      </w:r>
      <w:r w:rsidRPr="00D44540">
        <w:rPr>
          <w:rFonts w:hint="eastAsia"/>
          <w:rtl/>
        </w:rPr>
        <w:t>דרעי</w:t>
      </w:r>
      <w:r w:rsidRPr="00D44540">
        <w:rPr>
          <w:rtl/>
        </w:rPr>
        <w:t xml:space="preserve"> </w:t>
      </w:r>
      <w:r w:rsidRPr="00D44540">
        <w:rPr>
          <w:rFonts w:hint="eastAsia"/>
          <w:rtl/>
        </w:rPr>
        <w:t>מהכנסת</w:t>
      </w:r>
      <w:r w:rsidRPr="00D44540">
        <w:rPr>
          <w:rtl/>
        </w:rPr>
        <w:t xml:space="preserve"> </w:t>
      </w:r>
      <w:r w:rsidRPr="00D44540">
        <w:rPr>
          <w:rFonts w:hint="eastAsia"/>
          <w:rtl/>
        </w:rPr>
        <w:t>עובר</w:t>
      </w:r>
      <w:r w:rsidRPr="00D44540">
        <w:rPr>
          <w:rtl/>
        </w:rPr>
        <w:t xml:space="preserve"> </w:t>
      </w:r>
      <w:r w:rsidRPr="00D44540">
        <w:rPr>
          <w:rFonts w:hint="eastAsia"/>
          <w:rtl/>
        </w:rPr>
        <w:t>לאישורו</w:t>
      </w:r>
      <w:r w:rsidRPr="00D44540">
        <w:rPr>
          <w:rtl/>
        </w:rPr>
        <w:t xml:space="preserve"> </w:t>
      </w:r>
      <w:r w:rsidRPr="00D44540">
        <w:rPr>
          <w:rFonts w:hint="eastAsia"/>
          <w:rtl/>
        </w:rPr>
        <w:t>של</w:t>
      </w:r>
      <w:r w:rsidRPr="00D44540">
        <w:rPr>
          <w:rtl/>
        </w:rPr>
        <w:t xml:space="preserve"> </w:t>
      </w:r>
      <w:r w:rsidRPr="00D44540">
        <w:rPr>
          <w:rFonts w:hint="eastAsia"/>
          <w:rtl/>
        </w:rPr>
        <w:t>הסדר</w:t>
      </w:r>
      <w:r w:rsidRPr="00D44540">
        <w:rPr>
          <w:rtl/>
        </w:rPr>
        <w:t xml:space="preserve"> </w:t>
      </w:r>
      <w:r w:rsidRPr="00D44540">
        <w:rPr>
          <w:rFonts w:hint="eastAsia"/>
          <w:rtl/>
        </w:rPr>
        <w:t>הטיעון</w:t>
      </w:r>
      <w:r w:rsidRPr="00D44540">
        <w:rPr>
          <w:rtl/>
        </w:rPr>
        <w:t xml:space="preserve"> </w:t>
      </w:r>
      <w:r w:rsidRPr="00D44540">
        <w:rPr>
          <w:rFonts w:hint="eastAsia"/>
          <w:rtl/>
        </w:rPr>
        <w:t>ומתן</w:t>
      </w:r>
      <w:r w:rsidRPr="00D44540">
        <w:rPr>
          <w:rtl/>
        </w:rPr>
        <w:t xml:space="preserve"> </w:t>
      </w:r>
      <w:r w:rsidRPr="00D44540">
        <w:rPr>
          <w:rFonts w:hint="eastAsia"/>
          <w:rtl/>
        </w:rPr>
        <w:t>גזר</w:t>
      </w:r>
      <w:r w:rsidRPr="00D44540">
        <w:rPr>
          <w:rtl/>
        </w:rPr>
        <w:t xml:space="preserve"> </w:t>
      </w:r>
      <w:r w:rsidRPr="00D44540">
        <w:rPr>
          <w:rFonts w:hint="eastAsia"/>
          <w:rtl/>
        </w:rPr>
        <w:t>הדין</w:t>
      </w:r>
      <w:r w:rsidRPr="00D44540">
        <w:rPr>
          <w:rtl/>
        </w:rPr>
        <w:t xml:space="preserve"> </w:t>
      </w:r>
      <w:r w:rsidRPr="00D44540">
        <w:rPr>
          <w:rFonts w:hint="eastAsia"/>
          <w:rtl/>
        </w:rPr>
        <w:t>בעניינו</w:t>
      </w:r>
      <w:r w:rsidRPr="00D44540">
        <w:rPr>
          <w:rtl/>
        </w:rPr>
        <w:t xml:space="preserve"> </w:t>
      </w:r>
      <w:r w:rsidRPr="00D44540">
        <w:rPr>
          <w:rFonts w:hint="eastAsia"/>
          <w:rtl/>
        </w:rPr>
        <w:t>על</w:t>
      </w:r>
      <w:r w:rsidRPr="00D44540">
        <w:rPr>
          <w:rtl/>
        </w:rPr>
        <w:t xml:space="preserve"> </w:t>
      </w:r>
      <w:r w:rsidRPr="00D44540">
        <w:rPr>
          <w:rFonts w:hint="eastAsia"/>
          <w:rtl/>
        </w:rPr>
        <w:t>ידי</w:t>
      </w:r>
      <w:r w:rsidRPr="00D44540">
        <w:rPr>
          <w:rtl/>
        </w:rPr>
        <w:t xml:space="preserve"> </w:t>
      </w:r>
      <w:r w:rsidRPr="00D44540">
        <w:rPr>
          <w:rFonts w:hint="eastAsia"/>
          <w:rtl/>
        </w:rPr>
        <w:t>בית</w:t>
      </w:r>
      <w:r w:rsidRPr="00D44540">
        <w:rPr>
          <w:rtl/>
        </w:rPr>
        <w:t xml:space="preserve"> </w:t>
      </w:r>
      <w:r w:rsidRPr="00D44540">
        <w:rPr>
          <w:rFonts w:hint="eastAsia"/>
          <w:rtl/>
        </w:rPr>
        <w:t>משפט</w:t>
      </w:r>
      <w:r w:rsidRPr="00D44540">
        <w:rPr>
          <w:rtl/>
        </w:rPr>
        <w:t xml:space="preserve"> </w:t>
      </w:r>
      <w:r w:rsidRPr="00D44540">
        <w:rPr>
          <w:rFonts w:hint="eastAsia"/>
          <w:rtl/>
        </w:rPr>
        <w:t>השלום</w:t>
      </w:r>
      <w:r w:rsidRPr="00D44540">
        <w:rPr>
          <w:rtl/>
        </w:rPr>
        <w:t xml:space="preserve"> </w:t>
      </w:r>
      <w:r w:rsidRPr="00D44540">
        <w:rPr>
          <w:rFonts w:hint="eastAsia"/>
          <w:rtl/>
        </w:rPr>
        <w:t>השילה</w:t>
      </w:r>
      <w:r w:rsidRPr="00D44540">
        <w:rPr>
          <w:rtl/>
        </w:rPr>
        <w:t xml:space="preserve"> </w:t>
      </w:r>
      <w:r w:rsidRPr="00D44540">
        <w:rPr>
          <w:rFonts w:hint="eastAsia"/>
          <w:rtl/>
        </w:rPr>
        <w:t>מבית</w:t>
      </w:r>
      <w:r w:rsidRPr="00D44540">
        <w:rPr>
          <w:rtl/>
        </w:rPr>
        <w:t xml:space="preserve"> </w:t>
      </w:r>
      <w:r w:rsidRPr="00D44540">
        <w:rPr>
          <w:rFonts w:hint="eastAsia"/>
          <w:rtl/>
        </w:rPr>
        <w:t>המשפט</w:t>
      </w:r>
      <w:r w:rsidRPr="00D44540">
        <w:rPr>
          <w:rtl/>
        </w:rPr>
        <w:t xml:space="preserve"> </w:t>
      </w:r>
      <w:r w:rsidRPr="00D44540">
        <w:rPr>
          <w:rFonts w:hint="eastAsia"/>
          <w:rtl/>
        </w:rPr>
        <w:t>את</w:t>
      </w:r>
      <w:r w:rsidRPr="00D44540">
        <w:rPr>
          <w:rtl/>
        </w:rPr>
        <w:t xml:space="preserve"> </w:t>
      </w:r>
      <w:r w:rsidRPr="00D44540">
        <w:rPr>
          <w:rFonts w:hint="eastAsia"/>
          <w:rtl/>
        </w:rPr>
        <w:t>סמכותו</w:t>
      </w:r>
      <w:r w:rsidRPr="00D44540">
        <w:rPr>
          <w:rtl/>
        </w:rPr>
        <w:t xml:space="preserve"> </w:t>
      </w:r>
      <w:r w:rsidRPr="00D44540">
        <w:rPr>
          <w:rFonts w:hint="eastAsia"/>
          <w:rtl/>
        </w:rPr>
        <w:t>למצוא</w:t>
      </w:r>
      <w:r w:rsidRPr="00D44540">
        <w:rPr>
          <w:rtl/>
        </w:rPr>
        <w:t xml:space="preserve"> </w:t>
      </w:r>
      <w:r w:rsidRPr="00D44540">
        <w:rPr>
          <w:rFonts w:hint="eastAsia"/>
          <w:rtl/>
        </w:rPr>
        <w:t>קלון</w:t>
      </w:r>
      <w:r w:rsidRPr="00D44540">
        <w:rPr>
          <w:rtl/>
        </w:rPr>
        <w:t xml:space="preserve"> </w:t>
      </w:r>
      <w:r w:rsidRPr="00D44540">
        <w:rPr>
          <w:rFonts w:hint="eastAsia"/>
          <w:rtl/>
        </w:rPr>
        <w:t>בעבירות</w:t>
      </w:r>
      <w:r w:rsidRPr="00D44540">
        <w:rPr>
          <w:rtl/>
        </w:rPr>
        <w:t xml:space="preserve"> </w:t>
      </w:r>
      <w:r w:rsidRPr="00D44540">
        <w:rPr>
          <w:rFonts w:hint="eastAsia"/>
          <w:rtl/>
        </w:rPr>
        <w:t>בהן</w:t>
      </w:r>
      <w:r w:rsidRPr="00D44540">
        <w:rPr>
          <w:rtl/>
        </w:rPr>
        <w:t xml:space="preserve"> </w:t>
      </w:r>
      <w:r w:rsidRPr="00D44540">
        <w:rPr>
          <w:rFonts w:hint="eastAsia"/>
          <w:rtl/>
        </w:rPr>
        <w:t>דרעי</w:t>
      </w:r>
      <w:r w:rsidRPr="00D44540">
        <w:rPr>
          <w:rtl/>
        </w:rPr>
        <w:t xml:space="preserve"> </w:t>
      </w:r>
      <w:r w:rsidRPr="00D44540">
        <w:rPr>
          <w:rFonts w:hint="eastAsia"/>
          <w:rtl/>
        </w:rPr>
        <w:t>נמצא</w:t>
      </w:r>
      <w:r w:rsidRPr="00D44540">
        <w:rPr>
          <w:rtl/>
        </w:rPr>
        <w:t xml:space="preserve"> </w:t>
      </w:r>
      <w:r w:rsidRPr="00D44540">
        <w:rPr>
          <w:rFonts w:hint="eastAsia"/>
          <w:rtl/>
        </w:rPr>
        <w:t>אשם</w:t>
      </w:r>
      <w:r w:rsidRPr="00D44540">
        <w:rPr>
          <w:rtl/>
        </w:rPr>
        <w:t>.</w:t>
      </w:r>
      <w:r>
        <w:rPr>
          <w:rFonts w:hint="cs"/>
          <w:rtl/>
        </w:rPr>
        <w:t xml:space="preserve"> דרעי הופיע לדיון בבית המשפט כאחד האדם ולא כחבר-כנסת, </w:t>
      </w:r>
      <w:r w:rsidRPr="00D44540">
        <w:rPr>
          <w:rFonts w:hint="eastAsia"/>
          <w:rtl/>
        </w:rPr>
        <w:t>דבר</w:t>
      </w:r>
      <w:r w:rsidRPr="00D44540">
        <w:rPr>
          <w:rtl/>
        </w:rPr>
        <w:t xml:space="preserve"> </w:t>
      </w:r>
      <w:r w:rsidRPr="00D44540">
        <w:rPr>
          <w:rFonts w:hint="eastAsia"/>
          <w:rtl/>
        </w:rPr>
        <w:t>שמנע</w:t>
      </w:r>
      <w:r w:rsidRPr="00D44540">
        <w:rPr>
          <w:rtl/>
        </w:rPr>
        <w:t xml:space="preserve"> </w:t>
      </w:r>
      <w:r w:rsidRPr="00D44540">
        <w:rPr>
          <w:rFonts w:hint="eastAsia"/>
          <w:rtl/>
        </w:rPr>
        <w:t>את</w:t>
      </w:r>
      <w:r w:rsidRPr="00D44540">
        <w:rPr>
          <w:rtl/>
        </w:rPr>
        <w:t xml:space="preserve"> </w:t>
      </w:r>
      <w:r w:rsidRPr="00D44540">
        <w:rPr>
          <w:rFonts w:hint="eastAsia"/>
          <w:rtl/>
        </w:rPr>
        <w:t>החלתו</w:t>
      </w:r>
      <w:r w:rsidRPr="00D44540">
        <w:rPr>
          <w:rtl/>
        </w:rPr>
        <w:t xml:space="preserve"> </w:t>
      </w:r>
      <w:r w:rsidRPr="00D44540">
        <w:rPr>
          <w:rFonts w:hint="eastAsia"/>
          <w:rtl/>
        </w:rPr>
        <w:t>של</w:t>
      </w:r>
      <w:r w:rsidRPr="00D44540">
        <w:rPr>
          <w:rtl/>
        </w:rPr>
        <w:t xml:space="preserve"> </w:t>
      </w:r>
      <w:r w:rsidRPr="00D44540">
        <w:rPr>
          <w:rFonts w:hint="eastAsia"/>
          <w:rtl/>
        </w:rPr>
        <w:t>סעיף</w:t>
      </w:r>
      <w:r w:rsidRPr="00D44540">
        <w:rPr>
          <w:rtl/>
        </w:rPr>
        <w:t xml:space="preserve"> 42</w:t>
      </w:r>
      <w:r w:rsidRPr="00D44540">
        <w:rPr>
          <w:rFonts w:hint="eastAsia"/>
          <w:rtl/>
        </w:rPr>
        <w:t>א</w:t>
      </w:r>
      <w:r w:rsidRPr="00D44540">
        <w:rPr>
          <w:rtl/>
        </w:rPr>
        <w:t>(</w:t>
      </w:r>
      <w:r w:rsidRPr="00D44540">
        <w:rPr>
          <w:rFonts w:hint="eastAsia"/>
          <w:rtl/>
        </w:rPr>
        <w:t>א</w:t>
      </w:r>
      <w:r w:rsidRPr="00D44540">
        <w:rPr>
          <w:rtl/>
        </w:rPr>
        <w:t xml:space="preserve">) </w:t>
      </w:r>
      <w:r w:rsidRPr="00D44540">
        <w:rPr>
          <w:rFonts w:hint="eastAsia"/>
          <w:rtl/>
        </w:rPr>
        <w:t>לחוק</w:t>
      </w:r>
      <w:r w:rsidRPr="00D44540">
        <w:rPr>
          <w:rtl/>
        </w:rPr>
        <w:t xml:space="preserve"> </w:t>
      </w:r>
      <w:r w:rsidRPr="00D44540">
        <w:rPr>
          <w:rFonts w:hint="eastAsia"/>
          <w:rtl/>
        </w:rPr>
        <w:t>יסוד</w:t>
      </w:r>
      <w:r w:rsidRPr="00D44540">
        <w:rPr>
          <w:rtl/>
        </w:rPr>
        <w:t xml:space="preserve">: </w:t>
      </w:r>
      <w:r w:rsidRPr="00D44540">
        <w:rPr>
          <w:rFonts w:hint="eastAsia"/>
          <w:rtl/>
        </w:rPr>
        <w:t>הכנסת</w:t>
      </w:r>
      <w:r w:rsidRPr="00D44540">
        <w:rPr>
          <w:rtl/>
        </w:rPr>
        <w:t xml:space="preserve"> </w:t>
      </w:r>
      <w:r w:rsidRPr="00D44540">
        <w:rPr>
          <w:rFonts w:hint="eastAsia"/>
          <w:rtl/>
        </w:rPr>
        <w:t>על</w:t>
      </w:r>
      <w:r w:rsidRPr="00D44540">
        <w:rPr>
          <w:rtl/>
        </w:rPr>
        <w:t xml:space="preserve"> </w:t>
      </w:r>
      <w:r w:rsidRPr="00D44540">
        <w:rPr>
          <w:rFonts w:hint="eastAsia"/>
          <w:rtl/>
        </w:rPr>
        <w:t>עניינו</w:t>
      </w:r>
      <w:r>
        <w:rPr>
          <w:rFonts w:hint="cs"/>
          <w:rtl/>
        </w:rPr>
        <w:t xml:space="preserve">. הדיון בקלון אשר יכול שדבק בעבירותיו של דרעי </w:t>
      </w:r>
      <w:r w:rsidRPr="00D44540">
        <w:rPr>
          <w:rFonts w:hint="eastAsia"/>
          <w:rtl/>
        </w:rPr>
        <w:t>נמצא</w:t>
      </w:r>
      <w:r w:rsidRPr="00D44540">
        <w:rPr>
          <w:rtl/>
        </w:rPr>
        <w:t xml:space="preserve"> </w:t>
      </w:r>
      <w:r w:rsidRPr="00D44540">
        <w:rPr>
          <w:rFonts w:hint="eastAsia"/>
          <w:rtl/>
        </w:rPr>
        <w:t>מחוץ</w:t>
      </w:r>
      <w:r w:rsidRPr="00D44540">
        <w:rPr>
          <w:rtl/>
        </w:rPr>
        <w:t xml:space="preserve"> </w:t>
      </w:r>
      <w:r w:rsidRPr="00D44540">
        <w:rPr>
          <w:rFonts w:hint="eastAsia"/>
          <w:rtl/>
        </w:rPr>
        <w:t>לדל</w:t>
      </w:r>
      <w:r w:rsidRPr="00D44540">
        <w:rPr>
          <w:rtl/>
        </w:rPr>
        <w:t>"</w:t>
      </w:r>
      <w:r w:rsidRPr="00D44540">
        <w:rPr>
          <w:rFonts w:hint="eastAsia"/>
          <w:rtl/>
        </w:rPr>
        <w:t>ת</w:t>
      </w:r>
      <w:r w:rsidRPr="00D44540">
        <w:rPr>
          <w:rtl/>
        </w:rPr>
        <w:t xml:space="preserve"> </w:t>
      </w:r>
      <w:r w:rsidRPr="00D44540">
        <w:rPr>
          <w:rFonts w:hint="eastAsia"/>
          <w:rtl/>
        </w:rPr>
        <w:t>אמות</w:t>
      </w:r>
      <w:r w:rsidRPr="00D44540">
        <w:rPr>
          <w:rtl/>
        </w:rPr>
        <w:t xml:space="preserve"> </w:t>
      </w:r>
      <w:r w:rsidRPr="00D44540">
        <w:rPr>
          <w:rFonts w:hint="eastAsia"/>
          <w:rtl/>
        </w:rPr>
        <w:t>סמכותו</w:t>
      </w:r>
      <w:r w:rsidRPr="00D44540">
        <w:rPr>
          <w:rtl/>
        </w:rPr>
        <w:t xml:space="preserve"> </w:t>
      </w:r>
      <w:r w:rsidRPr="00D44540">
        <w:rPr>
          <w:rFonts w:hint="eastAsia"/>
          <w:rtl/>
        </w:rPr>
        <w:t>של</w:t>
      </w:r>
      <w:r w:rsidRPr="00D44540">
        <w:rPr>
          <w:rtl/>
        </w:rPr>
        <w:t xml:space="preserve"> </w:t>
      </w:r>
      <w:r w:rsidRPr="00D44540">
        <w:rPr>
          <w:rFonts w:hint="eastAsia"/>
          <w:rtl/>
        </w:rPr>
        <w:t>בית</w:t>
      </w:r>
      <w:r w:rsidRPr="00D44540">
        <w:rPr>
          <w:rtl/>
        </w:rPr>
        <w:t xml:space="preserve"> </w:t>
      </w:r>
      <w:r w:rsidRPr="00D44540">
        <w:rPr>
          <w:rFonts w:hint="eastAsia"/>
          <w:rtl/>
        </w:rPr>
        <w:t>המשפט</w:t>
      </w:r>
      <w:r w:rsidRPr="00D44540">
        <w:rPr>
          <w:rtl/>
        </w:rPr>
        <w:t xml:space="preserve"> </w:t>
      </w:r>
      <w:r w:rsidRPr="00D44540">
        <w:rPr>
          <w:rFonts w:hint="eastAsia"/>
          <w:rtl/>
        </w:rPr>
        <w:t>אחרי</w:t>
      </w:r>
      <w:r w:rsidRPr="00D44540">
        <w:rPr>
          <w:rtl/>
        </w:rPr>
        <w:t xml:space="preserve"> </w:t>
      </w:r>
      <w:r w:rsidRPr="00D44540">
        <w:rPr>
          <w:rFonts w:hint="eastAsia"/>
          <w:rtl/>
        </w:rPr>
        <w:t>התפטרותו</w:t>
      </w:r>
      <w:r w:rsidRPr="00D44540">
        <w:rPr>
          <w:rtl/>
        </w:rPr>
        <w:t xml:space="preserve"> </w:t>
      </w:r>
      <w:r w:rsidRPr="00D44540">
        <w:rPr>
          <w:rFonts w:hint="eastAsia"/>
          <w:rtl/>
        </w:rPr>
        <w:t>של</w:t>
      </w:r>
      <w:r w:rsidRPr="00D44540">
        <w:rPr>
          <w:rtl/>
        </w:rPr>
        <w:t xml:space="preserve"> </w:t>
      </w:r>
      <w:r w:rsidRPr="00D44540">
        <w:rPr>
          <w:rFonts w:hint="eastAsia"/>
          <w:rtl/>
        </w:rPr>
        <w:t>דרעי</w:t>
      </w:r>
      <w:r w:rsidRPr="00D44540">
        <w:rPr>
          <w:rtl/>
        </w:rPr>
        <w:t xml:space="preserve"> </w:t>
      </w:r>
      <w:r w:rsidRPr="00D44540">
        <w:rPr>
          <w:rFonts w:hint="eastAsia"/>
          <w:rtl/>
        </w:rPr>
        <w:t>מהכנסת</w:t>
      </w:r>
      <w:r>
        <w:rPr>
          <w:rFonts w:hint="cs"/>
          <w:rtl/>
        </w:rPr>
        <w:t xml:space="preserve"> </w:t>
      </w:r>
      <w:r>
        <w:rPr>
          <w:rtl/>
        </w:rPr>
        <w:t>–</w:t>
      </w:r>
      <w:r>
        <w:rPr>
          <w:rFonts w:hint="cs"/>
          <w:rtl/>
        </w:rPr>
        <w:t xml:space="preserve"> </w:t>
      </w:r>
      <w:r w:rsidRPr="00EE2886">
        <w:rPr>
          <w:rFonts w:hint="cs"/>
          <w:rtl/>
        </w:rPr>
        <w:t xml:space="preserve">זאת, בשעה שהעבירות </w:t>
      </w:r>
      <w:r>
        <w:rPr>
          <w:rFonts w:hint="cs"/>
          <w:rtl/>
        </w:rPr>
        <w:t>בהן הורשע דרעי</w:t>
      </w:r>
      <w:r w:rsidRPr="00EE2886">
        <w:rPr>
          <w:rFonts w:hint="cs"/>
          <w:rtl/>
        </w:rPr>
        <w:t xml:space="preserve">, </w:t>
      </w:r>
      <w:r>
        <w:rPr>
          <w:rFonts w:hint="cs"/>
          <w:rtl/>
        </w:rPr>
        <w:t xml:space="preserve">אשר </w:t>
      </w:r>
      <w:r w:rsidRPr="00EE2886">
        <w:rPr>
          <w:rFonts w:hint="cs"/>
          <w:rtl/>
        </w:rPr>
        <w:t>מכילות בתוכן רכיב תרמיתי, הן עבירות בנות קלון (ראו</w:t>
      </w:r>
      <w:r>
        <w:rPr>
          <w:rFonts w:hint="cs"/>
          <w:rtl/>
        </w:rPr>
        <w:t xml:space="preserve"> והשוו</w:t>
      </w:r>
      <w:r w:rsidRPr="00EE2886">
        <w:rPr>
          <w:rFonts w:hint="cs"/>
          <w:rtl/>
        </w:rPr>
        <w:t xml:space="preserve">: </w:t>
      </w:r>
      <w:r w:rsidRPr="002F6230">
        <w:rPr>
          <w:rFonts w:hint="eastAsia"/>
          <w:rtl/>
        </w:rPr>
        <w:t>עש</w:t>
      </w:r>
      <w:r w:rsidRPr="002F6230">
        <w:rPr>
          <w:rtl/>
        </w:rPr>
        <w:t>"</w:t>
      </w:r>
      <w:r w:rsidRPr="002F6230">
        <w:rPr>
          <w:rFonts w:hint="eastAsia"/>
          <w:rtl/>
        </w:rPr>
        <w:t>מ</w:t>
      </w:r>
      <w:r w:rsidRPr="002F6230">
        <w:rPr>
          <w:rtl/>
        </w:rPr>
        <w:t xml:space="preserve"> 4123/95 </w:t>
      </w:r>
      <w:r w:rsidRPr="00D44540">
        <w:rPr>
          <w:rFonts w:ascii="Century" w:hAnsi="Century" w:cs="Miriam" w:hint="eastAsia"/>
          <w:b/>
          <w:spacing w:val="0"/>
          <w:sz w:val="22"/>
          <w:szCs w:val="24"/>
          <w:rtl/>
        </w:rPr>
        <w:t>אור</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נ</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מדינת</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ישראל</w:t>
      </w:r>
      <w:r w:rsidRPr="00D44540">
        <w:rPr>
          <w:rFonts w:ascii="Century" w:hAnsi="Century" w:cs="Miriam"/>
          <w:b/>
          <w:spacing w:val="0"/>
          <w:sz w:val="22"/>
          <w:szCs w:val="24"/>
          <w:rtl/>
        </w:rPr>
        <w:t xml:space="preserve"> – </w:t>
      </w:r>
      <w:r w:rsidRPr="00D44540">
        <w:rPr>
          <w:rFonts w:ascii="Century" w:hAnsi="Century" w:cs="Miriam" w:hint="eastAsia"/>
          <w:b/>
          <w:spacing w:val="0"/>
          <w:sz w:val="22"/>
          <w:szCs w:val="24"/>
          <w:rtl/>
        </w:rPr>
        <w:t>נציב</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שירות</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המדינה</w:t>
      </w:r>
      <w:r w:rsidRPr="002F6230">
        <w:rPr>
          <w:rtl/>
        </w:rPr>
        <w:t xml:space="preserve">, </w:t>
      </w:r>
      <w:r>
        <w:rPr>
          <w:rFonts w:hint="cs"/>
          <w:rtl/>
        </w:rPr>
        <w:t xml:space="preserve">פ"ד </w:t>
      </w:r>
      <w:r w:rsidRPr="002F6230">
        <w:rPr>
          <w:rFonts w:hint="eastAsia"/>
          <w:rtl/>
        </w:rPr>
        <w:t>מט</w:t>
      </w:r>
      <w:r w:rsidRPr="002F6230">
        <w:rPr>
          <w:rtl/>
        </w:rPr>
        <w:t xml:space="preserve">(5) </w:t>
      </w:r>
      <w:r>
        <w:rPr>
          <w:rFonts w:hint="cs"/>
          <w:rtl/>
        </w:rPr>
        <w:t>184, 192</w:t>
      </w:r>
      <w:r w:rsidRPr="002F6230">
        <w:rPr>
          <w:rtl/>
        </w:rPr>
        <w:t xml:space="preserve"> (1996)</w:t>
      </w:r>
      <w:r>
        <w:rPr>
          <w:rFonts w:hint="cs"/>
          <w:rtl/>
        </w:rPr>
        <w:t xml:space="preserve">; </w:t>
      </w:r>
      <w:r w:rsidRPr="00A80390">
        <w:rPr>
          <w:rFonts w:hint="eastAsia"/>
          <w:rtl/>
        </w:rPr>
        <w:t>בג</w:t>
      </w:r>
      <w:r w:rsidRPr="00A80390">
        <w:rPr>
          <w:rtl/>
        </w:rPr>
        <w:t>"</w:t>
      </w:r>
      <w:r w:rsidRPr="00A80390">
        <w:rPr>
          <w:rFonts w:hint="eastAsia"/>
          <w:rtl/>
        </w:rPr>
        <w:t>ץ</w:t>
      </w:r>
      <w:r w:rsidRPr="00A80390">
        <w:rPr>
          <w:rtl/>
        </w:rPr>
        <w:t xml:space="preserve"> 103/96 </w:t>
      </w:r>
      <w:r w:rsidRPr="00D44540">
        <w:rPr>
          <w:rFonts w:ascii="Century" w:hAnsi="Century" w:cs="Miriam" w:hint="eastAsia"/>
          <w:b/>
          <w:spacing w:val="0"/>
          <w:sz w:val="22"/>
          <w:szCs w:val="24"/>
          <w:rtl/>
        </w:rPr>
        <w:t>כהן</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נ</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היועץ</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המשפטי</w:t>
      </w:r>
      <w:r w:rsidRPr="00D44540">
        <w:rPr>
          <w:rFonts w:ascii="Century" w:hAnsi="Century" w:cs="Miriam"/>
          <w:b/>
          <w:spacing w:val="0"/>
          <w:sz w:val="22"/>
          <w:szCs w:val="24"/>
          <w:rtl/>
        </w:rPr>
        <w:t xml:space="preserve"> </w:t>
      </w:r>
      <w:r w:rsidRPr="00D44540">
        <w:rPr>
          <w:rFonts w:ascii="Century" w:hAnsi="Century" w:cs="Miriam" w:hint="eastAsia"/>
          <w:b/>
          <w:spacing w:val="0"/>
          <w:sz w:val="22"/>
          <w:szCs w:val="24"/>
          <w:rtl/>
        </w:rPr>
        <w:t>לממשלה</w:t>
      </w:r>
      <w:r w:rsidRPr="00A80390">
        <w:rPr>
          <w:rtl/>
        </w:rPr>
        <w:t xml:space="preserve">, </w:t>
      </w:r>
      <w:r>
        <w:rPr>
          <w:rFonts w:hint="cs"/>
          <w:rtl/>
        </w:rPr>
        <w:t xml:space="preserve">פ"ד </w:t>
      </w:r>
      <w:r w:rsidRPr="00A80390">
        <w:rPr>
          <w:rFonts w:hint="eastAsia"/>
          <w:rtl/>
        </w:rPr>
        <w:t>נ</w:t>
      </w:r>
      <w:r w:rsidRPr="00A80390">
        <w:rPr>
          <w:rtl/>
        </w:rPr>
        <w:t xml:space="preserve">(4) </w:t>
      </w:r>
      <w:r>
        <w:rPr>
          <w:rFonts w:hint="cs"/>
          <w:rtl/>
        </w:rPr>
        <w:t>309, 326</w:t>
      </w:r>
      <w:r w:rsidRPr="00A80390">
        <w:rPr>
          <w:rtl/>
        </w:rPr>
        <w:t xml:space="preserve"> (1996)</w:t>
      </w:r>
      <w:r w:rsidRPr="00EE2886">
        <w:rPr>
          <w:rFonts w:hint="cs"/>
          <w:rtl/>
        </w:rPr>
        <w:t>).</w:t>
      </w:r>
      <w:r>
        <w:rPr>
          <w:rFonts w:hint="cs"/>
          <w:rtl/>
        </w:rPr>
        <w:t xml:space="preserve"> </w:t>
      </w:r>
    </w:p>
    <w:p w14:paraId="59A47510" w14:textId="77777777" w:rsidR="00C36C78" w:rsidRDefault="00C36C78" w:rsidP="00C36C78">
      <w:pPr>
        <w:pStyle w:val="Ruller4"/>
        <w:numPr>
          <w:ilvl w:val="0"/>
          <w:numId w:val="0"/>
        </w:numPr>
      </w:pPr>
    </w:p>
    <w:p w14:paraId="152BDFD3" w14:textId="77777777" w:rsidR="00C36C78" w:rsidRDefault="00C36C78" w:rsidP="00C36C78">
      <w:pPr>
        <w:pStyle w:val="Ruller4"/>
        <w:rPr>
          <w:rtl/>
        </w:rPr>
      </w:pPr>
      <w:r>
        <w:rPr>
          <w:rFonts w:hint="cs"/>
          <w:rtl/>
        </w:rPr>
        <w:t xml:space="preserve">מכאן עלה החשש, שייקרא "הדלת המסתובבת": החשש שדרעי ישוב וייבחר לכנסת מבלי ששאלת הקלון עמדה לדיון ולהכרעה ביחס לעבירותיו. תרחיש "הדלת המסתובבת" עלה לדיון במסגרת העתירות נגד הסדר הטיעון בבג"ץ 8954/21 ובבג"ץ 33/22, אשר נדונו יחדיו (ראו: </w:t>
      </w:r>
      <w:r w:rsidRPr="004B2559">
        <w:rPr>
          <w:rFonts w:hint="eastAsia"/>
          <w:rtl/>
        </w:rPr>
        <w:t>פרוטוקול</w:t>
      </w:r>
      <w:r w:rsidRPr="004B2559">
        <w:rPr>
          <w:rtl/>
        </w:rPr>
        <w:t xml:space="preserve"> </w:t>
      </w:r>
      <w:r w:rsidRPr="004B2559">
        <w:rPr>
          <w:rFonts w:hint="eastAsia"/>
          <w:rtl/>
        </w:rPr>
        <w:t>הדיון</w:t>
      </w:r>
      <w:r w:rsidRPr="004B2559">
        <w:rPr>
          <w:rFonts w:hint="cs"/>
          <w:rtl/>
        </w:rPr>
        <w:t xml:space="preserve"> </w:t>
      </w:r>
      <w:r w:rsidRPr="004B2559">
        <w:rPr>
          <w:rFonts w:hint="eastAsia"/>
          <w:rtl/>
        </w:rPr>
        <w:t>בבג</w:t>
      </w:r>
      <w:r w:rsidRPr="004B2559">
        <w:rPr>
          <w:rtl/>
        </w:rPr>
        <w:t>"</w:t>
      </w:r>
      <w:r w:rsidRPr="004B2559">
        <w:rPr>
          <w:rFonts w:hint="eastAsia"/>
          <w:rtl/>
        </w:rPr>
        <w:t>ץ</w:t>
      </w:r>
      <w:r w:rsidRPr="004B2559">
        <w:rPr>
          <w:rtl/>
        </w:rPr>
        <w:t xml:space="preserve"> 8954/21</w:t>
      </w:r>
      <w:r>
        <w:rPr>
          <w:rFonts w:hint="cs"/>
          <w:rtl/>
        </w:rPr>
        <w:t xml:space="preserve"> מיום 16.1.2022</w:t>
      </w:r>
      <w:r w:rsidRPr="004B2559">
        <w:rPr>
          <w:rtl/>
        </w:rPr>
        <w:t xml:space="preserve">, </w:t>
      </w:r>
      <w:r w:rsidRPr="004B2559">
        <w:rPr>
          <w:rFonts w:hint="eastAsia"/>
          <w:rtl/>
        </w:rPr>
        <w:t>בעמ</w:t>
      </w:r>
      <w:r w:rsidRPr="004B2559">
        <w:rPr>
          <w:rtl/>
        </w:rPr>
        <w:t>'</w:t>
      </w:r>
      <w:r>
        <w:rPr>
          <w:rFonts w:hint="cs"/>
          <w:rtl/>
        </w:rPr>
        <w:t xml:space="preserve"> 11-10</w:t>
      </w:r>
      <w:r w:rsidRPr="004B2559">
        <w:rPr>
          <w:rFonts w:hint="cs"/>
          <w:rtl/>
        </w:rPr>
        <w:t>;</w:t>
      </w:r>
      <w:r>
        <w:rPr>
          <w:rFonts w:hint="cs"/>
          <w:rtl/>
        </w:rPr>
        <w:t xml:space="preserve"> </w:t>
      </w:r>
      <w:r w:rsidRPr="00380AE2">
        <w:rPr>
          <w:rFonts w:hint="eastAsia"/>
          <w:rtl/>
        </w:rPr>
        <w:t>בג</w:t>
      </w:r>
      <w:r w:rsidRPr="00380AE2">
        <w:rPr>
          <w:rtl/>
        </w:rPr>
        <w:t>"</w:t>
      </w:r>
      <w:r w:rsidRPr="00380AE2">
        <w:rPr>
          <w:rFonts w:hint="eastAsia"/>
          <w:rtl/>
        </w:rPr>
        <w:t>ץ</w:t>
      </w:r>
      <w:r w:rsidRPr="00380AE2">
        <w:rPr>
          <w:rtl/>
        </w:rPr>
        <w:t xml:space="preserve"> 8954/21 </w:t>
      </w:r>
      <w:r w:rsidRPr="00654784">
        <w:rPr>
          <w:rFonts w:ascii="Century" w:hAnsi="Century" w:cs="Miriam" w:hint="eastAsia"/>
          <w:b/>
          <w:spacing w:val="0"/>
          <w:sz w:val="22"/>
          <w:szCs w:val="24"/>
          <w:rtl/>
        </w:rPr>
        <w:t>התנועה</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למען</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איכות</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השלטון</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בישראל</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נ</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היועץ</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המשפטי</w:t>
      </w:r>
      <w:r w:rsidRPr="00654784">
        <w:rPr>
          <w:rFonts w:ascii="Century" w:hAnsi="Century" w:cs="Miriam"/>
          <w:b/>
          <w:spacing w:val="0"/>
          <w:sz w:val="22"/>
          <w:szCs w:val="24"/>
          <w:rtl/>
        </w:rPr>
        <w:t xml:space="preserve"> </w:t>
      </w:r>
      <w:r w:rsidRPr="00654784">
        <w:rPr>
          <w:rFonts w:ascii="Century" w:hAnsi="Century" w:cs="Miriam" w:hint="eastAsia"/>
          <w:b/>
          <w:spacing w:val="0"/>
          <w:sz w:val="22"/>
          <w:szCs w:val="24"/>
          <w:rtl/>
        </w:rPr>
        <w:t>לממשלה</w:t>
      </w:r>
      <w:r>
        <w:rPr>
          <w:rFonts w:hint="cs"/>
          <w:rtl/>
        </w:rPr>
        <w:t>, פסקה 6</w:t>
      </w:r>
      <w:r w:rsidRPr="00380AE2">
        <w:rPr>
          <w:rtl/>
        </w:rPr>
        <w:t xml:space="preserve"> (17.</w:t>
      </w:r>
      <w:r>
        <w:rPr>
          <w:rFonts w:hint="cs"/>
          <w:rtl/>
        </w:rPr>
        <w:t>1</w:t>
      </w:r>
      <w:r w:rsidRPr="00380AE2">
        <w:rPr>
          <w:rtl/>
        </w:rPr>
        <w:t>.2022)</w:t>
      </w:r>
      <w:r>
        <w:rPr>
          <w:rFonts w:hint="cs"/>
          <w:rtl/>
        </w:rPr>
        <w:t xml:space="preserve">). באותה נקודת זמן, תרחיש זה היה בלתי-רלבנטי בעיני המותב שישב על מדין (אם כי לא בהכרח בלתי-רלבנטי בעיניו של דרעי עצמו) </w:t>
      </w:r>
      <w:r>
        <w:rPr>
          <w:rtl/>
        </w:rPr>
        <w:t>–</w:t>
      </w:r>
      <w:r>
        <w:rPr>
          <w:rFonts w:hint="cs"/>
          <w:rtl/>
        </w:rPr>
        <w:t xml:space="preserve"> והעתירות נדחו. תרחיש כאמור </w:t>
      </w:r>
      <w:r w:rsidRPr="00D22AAC">
        <w:rPr>
          <w:rFonts w:hint="cs"/>
          <w:rtl/>
        </w:rPr>
        <w:t>ה</w:t>
      </w:r>
      <w:r w:rsidRPr="00654784">
        <w:rPr>
          <w:rFonts w:hint="eastAsia"/>
          <w:rtl/>
        </w:rPr>
        <w:t>פך</w:t>
      </w:r>
      <w:r w:rsidRPr="00D22AAC">
        <w:rPr>
          <w:rFonts w:hint="cs"/>
          <w:rtl/>
        </w:rPr>
        <w:t xml:space="preserve"> למעשי</w:t>
      </w:r>
      <w:r>
        <w:rPr>
          <w:rFonts w:hint="cs"/>
          <w:rtl/>
        </w:rPr>
        <w:t xml:space="preserve"> בדיון בעבירותיו של דרעי אשר התקיים בפני בית משפט השלום </w:t>
      </w:r>
      <w:r>
        <w:rPr>
          <w:rtl/>
        </w:rPr>
        <w:t>–</w:t>
      </w:r>
      <w:r>
        <w:rPr>
          <w:rFonts w:hint="cs"/>
          <w:rtl/>
        </w:rPr>
        <w:t xml:space="preserve"> זאת, מאחר שסעיף 4 להסדר הטיעון תיעד את הודעת התביעה בזו הלשון:</w:t>
      </w:r>
    </w:p>
    <w:p w14:paraId="4F36628A" w14:textId="77777777" w:rsidR="00C36C78" w:rsidRDefault="00C36C78" w:rsidP="00C36C78">
      <w:pPr>
        <w:pStyle w:val="Ruller41"/>
        <w:rPr>
          <w:rtl/>
        </w:rPr>
      </w:pPr>
    </w:p>
    <w:p w14:paraId="746F2D82" w14:textId="77777777" w:rsidR="00C36C78" w:rsidRPr="001130A6" w:rsidRDefault="00C36C78" w:rsidP="00C36C78">
      <w:pPr>
        <w:pStyle w:val="Ruller5"/>
        <w:rPr>
          <w:rtl/>
        </w:rPr>
      </w:pPr>
      <w:r>
        <w:rPr>
          <w:rFonts w:hint="cs"/>
          <w:rtl/>
        </w:rPr>
        <w:lastRenderedPageBreak/>
        <w:t>"</w:t>
      </w:r>
      <w:r w:rsidRPr="00330E09">
        <w:rPr>
          <w:rFonts w:hint="eastAsia"/>
          <w:rtl/>
        </w:rPr>
        <w:t>רשמנו</w:t>
      </w:r>
      <w:r w:rsidRPr="00330E09">
        <w:rPr>
          <w:rtl/>
        </w:rPr>
        <w:t xml:space="preserve"> בפנינו את הודעת הנאשם בדבר החלטתו להתפטר מהכנסת ועל כן היועץ המשפטי לממשלה לא טוען </w:t>
      </w:r>
      <w:r w:rsidRPr="00330E09">
        <w:rPr>
          <w:rFonts w:hint="eastAsia"/>
          <w:rtl/>
        </w:rPr>
        <w:t>בעניין</w:t>
      </w:r>
      <w:r w:rsidRPr="00330E09">
        <w:rPr>
          <w:rtl/>
        </w:rPr>
        <w:t xml:space="preserve"> </w:t>
      </w:r>
      <w:r w:rsidRPr="00330E09">
        <w:rPr>
          <w:rFonts w:hint="eastAsia"/>
          <w:rtl/>
        </w:rPr>
        <w:t>הקלון</w:t>
      </w:r>
      <w:r w:rsidRPr="00330E09">
        <w:rPr>
          <w:rtl/>
        </w:rPr>
        <w:t xml:space="preserve"> </w:t>
      </w:r>
      <w:r w:rsidRPr="00330E09">
        <w:rPr>
          <w:rFonts w:hint="eastAsia"/>
          <w:rtl/>
        </w:rPr>
        <w:t>בפני</w:t>
      </w:r>
      <w:r w:rsidRPr="00330E09">
        <w:rPr>
          <w:rtl/>
        </w:rPr>
        <w:t xml:space="preserve"> </w:t>
      </w:r>
      <w:r w:rsidRPr="00330E09">
        <w:rPr>
          <w:rFonts w:hint="eastAsia"/>
          <w:rtl/>
        </w:rPr>
        <w:t>הערכאה</w:t>
      </w:r>
      <w:r w:rsidRPr="00330E09">
        <w:rPr>
          <w:rtl/>
        </w:rPr>
        <w:t xml:space="preserve"> </w:t>
      </w:r>
      <w:r w:rsidRPr="00330E09">
        <w:rPr>
          <w:rFonts w:hint="eastAsia"/>
          <w:rtl/>
        </w:rPr>
        <w:t>הדיונית</w:t>
      </w:r>
      <w:r w:rsidRPr="00330E09">
        <w:rPr>
          <w:rtl/>
        </w:rPr>
        <w:t>".</w:t>
      </w:r>
    </w:p>
    <w:p w14:paraId="6831CB36" w14:textId="77777777" w:rsidR="00C36C78" w:rsidRPr="001130A6" w:rsidRDefault="00C36C78" w:rsidP="00C36C78">
      <w:pPr>
        <w:pStyle w:val="Ruller41"/>
      </w:pPr>
    </w:p>
    <w:p w14:paraId="594DC18A" w14:textId="77777777" w:rsidR="00C36C78" w:rsidRDefault="00C36C78" w:rsidP="00C36C78">
      <w:pPr>
        <w:pStyle w:val="Ruller4"/>
        <w:rPr>
          <w:rtl/>
        </w:rPr>
      </w:pPr>
      <w:r>
        <w:rPr>
          <w:rFonts w:hint="cs"/>
          <w:rtl/>
        </w:rPr>
        <w:t xml:space="preserve">מילות ההסדר "החלטתו להתפטר מהכנסת" דיברו אמנם "רק" על התפטרות, ולא על אי-חזרה, אך הן בלי ספק הובנו כך שעיניו של דרעי אינן נשואות אל "הדלת המסתובבת". בהתבסס על הבנה זו, מנה בא-כוח המדינה בין השיקולים שתומכים בהקלה בעונשו של דרעי כאמור בהסדר הטיעון "בראש ובראשונה את הודאתו [...] ונטילת אחריות למעשיו, [וכן] את אמירתו הציבורית [...] </w:t>
      </w:r>
      <w:r w:rsidRPr="00533EC1">
        <w:rPr>
          <w:rFonts w:ascii="Century" w:hAnsi="Century" w:cs="Miriam" w:hint="cs"/>
          <w:b/>
          <w:spacing w:val="0"/>
          <w:sz w:val="22"/>
          <w:szCs w:val="24"/>
          <w:u w:val="single"/>
          <w:rtl/>
        </w:rPr>
        <w:t>ופרישתו מחייו הפוליטיים</w:t>
      </w:r>
      <w:r>
        <w:rPr>
          <w:rFonts w:hint="cs"/>
          <w:rtl/>
        </w:rPr>
        <w:t xml:space="preserve"> [אשר] משקפים כי </w:t>
      </w:r>
      <w:r w:rsidRPr="00533EC1">
        <w:rPr>
          <w:rFonts w:ascii="Century" w:hAnsi="Century" w:cs="Miriam" w:hint="cs"/>
          <w:b/>
          <w:spacing w:val="0"/>
          <w:sz w:val="22"/>
          <w:szCs w:val="24"/>
          <w:rtl/>
        </w:rPr>
        <w:t>פיו ולבו שווים</w:t>
      </w:r>
      <w:r>
        <w:rPr>
          <w:rFonts w:hint="cs"/>
          <w:rtl/>
        </w:rPr>
        <w:t xml:space="preserve">" (עמ' 6 לפרוטוקול הדיון מיום 25.1.2022; ההדגשה ומילות הקישור הוספו </w:t>
      </w:r>
      <w:r>
        <w:rPr>
          <w:rtl/>
        </w:rPr>
        <w:t>–</w:t>
      </w:r>
      <w:r>
        <w:rPr>
          <w:rFonts w:hint="cs"/>
          <w:rtl/>
        </w:rPr>
        <w:t xml:space="preserve"> א.ש.).</w:t>
      </w:r>
    </w:p>
    <w:p w14:paraId="1706ACB1" w14:textId="77777777" w:rsidR="00C36C78" w:rsidRPr="00533EC1" w:rsidRDefault="00C36C78" w:rsidP="00C36C78">
      <w:pPr>
        <w:pStyle w:val="Ruller41"/>
      </w:pPr>
    </w:p>
    <w:p w14:paraId="761BC8CE" w14:textId="77777777" w:rsidR="00C36C78" w:rsidRDefault="00C36C78" w:rsidP="00C36C78">
      <w:pPr>
        <w:pStyle w:val="Ruller4"/>
      </w:pPr>
      <w:r>
        <w:rPr>
          <w:rFonts w:hint="cs"/>
          <w:rtl/>
        </w:rPr>
        <w:t xml:space="preserve">הצהרתו של דרעי על אי-חזרתו לזירה הפוליטית הבהירה לבית המשפט ולתובע כי אין מקום לחשוש מתרחיש "הדלת המסתובבת". תרחיש זה לא יתממש, לפי דבריו של דרעי כי "[אני] </w:t>
      </w:r>
      <w:r w:rsidRPr="00F23AB6">
        <w:rPr>
          <w:rFonts w:hint="eastAsia"/>
          <w:rtl/>
        </w:rPr>
        <w:t>רוצה</w:t>
      </w:r>
      <w:r w:rsidRPr="00F23AB6">
        <w:rPr>
          <w:rtl/>
        </w:rPr>
        <w:t xml:space="preserve"> </w:t>
      </w:r>
      <w:r w:rsidRPr="00F23AB6">
        <w:rPr>
          <w:rFonts w:hint="eastAsia"/>
          <w:rtl/>
        </w:rPr>
        <w:t>להמשיך</w:t>
      </w:r>
      <w:r w:rsidRPr="00F23AB6">
        <w:rPr>
          <w:rtl/>
        </w:rPr>
        <w:t xml:space="preserve"> </w:t>
      </w:r>
      <w:r w:rsidRPr="00F23AB6">
        <w:rPr>
          <w:rFonts w:ascii="Century" w:hAnsi="Century" w:cs="Miriam" w:hint="eastAsia"/>
          <w:b/>
          <w:spacing w:val="0"/>
          <w:sz w:val="22"/>
          <w:szCs w:val="24"/>
          <w:u w:val="single"/>
          <w:rtl/>
        </w:rPr>
        <w:t>עם</w:t>
      </w:r>
      <w:r w:rsidRPr="00F23AB6">
        <w:rPr>
          <w:rFonts w:ascii="Century" w:hAnsi="Century" w:cs="Miriam"/>
          <w:b/>
          <w:spacing w:val="0"/>
          <w:sz w:val="22"/>
          <w:szCs w:val="24"/>
          <w:u w:val="single"/>
          <w:rtl/>
        </w:rPr>
        <w:t xml:space="preserve"> </w:t>
      </w:r>
      <w:r w:rsidRPr="00F23AB6">
        <w:rPr>
          <w:rFonts w:ascii="Century" w:hAnsi="Century" w:cs="Miriam" w:hint="eastAsia"/>
          <w:b/>
          <w:spacing w:val="0"/>
          <w:sz w:val="22"/>
          <w:szCs w:val="24"/>
          <w:u w:val="single"/>
          <w:rtl/>
        </w:rPr>
        <w:t>הזמן</w:t>
      </w:r>
      <w:r w:rsidRPr="00F23AB6">
        <w:rPr>
          <w:rFonts w:ascii="Century" w:hAnsi="Century" w:cs="Miriam"/>
          <w:b/>
          <w:spacing w:val="0"/>
          <w:sz w:val="22"/>
          <w:szCs w:val="24"/>
          <w:u w:val="single"/>
          <w:rtl/>
        </w:rPr>
        <w:t xml:space="preserve"> </w:t>
      </w:r>
      <w:r w:rsidRPr="00F23AB6">
        <w:rPr>
          <w:rFonts w:ascii="Century" w:hAnsi="Century" w:cs="Miriam" w:hint="eastAsia"/>
          <w:b/>
          <w:spacing w:val="0"/>
          <w:sz w:val="22"/>
          <w:szCs w:val="24"/>
          <w:u w:val="single"/>
          <w:rtl/>
        </w:rPr>
        <w:t>שנשאר</w:t>
      </w:r>
      <w:r w:rsidRPr="00F23AB6">
        <w:rPr>
          <w:rFonts w:ascii="Century" w:hAnsi="Century" w:cs="Miriam"/>
          <w:b/>
          <w:spacing w:val="0"/>
          <w:sz w:val="22"/>
          <w:szCs w:val="24"/>
          <w:u w:val="single"/>
          <w:rtl/>
        </w:rPr>
        <w:t xml:space="preserve"> </w:t>
      </w:r>
      <w:r w:rsidRPr="00F23AB6">
        <w:rPr>
          <w:rFonts w:ascii="Century" w:hAnsi="Century" w:cs="Miriam" w:hint="eastAsia"/>
          <w:b/>
          <w:spacing w:val="0"/>
          <w:sz w:val="22"/>
          <w:szCs w:val="24"/>
          <w:u w:val="single"/>
          <w:rtl/>
        </w:rPr>
        <w:t>לי</w:t>
      </w:r>
      <w:r w:rsidRPr="00F23AB6">
        <w:rPr>
          <w:rtl/>
        </w:rPr>
        <w:t xml:space="preserve"> </w:t>
      </w:r>
      <w:r w:rsidRPr="00F23AB6">
        <w:rPr>
          <w:rFonts w:hint="eastAsia"/>
          <w:rtl/>
        </w:rPr>
        <w:t>להשקיע</w:t>
      </w:r>
      <w:r w:rsidRPr="00F23AB6">
        <w:rPr>
          <w:rtl/>
        </w:rPr>
        <w:t xml:space="preserve"> </w:t>
      </w:r>
      <w:r w:rsidRPr="00F23AB6">
        <w:rPr>
          <w:rFonts w:hint="eastAsia"/>
          <w:rtl/>
        </w:rPr>
        <w:t>בצרכי</w:t>
      </w:r>
      <w:r w:rsidRPr="00F23AB6">
        <w:rPr>
          <w:rtl/>
        </w:rPr>
        <w:t xml:space="preserve"> </w:t>
      </w:r>
      <w:r w:rsidRPr="00F23AB6">
        <w:rPr>
          <w:rFonts w:hint="eastAsia"/>
          <w:rtl/>
        </w:rPr>
        <w:t>ציבור</w:t>
      </w:r>
      <w:r w:rsidRPr="00F23AB6">
        <w:rPr>
          <w:rtl/>
        </w:rPr>
        <w:t xml:space="preserve"> </w:t>
      </w:r>
      <w:r w:rsidRPr="00F23AB6">
        <w:rPr>
          <w:rFonts w:hint="eastAsia"/>
          <w:rtl/>
        </w:rPr>
        <w:t>בלי</w:t>
      </w:r>
      <w:r w:rsidRPr="00F23AB6">
        <w:rPr>
          <w:rtl/>
        </w:rPr>
        <w:t xml:space="preserve"> </w:t>
      </w:r>
      <w:r w:rsidRPr="00F23AB6">
        <w:rPr>
          <w:rFonts w:hint="eastAsia"/>
          <w:rtl/>
        </w:rPr>
        <w:t>לערב</w:t>
      </w:r>
      <w:r w:rsidRPr="00F23AB6">
        <w:rPr>
          <w:rtl/>
        </w:rPr>
        <w:t xml:space="preserve"> </w:t>
      </w:r>
      <w:r w:rsidRPr="00F23AB6">
        <w:rPr>
          <w:rFonts w:hint="eastAsia"/>
          <w:rtl/>
        </w:rPr>
        <w:t>את</w:t>
      </w:r>
      <w:r w:rsidRPr="00F23AB6">
        <w:rPr>
          <w:rtl/>
        </w:rPr>
        <w:t xml:space="preserve"> </w:t>
      </w:r>
      <w:r w:rsidRPr="00F23AB6">
        <w:rPr>
          <w:rFonts w:hint="eastAsia"/>
          <w:rtl/>
        </w:rPr>
        <w:t>המלחמות</w:t>
      </w:r>
      <w:r w:rsidRPr="00F23AB6">
        <w:rPr>
          <w:rtl/>
        </w:rPr>
        <w:t xml:space="preserve"> </w:t>
      </w:r>
      <w:r w:rsidRPr="00F23AB6">
        <w:rPr>
          <w:rFonts w:hint="eastAsia"/>
          <w:rtl/>
        </w:rPr>
        <w:t>הללו</w:t>
      </w:r>
      <w:r w:rsidRPr="00F23AB6">
        <w:rPr>
          <w:rtl/>
        </w:rPr>
        <w:t xml:space="preserve"> </w:t>
      </w:r>
      <w:r w:rsidRPr="00F23AB6">
        <w:rPr>
          <w:rFonts w:hint="eastAsia"/>
          <w:rtl/>
        </w:rPr>
        <w:t>ולהמשיך</w:t>
      </w:r>
      <w:r w:rsidRPr="00F23AB6">
        <w:rPr>
          <w:rtl/>
        </w:rPr>
        <w:t xml:space="preserve"> </w:t>
      </w:r>
      <w:r w:rsidRPr="00F23AB6">
        <w:rPr>
          <w:rFonts w:hint="eastAsia"/>
          <w:rtl/>
        </w:rPr>
        <w:t>לייצג</w:t>
      </w:r>
      <w:r w:rsidRPr="00F23AB6">
        <w:rPr>
          <w:rtl/>
        </w:rPr>
        <w:t xml:space="preserve"> </w:t>
      </w:r>
      <w:r w:rsidRPr="00F23AB6">
        <w:rPr>
          <w:rFonts w:hint="eastAsia"/>
          <w:rtl/>
        </w:rPr>
        <w:t>את</w:t>
      </w:r>
      <w:r w:rsidRPr="00F23AB6">
        <w:rPr>
          <w:rtl/>
        </w:rPr>
        <w:t xml:space="preserve"> </w:t>
      </w:r>
      <w:r w:rsidRPr="00F23AB6">
        <w:rPr>
          <w:rFonts w:hint="eastAsia"/>
          <w:rtl/>
        </w:rPr>
        <w:t>השכבות</w:t>
      </w:r>
      <w:r w:rsidRPr="00F23AB6">
        <w:rPr>
          <w:rtl/>
        </w:rPr>
        <w:t xml:space="preserve"> </w:t>
      </w:r>
      <w:r w:rsidRPr="00F23AB6">
        <w:rPr>
          <w:rFonts w:hint="eastAsia"/>
          <w:rtl/>
        </w:rPr>
        <w:t>והציבור</w:t>
      </w:r>
      <w:r w:rsidRPr="00F23AB6">
        <w:rPr>
          <w:rtl/>
        </w:rPr>
        <w:t xml:space="preserve"> </w:t>
      </w:r>
      <w:r w:rsidRPr="00F23AB6">
        <w:rPr>
          <w:rFonts w:hint="eastAsia"/>
          <w:rtl/>
        </w:rPr>
        <w:t>שאני</w:t>
      </w:r>
      <w:r w:rsidRPr="00F23AB6">
        <w:rPr>
          <w:rtl/>
        </w:rPr>
        <w:t xml:space="preserve"> </w:t>
      </w:r>
      <w:r w:rsidRPr="00F23AB6">
        <w:rPr>
          <w:rFonts w:hint="eastAsia"/>
          <w:rtl/>
        </w:rPr>
        <w:t>מייצג</w:t>
      </w:r>
      <w:r w:rsidRPr="00F23AB6">
        <w:rPr>
          <w:rtl/>
        </w:rPr>
        <w:t xml:space="preserve"> </w:t>
      </w:r>
      <w:r w:rsidRPr="00F23AB6">
        <w:rPr>
          <w:rFonts w:hint="eastAsia"/>
          <w:rtl/>
        </w:rPr>
        <w:t>בצורה</w:t>
      </w:r>
      <w:r w:rsidRPr="00F23AB6">
        <w:rPr>
          <w:rtl/>
        </w:rPr>
        <w:t xml:space="preserve"> </w:t>
      </w:r>
      <w:r w:rsidRPr="00F23AB6">
        <w:rPr>
          <w:rFonts w:hint="eastAsia"/>
          <w:rtl/>
        </w:rPr>
        <w:t>אחרת</w:t>
      </w:r>
      <w:r w:rsidRPr="00F23AB6">
        <w:rPr>
          <w:rtl/>
        </w:rPr>
        <w:t xml:space="preserve"> </w:t>
      </w:r>
      <w:r w:rsidRPr="00F23AB6">
        <w:rPr>
          <w:rFonts w:hint="eastAsia"/>
          <w:rtl/>
        </w:rPr>
        <w:t>גם</w:t>
      </w:r>
      <w:r w:rsidRPr="00F23AB6">
        <w:rPr>
          <w:rtl/>
        </w:rPr>
        <w:t xml:space="preserve"> </w:t>
      </w:r>
      <w:r w:rsidRPr="00F23AB6">
        <w:rPr>
          <w:rFonts w:hint="eastAsia"/>
          <w:rtl/>
        </w:rPr>
        <w:t>אם</w:t>
      </w:r>
      <w:r w:rsidRPr="00F23AB6">
        <w:rPr>
          <w:rtl/>
        </w:rPr>
        <w:t xml:space="preserve"> </w:t>
      </w:r>
      <w:r w:rsidRPr="00F23AB6">
        <w:rPr>
          <w:rFonts w:ascii="Century" w:hAnsi="Century" w:cs="Miriam" w:hint="eastAsia"/>
          <w:b/>
          <w:spacing w:val="0"/>
          <w:sz w:val="22"/>
          <w:szCs w:val="24"/>
          <w:rtl/>
        </w:rPr>
        <w:t>לא</w:t>
      </w:r>
      <w:r w:rsidRPr="00F23AB6">
        <w:rPr>
          <w:rFonts w:ascii="Century" w:hAnsi="Century" w:cs="Miriam"/>
          <w:b/>
          <w:spacing w:val="0"/>
          <w:sz w:val="22"/>
          <w:szCs w:val="24"/>
          <w:rtl/>
        </w:rPr>
        <w:t xml:space="preserve"> </w:t>
      </w:r>
      <w:r w:rsidRPr="00F23AB6">
        <w:rPr>
          <w:rFonts w:ascii="Century" w:hAnsi="Century" w:cs="Miriam" w:hint="eastAsia"/>
          <w:b/>
          <w:spacing w:val="0"/>
          <w:sz w:val="22"/>
          <w:szCs w:val="24"/>
          <w:rtl/>
        </w:rPr>
        <w:t>מהכנסת</w:t>
      </w:r>
      <w:r>
        <w:rPr>
          <w:rFonts w:hint="cs"/>
          <w:rtl/>
        </w:rPr>
        <w:t xml:space="preserve"> [...] </w:t>
      </w:r>
      <w:r>
        <w:rPr>
          <w:rtl/>
        </w:rPr>
        <w:t>–</w:t>
      </w:r>
      <w:r>
        <w:rPr>
          <w:rFonts w:hint="cs"/>
          <w:rtl/>
        </w:rPr>
        <w:t xml:space="preserve"> [החלטה שקיבלתי] </w:t>
      </w:r>
      <w:r w:rsidRPr="00F23AB6">
        <w:rPr>
          <w:rFonts w:hint="eastAsia"/>
          <w:rtl/>
        </w:rPr>
        <w:t>בלב</w:t>
      </w:r>
      <w:r w:rsidRPr="00F23AB6">
        <w:rPr>
          <w:rtl/>
        </w:rPr>
        <w:t xml:space="preserve"> </w:t>
      </w:r>
      <w:r w:rsidRPr="00F23AB6">
        <w:rPr>
          <w:rFonts w:hint="eastAsia"/>
          <w:rtl/>
        </w:rPr>
        <w:t>לא</w:t>
      </w:r>
      <w:r w:rsidRPr="00F23AB6">
        <w:rPr>
          <w:rtl/>
        </w:rPr>
        <w:t xml:space="preserve"> </w:t>
      </w:r>
      <w:r w:rsidRPr="00F23AB6">
        <w:rPr>
          <w:rFonts w:hint="eastAsia"/>
          <w:rtl/>
        </w:rPr>
        <w:t>קל</w:t>
      </w:r>
      <w:r w:rsidRPr="00F23AB6">
        <w:rPr>
          <w:rtl/>
        </w:rPr>
        <w:t xml:space="preserve"> </w:t>
      </w:r>
      <w:r w:rsidRPr="00F23AB6">
        <w:rPr>
          <w:rFonts w:hint="eastAsia"/>
          <w:rtl/>
        </w:rPr>
        <w:t>אבל</w:t>
      </w:r>
      <w:r w:rsidRPr="00F23AB6">
        <w:rPr>
          <w:rtl/>
        </w:rPr>
        <w:t xml:space="preserve"> </w:t>
      </w:r>
      <w:r w:rsidRPr="00F23AB6">
        <w:rPr>
          <w:rFonts w:hint="eastAsia"/>
          <w:rtl/>
        </w:rPr>
        <w:t>בעצתם</w:t>
      </w:r>
      <w:r w:rsidRPr="00F23AB6">
        <w:rPr>
          <w:rtl/>
        </w:rPr>
        <w:t xml:space="preserve"> </w:t>
      </w:r>
      <w:r w:rsidRPr="00F23AB6">
        <w:rPr>
          <w:rFonts w:hint="eastAsia"/>
          <w:rtl/>
        </w:rPr>
        <w:t>ובהוראתם</w:t>
      </w:r>
      <w:r w:rsidRPr="00F23AB6">
        <w:rPr>
          <w:rtl/>
        </w:rPr>
        <w:t xml:space="preserve"> </w:t>
      </w:r>
      <w:r w:rsidRPr="00F23AB6">
        <w:rPr>
          <w:rFonts w:hint="eastAsia"/>
          <w:rtl/>
        </w:rPr>
        <w:t>של</w:t>
      </w:r>
      <w:r w:rsidRPr="00F23AB6">
        <w:rPr>
          <w:rtl/>
        </w:rPr>
        <w:t xml:space="preserve"> </w:t>
      </w:r>
      <w:r w:rsidRPr="00F23AB6">
        <w:rPr>
          <w:rFonts w:hint="eastAsia"/>
          <w:rtl/>
        </w:rPr>
        <w:t>הרבנים</w:t>
      </w:r>
      <w:r w:rsidRPr="00F23AB6">
        <w:rPr>
          <w:rtl/>
        </w:rPr>
        <w:t xml:space="preserve"> </w:t>
      </w:r>
      <w:r w:rsidRPr="00F23AB6">
        <w:rPr>
          <w:rFonts w:hint="eastAsia"/>
          <w:rtl/>
        </w:rPr>
        <w:t>שאני</w:t>
      </w:r>
      <w:r w:rsidRPr="00F23AB6">
        <w:rPr>
          <w:rtl/>
        </w:rPr>
        <w:t xml:space="preserve"> </w:t>
      </w:r>
      <w:r w:rsidRPr="00F23AB6">
        <w:rPr>
          <w:rFonts w:hint="eastAsia"/>
          <w:rtl/>
        </w:rPr>
        <w:t>מתייעץ</w:t>
      </w:r>
      <w:r w:rsidRPr="00F23AB6">
        <w:rPr>
          <w:rtl/>
        </w:rPr>
        <w:t xml:space="preserve"> </w:t>
      </w:r>
      <w:r w:rsidRPr="00F23AB6">
        <w:rPr>
          <w:rFonts w:hint="eastAsia"/>
          <w:rtl/>
        </w:rPr>
        <w:t>איתם</w:t>
      </w:r>
      <w:r w:rsidRPr="00F23AB6">
        <w:rPr>
          <w:rtl/>
        </w:rPr>
        <w:t xml:space="preserve">, </w:t>
      </w:r>
      <w:r w:rsidRPr="00F23AB6">
        <w:rPr>
          <w:rFonts w:ascii="Century" w:hAnsi="Century" w:cs="Miriam" w:hint="eastAsia"/>
          <w:b/>
          <w:spacing w:val="0"/>
          <w:sz w:val="22"/>
          <w:szCs w:val="24"/>
          <w:rtl/>
        </w:rPr>
        <w:t>היה</w:t>
      </w:r>
      <w:r w:rsidRPr="00F23AB6">
        <w:rPr>
          <w:rFonts w:ascii="Century" w:hAnsi="Century" w:cs="Miriam"/>
          <w:b/>
          <w:spacing w:val="0"/>
          <w:sz w:val="22"/>
          <w:szCs w:val="24"/>
          <w:rtl/>
        </w:rPr>
        <w:t xml:space="preserve"> </w:t>
      </w:r>
      <w:r w:rsidRPr="00F23AB6">
        <w:rPr>
          <w:rFonts w:ascii="Century" w:hAnsi="Century" w:cs="Miriam" w:hint="eastAsia"/>
          <w:b/>
          <w:spacing w:val="0"/>
          <w:sz w:val="22"/>
          <w:szCs w:val="24"/>
          <w:rtl/>
        </w:rPr>
        <w:t>חשוב</w:t>
      </w:r>
      <w:r w:rsidRPr="00F23AB6">
        <w:rPr>
          <w:rFonts w:ascii="Century" w:hAnsi="Century" w:cs="Miriam"/>
          <w:b/>
          <w:spacing w:val="0"/>
          <w:sz w:val="22"/>
          <w:szCs w:val="24"/>
          <w:rtl/>
        </w:rPr>
        <w:t xml:space="preserve"> </w:t>
      </w:r>
      <w:r w:rsidRPr="00F23AB6">
        <w:rPr>
          <w:rFonts w:ascii="Century" w:hAnsi="Century" w:cs="Miriam" w:hint="eastAsia"/>
          <w:b/>
          <w:spacing w:val="0"/>
          <w:sz w:val="22"/>
          <w:szCs w:val="24"/>
          <w:rtl/>
        </w:rPr>
        <w:t>לי</w:t>
      </w:r>
      <w:r w:rsidRPr="00F23AB6">
        <w:rPr>
          <w:rFonts w:ascii="Century" w:hAnsi="Century" w:cs="Miriam"/>
          <w:b/>
          <w:spacing w:val="0"/>
          <w:sz w:val="22"/>
          <w:szCs w:val="24"/>
          <w:rtl/>
        </w:rPr>
        <w:t xml:space="preserve"> </w:t>
      </w:r>
      <w:r w:rsidRPr="00F23AB6">
        <w:rPr>
          <w:rFonts w:ascii="Century" w:hAnsi="Century" w:cs="Miriam" w:hint="eastAsia"/>
          <w:b/>
          <w:spacing w:val="0"/>
          <w:sz w:val="22"/>
          <w:szCs w:val="24"/>
          <w:rtl/>
        </w:rPr>
        <w:t>להדגיש</w:t>
      </w:r>
      <w:r w:rsidRPr="00F23AB6">
        <w:rPr>
          <w:rFonts w:ascii="Century" w:hAnsi="Century" w:hint="cs"/>
          <w:sz w:val="22"/>
          <w:rtl/>
        </w:rPr>
        <w:t>"</w:t>
      </w:r>
      <w:r>
        <w:rPr>
          <w:rFonts w:ascii="Century" w:hAnsi="Century" w:hint="cs"/>
          <w:sz w:val="22"/>
          <w:rtl/>
        </w:rPr>
        <w:t xml:space="preserve"> </w:t>
      </w:r>
      <w:r>
        <w:rPr>
          <w:rFonts w:hint="cs"/>
          <w:rtl/>
        </w:rPr>
        <w:t xml:space="preserve">((ראו: עמ' 13 לפרוטוקול הדיון מיום 25.1.2022; ההדגשה ומילות הקישור הוספו </w:t>
      </w:r>
      <w:r>
        <w:rPr>
          <w:rtl/>
        </w:rPr>
        <w:t>–</w:t>
      </w:r>
      <w:r>
        <w:rPr>
          <w:rFonts w:hint="cs"/>
          <w:rtl/>
        </w:rPr>
        <w:t xml:space="preserve"> א.ש.). הפגת החשש כאמור היתה אפוא בין השיקולים אשר שכנעו את בית המשפט לאשר את הסדר הטיעון כמות שהוא. </w:t>
      </w:r>
    </w:p>
    <w:p w14:paraId="22F3841E" w14:textId="77777777" w:rsidR="00C36C78" w:rsidRDefault="00C36C78" w:rsidP="00C36C78">
      <w:pPr>
        <w:pStyle w:val="Ruller4"/>
        <w:numPr>
          <w:ilvl w:val="0"/>
          <w:numId w:val="0"/>
        </w:numPr>
      </w:pPr>
    </w:p>
    <w:p w14:paraId="73204158" w14:textId="77777777" w:rsidR="00C36C78" w:rsidRDefault="00C36C78" w:rsidP="00C36C78">
      <w:pPr>
        <w:pStyle w:val="Ruller4"/>
      </w:pPr>
      <w:r>
        <w:rPr>
          <w:rFonts w:hint="cs"/>
          <w:rtl/>
        </w:rPr>
        <w:t xml:space="preserve">אולם, עצם אישורו של הסדר הטיעון לא היה בגדר התועלת היחידה </w:t>
      </w:r>
      <w:r>
        <w:rPr>
          <w:rtl/>
        </w:rPr>
        <w:t>–</w:t>
      </w:r>
      <w:r>
        <w:rPr>
          <w:rFonts w:hint="cs"/>
          <w:rtl/>
        </w:rPr>
        <w:t xml:space="preserve"> ואף לא העיקרית </w:t>
      </w:r>
      <w:r>
        <w:rPr>
          <w:rtl/>
        </w:rPr>
        <w:t>–</w:t>
      </w:r>
      <w:r>
        <w:rPr>
          <w:rFonts w:hint="cs"/>
          <w:rtl/>
        </w:rPr>
        <w:t xml:space="preserve"> שהפיק דרעי מהצהרתו האמורה. באמצעות שני המעשים הללו: האחד </w:t>
      </w:r>
      <w:r>
        <w:rPr>
          <w:rtl/>
        </w:rPr>
        <w:t>–</w:t>
      </w:r>
      <w:r>
        <w:rPr>
          <w:rFonts w:hint="cs"/>
          <w:rtl/>
        </w:rPr>
        <w:t xml:space="preserve"> התפטרותו מהכנסת, והשני </w:t>
      </w:r>
      <w:r>
        <w:rPr>
          <w:rtl/>
        </w:rPr>
        <w:t>–</w:t>
      </w:r>
      <w:r>
        <w:rPr>
          <w:rFonts w:hint="cs"/>
          <w:rtl/>
        </w:rPr>
        <w:t xml:space="preserve"> הצהרתו כי הוא פורש לאלתר מהחיים הפוליטיים, השיג דרעי את אישורו של הסדר הטיעון, שסיים את משפטו הפלילי, </w:t>
      </w:r>
      <w:r w:rsidRPr="002510CC">
        <w:rPr>
          <w:rFonts w:ascii="Century" w:hAnsi="Century" w:cs="Miriam" w:hint="eastAsia"/>
          <w:b/>
          <w:spacing w:val="0"/>
          <w:sz w:val="22"/>
          <w:szCs w:val="24"/>
          <w:rtl/>
        </w:rPr>
        <w:t>מבלי</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שבית</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משפט</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השלום</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נדרש</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לעסוק</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בסוגיית</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הקלון</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או</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בבעיית</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הדלת</w:t>
      </w:r>
      <w:r w:rsidRPr="002510CC">
        <w:rPr>
          <w:rFonts w:ascii="Century" w:hAnsi="Century" w:cs="Miriam"/>
          <w:b/>
          <w:spacing w:val="0"/>
          <w:sz w:val="22"/>
          <w:szCs w:val="24"/>
          <w:rtl/>
        </w:rPr>
        <w:t xml:space="preserve"> </w:t>
      </w:r>
      <w:r w:rsidRPr="002510CC">
        <w:rPr>
          <w:rFonts w:ascii="Century" w:hAnsi="Century" w:cs="Miriam" w:hint="eastAsia"/>
          <w:b/>
          <w:spacing w:val="0"/>
          <w:sz w:val="22"/>
          <w:szCs w:val="24"/>
          <w:rtl/>
        </w:rPr>
        <w:t>המסתובבת</w:t>
      </w:r>
      <w:r w:rsidRPr="002510CC">
        <w:rPr>
          <w:rFonts w:ascii="Century" w:hAnsi="Century" w:cs="Miriam"/>
          <w:b/>
          <w:spacing w:val="0"/>
          <w:sz w:val="22"/>
          <w:szCs w:val="24"/>
          <w:rtl/>
        </w:rPr>
        <w:t>"</w:t>
      </w:r>
      <w:r>
        <w:rPr>
          <w:rFonts w:hint="cs"/>
          <w:rtl/>
        </w:rPr>
        <w:t xml:space="preserve">. זאת היתה התועלת העיקרית שהופקה על ידי דרעי באמצעות הצהרתו. ברי הוא, כי מדובר בתועלת משמעותית מההיבט המשפטי והציבורי כאחד. </w:t>
      </w:r>
    </w:p>
    <w:p w14:paraId="3777D3FE" w14:textId="77777777" w:rsidR="00C36C78" w:rsidRDefault="00C36C78" w:rsidP="00C36C78">
      <w:pPr>
        <w:pStyle w:val="Ruller4"/>
        <w:numPr>
          <w:ilvl w:val="0"/>
          <w:numId w:val="0"/>
        </w:numPr>
      </w:pPr>
    </w:p>
    <w:p w14:paraId="0B0C770A" w14:textId="77777777" w:rsidR="00C36C78" w:rsidRPr="00FF659D" w:rsidRDefault="00C36C78" w:rsidP="00C36C78">
      <w:pPr>
        <w:pStyle w:val="Ruller4"/>
        <w:numPr>
          <w:ilvl w:val="0"/>
          <w:numId w:val="0"/>
        </w:numPr>
        <w:rPr>
          <w:rFonts w:ascii="Century" w:hAnsi="Century" w:cs="Miriam"/>
          <w:b/>
          <w:spacing w:val="0"/>
          <w:sz w:val="22"/>
          <w:szCs w:val="24"/>
          <w:rtl/>
        </w:rPr>
      </w:pPr>
      <w:r w:rsidRPr="00FF659D">
        <w:rPr>
          <w:rFonts w:ascii="Century" w:hAnsi="Century" w:cs="Miriam" w:hint="cs"/>
          <w:b/>
          <w:spacing w:val="0"/>
          <w:sz w:val="22"/>
          <w:szCs w:val="24"/>
          <w:rtl/>
        </w:rPr>
        <w:t>"הדלת המסתובבת"</w:t>
      </w:r>
    </w:p>
    <w:p w14:paraId="783F8436" w14:textId="77777777" w:rsidR="00C36C78" w:rsidRPr="00FF659D" w:rsidRDefault="00C36C78" w:rsidP="00C36C78">
      <w:pPr>
        <w:pStyle w:val="Ruller41"/>
      </w:pPr>
    </w:p>
    <w:p w14:paraId="37BFF3B2" w14:textId="77777777" w:rsidR="00C36C78" w:rsidRDefault="00C36C78" w:rsidP="00C36C78">
      <w:pPr>
        <w:pStyle w:val="Ruller4"/>
      </w:pPr>
      <w:r>
        <w:rPr>
          <w:rFonts w:hint="cs"/>
          <w:rtl/>
        </w:rPr>
        <w:t xml:space="preserve">בחלוף פחות משנה, התברר כי תרחיש "הדלת המסתובבת" התממש בגאון ובקול תרועה רמה. דרעי התמודד בבחירות לכנסת; הוא ומפלגתו זכו להצלחה מרובה בקרב ציבור הבוחרים </w:t>
      </w:r>
      <w:r>
        <w:rPr>
          <w:rtl/>
        </w:rPr>
        <w:t>–</w:t>
      </w:r>
      <w:r>
        <w:rPr>
          <w:rFonts w:hint="cs"/>
          <w:rtl/>
        </w:rPr>
        <w:t xml:space="preserve"> ואחר-כך הוא ביקש להתמנות לתפקיד של שר בממשלה. </w:t>
      </w:r>
    </w:p>
    <w:p w14:paraId="59F4B2AD" w14:textId="77777777" w:rsidR="00C36C78" w:rsidRDefault="00C36C78" w:rsidP="00C36C78">
      <w:pPr>
        <w:pStyle w:val="Ruller4"/>
        <w:numPr>
          <w:ilvl w:val="0"/>
          <w:numId w:val="0"/>
        </w:numPr>
      </w:pPr>
    </w:p>
    <w:p w14:paraId="1B778DD6" w14:textId="77777777" w:rsidR="00C36C78" w:rsidRDefault="00C36C78" w:rsidP="00C36C78">
      <w:pPr>
        <w:pStyle w:val="Ruller4"/>
        <w:rPr>
          <w:rtl/>
        </w:rPr>
      </w:pPr>
      <w:r>
        <w:rPr>
          <w:rFonts w:hint="cs"/>
          <w:rtl/>
        </w:rPr>
        <w:t xml:space="preserve">אחרי נטרולה של בעיית הקלון של חבר כנסת כחבר כנסת במסגרת ההליך שכאמור התקיים בבית משפט השלום, זכה דרעי לעזרת המחוקק בכבודו ובעצמו, אשר ראה לטוב בעיניו להפעיל לטובת דרעי </w:t>
      </w:r>
      <w:r>
        <w:rPr>
          <w:rtl/>
        </w:rPr>
        <w:t>–</w:t>
      </w:r>
      <w:r>
        <w:rPr>
          <w:rFonts w:hint="cs"/>
          <w:rtl/>
        </w:rPr>
        <w:t xml:space="preserve"> ובמבט הצופה קדימה, לטובת כל שרי העתיד </w:t>
      </w:r>
      <w:r>
        <w:rPr>
          <w:rtl/>
        </w:rPr>
        <w:t>–</w:t>
      </w:r>
      <w:r>
        <w:rPr>
          <w:rFonts w:hint="cs"/>
          <w:rtl/>
        </w:rPr>
        <w:t xml:space="preserve"> את הסמכות המכוננת לתקן הוראה בת-תוקף חוקתי: סעיף 6(ג)(1) לחוק יסוד: הממשלה. הוראה זו במתכונתה הישנה קבעה כך:</w:t>
      </w:r>
    </w:p>
    <w:p w14:paraId="54890F4D" w14:textId="77777777" w:rsidR="00C36C78" w:rsidRDefault="00C36C78" w:rsidP="00C36C78">
      <w:pPr>
        <w:pStyle w:val="Ruller41"/>
        <w:rPr>
          <w:rtl/>
        </w:rPr>
      </w:pPr>
    </w:p>
    <w:p w14:paraId="291CDE88" w14:textId="77777777" w:rsidR="00C36C78" w:rsidRDefault="00C36C78" w:rsidP="00C36C78">
      <w:pPr>
        <w:pStyle w:val="Ruller5"/>
        <w:rPr>
          <w:rtl/>
        </w:rPr>
      </w:pPr>
      <w:r>
        <w:rPr>
          <w:rFonts w:hint="cs"/>
          <w:rtl/>
        </w:rPr>
        <w:t>"</w:t>
      </w:r>
      <w:r w:rsidRPr="004C1267">
        <w:rPr>
          <w:rFonts w:hint="eastAsia"/>
          <w:rtl/>
        </w:rPr>
        <w:t>לא</w:t>
      </w:r>
      <w:r w:rsidRPr="004C1267">
        <w:rPr>
          <w:rtl/>
        </w:rPr>
        <w:t xml:space="preserve"> </w:t>
      </w:r>
      <w:r w:rsidRPr="004C1267">
        <w:rPr>
          <w:rFonts w:hint="eastAsia"/>
          <w:rtl/>
        </w:rPr>
        <w:t>יתמנה</w:t>
      </w:r>
      <w:r w:rsidRPr="004C1267">
        <w:rPr>
          <w:rtl/>
        </w:rPr>
        <w:t xml:space="preserve"> </w:t>
      </w:r>
      <w:r w:rsidRPr="004C1267">
        <w:rPr>
          <w:rFonts w:hint="eastAsia"/>
          <w:rtl/>
        </w:rPr>
        <w:t>לשר</w:t>
      </w:r>
      <w:r w:rsidRPr="004C1267">
        <w:rPr>
          <w:rtl/>
        </w:rPr>
        <w:t xml:space="preserve"> </w:t>
      </w:r>
      <w:r w:rsidRPr="004C1267">
        <w:rPr>
          <w:rFonts w:hint="eastAsia"/>
          <w:rtl/>
        </w:rPr>
        <w:t>מי</w:t>
      </w:r>
      <w:r w:rsidRPr="004C1267">
        <w:rPr>
          <w:rtl/>
        </w:rPr>
        <w:t xml:space="preserve"> </w:t>
      </w:r>
      <w:r w:rsidRPr="004C1267">
        <w:rPr>
          <w:rFonts w:hint="eastAsia"/>
          <w:rtl/>
        </w:rPr>
        <w:t>שהורשע</w:t>
      </w:r>
      <w:r w:rsidRPr="004C1267">
        <w:rPr>
          <w:rtl/>
        </w:rPr>
        <w:t xml:space="preserve"> </w:t>
      </w:r>
      <w:r w:rsidRPr="004C1267">
        <w:rPr>
          <w:rFonts w:hint="eastAsia"/>
          <w:rtl/>
        </w:rPr>
        <w:t>בעבירה</w:t>
      </w:r>
      <w:r w:rsidRPr="004C1267">
        <w:rPr>
          <w:rtl/>
        </w:rPr>
        <w:t xml:space="preserve"> </w:t>
      </w:r>
      <w:r w:rsidRPr="004C1267">
        <w:rPr>
          <w:rFonts w:hint="eastAsia"/>
          <w:rtl/>
        </w:rPr>
        <w:t>ונידון</w:t>
      </w:r>
      <w:r w:rsidRPr="004C1267">
        <w:rPr>
          <w:rtl/>
        </w:rPr>
        <w:t xml:space="preserve"> </w:t>
      </w:r>
      <w:r w:rsidRPr="004C1267">
        <w:rPr>
          <w:rFonts w:hint="eastAsia"/>
          <w:rtl/>
        </w:rPr>
        <w:t>לעונש</w:t>
      </w:r>
      <w:r w:rsidRPr="004C1267">
        <w:rPr>
          <w:rtl/>
        </w:rPr>
        <w:t xml:space="preserve"> </w:t>
      </w:r>
      <w:r w:rsidRPr="004C1267">
        <w:rPr>
          <w:rFonts w:hint="eastAsia"/>
          <w:rtl/>
        </w:rPr>
        <w:t>מאסר</w:t>
      </w:r>
      <w:r w:rsidRPr="004C1267">
        <w:rPr>
          <w:rtl/>
        </w:rPr>
        <w:t xml:space="preserve"> </w:t>
      </w:r>
      <w:r w:rsidRPr="004C1267">
        <w:rPr>
          <w:rFonts w:hint="eastAsia"/>
          <w:rtl/>
        </w:rPr>
        <w:t>וביום</w:t>
      </w:r>
      <w:r w:rsidRPr="004C1267">
        <w:rPr>
          <w:rtl/>
        </w:rPr>
        <w:t xml:space="preserve"> </w:t>
      </w:r>
      <w:r w:rsidRPr="004C1267">
        <w:rPr>
          <w:rFonts w:hint="eastAsia"/>
          <w:rtl/>
        </w:rPr>
        <w:t>מינויו</w:t>
      </w:r>
      <w:r w:rsidRPr="004C1267">
        <w:rPr>
          <w:rtl/>
        </w:rPr>
        <w:t xml:space="preserve"> </w:t>
      </w:r>
      <w:r w:rsidRPr="004C1267">
        <w:rPr>
          <w:rFonts w:hint="eastAsia"/>
          <w:rtl/>
        </w:rPr>
        <w:t>טרם</w:t>
      </w:r>
      <w:r w:rsidRPr="004C1267">
        <w:rPr>
          <w:rtl/>
        </w:rPr>
        <w:t xml:space="preserve"> </w:t>
      </w:r>
      <w:r w:rsidRPr="004C1267">
        <w:rPr>
          <w:rFonts w:hint="eastAsia"/>
          <w:rtl/>
        </w:rPr>
        <w:t>עברו</w:t>
      </w:r>
      <w:r w:rsidRPr="004C1267">
        <w:rPr>
          <w:rtl/>
        </w:rPr>
        <w:t xml:space="preserve"> </w:t>
      </w:r>
      <w:r w:rsidRPr="004C1267">
        <w:rPr>
          <w:rFonts w:hint="eastAsia"/>
          <w:rtl/>
        </w:rPr>
        <w:t>שבע</w:t>
      </w:r>
      <w:r w:rsidRPr="004C1267">
        <w:rPr>
          <w:rtl/>
        </w:rPr>
        <w:t xml:space="preserve"> </w:t>
      </w:r>
      <w:r w:rsidRPr="004C1267">
        <w:rPr>
          <w:rFonts w:hint="eastAsia"/>
          <w:rtl/>
        </w:rPr>
        <w:t>שנים</w:t>
      </w:r>
      <w:r w:rsidRPr="004C1267">
        <w:rPr>
          <w:rtl/>
        </w:rPr>
        <w:t xml:space="preserve"> </w:t>
      </w:r>
      <w:r w:rsidRPr="004C1267">
        <w:rPr>
          <w:rFonts w:hint="eastAsia"/>
          <w:rtl/>
        </w:rPr>
        <w:t>מהיום</w:t>
      </w:r>
      <w:r w:rsidRPr="004C1267">
        <w:rPr>
          <w:rtl/>
        </w:rPr>
        <w:t xml:space="preserve"> </w:t>
      </w:r>
      <w:r w:rsidRPr="004C1267">
        <w:rPr>
          <w:rFonts w:hint="eastAsia"/>
          <w:rtl/>
        </w:rPr>
        <w:t>שגמר</w:t>
      </w:r>
      <w:r w:rsidRPr="004C1267">
        <w:rPr>
          <w:rtl/>
        </w:rPr>
        <w:t xml:space="preserve"> </w:t>
      </w:r>
      <w:r w:rsidRPr="004C1267">
        <w:rPr>
          <w:rFonts w:hint="eastAsia"/>
          <w:rtl/>
        </w:rPr>
        <w:t>לרצות</w:t>
      </w:r>
      <w:r w:rsidRPr="004C1267">
        <w:rPr>
          <w:rtl/>
        </w:rPr>
        <w:t xml:space="preserve"> </w:t>
      </w:r>
      <w:r w:rsidRPr="004C1267">
        <w:rPr>
          <w:rFonts w:hint="eastAsia"/>
          <w:rtl/>
        </w:rPr>
        <w:t>את</w:t>
      </w:r>
      <w:r w:rsidRPr="004C1267">
        <w:rPr>
          <w:rtl/>
        </w:rPr>
        <w:t xml:space="preserve"> </w:t>
      </w:r>
      <w:r w:rsidRPr="004C1267">
        <w:rPr>
          <w:rFonts w:hint="eastAsia"/>
          <w:rtl/>
        </w:rPr>
        <w:t>עונש</w:t>
      </w:r>
      <w:r w:rsidRPr="004C1267">
        <w:rPr>
          <w:rtl/>
        </w:rPr>
        <w:t xml:space="preserve"> </w:t>
      </w:r>
      <w:r w:rsidRPr="004C1267">
        <w:rPr>
          <w:rFonts w:hint="eastAsia"/>
          <w:rtl/>
        </w:rPr>
        <w:t>המאסר</w:t>
      </w:r>
      <w:r w:rsidRPr="004C1267">
        <w:rPr>
          <w:rtl/>
        </w:rPr>
        <w:t xml:space="preserve"> </w:t>
      </w:r>
      <w:r w:rsidRPr="004C1267">
        <w:rPr>
          <w:rFonts w:hint="eastAsia"/>
          <w:rtl/>
        </w:rPr>
        <w:t>או</w:t>
      </w:r>
      <w:r w:rsidRPr="004C1267">
        <w:rPr>
          <w:rtl/>
        </w:rPr>
        <w:t xml:space="preserve"> </w:t>
      </w:r>
      <w:r w:rsidRPr="004C1267">
        <w:rPr>
          <w:rFonts w:hint="eastAsia"/>
          <w:rtl/>
        </w:rPr>
        <w:t>מיום</w:t>
      </w:r>
      <w:r w:rsidRPr="004C1267">
        <w:rPr>
          <w:rtl/>
        </w:rPr>
        <w:t xml:space="preserve"> </w:t>
      </w:r>
      <w:r w:rsidRPr="004C1267">
        <w:rPr>
          <w:rFonts w:hint="eastAsia"/>
          <w:rtl/>
        </w:rPr>
        <w:t>מתן</w:t>
      </w:r>
      <w:r w:rsidRPr="004C1267">
        <w:rPr>
          <w:rtl/>
        </w:rPr>
        <w:t xml:space="preserve"> </w:t>
      </w:r>
      <w:r w:rsidRPr="004C1267">
        <w:rPr>
          <w:rFonts w:hint="eastAsia"/>
          <w:rtl/>
        </w:rPr>
        <w:t>פסק</w:t>
      </w:r>
      <w:r w:rsidRPr="004C1267">
        <w:rPr>
          <w:rtl/>
        </w:rPr>
        <w:t xml:space="preserve"> </w:t>
      </w:r>
      <w:r w:rsidRPr="004C1267">
        <w:rPr>
          <w:rFonts w:hint="eastAsia"/>
          <w:rtl/>
        </w:rPr>
        <w:t>הדין</w:t>
      </w:r>
      <w:r w:rsidRPr="004C1267">
        <w:rPr>
          <w:rtl/>
        </w:rPr>
        <w:t xml:space="preserve">, </w:t>
      </w:r>
      <w:r w:rsidRPr="004C1267">
        <w:rPr>
          <w:rFonts w:hint="eastAsia"/>
          <w:rtl/>
        </w:rPr>
        <w:t>לפי</w:t>
      </w:r>
      <w:r w:rsidRPr="004C1267">
        <w:rPr>
          <w:rtl/>
        </w:rPr>
        <w:t xml:space="preserve"> </w:t>
      </w:r>
      <w:r w:rsidRPr="004C1267">
        <w:rPr>
          <w:rFonts w:hint="eastAsia"/>
          <w:rtl/>
        </w:rPr>
        <w:t>המאוחר</w:t>
      </w:r>
      <w:r w:rsidRPr="004C1267">
        <w:rPr>
          <w:rtl/>
        </w:rPr>
        <w:t xml:space="preserve">, </w:t>
      </w:r>
      <w:r w:rsidRPr="004C1267">
        <w:rPr>
          <w:rFonts w:hint="eastAsia"/>
          <w:rtl/>
        </w:rPr>
        <w:t>אלא</w:t>
      </w:r>
      <w:r w:rsidRPr="004C1267">
        <w:rPr>
          <w:rtl/>
        </w:rPr>
        <w:t xml:space="preserve"> </w:t>
      </w:r>
      <w:r w:rsidRPr="004C1267">
        <w:rPr>
          <w:rFonts w:hint="eastAsia"/>
          <w:rtl/>
        </w:rPr>
        <w:t>אם</w:t>
      </w:r>
      <w:r w:rsidRPr="004C1267">
        <w:rPr>
          <w:rtl/>
        </w:rPr>
        <w:t xml:space="preserve"> </w:t>
      </w:r>
      <w:r w:rsidRPr="004C1267">
        <w:rPr>
          <w:rFonts w:hint="eastAsia"/>
          <w:rtl/>
        </w:rPr>
        <w:t>כן</w:t>
      </w:r>
      <w:r w:rsidRPr="004C1267">
        <w:rPr>
          <w:rtl/>
        </w:rPr>
        <w:t xml:space="preserve"> </w:t>
      </w:r>
      <w:r w:rsidRPr="004C1267">
        <w:rPr>
          <w:rFonts w:hint="eastAsia"/>
          <w:rtl/>
        </w:rPr>
        <w:t>קבע</w:t>
      </w:r>
      <w:r w:rsidRPr="004C1267">
        <w:rPr>
          <w:rtl/>
        </w:rPr>
        <w:t xml:space="preserve"> </w:t>
      </w:r>
      <w:r w:rsidRPr="004C1267">
        <w:rPr>
          <w:rFonts w:hint="eastAsia"/>
          <w:rtl/>
        </w:rPr>
        <w:t>יושב</w:t>
      </w:r>
      <w:r w:rsidRPr="004C1267">
        <w:rPr>
          <w:rtl/>
        </w:rPr>
        <w:t xml:space="preserve"> </w:t>
      </w:r>
      <w:r w:rsidRPr="004C1267">
        <w:rPr>
          <w:rFonts w:hint="eastAsia"/>
          <w:rtl/>
        </w:rPr>
        <w:t>ראש</w:t>
      </w:r>
      <w:r w:rsidRPr="004C1267">
        <w:rPr>
          <w:rtl/>
        </w:rPr>
        <w:t xml:space="preserve"> </w:t>
      </w:r>
      <w:r w:rsidRPr="004C1267">
        <w:rPr>
          <w:rFonts w:hint="eastAsia"/>
          <w:rtl/>
        </w:rPr>
        <w:t>ועדת</w:t>
      </w:r>
      <w:r w:rsidRPr="004C1267">
        <w:rPr>
          <w:rtl/>
        </w:rPr>
        <w:t xml:space="preserve"> </w:t>
      </w:r>
      <w:r w:rsidRPr="004C1267">
        <w:rPr>
          <w:rFonts w:hint="eastAsia"/>
          <w:rtl/>
        </w:rPr>
        <w:t>הבחירות</w:t>
      </w:r>
      <w:r w:rsidRPr="004C1267">
        <w:rPr>
          <w:rtl/>
        </w:rPr>
        <w:t xml:space="preserve"> </w:t>
      </w:r>
      <w:r w:rsidRPr="004C1267">
        <w:rPr>
          <w:rFonts w:hint="eastAsia"/>
          <w:rtl/>
        </w:rPr>
        <w:t>המרכזית</w:t>
      </w:r>
      <w:r w:rsidRPr="004C1267">
        <w:rPr>
          <w:rtl/>
        </w:rPr>
        <w:t xml:space="preserve"> </w:t>
      </w:r>
      <w:r w:rsidRPr="004C1267">
        <w:rPr>
          <w:rFonts w:hint="eastAsia"/>
          <w:rtl/>
        </w:rPr>
        <w:t>כי</w:t>
      </w:r>
      <w:r w:rsidRPr="004C1267">
        <w:rPr>
          <w:rtl/>
        </w:rPr>
        <w:t xml:space="preserve"> </w:t>
      </w:r>
      <w:r w:rsidRPr="004C1267">
        <w:rPr>
          <w:rFonts w:hint="eastAsia"/>
          <w:rtl/>
        </w:rPr>
        <w:t>אין</w:t>
      </w:r>
      <w:r w:rsidRPr="004C1267">
        <w:rPr>
          <w:rtl/>
        </w:rPr>
        <w:t xml:space="preserve"> </w:t>
      </w:r>
      <w:r w:rsidRPr="004C1267">
        <w:rPr>
          <w:rFonts w:hint="eastAsia"/>
          <w:rtl/>
        </w:rPr>
        <w:t>עם</w:t>
      </w:r>
      <w:r w:rsidRPr="004C1267">
        <w:rPr>
          <w:rtl/>
        </w:rPr>
        <w:t xml:space="preserve"> </w:t>
      </w:r>
      <w:r w:rsidRPr="004C1267">
        <w:rPr>
          <w:rFonts w:hint="eastAsia"/>
          <w:rtl/>
        </w:rPr>
        <w:t>העבירה</w:t>
      </w:r>
      <w:r w:rsidRPr="004C1267">
        <w:rPr>
          <w:rtl/>
        </w:rPr>
        <w:t xml:space="preserve"> </w:t>
      </w:r>
      <w:r w:rsidRPr="004C1267">
        <w:rPr>
          <w:rFonts w:hint="eastAsia"/>
          <w:rtl/>
        </w:rPr>
        <w:t>שבה</w:t>
      </w:r>
      <w:r w:rsidRPr="004C1267">
        <w:rPr>
          <w:rtl/>
        </w:rPr>
        <w:t xml:space="preserve"> </w:t>
      </w:r>
      <w:r w:rsidRPr="004C1267">
        <w:rPr>
          <w:rFonts w:hint="eastAsia"/>
          <w:rtl/>
        </w:rPr>
        <w:t>הורשע</w:t>
      </w:r>
      <w:r w:rsidRPr="004C1267">
        <w:rPr>
          <w:rtl/>
        </w:rPr>
        <w:t xml:space="preserve">, </w:t>
      </w:r>
      <w:r w:rsidRPr="004C1267">
        <w:rPr>
          <w:rFonts w:hint="eastAsia"/>
          <w:rtl/>
        </w:rPr>
        <w:t>בנסיבות</w:t>
      </w:r>
      <w:r w:rsidRPr="004C1267">
        <w:rPr>
          <w:rtl/>
        </w:rPr>
        <w:t xml:space="preserve"> </w:t>
      </w:r>
      <w:r w:rsidRPr="004C1267">
        <w:rPr>
          <w:rFonts w:hint="eastAsia"/>
          <w:rtl/>
        </w:rPr>
        <w:t>הענין</w:t>
      </w:r>
      <w:r w:rsidRPr="004C1267">
        <w:rPr>
          <w:rtl/>
        </w:rPr>
        <w:t xml:space="preserve">, </w:t>
      </w:r>
      <w:r w:rsidRPr="004C1267">
        <w:rPr>
          <w:rFonts w:hint="eastAsia"/>
          <w:rtl/>
        </w:rPr>
        <w:t>משום</w:t>
      </w:r>
      <w:r w:rsidRPr="004C1267">
        <w:rPr>
          <w:rtl/>
        </w:rPr>
        <w:t xml:space="preserve"> </w:t>
      </w:r>
      <w:r w:rsidRPr="004C1267">
        <w:rPr>
          <w:rFonts w:hint="eastAsia"/>
          <w:rtl/>
        </w:rPr>
        <w:t>קלון</w:t>
      </w:r>
      <w:r>
        <w:rPr>
          <w:rFonts w:hint="cs"/>
          <w:rtl/>
        </w:rPr>
        <w:t xml:space="preserve">". </w:t>
      </w:r>
    </w:p>
    <w:p w14:paraId="5391CDEA" w14:textId="77777777" w:rsidR="00C36C78" w:rsidRDefault="00C36C78" w:rsidP="00C36C78">
      <w:pPr>
        <w:pStyle w:val="Ruller41"/>
        <w:rPr>
          <w:rtl/>
        </w:rPr>
      </w:pPr>
    </w:p>
    <w:p w14:paraId="1B9560ED" w14:textId="77777777" w:rsidR="00C36C78" w:rsidRDefault="00C36C78" w:rsidP="00C36C78">
      <w:pPr>
        <w:pStyle w:val="Ruller4"/>
        <w:rPr>
          <w:rtl/>
        </w:rPr>
      </w:pPr>
      <w:r>
        <w:rPr>
          <w:rFonts w:hint="cs"/>
          <w:rtl/>
        </w:rPr>
        <w:t xml:space="preserve">בהוראה זו, המילה "מאסר" בלי ספק התייחסה גם למאסר-על-תנאי </w:t>
      </w:r>
      <w:r>
        <w:rPr>
          <w:rtl/>
        </w:rPr>
        <w:t>–</w:t>
      </w:r>
      <w:r>
        <w:rPr>
          <w:rFonts w:hint="cs"/>
          <w:rtl/>
        </w:rPr>
        <w:t xml:space="preserve"> עונש שהביא להפעלת ההוראה נגד כל מועמד ומועמדת לתפקיד של שר או שרה במשך </w:t>
      </w:r>
      <w:r w:rsidRPr="005901F3">
        <w:rPr>
          <w:rFonts w:ascii="Century" w:hAnsi="Century" w:cs="Miriam" w:hint="cs"/>
          <w:b/>
          <w:spacing w:val="0"/>
          <w:sz w:val="22"/>
          <w:szCs w:val="24"/>
          <w:rtl/>
        </w:rPr>
        <w:t xml:space="preserve">"שבע שנים </w:t>
      </w:r>
      <w:r>
        <w:rPr>
          <w:rFonts w:ascii="Century" w:hAnsi="Century" w:cs="Miriam" w:hint="cs"/>
          <w:b/>
          <w:spacing w:val="0"/>
          <w:sz w:val="22"/>
          <w:szCs w:val="24"/>
          <w:rtl/>
        </w:rPr>
        <w:t>[</w:t>
      </w:r>
      <w:r w:rsidRPr="005901F3">
        <w:rPr>
          <w:rFonts w:ascii="Century" w:hAnsi="Century" w:cs="Miriam" w:hint="cs"/>
          <w:b/>
          <w:spacing w:val="0"/>
          <w:sz w:val="22"/>
          <w:szCs w:val="24"/>
          <w:rtl/>
        </w:rPr>
        <w:t>...</w:t>
      </w:r>
      <w:r>
        <w:rPr>
          <w:rFonts w:ascii="Century" w:hAnsi="Century" w:cs="Miriam" w:hint="cs"/>
          <w:b/>
          <w:spacing w:val="0"/>
          <w:sz w:val="22"/>
          <w:szCs w:val="24"/>
          <w:rtl/>
        </w:rPr>
        <w:t>]</w:t>
      </w:r>
      <w:r w:rsidRPr="005901F3">
        <w:rPr>
          <w:rFonts w:ascii="Century" w:hAnsi="Century" w:cs="Miriam" w:hint="cs"/>
          <w:b/>
          <w:spacing w:val="0"/>
          <w:sz w:val="22"/>
          <w:szCs w:val="24"/>
          <w:rtl/>
        </w:rPr>
        <w:t xml:space="preserve"> </w:t>
      </w:r>
      <w:r w:rsidRPr="002D3D4A">
        <w:rPr>
          <w:rFonts w:ascii="Century" w:hAnsi="Century" w:cs="Miriam" w:hint="cs"/>
          <w:b/>
          <w:spacing w:val="0"/>
          <w:sz w:val="22"/>
          <w:szCs w:val="24"/>
          <w:rtl/>
        </w:rPr>
        <w:t>מיום מתן פסק הדין"</w:t>
      </w:r>
      <w:r>
        <w:rPr>
          <w:rFonts w:hint="cs"/>
          <w:rtl/>
        </w:rPr>
        <w:t xml:space="preserve"> אשר הטיל עליו או עליה מאסר-על-תנאי (כאשר במקרה של מאסר בפועל, ספירתן של שבע השנים מתחילה בתום ריצוי עונש המאסר על ידי המועמד לתפקיד של שר). זאת, מאחר שסעיף 52(א) לחוק העונשין, התשל"ז-1977 (להלן: </w:t>
      </w:r>
      <w:r w:rsidRPr="005901F3">
        <w:rPr>
          <w:rFonts w:ascii="Century" w:hAnsi="Century" w:cs="Miriam" w:hint="cs"/>
          <w:b/>
          <w:spacing w:val="0"/>
          <w:sz w:val="22"/>
          <w:szCs w:val="24"/>
          <w:rtl/>
        </w:rPr>
        <w:t>חוק העונשין</w:t>
      </w:r>
      <w:r>
        <w:rPr>
          <w:rFonts w:hint="cs"/>
          <w:rtl/>
        </w:rPr>
        <w:t xml:space="preserve">), שעניינו דרכי ענישה, קובע כך: "הטיל בית המשפט עונש מאסר, רשאי הוא להורות בגזר הדין שהעונש, </w:t>
      </w:r>
      <w:r w:rsidRPr="005901F3">
        <w:rPr>
          <w:rFonts w:ascii="Century" w:hAnsi="Century" w:cs="Miriam" w:hint="cs"/>
          <w:b/>
          <w:spacing w:val="0"/>
          <w:sz w:val="22"/>
          <w:szCs w:val="24"/>
          <w:rtl/>
        </w:rPr>
        <w:t>כולו או מקצתו</w:t>
      </w:r>
      <w:r>
        <w:rPr>
          <w:rFonts w:hint="cs"/>
          <w:rtl/>
        </w:rPr>
        <w:t xml:space="preserve">, יהיה על תנאי" (ההדגשה הוספה </w:t>
      </w:r>
      <w:r>
        <w:rPr>
          <w:rtl/>
        </w:rPr>
        <w:t>–</w:t>
      </w:r>
      <w:r>
        <w:rPr>
          <w:rFonts w:hint="cs"/>
          <w:rtl/>
        </w:rPr>
        <w:t xml:space="preserve"> א.ש.); ומאחר שהכללתו של מאסר-על-תנאי במילה "מאסר" היא נחלתם של כל הוראות העונשין, זולת אלו שקובעות את ההפך בלשון מפורשת (ראו, מני רבים: סעיפים 355(ב) ו-368ג1(ג) לחוק העונשין). כפועל יוצא מכך, על-פי הנוסח הישן של הסעיף, מועמד לתפקיד של שר אשר נדון למאסר-על-תנאי זקוק היה לקביעתו של יושב ראש ועדת הבחירות המרכזית כי "</w:t>
      </w:r>
      <w:r w:rsidRPr="004C1267">
        <w:rPr>
          <w:rFonts w:hint="eastAsia"/>
          <w:rtl/>
        </w:rPr>
        <w:t>אין</w:t>
      </w:r>
      <w:r w:rsidRPr="004C1267">
        <w:rPr>
          <w:rtl/>
        </w:rPr>
        <w:t xml:space="preserve"> </w:t>
      </w:r>
      <w:r w:rsidRPr="004C1267">
        <w:rPr>
          <w:rFonts w:hint="eastAsia"/>
          <w:rtl/>
        </w:rPr>
        <w:t>עם</w:t>
      </w:r>
      <w:r w:rsidRPr="004C1267">
        <w:rPr>
          <w:rtl/>
        </w:rPr>
        <w:t xml:space="preserve"> </w:t>
      </w:r>
      <w:r w:rsidRPr="004C1267">
        <w:rPr>
          <w:rFonts w:hint="eastAsia"/>
          <w:rtl/>
        </w:rPr>
        <w:t>העבירה</w:t>
      </w:r>
      <w:r w:rsidRPr="004C1267">
        <w:rPr>
          <w:rtl/>
        </w:rPr>
        <w:t xml:space="preserve"> </w:t>
      </w:r>
      <w:r w:rsidRPr="004C1267">
        <w:rPr>
          <w:rFonts w:hint="eastAsia"/>
          <w:rtl/>
        </w:rPr>
        <w:t>שבה</w:t>
      </w:r>
      <w:r w:rsidRPr="004C1267">
        <w:rPr>
          <w:rtl/>
        </w:rPr>
        <w:t xml:space="preserve"> </w:t>
      </w:r>
      <w:r w:rsidRPr="004C1267">
        <w:rPr>
          <w:rFonts w:hint="eastAsia"/>
          <w:rtl/>
        </w:rPr>
        <w:t>הורשע</w:t>
      </w:r>
      <w:r w:rsidRPr="004C1267">
        <w:rPr>
          <w:rtl/>
        </w:rPr>
        <w:t xml:space="preserve">, </w:t>
      </w:r>
      <w:r w:rsidRPr="004C1267">
        <w:rPr>
          <w:rFonts w:hint="eastAsia"/>
          <w:rtl/>
        </w:rPr>
        <w:t>בנסיבות</w:t>
      </w:r>
      <w:r w:rsidRPr="004C1267">
        <w:rPr>
          <w:rtl/>
        </w:rPr>
        <w:t xml:space="preserve"> </w:t>
      </w:r>
      <w:r w:rsidRPr="004C1267">
        <w:rPr>
          <w:rFonts w:hint="eastAsia"/>
          <w:rtl/>
        </w:rPr>
        <w:t>הענין</w:t>
      </w:r>
      <w:r w:rsidRPr="004C1267">
        <w:rPr>
          <w:rtl/>
        </w:rPr>
        <w:t xml:space="preserve">, </w:t>
      </w:r>
      <w:r w:rsidRPr="004C1267">
        <w:rPr>
          <w:rFonts w:hint="eastAsia"/>
          <w:rtl/>
        </w:rPr>
        <w:t>משום</w:t>
      </w:r>
      <w:r w:rsidRPr="004C1267">
        <w:rPr>
          <w:rtl/>
        </w:rPr>
        <w:t xml:space="preserve"> </w:t>
      </w:r>
      <w:r w:rsidRPr="004C1267">
        <w:rPr>
          <w:rFonts w:hint="eastAsia"/>
          <w:rtl/>
        </w:rPr>
        <w:t>קלון</w:t>
      </w:r>
      <w:r>
        <w:rPr>
          <w:rFonts w:hint="cs"/>
          <w:rtl/>
        </w:rPr>
        <w:t xml:space="preserve">" </w:t>
      </w:r>
      <w:r>
        <w:rPr>
          <w:rtl/>
        </w:rPr>
        <w:t>–</w:t>
      </w:r>
      <w:r>
        <w:rPr>
          <w:rFonts w:hint="cs"/>
          <w:rtl/>
        </w:rPr>
        <w:t xml:space="preserve"> זאת, כאמור, במשך שבע שנים מיום מתן פסק הדין שהשית עליו את המאסר-על-תנאי. </w:t>
      </w:r>
    </w:p>
    <w:p w14:paraId="4CB4328C" w14:textId="77777777" w:rsidR="00C36C78" w:rsidRDefault="00C36C78" w:rsidP="00C36C78">
      <w:pPr>
        <w:pStyle w:val="Ruller41"/>
        <w:rPr>
          <w:rtl/>
        </w:rPr>
      </w:pPr>
    </w:p>
    <w:p w14:paraId="38040585" w14:textId="77777777" w:rsidR="00C36C78" w:rsidRDefault="00C36C78" w:rsidP="00C36C78">
      <w:pPr>
        <w:pStyle w:val="Ruller4"/>
        <w:rPr>
          <w:rtl/>
        </w:rPr>
      </w:pPr>
      <w:r>
        <w:rPr>
          <w:rFonts w:hint="cs"/>
          <w:rtl/>
        </w:rPr>
        <w:t>כאמור, הכנסת, בפועלה כרשות מכוננת, תיקנה את סעיף 6(ג)(1) לחוק יסוד: הממשלה באופן ששינה את נוסחו הקודם לנוסח הבא:</w:t>
      </w:r>
    </w:p>
    <w:p w14:paraId="0D547EEF" w14:textId="77777777" w:rsidR="00C36C78" w:rsidRDefault="00C36C78" w:rsidP="00C36C78">
      <w:pPr>
        <w:pStyle w:val="Ruller41"/>
        <w:rPr>
          <w:rtl/>
        </w:rPr>
      </w:pPr>
    </w:p>
    <w:p w14:paraId="7D965277" w14:textId="77777777" w:rsidR="00C36C78" w:rsidRDefault="00C36C78" w:rsidP="00C36C78">
      <w:pPr>
        <w:pStyle w:val="Ruller5"/>
        <w:rPr>
          <w:rtl/>
        </w:rPr>
      </w:pPr>
      <w:r>
        <w:rPr>
          <w:rtl/>
        </w:rPr>
        <w:t>"</w:t>
      </w:r>
      <w:r>
        <w:rPr>
          <w:rFonts w:hint="eastAsia"/>
          <w:rtl/>
        </w:rPr>
        <w:t>לא</w:t>
      </w:r>
      <w:r>
        <w:rPr>
          <w:rtl/>
        </w:rPr>
        <w:t xml:space="preserve"> </w:t>
      </w:r>
      <w:r>
        <w:rPr>
          <w:rFonts w:hint="eastAsia"/>
          <w:rtl/>
        </w:rPr>
        <w:t>יתמנה</w:t>
      </w:r>
      <w:r>
        <w:rPr>
          <w:rtl/>
        </w:rPr>
        <w:t xml:space="preserve"> </w:t>
      </w:r>
      <w:r>
        <w:rPr>
          <w:rFonts w:hint="eastAsia"/>
          <w:rtl/>
        </w:rPr>
        <w:t>לשר</w:t>
      </w:r>
      <w:r>
        <w:rPr>
          <w:rtl/>
        </w:rPr>
        <w:t xml:space="preserve"> </w:t>
      </w:r>
      <w:r>
        <w:rPr>
          <w:rFonts w:hint="eastAsia"/>
          <w:rtl/>
        </w:rPr>
        <w:t>מי</w:t>
      </w:r>
      <w:r>
        <w:rPr>
          <w:rtl/>
        </w:rPr>
        <w:t xml:space="preserve"> </w:t>
      </w:r>
      <w:r>
        <w:rPr>
          <w:rFonts w:hint="eastAsia"/>
          <w:rtl/>
        </w:rPr>
        <w:t>שהורשע</w:t>
      </w:r>
      <w:r>
        <w:rPr>
          <w:rtl/>
        </w:rPr>
        <w:t xml:space="preserve"> </w:t>
      </w:r>
      <w:r>
        <w:rPr>
          <w:rFonts w:hint="eastAsia"/>
          <w:rtl/>
        </w:rPr>
        <w:t>בעבירה</w:t>
      </w:r>
      <w:r>
        <w:rPr>
          <w:rtl/>
        </w:rPr>
        <w:t xml:space="preserve"> </w:t>
      </w:r>
      <w:r>
        <w:rPr>
          <w:rFonts w:hint="eastAsia"/>
          <w:rtl/>
        </w:rPr>
        <w:t>ונידון</w:t>
      </w:r>
      <w:r>
        <w:rPr>
          <w:rtl/>
        </w:rPr>
        <w:t xml:space="preserve"> </w:t>
      </w:r>
      <w:r>
        <w:rPr>
          <w:rFonts w:hint="eastAsia"/>
          <w:rtl/>
        </w:rPr>
        <w:t>לעונש</w:t>
      </w:r>
      <w:r>
        <w:rPr>
          <w:rtl/>
        </w:rPr>
        <w:t xml:space="preserve"> </w:t>
      </w:r>
      <w:r>
        <w:rPr>
          <w:rFonts w:hint="eastAsia"/>
          <w:rtl/>
        </w:rPr>
        <w:t>מאסר</w:t>
      </w:r>
      <w:r>
        <w:rPr>
          <w:rtl/>
        </w:rPr>
        <w:t xml:space="preserve"> </w:t>
      </w:r>
      <w:r>
        <w:rPr>
          <w:rFonts w:hint="eastAsia"/>
          <w:rtl/>
        </w:rPr>
        <w:t>בפועל</w:t>
      </w:r>
      <w:r>
        <w:rPr>
          <w:rtl/>
        </w:rPr>
        <w:t xml:space="preserve"> </w:t>
      </w:r>
      <w:r>
        <w:rPr>
          <w:rFonts w:hint="eastAsia"/>
          <w:rtl/>
        </w:rPr>
        <w:t>וביום</w:t>
      </w:r>
      <w:r>
        <w:rPr>
          <w:rtl/>
        </w:rPr>
        <w:t xml:space="preserve"> </w:t>
      </w:r>
      <w:r>
        <w:rPr>
          <w:rFonts w:hint="eastAsia"/>
          <w:rtl/>
        </w:rPr>
        <w:t>מינויו</w:t>
      </w:r>
      <w:r>
        <w:rPr>
          <w:rtl/>
        </w:rPr>
        <w:t xml:space="preserve"> </w:t>
      </w:r>
      <w:r>
        <w:rPr>
          <w:rFonts w:hint="eastAsia"/>
          <w:rtl/>
        </w:rPr>
        <w:t>טרם</w:t>
      </w:r>
      <w:r>
        <w:rPr>
          <w:rtl/>
        </w:rPr>
        <w:t xml:space="preserve"> </w:t>
      </w:r>
      <w:r>
        <w:rPr>
          <w:rFonts w:hint="eastAsia"/>
          <w:rtl/>
        </w:rPr>
        <w:t>עברו</w:t>
      </w:r>
      <w:r>
        <w:rPr>
          <w:rtl/>
        </w:rPr>
        <w:t xml:space="preserve"> </w:t>
      </w:r>
      <w:r>
        <w:rPr>
          <w:rFonts w:hint="eastAsia"/>
          <w:rtl/>
        </w:rPr>
        <w:t>שבע</w:t>
      </w:r>
      <w:r>
        <w:rPr>
          <w:rtl/>
        </w:rPr>
        <w:t xml:space="preserve"> </w:t>
      </w:r>
      <w:r>
        <w:rPr>
          <w:rFonts w:hint="eastAsia"/>
          <w:rtl/>
        </w:rPr>
        <w:t>שנים</w:t>
      </w:r>
      <w:r>
        <w:rPr>
          <w:rtl/>
        </w:rPr>
        <w:t xml:space="preserve"> </w:t>
      </w:r>
      <w:r>
        <w:rPr>
          <w:rFonts w:hint="eastAsia"/>
          <w:rtl/>
        </w:rPr>
        <w:t>מהיום</w:t>
      </w:r>
      <w:r>
        <w:rPr>
          <w:rtl/>
        </w:rPr>
        <w:t xml:space="preserve"> </w:t>
      </w:r>
      <w:r>
        <w:rPr>
          <w:rFonts w:hint="eastAsia"/>
          <w:rtl/>
        </w:rPr>
        <w:t>שגמר</w:t>
      </w:r>
      <w:r>
        <w:rPr>
          <w:rtl/>
        </w:rPr>
        <w:t xml:space="preserve"> </w:t>
      </w:r>
      <w:r>
        <w:rPr>
          <w:rFonts w:hint="eastAsia"/>
          <w:rtl/>
        </w:rPr>
        <w:t>לרצות</w:t>
      </w:r>
      <w:r>
        <w:rPr>
          <w:rtl/>
        </w:rPr>
        <w:t xml:space="preserve"> </w:t>
      </w:r>
      <w:r>
        <w:rPr>
          <w:rFonts w:hint="eastAsia"/>
          <w:rtl/>
        </w:rPr>
        <w:t>את</w:t>
      </w:r>
      <w:r>
        <w:rPr>
          <w:rtl/>
        </w:rPr>
        <w:t xml:space="preserve"> </w:t>
      </w:r>
      <w:r>
        <w:rPr>
          <w:rFonts w:hint="eastAsia"/>
          <w:rtl/>
        </w:rPr>
        <w:t>עונש</w:t>
      </w:r>
      <w:r>
        <w:rPr>
          <w:rtl/>
        </w:rPr>
        <w:t xml:space="preserve"> </w:t>
      </w:r>
      <w:r>
        <w:rPr>
          <w:rFonts w:hint="eastAsia"/>
          <w:rtl/>
        </w:rPr>
        <w:t>המאסר</w:t>
      </w:r>
      <w:r>
        <w:rPr>
          <w:rtl/>
        </w:rPr>
        <w:t xml:space="preserve"> </w:t>
      </w:r>
      <w:r>
        <w:rPr>
          <w:rFonts w:hint="eastAsia"/>
          <w:rtl/>
        </w:rPr>
        <w:t>בפועל</w:t>
      </w:r>
      <w:r>
        <w:rPr>
          <w:rtl/>
        </w:rPr>
        <w:t xml:space="preserve">, </w:t>
      </w:r>
      <w:r>
        <w:rPr>
          <w:rFonts w:hint="eastAsia"/>
          <w:rtl/>
        </w:rPr>
        <w:t>אלא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קבע</w:t>
      </w:r>
      <w:r>
        <w:rPr>
          <w:rtl/>
        </w:rPr>
        <w:t xml:space="preserve"> </w:t>
      </w:r>
      <w:r>
        <w:rPr>
          <w:rFonts w:hint="eastAsia"/>
          <w:rtl/>
        </w:rPr>
        <w:t>יושב</w:t>
      </w:r>
      <w:r>
        <w:rPr>
          <w:rtl/>
        </w:rPr>
        <w:t xml:space="preserve"> </w:t>
      </w:r>
      <w:r>
        <w:rPr>
          <w:rFonts w:hint="eastAsia"/>
          <w:rtl/>
        </w:rPr>
        <w:t>ראש</w:t>
      </w:r>
      <w:r>
        <w:rPr>
          <w:rtl/>
        </w:rPr>
        <w:t xml:space="preserve"> </w:t>
      </w:r>
      <w:r>
        <w:rPr>
          <w:rFonts w:hint="eastAsia"/>
          <w:rtl/>
        </w:rPr>
        <w:t>ועדת</w:t>
      </w:r>
      <w:r>
        <w:rPr>
          <w:rtl/>
        </w:rPr>
        <w:t xml:space="preserve"> </w:t>
      </w:r>
      <w:r>
        <w:rPr>
          <w:rFonts w:hint="eastAsia"/>
          <w:rtl/>
        </w:rPr>
        <w:t>הבחירות</w:t>
      </w:r>
      <w:r>
        <w:rPr>
          <w:rtl/>
        </w:rPr>
        <w:t xml:space="preserve"> </w:t>
      </w:r>
      <w:r>
        <w:rPr>
          <w:rFonts w:hint="eastAsia"/>
          <w:rtl/>
        </w:rPr>
        <w:t>המרכזית</w:t>
      </w:r>
      <w:r>
        <w:rPr>
          <w:rtl/>
        </w:rPr>
        <w:t xml:space="preserve"> </w:t>
      </w:r>
      <w:r>
        <w:rPr>
          <w:rFonts w:hint="eastAsia"/>
          <w:rtl/>
        </w:rPr>
        <w:t>כי</w:t>
      </w:r>
      <w:r>
        <w:rPr>
          <w:rtl/>
        </w:rPr>
        <w:t xml:space="preserve"> </w:t>
      </w:r>
      <w:r>
        <w:rPr>
          <w:rFonts w:hint="eastAsia"/>
          <w:rtl/>
        </w:rPr>
        <w:t>אין</w:t>
      </w:r>
      <w:r>
        <w:rPr>
          <w:rtl/>
        </w:rPr>
        <w:t xml:space="preserve"> </w:t>
      </w:r>
      <w:r>
        <w:rPr>
          <w:rFonts w:hint="eastAsia"/>
          <w:rtl/>
        </w:rPr>
        <w:t>עם</w:t>
      </w:r>
      <w:r>
        <w:rPr>
          <w:rtl/>
        </w:rPr>
        <w:t xml:space="preserve"> </w:t>
      </w:r>
      <w:r>
        <w:rPr>
          <w:rFonts w:hint="eastAsia"/>
          <w:rtl/>
        </w:rPr>
        <w:t>העבירה</w:t>
      </w:r>
      <w:r>
        <w:rPr>
          <w:rtl/>
        </w:rPr>
        <w:t xml:space="preserve"> </w:t>
      </w:r>
      <w:r>
        <w:rPr>
          <w:rFonts w:hint="eastAsia"/>
          <w:rtl/>
        </w:rPr>
        <w:t>שבה</w:t>
      </w:r>
      <w:r>
        <w:rPr>
          <w:rtl/>
        </w:rPr>
        <w:t xml:space="preserve"> </w:t>
      </w:r>
      <w:r>
        <w:rPr>
          <w:rFonts w:hint="eastAsia"/>
          <w:rtl/>
        </w:rPr>
        <w:t>הורשע</w:t>
      </w:r>
      <w:r>
        <w:rPr>
          <w:rtl/>
        </w:rPr>
        <w:t xml:space="preserve">, </w:t>
      </w:r>
      <w:r>
        <w:rPr>
          <w:rFonts w:hint="eastAsia"/>
          <w:rtl/>
        </w:rPr>
        <w:t>בנסיבות</w:t>
      </w:r>
      <w:r>
        <w:rPr>
          <w:rtl/>
        </w:rPr>
        <w:t xml:space="preserve"> </w:t>
      </w:r>
      <w:r>
        <w:rPr>
          <w:rFonts w:hint="eastAsia"/>
          <w:rtl/>
        </w:rPr>
        <w:t>הענין</w:t>
      </w:r>
      <w:r>
        <w:rPr>
          <w:rtl/>
        </w:rPr>
        <w:t xml:space="preserve">, </w:t>
      </w:r>
      <w:r>
        <w:rPr>
          <w:rFonts w:hint="eastAsia"/>
          <w:rtl/>
        </w:rPr>
        <w:t>משום</w:t>
      </w:r>
      <w:r>
        <w:rPr>
          <w:rtl/>
        </w:rPr>
        <w:t xml:space="preserve"> </w:t>
      </w:r>
      <w:r>
        <w:rPr>
          <w:rFonts w:hint="eastAsia"/>
          <w:rtl/>
        </w:rPr>
        <w:t>קלון</w:t>
      </w:r>
      <w:r>
        <w:rPr>
          <w:rtl/>
        </w:rPr>
        <w:t>".</w:t>
      </w:r>
    </w:p>
    <w:p w14:paraId="0AE68F8D" w14:textId="77777777" w:rsidR="00C36C78" w:rsidRDefault="00C36C78" w:rsidP="00C36C78">
      <w:pPr>
        <w:pStyle w:val="Ruller5"/>
        <w:rPr>
          <w:rtl/>
        </w:rPr>
      </w:pPr>
    </w:p>
    <w:p w14:paraId="4A1DD27D" w14:textId="77777777" w:rsidR="00C36C78" w:rsidRDefault="00C36C78" w:rsidP="00C36C78">
      <w:pPr>
        <w:pStyle w:val="Ruller5"/>
        <w:rPr>
          <w:rtl/>
        </w:rPr>
      </w:pPr>
    </w:p>
    <w:p w14:paraId="7520DD13" w14:textId="77777777" w:rsidR="00C36C78" w:rsidRDefault="00C36C78" w:rsidP="00C36C78">
      <w:pPr>
        <w:pStyle w:val="Ruller41"/>
        <w:rPr>
          <w:rtl/>
        </w:rPr>
      </w:pPr>
      <w:r>
        <w:rPr>
          <w:rtl/>
        </w:rPr>
        <w:lastRenderedPageBreak/>
        <w:tab/>
      </w:r>
      <w:r>
        <w:rPr>
          <w:rFonts w:hint="cs"/>
          <w:rtl/>
        </w:rPr>
        <w:t xml:space="preserve">נוסח זה קובע כי הדרישה לקבלת חוות דעתו של יושב ראש ועדת הבחירות המרכזית חלה רק על מועמד לתפקיד של שר בממשלה אשר נדון למאסר בפועל, להבדיל ממאסר-על-תנאי. במילים אחרות ופשוטות יותר: נוסח זה קובע לעניין עצם הכשרות להתמנות לשר בממשלה את הכלל </w:t>
      </w:r>
      <w:r w:rsidRPr="008D60B0">
        <w:rPr>
          <w:rFonts w:ascii="Century" w:hAnsi="Century" w:cs="Miriam" w:hint="cs"/>
          <w:b/>
          <w:spacing w:val="0"/>
          <w:szCs w:val="24"/>
          <w:rtl/>
        </w:rPr>
        <w:t xml:space="preserve">"אין כלא </w:t>
      </w:r>
      <w:r w:rsidRPr="008D60B0">
        <w:rPr>
          <w:rFonts w:ascii="Century" w:hAnsi="Century" w:cs="Miriam"/>
          <w:b/>
          <w:spacing w:val="0"/>
          <w:szCs w:val="24"/>
          <w:rtl/>
        </w:rPr>
        <w:t>–</w:t>
      </w:r>
      <w:r w:rsidRPr="008D60B0">
        <w:rPr>
          <w:rFonts w:ascii="Century" w:hAnsi="Century" w:cs="Miriam" w:hint="cs"/>
          <w:b/>
          <w:spacing w:val="0"/>
          <w:szCs w:val="24"/>
          <w:rtl/>
        </w:rPr>
        <w:t xml:space="preserve"> אין קלון"</w:t>
      </w:r>
      <w:r>
        <w:rPr>
          <w:rFonts w:ascii="Century" w:hAnsi="Century" w:cs="Miriam" w:hint="cs"/>
          <w:b/>
          <w:spacing w:val="0"/>
          <w:szCs w:val="24"/>
          <w:rtl/>
        </w:rPr>
        <w:t xml:space="preserve"> </w:t>
      </w:r>
      <w:r w:rsidRPr="00DB5330">
        <w:rPr>
          <w:rFonts w:hint="cs"/>
          <w:rtl/>
        </w:rPr>
        <w:t>(זולת אם</w:t>
      </w:r>
      <w:r>
        <w:rPr>
          <w:rFonts w:hint="cs"/>
          <w:rtl/>
        </w:rPr>
        <w:t xml:space="preserve"> בית המשפט אשר הרשיע את הנאשם קבע במפורש כי היה במעשיו משום קלון). כלל חדש זה נקבע במסגרת </w:t>
      </w:r>
      <w:r w:rsidRPr="008D60B0">
        <w:rPr>
          <w:rFonts w:hint="eastAsia"/>
          <w:rtl/>
        </w:rPr>
        <w:t>תיקון</w:t>
      </w:r>
      <w:r w:rsidRPr="008D60B0">
        <w:rPr>
          <w:rtl/>
        </w:rPr>
        <w:t xml:space="preserve"> </w:t>
      </w:r>
      <w:r w:rsidRPr="008D60B0">
        <w:rPr>
          <w:rFonts w:hint="eastAsia"/>
          <w:rtl/>
        </w:rPr>
        <w:t>מס</w:t>
      </w:r>
      <w:r>
        <w:rPr>
          <w:rtl/>
        </w:rPr>
        <w:t>' 11</w:t>
      </w:r>
      <w:r>
        <w:rPr>
          <w:rFonts w:hint="cs"/>
          <w:rtl/>
        </w:rPr>
        <w:t xml:space="preserve"> לחוק היסוד אשר נחקק, או כונן, בשנת </w:t>
      </w:r>
      <w:r w:rsidRPr="008D60B0">
        <w:rPr>
          <w:rFonts w:hint="eastAsia"/>
          <w:rtl/>
        </w:rPr>
        <w:t>התשפ</w:t>
      </w:r>
      <w:r w:rsidRPr="008D60B0">
        <w:rPr>
          <w:rtl/>
        </w:rPr>
        <w:t>"</w:t>
      </w:r>
      <w:r w:rsidRPr="008D60B0">
        <w:rPr>
          <w:rFonts w:hint="eastAsia"/>
          <w:rtl/>
        </w:rPr>
        <w:t>ג</w:t>
      </w:r>
      <w:r>
        <w:rPr>
          <w:rtl/>
        </w:rPr>
        <w:t>-2022</w:t>
      </w:r>
      <w:r>
        <w:rPr>
          <w:rFonts w:hint="cs"/>
          <w:rtl/>
        </w:rPr>
        <w:t>, כאשר הוראת התחולה שלו קובעת כי כל מועמד להתמנות לשר בממשלתנו הנוכחית יחסה בצלו של הכלל. נוסחו הישן של סעיף 6(ג)(1) לחוק יסוד: הממשלה, שכאמור עמד כאבן-נגף בדרכו של דרעי לממשלה החדשה, ירד לתהום הנשייה.</w:t>
      </w:r>
    </w:p>
    <w:p w14:paraId="08CE0FAD" w14:textId="77777777" w:rsidR="00C36C78" w:rsidRDefault="00C36C78" w:rsidP="00C36C78">
      <w:pPr>
        <w:pStyle w:val="Ruller41"/>
        <w:rPr>
          <w:rtl/>
        </w:rPr>
      </w:pPr>
    </w:p>
    <w:p w14:paraId="643C175E" w14:textId="77777777" w:rsidR="00C36C78" w:rsidRDefault="00C36C78" w:rsidP="00C36C78">
      <w:pPr>
        <w:pStyle w:val="Ruller4"/>
      </w:pPr>
      <w:r>
        <w:rPr>
          <w:rFonts w:hint="cs"/>
          <w:rtl/>
        </w:rPr>
        <w:t xml:space="preserve">תיקון זה של חוק היסוד שינה את </w:t>
      </w:r>
      <w:r w:rsidRPr="00E9246E">
        <w:rPr>
          <w:rFonts w:hint="cs"/>
          <w:rtl/>
        </w:rPr>
        <w:t>המצב המשפט הכללי</w:t>
      </w:r>
      <w:r>
        <w:rPr>
          <w:rFonts w:hint="cs"/>
          <w:rtl/>
        </w:rPr>
        <w:t xml:space="preserve"> </w:t>
      </w:r>
      <w:r>
        <w:rPr>
          <w:rtl/>
        </w:rPr>
        <w:t>–</w:t>
      </w:r>
      <w:r>
        <w:rPr>
          <w:rFonts w:hint="cs"/>
          <w:rtl/>
        </w:rPr>
        <w:t xml:space="preserve"> ואין בדעתי לדון </w:t>
      </w:r>
      <w:proofErr w:type="spellStart"/>
      <w:r>
        <w:rPr>
          <w:rFonts w:hint="cs"/>
          <w:rtl/>
        </w:rPr>
        <w:t>בחוקתיותו</w:t>
      </w:r>
      <w:proofErr w:type="spellEnd"/>
      <w:r>
        <w:rPr>
          <w:rFonts w:hint="cs"/>
          <w:rtl/>
        </w:rPr>
        <w:t xml:space="preserve"> </w:t>
      </w:r>
      <w:r w:rsidRPr="0023041B">
        <w:rPr>
          <w:rFonts w:hint="cs"/>
          <w:rtl/>
        </w:rPr>
        <w:t xml:space="preserve">בהיותי נאמן לכלל הגדול אשר אוסר עלינו להיזקק </w:t>
      </w:r>
      <w:r>
        <w:rPr>
          <w:rFonts w:hint="cs"/>
          <w:rtl/>
        </w:rPr>
        <w:t>למשפט החוקתי</w:t>
      </w:r>
      <w:r w:rsidRPr="0023041B">
        <w:rPr>
          <w:rFonts w:hint="cs"/>
          <w:rtl/>
        </w:rPr>
        <w:t xml:space="preserve"> כאשר הפתרון למחלוקת המונחת לפתחנו מצוי בחיקו של דין רגיל</w:t>
      </w:r>
      <w:r>
        <w:rPr>
          <w:rFonts w:hint="cs"/>
          <w:rtl/>
        </w:rPr>
        <w:t xml:space="preserve">. כך לימדנו הנשיא </w:t>
      </w:r>
      <w:r w:rsidRPr="009F0FBC">
        <w:rPr>
          <w:rFonts w:ascii="Century" w:hAnsi="Century" w:cs="Miriam" w:hint="cs"/>
          <w:b/>
          <w:spacing w:val="0"/>
          <w:sz w:val="22"/>
          <w:szCs w:val="24"/>
          <w:rtl/>
        </w:rPr>
        <w:t>מ' שמגר</w:t>
      </w:r>
      <w:r w:rsidRPr="009F0FBC">
        <w:rPr>
          <w:rFonts w:hint="cs"/>
          <w:rtl/>
        </w:rPr>
        <w:t xml:space="preserve"> </w:t>
      </w:r>
      <w:r>
        <w:rPr>
          <w:rFonts w:hint="cs"/>
          <w:rtl/>
        </w:rPr>
        <w:t>בפסק דינו ב</w:t>
      </w:r>
      <w:r w:rsidRPr="000A3315">
        <w:rPr>
          <w:rFonts w:hint="eastAsia"/>
          <w:rtl/>
        </w:rPr>
        <w:t>ע</w:t>
      </w:r>
      <w:r>
        <w:rPr>
          <w:rFonts w:hint="cs"/>
          <w:rtl/>
        </w:rPr>
        <w:t>"</w:t>
      </w:r>
      <w:r w:rsidRPr="000A3315">
        <w:rPr>
          <w:rFonts w:hint="eastAsia"/>
          <w:rtl/>
        </w:rPr>
        <w:t>א</w:t>
      </w:r>
      <w:r>
        <w:rPr>
          <w:rtl/>
        </w:rPr>
        <w:t xml:space="preserve"> 6821/93</w:t>
      </w:r>
      <w:r>
        <w:rPr>
          <w:rFonts w:hint="cs"/>
          <w:rtl/>
        </w:rPr>
        <w:t xml:space="preserve"> </w:t>
      </w:r>
      <w:r w:rsidRPr="00F738B0">
        <w:rPr>
          <w:rFonts w:ascii="Century" w:hAnsi="Century" w:cs="Miriam" w:hint="eastAsia"/>
          <w:b/>
          <w:spacing w:val="0"/>
          <w:sz w:val="22"/>
          <w:szCs w:val="24"/>
          <w:rtl/>
        </w:rPr>
        <w:t>בנק</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המזרחי</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המאוחד</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בע</w:t>
      </w:r>
      <w:r w:rsidRPr="00F738B0">
        <w:rPr>
          <w:rFonts w:ascii="Century" w:hAnsi="Century" w:cs="Miriam"/>
          <w:b/>
          <w:spacing w:val="0"/>
          <w:sz w:val="22"/>
          <w:szCs w:val="24"/>
          <w:rtl/>
        </w:rPr>
        <w:t>"</w:t>
      </w:r>
      <w:r w:rsidRPr="00F738B0">
        <w:rPr>
          <w:rFonts w:ascii="Century" w:hAnsi="Century" w:cs="Miriam" w:hint="eastAsia"/>
          <w:b/>
          <w:spacing w:val="0"/>
          <w:sz w:val="22"/>
          <w:szCs w:val="24"/>
          <w:rtl/>
        </w:rPr>
        <w:t>מ</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נ</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מגדל</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כפר</w:t>
      </w:r>
      <w:r w:rsidRPr="00F738B0">
        <w:rPr>
          <w:rFonts w:ascii="Century" w:hAnsi="Century" w:cs="Miriam"/>
          <w:b/>
          <w:spacing w:val="0"/>
          <w:sz w:val="22"/>
          <w:szCs w:val="24"/>
          <w:rtl/>
        </w:rPr>
        <w:t xml:space="preserve"> </w:t>
      </w:r>
      <w:r w:rsidRPr="00F738B0">
        <w:rPr>
          <w:rFonts w:ascii="Century" w:hAnsi="Century" w:cs="Miriam" w:hint="eastAsia"/>
          <w:b/>
          <w:spacing w:val="0"/>
          <w:sz w:val="22"/>
          <w:szCs w:val="24"/>
          <w:rtl/>
        </w:rPr>
        <w:t>שיתופי</w:t>
      </w:r>
      <w:r>
        <w:rPr>
          <w:rFonts w:hint="cs"/>
          <w:rtl/>
        </w:rPr>
        <w:t xml:space="preserve">, </w:t>
      </w:r>
      <w:r w:rsidRPr="000A3315">
        <w:rPr>
          <w:rFonts w:hint="eastAsia"/>
          <w:rtl/>
        </w:rPr>
        <w:t>פ</w:t>
      </w:r>
      <w:r w:rsidRPr="000A3315">
        <w:rPr>
          <w:rtl/>
        </w:rPr>
        <w:t>"</w:t>
      </w:r>
      <w:r w:rsidRPr="000A3315">
        <w:rPr>
          <w:rFonts w:hint="eastAsia"/>
          <w:rtl/>
        </w:rPr>
        <w:t>ד</w:t>
      </w:r>
      <w:r w:rsidRPr="000A3315">
        <w:rPr>
          <w:rtl/>
        </w:rPr>
        <w:t xml:space="preserve"> </w:t>
      </w:r>
      <w:r w:rsidRPr="000A3315">
        <w:rPr>
          <w:rFonts w:hint="eastAsia"/>
          <w:rtl/>
        </w:rPr>
        <w:t>מט</w:t>
      </w:r>
      <w:r w:rsidRPr="000A3315">
        <w:rPr>
          <w:rtl/>
        </w:rPr>
        <w:t>(4) 221</w:t>
      </w:r>
      <w:r>
        <w:rPr>
          <w:rFonts w:hint="cs"/>
          <w:rtl/>
        </w:rPr>
        <w:t xml:space="preserve">, 350 (1995), בהסתמכו על פסק הדין הידוע של בית המשפט העליון של ארה"ב, </w:t>
      </w:r>
      <w:proofErr w:type="spellStart"/>
      <w:r w:rsidRPr="0023041B">
        <w:rPr>
          <w:rFonts w:asciiTheme="majorBidi" w:hAnsiTheme="majorBidi" w:cstheme="majorBidi"/>
        </w:rPr>
        <w:t>Ashwander</w:t>
      </w:r>
      <w:proofErr w:type="spellEnd"/>
      <w:r w:rsidRPr="0023041B">
        <w:rPr>
          <w:rFonts w:asciiTheme="majorBidi" w:hAnsiTheme="majorBidi" w:cstheme="majorBidi"/>
        </w:rPr>
        <w:t xml:space="preserve"> v. TVA, 297 U.S. 288, 346 (1936)</w:t>
      </w:r>
      <w:r>
        <w:rPr>
          <w:rFonts w:hint="cs"/>
          <w:rtl/>
        </w:rPr>
        <w:t xml:space="preserve"> </w:t>
      </w:r>
      <w:r>
        <w:rPr>
          <w:rtl/>
        </w:rPr>
        <w:t>–</w:t>
      </w:r>
      <w:r>
        <w:rPr>
          <w:rFonts w:hint="cs"/>
          <w:rtl/>
        </w:rPr>
        <w:t xml:space="preserve"> וכך חובה עלינו לנהוג כאן ובכל מקרה דומה (ראו גם: </w:t>
      </w:r>
      <w:r w:rsidRPr="00387E74">
        <w:rPr>
          <w:rFonts w:hint="eastAsia"/>
          <w:rtl/>
        </w:rPr>
        <w:t>רע</w:t>
      </w:r>
      <w:r w:rsidRPr="00387E74">
        <w:rPr>
          <w:rtl/>
        </w:rPr>
        <w:t>"</w:t>
      </w:r>
      <w:r w:rsidRPr="00387E74">
        <w:rPr>
          <w:rFonts w:hint="eastAsia"/>
          <w:rtl/>
        </w:rPr>
        <w:t>א</w:t>
      </w:r>
      <w:r w:rsidRPr="00387E74">
        <w:rPr>
          <w:rtl/>
        </w:rPr>
        <w:t xml:space="preserve"> 10011/17 </w:t>
      </w:r>
      <w:r w:rsidRPr="00387E74">
        <w:rPr>
          <w:rFonts w:ascii="Century" w:hAnsi="Century" w:cs="Miriam" w:hint="eastAsia"/>
          <w:b/>
          <w:spacing w:val="0"/>
          <w:sz w:val="22"/>
          <w:szCs w:val="24"/>
          <w:rtl/>
        </w:rPr>
        <w:t>מי</w:t>
      </w:r>
      <w:r w:rsidRPr="00387E74">
        <w:rPr>
          <w:rFonts w:ascii="Century" w:hAnsi="Century" w:cs="Miriam"/>
          <w:b/>
          <w:spacing w:val="0"/>
          <w:sz w:val="22"/>
          <w:szCs w:val="24"/>
          <w:rtl/>
        </w:rPr>
        <w:t>-</w:t>
      </w:r>
      <w:r w:rsidRPr="00387E74">
        <w:rPr>
          <w:rFonts w:ascii="Century" w:hAnsi="Century" w:cs="Miriam" w:hint="eastAsia"/>
          <w:b/>
          <w:spacing w:val="0"/>
          <w:sz w:val="22"/>
          <w:szCs w:val="24"/>
          <w:rtl/>
        </w:rPr>
        <w:t>טל</w:t>
      </w:r>
      <w:r w:rsidRPr="00387E74">
        <w:rPr>
          <w:rFonts w:ascii="Century" w:hAnsi="Century" w:cs="Miriam"/>
          <w:b/>
          <w:spacing w:val="0"/>
          <w:sz w:val="22"/>
          <w:szCs w:val="24"/>
          <w:rtl/>
        </w:rPr>
        <w:t xml:space="preserve"> </w:t>
      </w:r>
      <w:r w:rsidRPr="00387E74">
        <w:rPr>
          <w:rFonts w:ascii="Century" w:hAnsi="Century" w:cs="Miriam" w:hint="eastAsia"/>
          <w:b/>
          <w:spacing w:val="0"/>
          <w:sz w:val="22"/>
          <w:szCs w:val="24"/>
          <w:rtl/>
        </w:rPr>
        <w:t>הנדסה</w:t>
      </w:r>
      <w:r w:rsidRPr="00387E74">
        <w:rPr>
          <w:rFonts w:ascii="Century" w:hAnsi="Century" w:cs="Miriam"/>
          <w:b/>
          <w:spacing w:val="0"/>
          <w:sz w:val="22"/>
          <w:szCs w:val="24"/>
          <w:rtl/>
        </w:rPr>
        <w:t xml:space="preserve"> </w:t>
      </w:r>
      <w:r w:rsidRPr="00387E74">
        <w:rPr>
          <w:rFonts w:ascii="Century" w:hAnsi="Century" w:cs="Miriam" w:hint="eastAsia"/>
          <w:b/>
          <w:spacing w:val="0"/>
          <w:sz w:val="22"/>
          <w:szCs w:val="24"/>
          <w:rtl/>
        </w:rPr>
        <w:t>ושירותים</w:t>
      </w:r>
      <w:r w:rsidRPr="00387E74">
        <w:rPr>
          <w:rFonts w:ascii="Century" w:hAnsi="Century" w:cs="Miriam"/>
          <w:b/>
          <w:spacing w:val="0"/>
          <w:sz w:val="22"/>
          <w:szCs w:val="24"/>
          <w:rtl/>
        </w:rPr>
        <w:t xml:space="preserve"> </w:t>
      </w:r>
      <w:r w:rsidRPr="00387E74">
        <w:rPr>
          <w:rFonts w:ascii="Century" w:hAnsi="Century" w:cs="Miriam" w:hint="eastAsia"/>
          <w:b/>
          <w:spacing w:val="0"/>
          <w:sz w:val="22"/>
          <w:szCs w:val="24"/>
          <w:rtl/>
        </w:rPr>
        <w:t>בע</w:t>
      </w:r>
      <w:r w:rsidRPr="00387E74">
        <w:rPr>
          <w:rFonts w:ascii="Century" w:hAnsi="Century" w:cs="Miriam"/>
          <w:b/>
          <w:spacing w:val="0"/>
          <w:sz w:val="22"/>
          <w:szCs w:val="24"/>
          <w:rtl/>
        </w:rPr>
        <w:t>"</w:t>
      </w:r>
      <w:r w:rsidRPr="00387E74">
        <w:rPr>
          <w:rFonts w:ascii="Century" w:hAnsi="Century" w:cs="Miriam" w:hint="eastAsia"/>
          <w:b/>
          <w:spacing w:val="0"/>
          <w:sz w:val="22"/>
          <w:szCs w:val="24"/>
          <w:rtl/>
        </w:rPr>
        <w:t>מ</w:t>
      </w:r>
      <w:r w:rsidRPr="00387E74">
        <w:rPr>
          <w:rFonts w:ascii="Century" w:hAnsi="Century" w:cs="Miriam"/>
          <w:b/>
          <w:spacing w:val="0"/>
          <w:sz w:val="22"/>
          <w:szCs w:val="24"/>
          <w:rtl/>
        </w:rPr>
        <w:t xml:space="preserve"> </w:t>
      </w:r>
      <w:r w:rsidRPr="00387E74">
        <w:rPr>
          <w:rFonts w:ascii="Century" w:hAnsi="Century" w:cs="Miriam" w:hint="eastAsia"/>
          <w:b/>
          <w:spacing w:val="0"/>
          <w:sz w:val="22"/>
          <w:szCs w:val="24"/>
          <w:rtl/>
        </w:rPr>
        <w:t>נ</w:t>
      </w:r>
      <w:r w:rsidRPr="00387E74">
        <w:rPr>
          <w:rFonts w:ascii="Century" w:hAnsi="Century" w:cs="Miriam"/>
          <w:b/>
          <w:spacing w:val="0"/>
          <w:sz w:val="22"/>
          <w:szCs w:val="24"/>
          <w:rtl/>
        </w:rPr>
        <w:t xml:space="preserve">' </w:t>
      </w:r>
      <w:r w:rsidRPr="00387E74">
        <w:rPr>
          <w:rFonts w:ascii="Century" w:hAnsi="Century" w:cs="Miriam" w:hint="eastAsia"/>
          <w:b/>
          <w:spacing w:val="0"/>
          <w:sz w:val="22"/>
          <w:szCs w:val="24"/>
          <w:rtl/>
        </w:rPr>
        <w:t>סלמאן</w:t>
      </w:r>
      <w:r>
        <w:rPr>
          <w:rFonts w:hint="cs"/>
          <w:rtl/>
        </w:rPr>
        <w:t>, פסקה 25 לפסק דיני והאסמכתאות שם</w:t>
      </w:r>
      <w:r w:rsidRPr="00387E74">
        <w:rPr>
          <w:rtl/>
        </w:rPr>
        <w:t xml:space="preserve"> (19.</w:t>
      </w:r>
      <w:r>
        <w:rPr>
          <w:rFonts w:hint="cs"/>
          <w:rtl/>
        </w:rPr>
        <w:t>8</w:t>
      </w:r>
      <w:r w:rsidRPr="00387E74">
        <w:rPr>
          <w:rtl/>
        </w:rPr>
        <w:t>.2019)</w:t>
      </w:r>
      <w:r>
        <w:rPr>
          <w:rFonts w:hint="cs"/>
          <w:rtl/>
        </w:rPr>
        <w:t xml:space="preserve">). </w:t>
      </w:r>
    </w:p>
    <w:p w14:paraId="705961D7" w14:textId="77777777" w:rsidR="00C36C78" w:rsidRDefault="00C36C78" w:rsidP="00C36C78">
      <w:pPr>
        <w:pStyle w:val="Ruller4"/>
        <w:numPr>
          <w:ilvl w:val="0"/>
          <w:numId w:val="0"/>
        </w:numPr>
      </w:pPr>
    </w:p>
    <w:p w14:paraId="300B5624" w14:textId="77777777" w:rsidR="00C36C78" w:rsidRPr="000A3315" w:rsidRDefault="00C36C78" w:rsidP="00C36C78">
      <w:pPr>
        <w:pStyle w:val="Ruller4"/>
      </w:pPr>
      <w:r>
        <w:rPr>
          <w:rFonts w:hint="cs"/>
          <w:rtl/>
        </w:rPr>
        <w:t xml:space="preserve">ברם, כפי שאראה להלן, </w:t>
      </w:r>
      <w:r w:rsidRPr="0023041B">
        <w:rPr>
          <w:rFonts w:ascii="Century" w:hAnsi="Century" w:cs="Miriam" w:hint="cs"/>
          <w:b/>
          <w:spacing w:val="0"/>
          <w:sz w:val="22"/>
          <w:szCs w:val="24"/>
          <w:rtl/>
        </w:rPr>
        <w:t xml:space="preserve">המצב המשפטי הכללי שהכנסת כוננה אינו משנה כהוא זה את </w:t>
      </w:r>
      <w:r w:rsidRPr="0023041B">
        <w:rPr>
          <w:rFonts w:ascii="Century" w:hAnsi="Century" w:cs="Miriam" w:hint="cs"/>
          <w:b/>
          <w:spacing w:val="0"/>
          <w:sz w:val="22"/>
          <w:szCs w:val="24"/>
          <w:u w:val="single"/>
          <w:rtl/>
        </w:rPr>
        <w:t>מצבו המשפטי האינדיווידואלי של דרעי</w:t>
      </w:r>
      <w:r w:rsidRPr="0023041B">
        <w:rPr>
          <w:rFonts w:ascii="Century" w:hAnsi="Century" w:cs="Miriam" w:hint="cs"/>
          <w:b/>
          <w:spacing w:val="0"/>
          <w:sz w:val="22"/>
          <w:szCs w:val="24"/>
          <w:rtl/>
        </w:rPr>
        <w:t>, אשר נוצר בעקבות ההצהרה שהלה מסר לבית המשפט אגב אישורו של הסדר הטיעון</w:t>
      </w:r>
      <w:r>
        <w:rPr>
          <w:rFonts w:hint="cs"/>
          <w:rtl/>
        </w:rPr>
        <w:t xml:space="preserve">. הצהרה זו והסתמכותו של בית המשפט והתובע עליה יוצרות "השתק שיפוטי" ומעמידות בפני דרעי, בבואו להתמנות לשר בממשלה, אבן-נגף משפטית שאין לה הופכין, ששמה "מניעות": </w:t>
      </w:r>
      <w:r w:rsidRPr="008C02B8">
        <w:rPr>
          <w:rFonts w:ascii="Century" w:hAnsi="Century" w:cs="Miriam" w:hint="cs"/>
          <w:b/>
          <w:spacing w:val="0"/>
          <w:sz w:val="22"/>
          <w:szCs w:val="24"/>
          <w:rtl/>
        </w:rPr>
        <w:t>מניעות אישית</w:t>
      </w:r>
      <w:r w:rsidRPr="008C02B8">
        <w:rPr>
          <w:rFonts w:hint="cs"/>
          <w:rtl/>
        </w:rPr>
        <w:t xml:space="preserve"> </w:t>
      </w:r>
      <w:r>
        <w:rPr>
          <w:rFonts w:hint="cs"/>
          <w:rtl/>
        </w:rPr>
        <w:t xml:space="preserve">אשר חוסמת בפני דרעי </w:t>
      </w:r>
      <w:r>
        <w:rPr>
          <w:rtl/>
        </w:rPr>
        <w:t>–</w:t>
      </w:r>
      <w:r>
        <w:rPr>
          <w:rFonts w:hint="cs"/>
          <w:rtl/>
        </w:rPr>
        <w:t xml:space="preserve"> וכפועל יוצא מכך, בפני ראש הממשלה שמבקש למנות את דרעי לשר </w:t>
      </w:r>
      <w:r>
        <w:rPr>
          <w:rtl/>
        </w:rPr>
        <w:t>–</w:t>
      </w:r>
      <w:r>
        <w:rPr>
          <w:rFonts w:hint="cs"/>
          <w:rtl/>
        </w:rPr>
        <w:t xml:space="preserve"> את האפשרות להתמנות לשר גם על-פי המתווה החדש שנקבע בסעיף 6(ג)(1) המתוקן לחוק יסוד: הממשלה. </w:t>
      </w:r>
    </w:p>
    <w:p w14:paraId="3DF45F3F" w14:textId="77777777" w:rsidR="00C36C78" w:rsidRPr="006F7CF7" w:rsidRDefault="00C36C78" w:rsidP="00C36C78">
      <w:pPr>
        <w:pStyle w:val="Ruller4"/>
        <w:numPr>
          <w:ilvl w:val="0"/>
          <w:numId w:val="0"/>
        </w:numPr>
        <w:rPr>
          <w:rtl/>
        </w:rPr>
      </w:pPr>
    </w:p>
    <w:p w14:paraId="62F6C841" w14:textId="77777777" w:rsidR="00C36C78" w:rsidRPr="00533EC1" w:rsidRDefault="00C36C78" w:rsidP="00C36C78">
      <w:pPr>
        <w:pStyle w:val="Ruller41"/>
        <w:rPr>
          <w:rFonts w:ascii="Century" w:hAnsi="Century" w:cs="Miriam"/>
          <w:b/>
          <w:spacing w:val="0"/>
          <w:szCs w:val="24"/>
        </w:rPr>
      </w:pPr>
      <w:r>
        <w:rPr>
          <w:rFonts w:ascii="Century" w:hAnsi="Century" w:cs="Miriam" w:hint="cs"/>
          <w:b/>
          <w:spacing w:val="0"/>
          <w:szCs w:val="24"/>
          <w:rtl/>
        </w:rPr>
        <w:t xml:space="preserve">השתק שיפוטי, </w:t>
      </w:r>
      <w:r w:rsidRPr="00533EC1">
        <w:rPr>
          <w:rFonts w:ascii="Century" w:hAnsi="Century" w:cs="Miriam" w:hint="cs"/>
          <w:b/>
          <w:spacing w:val="0"/>
          <w:szCs w:val="24"/>
          <w:rtl/>
        </w:rPr>
        <w:t xml:space="preserve">מניעות </w:t>
      </w:r>
      <w:r>
        <w:rPr>
          <w:rFonts w:ascii="Century" w:hAnsi="Century" w:cs="Miriam" w:hint="cs"/>
          <w:b/>
          <w:spacing w:val="0"/>
          <w:szCs w:val="24"/>
          <w:rtl/>
        </w:rPr>
        <w:t>והשלכותיהם על עניינו של דרעי</w:t>
      </w:r>
    </w:p>
    <w:p w14:paraId="306D53AF" w14:textId="77777777" w:rsidR="00C36C78" w:rsidRDefault="00C36C78" w:rsidP="00C36C78">
      <w:pPr>
        <w:pStyle w:val="Ruller4"/>
        <w:numPr>
          <w:ilvl w:val="0"/>
          <w:numId w:val="0"/>
        </w:numPr>
      </w:pPr>
    </w:p>
    <w:p w14:paraId="6D3033E4" w14:textId="77777777" w:rsidR="00C36C78" w:rsidRDefault="00C36C78" w:rsidP="00C36C78">
      <w:pPr>
        <w:pStyle w:val="Ruller4"/>
        <w:rPr>
          <w:rtl/>
        </w:rPr>
      </w:pPr>
      <w:r>
        <w:rPr>
          <w:rFonts w:hint="cs"/>
          <w:rtl/>
        </w:rPr>
        <w:t xml:space="preserve">דוקטרינת </w:t>
      </w:r>
      <w:proofErr w:type="spellStart"/>
      <w:r>
        <w:rPr>
          <w:rFonts w:hint="cs"/>
          <w:rtl/>
        </w:rPr>
        <w:t>ההשתק</w:t>
      </w:r>
      <w:proofErr w:type="spellEnd"/>
      <w:r>
        <w:rPr>
          <w:rFonts w:hint="cs"/>
          <w:rtl/>
        </w:rPr>
        <w:t xml:space="preserve"> השיפוטי וכללי המניעות המקבילים, אשר נקבעו בפסיקתו של בית משפט זה ויושמו על ידו במגוון רחב של מקרים, נמצאים עמנו מזה זמן רב (ראו: ע"א 513/89 </w:t>
      </w:r>
      <w:r w:rsidRPr="00654784">
        <w:rPr>
          <w:rFonts w:asciiTheme="majorBidi" w:hAnsiTheme="majorBidi" w:cstheme="majorBidi"/>
        </w:rPr>
        <w:t>S/</w:t>
      </w:r>
      <w:proofErr w:type="spellStart"/>
      <w:r w:rsidRPr="00654784">
        <w:rPr>
          <w:rFonts w:asciiTheme="majorBidi" w:hAnsiTheme="majorBidi" w:cstheme="majorBidi"/>
        </w:rPr>
        <w:t>interlego</w:t>
      </w:r>
      <w:proofErr w:type="spellEnd"/>
      <w:r w:rsidRPr="00654784">
        <w:rPr>
          <w:rFonts w:asciiTheme="majorBidi" w:hAnsiTheme="majorBidi" w:cstheme="majorBidi"/>
        </w:rPr>
        <w:t xml:space="preserve"> a</w:t>
      </w:r>
      <w:r w:rsidRPr="00BF271B">
        <w:t xml:space="preserve"> </w:t>
      </w:r>
      <w:r w:rsidRPr="00BF271B">
        <w:rPr>
          <w:cs/>
        </w:rPr>
        <w:t>‎</w:t>
      </w:r>
      <w:r>
        <w:rPr>
          <w:rFonts w:hint="cs"/>
          <w:rtl/>
        </w:rPr>
        <w:t xml:space="preserve"> </w:t>
      </w:r>
      <w:r w:rsidRPr="00BF271B">
        <w:rPr>
          <w:rFonts w:hint="eastAsia"/>
          <w:rtl/>
        </w:rPr>
        <w:t>נ</w:t>
      </w:r>
      <w:r w:rsidRPr="00BF271B">
        <w:rPr>
          <w:rtl/>
        </w:rPr>
        <w:t>' ‏</w:t>
      </w:r>
      <w:r w:rsidRPr="00654784">
        <w:rPr>
          <w:rFonts w:asciiTheme="majorBidi" w:hAnsiTheme="majorBidi" w:cstheme="majorBidi"/>
        </w:rPr>
        <w:t xml:space="preserve">lines bros. </w:t>
      </w:r>
      <w:proofErr w:type="spellStart"/>
      <w:r w:rsidRPr="00654784">
        <w:rPr>
          <w:rFonts w:asciiTheme="majorBidi" w:hAnsiTheme="majorBidi" w:cstheme="majorBidi"/>
        </w:rPr>
        <w:t>S.a-exin</w:t>
      </w:r>
      <w:proofErr w:type="spellEnd"/>
      <w:r>
        <w:rPr>
          <w:rFonts w:hint="cs"/>
          <w:rtl/>
        </w:rPr>
        <w:t xml:space="preserve">, </w:t>
      </w:r>
      <w:r w:rsidRPr="001F34CA">
        <w:rPr>
          <w:rFonts w:ascii="Arial TUR" w:hAnsi="Arial TUR" w:hint="eastAsia"/>
          <w:sz w:val="22"/>
          <w:rtl/>
        </w:rPr>
        <w:t>פ</w:t>
      </w:r>
      <w:r w:rsidRPr="001F34CA">
        <w:rPr>
          <w:rFonts w:ascii="Arial TUR" w:hAnsi="Arial TUR"/>
          <w:sz w:val="22"/>
          <w:rtl/>
        </w:rPr>
        <w:t>"</w:t>
      </w:r>
      <w:r w:rsidRPr="001F34CA">
        <w:rPr>
          <w:rFonts w:ascii="Arial TUR" w:hAnsi="Arial TUR" w:hint="eastAsia"/>
          <w:sz w:val="22"/>
          <w:rtl/>
        </w:rPr>
        <w:t>ד</w:t>
      </w:r>
      <w:r w:rsidRPr="001F34CA">
        <w:rPr>
          <w:rFonts w:ascii="Arial TUR" w:hAnsi="Arial TUR"/>
          <w:sz w:val="22"/>
          <w:rtl/>
        </w:rPr>
        <w:t xml:space="preserve"> </w:t>
      </w:r>
      <w:r w:rsidRPr="001F34CA">
        <w:rPr>
          <w:rFonts w:ascii="Arial TUR" w:hAnsi="Arial TUR" w:hint="eastAsia"/>
          <w:sz w:val="22"/>
          <w:rtl/>
        </w:rPr>
        <w:t>מח</w:t>
      </w:r>
      <w:r w:rsidRPr="001F34CA">
        <w:rPr>
          <w:rFonts w:ascii="Arial TUR" w:hAnsi="Arial TUR"/>
          <w:sz w:val="22"/>
          <w:rtl/>
        </w:rPr>
        <w:t>(4) 133, 195 (1994)</w:t>
      </w:r>
      <w:r>
        <w:rPr>
          <w:rFonts w:hint="cs"/>
          <w:rtl/>
        </w:rPr>
        <w:t xml:space="preserve"> (להלן: </w:t>
      </w:r>
      <w:r w:rsidRPr="00073EEB">
        <w:rPr>
          <w:rFonts w:ascii="Century" w:hAnsi="Century" w:cs="Miriam" w:hint="cs"/>
          <w:b/>
          <w:spacing w:val="0"/>
          <w:sz w:val="22"/>
          <w:szCs w:val="24"/>
          <w:rtl/>
        </w:rPr>
        <w:t>ע"א 513/89</w:t>
      </w:r>
      <w:r>
        <w:rPr>
          <w:rFonts w:hint="cs"/>
          <w:rtl/>
        </w:rPr>
        <w:t xml:space="preserve">); </w:t>
      </w:r>
      <w:r w:rsidRPr="00A42B0A">
        <w:rPr>
          <w:rFonts w:hint="eastAsia"/>
          <w:rtl/>
        </w:rPr>
        <w:t>רע</w:t>
      </w:r>
      <w:r w:rsidRPr="00A42B0A">
        <w:rPr>
          <w:rtl/>
        </w:rPr>
        <w:t>"</w:t>
      </w:r>
      <w:r w:rsidRPr="00A42B0A">
        <w:rPr>
          <w:rFonts w:hint="eastAsia"/>
          <w:rtl/>
        </w:rPr>
        <w:t>א</w:t>
      </w:r>
      <w:r w:rsidRPr="00A42B0A">
        <w:rPr>
          <w:rtl/>
        </w:rPr>
        <w:t xml:space="preserve"> 4224/04 </w:t>
      </w:r>
      <w:r w:rsidRPr="001F34CA">
        <w:rPr>
          <w:rFonts w:ascii="Century" w:hAnsi="Century" w:cs="Miriam" w:hint="eastAsia"/>
          <w:b/>
          <w:spacing w:val="0"/>
          <w:sz w:val="22"/>
          <w:szCs w:val="24"/>
          <w:rtl/>
        </w:rPr>
        <w:t>בית</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ששון</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בע</w:t>
      </w:r>
      <w:r w:rsidRPr="001F34CA">
        <w:rPr>
          <w:rFonts w:ascii="Century" w:hAnsi="Century" w:cs="Miriam"/>
          <w:b/>
          <w:spacing w:val="0"/>
          <w:sz w:val="22"/>
          <w:szCs w:val="24"/>
          <w:rtl/>
        </w:rPr>
        <w:t>"</w:t>
      </w:r>
      <w:r w:rsidRPr="001F34CA">
        <w:rPr>
          <w:rFonts w:ascii="Century" w:hAnsi="Century" w:cs="Miriam" w:hint="eastAsia"/>
          <w:b/>
          <w:spacing w:val="0"/>
          <w:sz w:val="22"/>
          <w:szCs w:val="24"/>
          <w:rtl/>
        </w:rPr>
        <w:t>מ</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נ</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שיכון</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עובדים</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והשקעות</w:t>
      </w:r>
      <w:r w:rsidRPr="001F34CA">
        <w:rPr>
          <w:rFonts w:ascii="Century" w:hAnsi="Century" w:cs="Miriam"/>
          <w:b/>
          <w:spacing w:val="0"/>
          <w:sz w:val="22"/>
          <w:szCs w:val="24"/>
          <w:rtl/>
        </w:rPr>
        <w:t xml:space="preserve"> </w:t>
      </w:r>
      <w:r w:rsidRPr="001F34CA">
        <w:rPr>
          <w:rFonts w:ascii="Century" w:hAnsi="Century" w:cs="Miriam" w:hint="eastAsia"/>
          <w:b/>
          <w:spacing w:val="0"/>
          <w:sz w:val="22"/>
          <w:szCs w:val="24"/>
          <w:rtl/>
        </w:rPr>
        <w:t>בע</w:t>
      </w:r>
      <w:r w:rsidRPr="001F34CA">
        <w:rPr>
          <w:rFonts w:ascii="Century" w:hAnsi="Century" w:cs="Miriam"/>
          <w:b/>
          <w:spacing w:val="0"/>
          <w:sz w:val="22"/>
          <w:szCs w:val="24"/>
          <w:rtl/>
        </w:rPr>
        <w:t>"</w:t>
      </w:r>
      <w:r w:rsidRPr="001F34CA">
        <w:rPr>
          <w:rFonts w:ascii="Century" w:hAnsi="Century" w:cs="Miriam" w:hint="eastAsia"/>
          <w:b/>
          <w:spacing w:val="0"/>
          <w:sz w:val="22"/>
          <w:szCs w:val="24"/>
          <w:rtl/>
        </w:rPr>
        <w:t>מ</w:t>
      </w:r>
      <w:r w:rsidRPr="00A42B0A">
        <w:rPr>
          <w:rtl/>
        </w:rPr>
        <w:t xml:space="preserve">, </w:t>
      </w:r>
      <w:r>
        <w:rPr>
          <w:rFonts w:hint="cs"/>
          <w:rtl/>
        </w:rPr>
        <w:lastRenderedPageBreak/>
        <w:t xml:space="preserve">פ"ד </w:t>
      </w:r>
      <w:r w:rsidRPr="00A42B0A">
        <w:rPr>
          <w:rFonts w:hint="eastAsia"/>
          <w:rtl/>
        </w:rPr>
        <w:t>נט</w:t>
      </w:r>
      <w:r w:rsidRPr="00A42B0A">
        <w:rPr>
          <w:rtl/>
        </w:rPr>
        <w:t xml:space="preserve">(6) </w:t>
      </w:r>
      <w:r>
        <w:rPr>
          <w:rFonts w:hint="cs"/>
          <w:rtl/>
        </w:rPr>
        <w:t>625, 633</w:t>
      </w:r>
      <w:r w:rsidRPr="00A42B0A">
        <w:rPr>
          <w:rtl/>
        </w:rPr>
        <w:t xml:space="preserve"> (2005)</w:t>
      </w:r>
      <w:r>
        <w:rPr>
          <w:rFonts w:hint="cs"/>
          <w:rtl/>
        </w:rPr>
        <w:t xml:space="preserve">; </w:t>
      </w:r>
      <w:r w:rsidRPr="00B35BC7">
        <w:rPr>
          <w:rFonts w:hint="eastAsia"/>
          <w:rtl/>
        </w:rPr>
        <w:t>ע</w:t>
      </w:r>
      <w:r w:rsidRPr="00B35BC7">
        <w:rPr>
          <w:rtl/>
        </w:rPr>
        <w:t>"</w:t>
      </w:r>
      <w:r w:rsidRPr="00B35BC7">
        <w:rPr>
          <w:rFonts w:hint="eastAsia"/>
          <w:rtl/>
        </w:rPr>
        <w:t>א</w:t>
      </w:r>
      <w:r w:rsidRPr="00B35BC7">
        <w:rPr>
          <w:rtl/>
        </w:rPr>
        <w:t xml:space="preserve"> 196/90 </w:t>
      </w:r>
      <w:r w:rsidRPr="00B35BC7">
        <w:rPr>
          <w:rFonts w:ascii="Century" w:hAnsi="Century" w:cs="Miriam" w:hint="eastAsia"/>
          <w:b/>
          <w:spacing w:val="0"/>
          <w:sz w:val="22"/>
          <w:szCs w:val="24"/>
          <w:rtl/>
        </w:rPr>
        <w:t>ירמיהו</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עיני</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חברה</w:t>
      </w:r>
      <w:r w:rsidRPr="00B35BC7">
        <w:rPr>
          <w:rFonts w:ascii="Century" w:hAnsi="Century" w:cs="Miriam"/>
          <w:b/>
          <w:spacing w:val="0"/>
          <w:sz w:val="22"/>
          <w:szCs w:val="24"/>
          <w:rtl/>
        </w:rPr>
        <w:t xml:space="preserve"> </w:t>
      </w:r>
      <w:proofErr w:type="spellStart"/>
      <w:r w:rsidRPr="00B35BC7">
        <w:rPr>
          <w:rFonts w:ascii="Century" w:hAnsi="Century" w:cs="Miriam" w:hint="eastAsia"/>
          <w:b/>
          <w:spacing w:val="0"/>
          <w:sz w:val="22"/>
          <w:szCs w:val="24"/>
          <w:rtl/>
        </w:rPr>
        <w:t>לבנין</w:t>
      </w:r>
      <w:proofErr w:type="spellEnd"/>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בע</w:t>
      </w:r>
      <w:r w:rsidRPr="00B35BC7">
        <w:rPr>
          <w:rFonts w:ascii="Century" w:hAnsi="Century" w:cs="Miriam"/>
          <w:b/>
          <w:spacing w:val="0"/>
          <w:sz w:val="22"/>
          <w:szCs w:val="24"/>
          <w:rtl/>
        </w:rPr>
        <w:t>"</w:t>
      </w:r>
      <w:r w:rsidRPr="00B35BC7">
        <w:rPr>
          <w:rFonts w:ascii="Century" w:hAnsi="Century" w:cs="Miriam" w:hint="eastAsia"/>
          <w:b/>
          <w:spacing w:val="0"/>
          <w:sz w:val="22"/>
          <w:szCs w:val="24"/>
          <w:rtl/>
        </w:rPr>
        <w:t>מ</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נ</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הוועדה</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המקומית</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לתכנון</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ולבניה</w:t>
      </w:r>
      <w:r w:rsidRPr="00B35BC7">
        <w:rPr>
          <w:rFonts w:ascii="Century" w:hAnsi="Century" w:cs="Miriam"/>
          <w:b/>
          <w:spacing w:val="0"/>
          <w:sz w:val="22"/>
          <w:szCs w:val="24"/>
          <w:rtl/>
        </w:rPr>
        <w:t xml:space="preserve"> </w:t>
      </w:r>
      <w:r w:rsidRPr="00B35BC7">
        <w:rPr>
          <w:rFonts w:ascii="Century" w:hAnsi="Century" w:cs="Miriam" w:hint="eastAsia"/>
          <w:b/>
          <w:spacing w:val="0"/>
          <w:sz w:val="22"/>
          <w:szCs w:val="24"/>
          <w:rtl/>
        </w:rPr>
        <w:t>קריות</w:t>
      </w:r>
      <w:r>
        <w:rPr>
          <w:rFonts w:hint="cs"/>
          <w:rtl/>
        </w:rPr>
        <w:t xml:space="preserve">, </w:t>
      </w:r>
      <w:r w:rsidRPr="00B35BC7">
        <w:rPr>
          <w:rFonts w:hint="eastAsia"/>
          <w:rtl/>
        </w:rPr>
        <w:t>פ</w:t>
      </w:r>
      <w:r w:rsidRPr="00B35BC7">
        <w:rPr>
          <w:rtl/>
        </w:rPr>
        <w:t>"</w:t>
      </w:r>
      <w:r w:rsidRPr="00B35BC7">
        <w:rPr>
          <w:rFonts w:hint="eastAsia"/>
          <w:rtl/>
        </w:rPr>
        <w:t>ד</w:t>
      </w:r>
      <w:r w:rsidRPr="00B35BC7">
        <w:rPr>
          <w:rtl/>
        </w:rPr>
        <w:t xml:space="preserve"> </w:t>
      </w:r>
      <w:r w:rsidRPr="00B35BC7">
        <w:rPr>
          <w:rFonts w:hint="eastAsia"/>
          <w:rtl/>
        </w:rPr>
        <w:t>מז</w:t>
      </w:r>
      <w:r>
        <w:rPr>
          <w:rtl/>
        </w:rPr>
        <w:t>(2) 111, 135 (1993)</w:t>
      </w:r>
      <w:r>
        <w:rPr>
          <w:rFonts w:hint="cs"/>
          <w:rtl/>
        </w:rPr>
        <w:t xml:space="preserve">; </w:t>
      </w:r>
      <w:r>
        <w:rPr>
          <w:rtl/>
        </w:rPr>
        <w:t xml:space="preserve">רע"א 15/12 </w:t>
      </w:r>
      <w:r w:rsidRPr="00EC331A">
        <w:rPr>
          <w:rFonts w:ascii="Century" w:hAnsi="Century" w:cs="Miriam"/>
          <w:b/>
          <w:spacing w:val="0"/>
          <w:szCs w:val="24"/>
          <w:rtl/>
        </w:rPr>
        <w:t>עזבון המנוח אליה פרג' ז"ל נ' אלעזר</w:t>
      </w:r>
      <w:r>
        <w:rPr>
          <w:rtl/>
        </w:rPr>
        <w:t>, פס</w:t>
      </w:r>
      <w:r>
        <w:rPr>
          <w:rFonts w:hint="cs"/>
          <w:rtl/>
        </w:rPr>
        <w:t>קה</w:t>
      </w:r>
      <w:r>
        <w:rPr>
          <w:rtl/>
        </w:rPr>
        <w:t xml:space="preserve"> יא לפסק דינו של המשנה לנשיאה </w:t>
      </w:r>
      <w:r w:rsidRPr="00EC331A">
        <w:rPr>
          <w:rFonts w:ascii="Century" w:hAnsi="Century" w:cs="Miriam" w:hint="cs"/>
          <w:b/>
          <w:spacing w:val="0"/>
          <w:sz w:val="22"/>
          <w:szCs w:val="24"/>
          <w:rtl/>
        </w:rPr>
        <w:t>א'</w:t>
      </w:r>
      <w:r>
        <w:rPr>
          <w:rFonts w:hint="cs"/>
          <w:rtl/>
        </w:rPr>
        <w:t xml:space="preserve"> </w:t>
      </w:r>
      <w:r w:rsidRPr="00EC331A">
        <w:rPr>
          <w:rFonts w:ascii="Century" w:hAnsi="Century" w:cs="Miriam"/>
          <w:b/>
          <w:spacing w:val="0"/>
          <w:szCs w:val="24"/>
          <w:rtl/>
        </w:rPr>
        <w:t>רובינשטיין</w:t>
      </w:r>
      <w:r w:rsidRPr="00E03C05">
        <w:rPr>
          <w:rtl/>
        </w:rPr>
        <w:t xml:space="preserve"> </w:t>
      </w:r>
      <w:r>
        <w:rPr>
          <w:rtl/>
        </w:rPr>
        <w:t>(</w:t>
      </w:r>
      <w:r>
        <w:rPr>
          <w:rFonts w:hint="cs"/>
          <w:rtl/>
        </w:rPr>
        <w:t xml:space="preserve">1.3.2015) (להלן: </w:t>
      </w:r>
      <w:r w:rsidRPr="00B63980">
        <w:rPr>
          <w:rFonts w:ascii="Century" w:hAnsi="Century" w:hint="cs"/>
          <w:sz w:val="22"/>
          <w:rtl/>
        </w:rPr>
        <w:t xml:space="preserve">עניין </w:t>
      </w:r>
      <w:r w:rsidRPr="00EC331A">
        <w:rPr>
          <w:rFonts w:ascii="Century" w:hAnsi="Century" w:cs="Miriam" w:hint="cs"/>
          <w:b/>
          <w:spacing w:val="0"/>
          <w:sz w:val="22"/>
          <w:szCs w:val="24"/>
          <w:rtl/>
        </w:rPr>
        <w:t>פרג'</w:t>
      </w:r>
      <w:r>
        <w:rPr>
          <w:rFonts w:hint="cs"/>
          <w:rtl/>
        </w:rPr>
        <w:t xml:space="preserve">); </w:t>
      </w:r>
      <w:r w:rsidRPr="00AE3207">
        <w:rPr>
          <w:rFonts w:hint="eastAsia"/>
          <w:rtl/>
        </w:rPr>
        <w:t>רע</w:t>
      </w:r>
      <w:r w:rsidRPr="00AE3207">
        <w:rPr>
          <w:rtl/>
        </w:rPr>
        <w:t>"</w:t>
      </w:r>
      <w:r w:rsidRPr="00AE3207">
        <w:rPr>
          <w:rFonts w:hint="eastAsia"/>
          <w:rtl/>
        </w:rPr>
        <w:t>א</w:t>
      </w:r>
      <w:r w:rsidRPr="00AE3207">
        <w:rPr>
          <w:rtl/>
        </w:rPr>
        <w:t xml:space="preserve"> 8297</w:t>
      </w:r>
      <w:r>
        <w:rPr>
          <w:rFonts w:hint="cs"/>
          <w:rtl/>
        </w:rPr>
        <w:t>/</w:t>
      </w:r>
      <w:r w:rsidRPr="00AE3207">
        <w:rPr>
          <w:rtl/>
        </w:rPr>
        <w:t xml:space="preserve">12 </w:t>
      </w:r>
      <w:r w:rsidRPr="00EC331A">
        <w:rPr>
          <w:rFonts w:ascii="Century" w:hAnsi="Century" w:cs="Miriam" w:hint="eastAsia"/>
          <w:b/>
          <w:spacing w:val="0"/>
          <w:szCs w:val="24"/>
          <w:rtl/>
        </w:rPr>
        <w:t>הפניקס</w:t>
      </w:r>
      <w:r w:rsidRPr="00EC331A">
        <w:rPr>
          <w:rFonts w:ascii="Century" w:hAnsi="Century" w:cs="Miriam"/>
          <w:b/>
          <w:spacing w:val="0"/>
          <w:szCs w:val="24"/>
          <w:rtl/>
        </w:rPr>
        <w:t xml:space="preserve"> </w:t>
      </w:r>
      <w:r w:rsidRPr="00EC331A">
        <w:rPr>
          <w:rFonts w:ascii="Century" w:hAnsi="Century" w:cs="Miriam" w:hint="eastAsia"/>
          <w:b/>
          <w:spacing w:val="0"/>
          <w:szCs w:val="24"/>
          <w:rtl/>
        </w:rPr>
        <w:t>הישראלי</w:t>
      </w:r>
      <w:r w:rsidRPr="00EC331A">
        <w:rPr>
          <w:rFonts w:ascii="Century" w:hAnsi="Century" w:cs="Miriam"/>
          <w:b/>
          <w:spacing w:val="0"/>
          <w:szCs w:val="24"/>
          <w:rtl/>
        </w:rPr>
        <w:t xml:space="preserve"> </w:t>
      </w:r>
      <w:r w:rsidRPr="00EC331A">
        <w:rPr>
          <w:rFonts w:ascii="Century" w:hAnsi="Century" w:cs="Miriam" w:hint="eastAsia"/>
          <w:b/>
          <w:spacing w:val="0"/>
          <w:szCs w:val="24"/>
          <w:rtl/>
        </w:rPr>
        <w:t>לביטוח</w:t>
      </w:r>
      <w:r w:rsidRPr="00EC331A">
        <w:rPr>
          <w:rFonts w:ascii="Century" w:hAnsi="Century" w:cs="Miriam"/>
          <w:b/>
          <w:spacing w:val="0"/>
          <w:szCs w:val="24"/>
          <w:rtl/>
        </w:rPr>
        <w:t xml:space="preserve"> </w:t>
      </w:r>
      <w:r w:rsidRPr="00EC331A">
        <w:rPr>
          <w:rFonts w:ascii="Century" w:hAnsi="Century" w:cs="Miriam" w:hint="eastAsia"/>
          <w:b/>
          <w:spacing w:val="0"/>
          <w:szCs w:val="24"/>
          <w:rtl/>
        </w:rPr>
        <w:t>בע</w:t>
      </w:r>
      <w:r w:rsidRPr="00EC331A">
        <w:rPr>
          <w:rFonts w:ascii="Century" w:hAnsi="Century" w:cs="Miriam"/>
          <w:b/>
          <w:spacing w:val="0"/>
          <w:szCs w:val="24"/>
          <w:rtl/>
        </w:rPr>
        <w:t>"</w:t>
      </w:r>
      <w:r w:rsidRPr="00EC331A">
        <w:rPr>
          <w:rFonts w:ascii="Century" w:hAnsi="Century" w:cs="Miriam" w:hint="eastAsia"/>
          <w:b/>
          <w:spacing w:val="0"/>
          <w:szCs w:val="24"/>
          <w:rtl/>
        </w:rPr>
        <w:t>מ</w:t>
      </w:r>
      <w:r w:rsidRPr="00EC331A">
        <w:rPr>
          <w:rFonts w:ascii="Century" w:hAnsi="Century" w:cs="Miriam"/>
          <w:b/>
          <w:spacing w:val="0"/>
          <w:szCs w:val="24"/>
          <w:rtl/>
        </w:rPr>
        <w:t xml:space="preserve"> </w:t>
      </w:r>
      <w:r w:rsidRPr="00EC331A">
        <w:rPr>
          <w:rFonts w:ascii="Century" w:hAnsi="Century" w:cs="Miriam" w:hint="eastAsia"/>
          <w:b/>
          <w:spacing w:val="0"/>
          <w:szCs w:val="24"/>
          <w:rtl/>
        </w:rPr>
        <w:t>נ</w:t>
      </w:r>
      <w:r w:rsidRPr="00EC331A">
        <w:rPr>
          <w:rFonts w:ascii="Century" w:hAnsi="Century" w:cs="Miriam"/>
          <w:b/>
          <w:spacing w:val="0"/>
          <w:szCs w:val="24"/>
          <w:rtl/>
        </w:rPr>
        <w:t xml:space="preserve">' </w:t>
      </w:r>
      <w:r w:rsidRPr="00EC331A">
        <w:rPr>
          <w:rFonts w:ascii="Century" w:hAnsi="Century" w:cs="Miriam" w:hint="eastAsia"/>
          <w:b/>
          <w:spacing w:val="0"/>
          <w:szCs w:val="24"/>
          <w:rtl/>
        </w:rPr>
        <w:t>המוסד</w:t>
      </w:r>
      <w:r w:rsidRPr="00EC331A">
        <w:rPr>
          <w:rFonts w:ascii="Century" w:hAnsi="Century" w:cs="Miriam"/>
          <w:b/>
          <w:spacing w:val="0"/>
          <w:szCs w:val="24"/>
          <w:rtl/>
        </w:rPr>
        <w:t xml:space="preserve"> </w:t>
      </w:r>
      <w:r w:rsidRPr="00EC331A">
        <w:rPr>
          <w:rFonts w:ascii="Century" w:hAnsi="Century" w:cs="Miriam" w:hint="eastAsia"/>
          <w:b/>
          <w:spacing w:val="0"/>
          <w:szCs w:val="24"/>
          <w:rtl/>
        </w:rPr>
        <w:t>לביטוח</w:t>
      </w:r>
      <w:r w:rsidRPr="00EC331A">
        <w:rPr>
          <w:rFonts w:ascii="Century" w:hAnsi="Century" w:cs="Miriam"/>
          <w:b/>
          <w:spacing w:val="0"/>
          <w:szCs w:val="24"/>
          <w:rtl/>
        </w:rPr>
        <w:t xml:space="preserve"> </w:t>
      </w:r>
      <w:r w:rsidRPr="00EC331A">
        <w:rPr>
          <w:rFonts w:ascii="Century" w:hAnsi="Century" w:cs="Miriam" w:hint="eastAsia"/>
          <w:b/>
          <w:spacing w:val="0"/>
          <w:szCs w:val="24"/>
          <w:rtl/>
        </w:rPr>
        <w:t>לאומי</w:t>
      </w:r>
      <w:r>
        <w:rPr>
          <w:rFonts w:hint="cs"/>
          <w:rtl/>
        </w:rPr>
        <w:t xml:space="preserve">, פסקה 13 (16.7.2013) (להלן: עניין </w:t>
      </w:r>
      <w:r w:rsidRPr="00EC331A">
        <w:rPr>
          <w:rFonts w:ascii="Century" w:hAnsi="Century" w:cs="Miriam" w:hint="cs"/>
          <w:b/>
          <w:spacing w:val="0"/>
          <w:sz w:val="22"/>
          <w:szCs w:val="24"/>
          <w:rtl/>
        </w:rPr>
        <w:t>הפניקס</w:t>
      </w:r>
      <w:r>
        <w:rPr>
          <w:rFonts w:hint="cs"/>
          <w:rtl/>
        </w:rPr>
        <w:t xml:space="preserve">)). כללים משפטיים אלה באים למנוע ניצול לרעה של ההליך השיפוטי, להבטיח את תקינותו, וכן </w:t>
      </w:r>
      <w:r w:rsidRPr="00287262">
        <w:rPr>
          <w:rFonts w:ascii="Century" w:hAnsi="Century" w:cs="Miriam" w:hint="cs"/>
          <w:b/>
          <w:spacing w:val="0"/>
          <w:sz w:val="22"/>
          <w:szCs w:val="24"/>
          <w:rtl/>
        </w:rPr>
        <w:t>למנוע את שחיקתו של משאב ציבורי-מוסרי הקרוי יושרה</w:t>
      </w:r>
      <w:r>
        <w:rPr>
          <w:rFonts w:hint="cs"/>
          <w:rtl/>
        </w:rPr>
        <w:t xml:space="preserve">. לפיכך </w:t>
      </w:r>
      <w:r w:rsidRPr="00C87877">
        <w:rPr>
          <w:rFonts w:hint="cs"/>
          <w:rtl/>
        </w:rPr>
        <w:t>"בעל דין שטען טענה בהליך אחד</w:t>
      </w:r>
      <w:r w:rsidRPr="00C87877">
        <w:rPr>
          <w:rFonts w:hint="cs"/>
        </w:rPr>
        <w:t> </w:t>
      </w:r>
      <w:r w:rsidRPr="00C87877">
        <w:rPr>
          <w:rFonts w:hint="cs"/>
          <w:rtl/>
        </w:rPr>
        <w:t xml:space="preserve">וטענתו התקבלה, מושתק מלהתכחש לטענתו גם בהליך נגד יריב אחר </w:t>
      </w:r>
      <w:r>
        <w:rPr>
          <w:rFonts w:hint="cs"/>
          <w:rtl/>
        </w:rPr>
        <w:t>[...]</w:t>
      </w:r>
      <w:r w:rsidRPr="00EC331A">
        <w:rPr>
          <w:rFonts w:ascii="Century" w:hAnsi="Century" w:hint="cs"/>
          <w:rtl/>
        </w:rPr>
        <w:t xml:space="preserve"> ולטעון טענה הפוכה" (ראו:</w:t>
      </w:r>
      <w:r>
        <w:rPr>
          <w:rFonts w:hint="cs"/>
          <w:rtl/>
        </w:rPr>
        <w:t xml:space="preserve"> </w:t>
      </w:r>
      <w:r w:rsidRPr="00EC331A">
        <w:rPr>
          <w:rFonts w:ascii="Century" w:hAnsi="Century" w:cs="Miriam" w:hint="cs"/>
          <w:b/>
          <w:spacing w:val="0"/>
          <w:sz w:val="22"/>
          <w:szCs w:val="24"/>
          <w:rtl/>
        </w:rPr>
        <w:t>ע</w:t>
      </w:r>
      <w:r w:rsidRPr="00073EEB">
        <w:rPr>
          <w:rFonts w:ascii="Century" w:hAnsi="Century" w:cs="Miriam" w:hint="cs"/>
          <w:b/>
          <w:spacing w:val="0"/>
          <w:sz w:val="22"/>
          <w:szCs w:val="24"/>
          <w:rtl/>
        </w:rPr>
        <w:t>"א 513/89</w:t>
      </w:r>
      <w:r>
        <w:rPr>
          <w:rFonts w:hint="cs"/>
          <w:rtl/>
        </w:rPr>
        <w:t xml:space="preserve">, בעמ' 195); וכפי שהוסבר על ידי המשנה לנשיאה </w:t>
      </w:r>
      <w:r w:rsidRPr="00287262">
        <w:rPr>
          <w:rFonts w:ascii="Century" w:hAnsi="Century" w:cs="Miriam" w:hint="cs"/>
          <w:b/>
          <w:spacing w:val="0"/>
          <w:sz w:val="22"/>
          <w:szCs w:val="24"/>
          <w:rtl/>
        </w:rPr>
        <w:t>רובינשטיין</w:t>
      </w:r>
      <w:r>
        <w:rPr>
          <w:rFonts w:hint="cs"/>
          <w:rtl/>
        </w:rPr>
        <w:t>:</w:t>
      </w:r>
    </w:p>
    <w:p w14:paraId="6D43B16E" w14:textId="77777777" w:rsidR="00C36C78" w:rsidRDefault="00C36C78" w:rsidP="00C36C78">
      <w:pPr>
        <w:pStyle w:val="Ruller41"/>
        <w:rPr>
          <w:rtl/>
        </w:rPr>
      </w:pPr>
    </w:p>
    <w:p w14:paraId="58FAAFB0" w14:textId="77777777" w:rsidR="00C36C78" w:rsidRDefault="00C36C78" w:rsidP="00C36C78">
      <w:pPr>
        <w:pStyle w:val="Ruller5"/>
        <w:rPr>
          <w:rFonts w:ascii="Century" w:hAnsi="Century"/>
          <w:rtl/>
        </w:rPr>
      </w:pPr>
      <w:r>
        <w:rPr>
          <w:rFonts w:hint="cs"/>
          <w:rtl/>
        </w:rPr>
        <w:t>"</w:t>
      </w:r>
      <w:r>
        <w:rPr>
          <w:rtl/>
        </w:rPr>
        <w:t>על המעוניין לפנות למערכת המשפט לשם קבלת סעד לדבוק בגרסה אחת לאורך ההליכים, או לכל הפחות להציג הסבר מניח את</w:t>
      </w:r>
      <w:r>
        <w:t xml:space="preserve"> </w:t>
      </w:r>
      <w:r>
        <w:rPr>
          <w:rtl/>
        </w:rPr>
        <w:t xml:space="preserve">הדעת לשינויה. אם לא כן – נתון הוא </w:t>
      </w:r>
      <w:proofErr w:type="spellStart"/>
      <w:r>
        <w:rPr>
          <w:rtl/>
        </w:rPr>
        <w:t>להשתק</w:t>
      </w:r>
      <w:proofErr w:type="spellEnd"/>
      <w:r>
        <w:rPr>
          <w:rtl/>
        </w:rPr>
        <w:t xml:space="preserve"> שיפוטי</w:t>
      </w:r>
      <w:r>
        <w:rPr>
          <w:rFonts w:hint="cs"/>
          <w:rtl/>
        </w:rPr>
        <w:t xml:space="preserve">" (ראו: </w:t>
      </w:r>
      <w:r w:rsidRPr="00B63980">
        <w:rPr>
          <w:rFonts w:ascii="Century" w:hAnsi="Century" w:hint="cs"/>
          <w:rtl/>
        </w:rPr>
        <w:t xml:space="preserve">עניין </w:t>
      </w:r>
      <w:r w:rsidRPr="00EC331A">
        <w:rPr>
          <w:rFonts w:ascii="Century" w:hAnsi="Century" w:cs="Miriam" w:hint="cs"/>
          <w:b/>
          <w:spacing w:val="0"/>
          <w:szCs w:val="24"/>
          <w:rtl/>
        </w:rPr>
        <w:t>פרג'</w:t>
      </w:r>
      <w:r>
        <w:rPr>
          <w:rFonts w:ascii="Century" w:hAnsi="Century" w:hint="cs"/>
          <w:rtl/>
        </w:rPr>
        <w:t xml:space="preserve">, </w:t>
      </w:r>
      <w:r>
        <w:rPr>
          <w:rFonts w:hint="cs"/>
          <w:rtl/>
        </w:rPr>
        <w:t>ב</w:t>
      </w:r>
      <w:r>
        <w:rPr>
          <w:rtl/>
        </w:rPr>
        <w:t>פס</w:t>
      </w:r>
      <w:r>
        <w:rPr>
          <w:rFonts w:hint="cs"/>
          <w:rtl/>
        </w:rPr>
        <w:t>קה</w:t>
      </w:r>
      <w:r>
        <w:rPr>
          <w:rtl/>
        </w:rPr>
        <w:t xml:space="preserve"> יא לפסק דינו של המשנה לנשיאה</w:t>
      </w:r>
      <w:r>
        <w:rPr>
          <w:rFonts w:hint="cs"/>
          <w:rtl/>
        </w:rPr>
        <w:t xml:space="preserve"> </w:t>
      </w:r>
      <w:r w:rsidRPr="00EC331A">
        <w:rPr>
          <w:rFonts w:ascii="Century" w:hAnsi="Century" w:cs="Miriam"/>
          <w:b/>
          <w:spacing w:val="0"/>
          <w:szCs w:val="24"/>
          <w:rtl/>
        </w:rPr>
        <w:t>רובינשטיין</w:t>
      </w:r>
      <w:r>
        <w:rPr>
          <w:rFonts w:ascii="Century" w:hAnsi="Century" w:hint="cs"/>
          <w:rtl/>
        </w:rPr>
        <w:t xml:space="preserve">). </w:t>
      </w:r>
    </w:p>
    <w:p w14:paraId="2432CDFA" w14:textId="77777777" w:rsidR="00C36C78" w:rsidRPr="00E32B9B" w:rsidRDefault="00C36C78" w:rsidP="00C36C78">
      <w:pPr>
        <w:pStyle w:val="Ruller5"/>
        <w:rPr>
          <w:rFonts w:ascii="Century" w:hAnsi="Century"/>
          <w:sz w:val="28"/>
          <w:szCs w:val="36"/>
          <w:rtl/>
        </w:rPr>
      </w:pPr>
    </w:p>
    <w:p w14:paraId="4C14BDE5" w14:textId="77777777" w:rsidR="00C36C78" w:rsidRDefault="00C36C78" w:rsidP="00C36C78">
      <w:pPr>
        <w:pStyle w:val="Ruller4"/>
        <w:rPr>
          <w:rtl/>
        </w:rPr>
      </w:pPr>
      <w:r>
        <w:rPr>
          <w:rFonts w:hint="cs"/>
          <w:rtl/>
        </w:rPr>
        <w:t xml:space="preserve">בהקשר זה הובהר כי </w:t>
      </w:r>
      <w:r>
        <w:rPr>
          <w:rtl/>
        </w:rPr>
        <w:t>–</w:t>
      </w:r>
    </w:p>
    <w:p w14:paraId="52C5DE5F" w14:textId="77777777" w:rsidR="00C36C78" w:rsidRDefault="00C36C78" w:rsidP="00C36C78">
      <w:pPr>
        <w:pStyle w:val="Ruller41"/>
        <w:rPr>
          <w:rtl/>
        </w:rPr>
      </w:pPr>
    </w:p>
    <w:p w14:paraId="0BF0B6BC" w14:textId="77777777" w:rsidR="00C36C78" w:rsidRDefault="00C36C78" w:rsidP="00C36C78">
      <w:pPr>
        <w:pStyle w:val="Ruller5"/>
        <w:rPr>
          <w:rtl/>
        </w:rPr>
      </w:pPr>
      <w:r>
        <w:rPr>
          <w:rFonts w:hint="cs"/>
          <w:rtl/>
        </w:rPr>
        <w:t>"</w:t>
      </w:r>
      <w:r w:rsidRPr="00AE3207">
        <w:rPr>
          <w:rFonts w:hint="eastAsia"/>
          <w:rtl/>
        </w:rPr>
        <w:t>מכל</w:t>
      </w:r>
      <w:r w:rsidRPr="00AE3207">
        <w:rPr>
          <w:rtl/>
        </w:rPr>
        <w:t xml:space="preserve"> </w:t>
      </w:r>
      <w:r w:rsidRPr="00AE3207">
        <w:rPr>
          <w:rFonts w:hint="eastAsia"/>
          <w:rtl/>
        </w:rPr>
        <w:t>מקום</w:t>
      </w:r>
      <w:r w:rsidRPr="00AE3207">
        <w:rPr>
          <w:rtl/>
        </w:rPr>
        <w:t xml:space="preserve">, </w:t>
      </w:r>
      <w:r w:rsidRPr="00AE3207">
        <w:rPr>
          <w:rFonts w:hint="eastAsia"/>
          <w:rtl/>
        </w:rPr>
        <w:t>ומבלי</w:t>
      </w:r>
      <w:r w:rsidRPr="00AE3207">
        <w:rPr>
          <w:rtl/>
        </w:rPr>
        <w:t xml:space="preserve"> </w:t>
      </w:r>
      <w:r w:rsidRPr="00AE3207">
        <w:rPr>
          <w:rFonts w:hint="eastAsia"/>
          <w:rtl/>
        </w:rPr>
        <w:t>להידרש</w:t>
      </w:r>
      <w:r w:rsidRPr="00AE3207">
        <w:rPr>
          <w:rtl/>
        </w:rPr>
        <w:t xml:space="preserve"> </w:t>
      </w:r>
      <w:r w:rsidRPr="00AE3207">
        <w:rPr>
          <w:rFonts w:hint="eastAsia"/>
          <w:rtl/>
        </w:rPr>
        <w:t>ליתרונותיה</w:t>
      </w:r>
      <w:r w:rsidRPr="00AE3207">
        <w:rPr>
          <w:rtl/>
        </w:rPr>
        <w:t xml:space="preserve"> </w:t>
      </w:r>
      <w:r w:rsidRPr="00AE3207">
        <w:rPr>
          <w:rFonts w:hint="eastAsia"/>
          <w:rtl/>
        </w:rPr>
        <w:t>של</w:t>
      </w:r>
      <w:r w:rsidRPr="00AE3207">
        <w:rPr>
          <w:rtl/>
        </w:rPr>
        <w:t xml:space="preserve"> </w:t>
      </w:r>
      <w:r w:rsidRPr="00AE3207">
        <w:rPr>
          <w:rFonts w:hint="eastAsia"/>
          <w:rtl/>
        </w:rPr>
        <w:t>גישה</w:t>
      </w:r>
      <w:r w:rsidRPr="00AE3207">
        <w:rPr>
          <w:rtl/>
        </w:rPr>
        <w:t xml:space="preserve"> </w:t>
      </w:r>
      <w:r w:rsidRPr="00AE3207">
        <w:rPr>
          <w:rFonts w:hint="eastAsia"/>
          <w:rtl/>
        </w:rPr>
        <w:t>זו</w:t>
      </w:r>
      <w:r w:rsidRPr="00AE3207">
        <w:rPr>
          <w:rtl/>
        </w:rPr>
        <w:t xml:space="preserve"> </w:t>
      </w:r>
      <w:r w:rsidRPr="00AE3207">
        <w:rPr>
          <w:rFonts w:hint="eastAsia"/>
          <w:rtl/>
        </w:rPr>
        <w:t>או</w:t>
      </w:r>
      <w:r w:rsidRPr="00AE3207">
        <w:rPr>
          <w:rtl/>
        </w:rPr>
        <w:t xml:space="preserve"> </w:t>
      </w:r>
      <w:r w:rsidRPr="00AE3207">
        <w:rPr>
          <w:rFonts w:hint="eastAsia"/>
          <w:rtl/>
        </w:rPr>
        <w:t>אחרת</w:t>
      </w:r>
      <w:r w:rsidRPr="00AE3207">
        <w:rPr>
          <w:rtl/>
        </w:rPr>
        <w:t xml:space="preserve">, </w:t>
      </w:r>
      <w:r w:rsidRPr="00AE3207">
        <w:rPr>
          <w:rFonts w:hint="eastAsia"/>
          <w:rtl/>
        </w:rPr>
        <w:t>נראה</w:t>
      </w:r>
      <w:r w:rsidRPr="00AE3207">
        <w:rPr>
          <w:rtl/>
        </w:rPr>
        <w:t xml:space="preserve"> </w:t>
      </w:r>
      <w:r w:rsidRPr="00AE3207">
        <w:rPr>
          <w:rFonts w:hint="eastAsia"/>
          <w:rtl/>
        </w:rPr>
        <w:t>שהיום</w:t>
      </w:r>
      <w:r w:rsidRPr="00AE3207">
        <w:rPr>
          <w:rtl/>
        </w:rPr>
        <w:t xml:space="preserve"> </w:t>
      </w:r>
      <w:r w:rsidRPr="00AE3207">
        <w:rPr>
          <w:rFonts w:hint="eastAsia"/>
          <w:rtl/>
        </w:rPr>
        <w:t>הכול</w:t>
      </w:r>
      <w:r w:rsidRPr="00AE3207">
        <w:rPr>
          <w:rtl/>
        </w:rPr>
        <w:t xml:space="preserve"> </w:t>
      </w:r>
      <w:r w:rsidRPr="00AE3207">
        <w:rPr>
          <w:rFonts w:hint="eastAsia"/>
          <w:rtl/>
        </w:rPr>
        <w:t>יסכימו</w:t>
      </w:r>
      <w:r w:rsidRPr="00AE3207">
        <w:rPr>
          <w:rtl/>
        </w:rPr>
        <w:t xml:space="preserve"> </w:t>
      </w:r>
      <w:r w:rsidRPr="00AE3207">
        <w:rPr>
          <w:rFonts w:hint="eastAsia"/>
          <w:rtl/>
        </w:rPr>
        <w:t>כי</w:t>
      </w:r>
      <w:r w:rsidRPr="00AE3207">
        <w:rPr>
          <w:rtl/>
        </w:rPr>
        <w:t xml:space="preserve"> </w:t>
      </w:r>
      <w:r w:rsidRPr="00AE3207">
        <w:rPr>
          <w:rFonts w:hint="eastAsia"/>
          <w:rtl/>
        </w:rPr>
        <w:t>בעל</w:t>
      </w:r>
      <w:r w:rsidRPr="00AE3207">
        <w:rPr>
          <w:rtl/>
        </w:rPr>
        <w:t xml:space="preserve"> </w:t>
      </w:r>
      <w:r w:rsidRPr="00AE3207">
        <w:rPr>
          <w:rFonts w:hint="eastAsia"/>
          <w:rtl/>
        </w:rPr>
        <w:t>דין</w:t>
      </w:r>
      <w:r w:rsidRPr="00AE3207">
        <w:rPr>
          <w:rtl/>
        </w:rPr>
        <w:t xml:space="preserve"> </w:t>
      </w:r>
      <w:r w:rsidRPr="00AE3207">
        <w:rPr>
          <w:rFonts w:hint="eastAsia"/>
          <w:rtl/>
        </w:rPr>
        <w:t>שטען</w:t>
      </w:r>
      <w:r w:rsidRPr="00AE3207">
        <w:rPr>
          <w:rtl/>
        </w:rPr>
        <w:t xml:space="preserve"> </w:t>
      </w:r>
      <w:r w:rsidRPr="00AE3207">
        <w:rPr>
          <w:rFonts w:hint="eastAsia"/>
          <w:rtl/>
        </w:rPr>
        <w:t>טענה</w:t>
      </w:r>
      <w:r w:rsidRPr="00AE3207">
        <w:rPr>
          <w:rtl/>
        </w:rPr>
        <w:t xml:space="preserve"> </w:t>
      </w:r>
      <w:r w:rsidRPr="003B3CB1">
        <w:rPr>
          <w:rFonts w:ascii="Century" w:hAnsi="Century" w:cs="Miriam" w:hint="eastAsia"/>
          <w:b/>
          <w:spacing w:val="0"/>
          <w:szCs w:val="24"/>
          <w:u w:val="single"/>
          <w:rtl/>
        </w:rPr>
        <w:t>או</w:t>
      </w:r>
      <w:r w:rsidRPr="003B3CB1">
        <w:rPr>
          <w:rFonts w:ascii="Century" w:hAnsi="Century" w:cs="Miriam"/>
          <w:b/>
          <w:spacing w:val="0"/>
          <w:szCs w:val="24"/>
          <w:u w:val="single"/>
          <w:rtl/>
        </w:rPr>
        <w:t xml:space="preserve"> </w:t>
      </w:r>
      <w:r w:rsidRPr="003B3CB1">
        <w:rPr>
          <w:rFonts w:ascii="Century" w:hAnsi="Century" w:cs="Miriam" w:hint="eastAsia"/>
          <w:b/>
          <w:spacing w:val="0"/>
          <w:szCs w:val="24"/>
          <w:u w:val="single"/>
          <w:rtl/>
        </w:rPr>
        <w:t>נקט</w:t>
      </w:r>
      <w:r w:rsidRPr="003B3CB1">
        <w:rPr>
          <w:rFonts w:ascii="Century" w:hAnsi="Century" w:cs="Miriam"/>
          <w:b/>
          <w:spacing w:val="0"/>
          <w:szCs w:val="24"/>
          <w:u w:val="single"/>
          <w:rtl/>
        </w:rPr>
        <w:t xml:space="preserve"> </w:t>
      </w:r>
      <w:r w:rsidRPr="003B3CB1">
        <w:rPr>
          <w:rFonts w:ascii="Century" w:hAnsi="Century" w:cs="Miriam" w:hint="eastAsia"/>
          <w:b/>
          <w:spacing w:val="0"/>
          <w:szCs w:val="24"/>
          <w:u w:val="single"/>
          <w:rtl/>
        </w:rPr>
        <w:t>עמדה</w:t>
      </w:r>
      <w:r w:rsidRPr="003B3CB1">
        <w:rPr>
          <w:rFonts w:ascii="Century" w:hAnsi="Century" w:cs="Miriam"/>
          <w:b/>
          <w:spacing w:val="0"/>
          <w:szCs w:val="24"/>
          <w:u w:val="single"/>
          <w:rtl/>
        </w:rPr>
        <w:t xml:space="preserve"> </w:t>
      </w:r>
      <w:r w:rsidRPr="003B3CB1">
        <w:rPr>
          <w:rFonts w:ascii="Century" w:hAnsi="Century" w:cs="Miriam" w:hint="eastAsia"/>
          <w:b/>
          <w:spacing w:val="0"/>
          <w:szCs w:val="24"/>
          <w:u w:val="single"/>
          <w:rtl/>
        </w:rPr>
        <w:t>בפני</w:t>
      </w:r>
      <w:r w:rsidRPr="003B3CB1">
        <w:rPr>
          <w:rFonts w:ascii="Century" w:hAnsi="Century" w:cs="Miriam"/>
          <w:b/>
          <w:spacing w:val="0"/>
          <w:szCs w:val="24"/>
          <w:u w:val="single"/>
          <w:rtl/>
        </w:rPr>
        <w:t xml:space="preserve"> </w:t>
      </w:r>
      <w:r w:rsidRPr="003B3CB1">
        <w:rPr>
          <w:rFonts w:ascii="Century" w:hAnsi="Century" w:cs="Miriam" w:hint="eastAsia"/>
          <w:b/>
          <w:spacing w:val="0"/>
          <w:szCs w:val="24"/>
          <w:u w:val="single"/>
          <w:rtl/>
        </w:rPr>
        <w:t>בית</w:t>
      </w:r>
      <w:r w:rsidRPr="003B3CB1">
        <w:rPr>
          <w:rFonts w:ascii="Century" w:hAnsi="Century" w:cs="Miriam"/>
          <w:b/>
          <w:spacing w:val="0"/>
          <w:szCs w:val="24"/>
          <w:u w:val="single"/>
          <w:rtl/>
        </w:rPr>
        <w:t xml:space="preserve"> </w:t>
      </w:r>
      <w:r w:rsidRPr="003B3CB1">
        <w:rPr>
          <w:rFonts w:ascii="Century" w:hAnsi="Century" w:cs="Miriam" w:hint="eastAsia"/>
          <w:b/>
          <w:spacing w:val="0"/>
          <w:szCs w:val="24"/>
          <w:u w:val="single"/>
          <w:rtl/>
        </w:rPr>
        <w:t>משפט</w:t>
      </w:r>
      <w:r w:rsidRPr="00AE3207">
        <w:rPr>
          <w:rtl/>
        </w:rPr>
        <w:t xml:space="preserve">, </w:t>
      </w:r>
      <w:r w:rsidRPr="00AE3207">
        <w:rPr>
          <w:rFonts w:hint="eastAsia"/>
          <w:rtl/>
        </w:rPr>
        <w:t>וכתוצאה</w:t>
      </w:r>
      <w:r w:rsidRPr="00AE3207">
        <w:rPr>
          <w:rtl/>
        </w:rPr>
        <w:t xml:space="preserve"> </w:t>
      </w:r>
      <w:r w:rsidRPr="00AE3207">
        <w:rPr>
          <w:rFonts w:hint="eastAsia"/>
          <w:rtl/>
        </w:rPr>
        <w:t>מכך</w:t>
      </w:r>
      <w:r w:rsidRPr="00AE3207">
        <w:rPr>
          <w:rtl/>
        </w:rPr>
        <w:t xml:space="preserve"> </w:t>
      </w:r>
      <w:r w:rsidRPr="003C3716">
        <w:rPr>
          <w:rFonts w:ascii="Century" w:hAnsi="Century" w:cs="Miriam" w:hint="eastAsia"/>
          <w:b/>
          <w:spacing w:val="0"/>
          <w:szCs w:val="24"/>
          <w:rtl/>
        </w:rPr>
        <w:t>צמחה</w:t>
      </w:r>
      <w:r w:rsidRPr="003C3716">
        <w:rPr>
          <w:rFonts w:ascii="Century" w:hAnsi="Century" w:cs="Miriam"/>
          <w:b/>
          <w:spacing w:val="0"/>
          <w:szCs w:val="24"/>
          <w:rtl/>
        </w:rPr>
        <w:t xml:space="preserve"> </w:t>
      </w:r>
      <w:r w:rsidRPr="003C3716">
        <w:rPr>
          <w:rFonts w:ascii="Century" w:hAnsi="Century" w:cs="Miriam" w:hint="eastAsia"/>
          <w:b/>
          <w:spacing w:val="0"/>
          <w:szCs w:val="24"/>
          <w:rtl/>
        </w:rPr>
        <w:t>לו</w:t>
      </w:r>
      <w:r>
        <w:rPr>
          <w:rFonts w:ascii="Century" w:hAnsi="Century" w:cs="Miriam"/>
          <w:b/>
          <w:spacing w:val="0"/>
          <w:szCs w:val="24"/>
          <w:rtl/>
        </w:rPr>
        <w:t xml:space="preserve"> </w:t>
      </w:r>
      <w:r>
        <w:rPr>
          <w:rFonts w:ascii="Century" w:hAnsi="Century" w:cs="Miriam" w:hint="cs"/>
          <w:b/>
          <w:spacing w:val="0"/>
          <w:szCs w:val="24"/>
          <w:rtl/>
        </w:rPr>
        <w:t>'</w:t>
      </w:r>
      <w:r w:rsidRPr="003C3716">
        <w:rPr>
          <w:rFonts w:ascii="Century" w:hAnsi="Century" w:cs="Miriam" w:hint="eastAsia"/>
          <w:b/>
          <w:spacing w:val="0"/>
          <w:szCs w:val="24"/>
          <w:rtl/>
        </w:rPr>
        <w:t>הנאה</w:t>
      </w:r>
      <w:r>
        <w:rPr>
          <w:rFonts w:ascii="Century" w:hAnsi="Century" w:cs="Miriam" w:hint="cs"/>
          <w:b/>
          <w:spacing w:val="0"/>
          <w:szCs w:val="24"/>
          <w:rtl/>
        </w:rPr>
        <w:t>'</w:t>
      </w:r>
      <w:r w:rsidRPr="003C3716">
        <w:rPr>
          <w:rFonts w:ascii="Century" w:hAnsi="Century" w:cs="Miriam"/>
          <w:b/>
          <w:spacing w:val="0"/>
          <w:szCs w:val="24"/>
          <w:rtl/>
        </w:rPr>
        <w:t xml:space="preserve"> </w:t>
      </w:r>
      <w:r w:rsidRPr="003C3716">
        <w:rPr>
          <w:rFonts w:ascii="Century" w:hAnsi="Century" w:cs="Miriam" w:hint="eastAsia"/>
          <w:b/>
          <w:spacing w:val="0"/>
          <w:szCs w:val="24"/>
          <w:rtl/>
        </w:rPr>
        <w:t>כלשהי</w:t>
      </w:r>
      <w:r w:rsidRPr="003C3716">
        <w:rPr>
          <w:rFonts w:ascii="Century" w:hAnsi="Century" w:cs="Miriam"/>
          <w:b/>
          <w:spacing w:val="0"/>
          <w:szCs w:val="24"/>
          <w:rtl/>
        </w:rPr>
        <w:t xml:space="preserve"> – </w:t>
      </w:r>
      <w:r w:rsidRPr="003C3716">
        <w:rPr>
          <w:rFonts w:ascii="Century" w:hAnsi="Century" w:cs="Miriam" w:hint="eastAsia"/>
          <w:b/>
          <w:spacing w:val="0"/>
          <w:szCs w:val="24"/>
          <w:rtl/>
        </w:rPr>
        <w:t>במובן</w:t>
      </w:r>
      <w:r w:rsidRPr="003C3716">
        <w:rPr>
          <w:rFonts w:ascii="Century" w:hAnsi="Century" w:cs="Miriam"/>
          <w:b/>
          <w:spacing w:val="0"/>
          <w:szCs w:val="24"/>
          <w:rtl/>
        </w:rPr>
        <w:t xml:space="preserve"> </w:t>
      </w:r>
      <w:r w:rsidRPr="003C3716">
        <w:rPr>
          <w:rFonts w:ascii="Century" w:hAnsi="Century" w:cs="Miriam" w:hint="eastAsia"/>
          <w:b/>
          <w:spacing w:val="0"/>
          <w:szCs w:val="24"/>
          <w:rtl/>
        </w:rPr>
        <w:t>הפשוט</w:t>
      </w:r>
      <w:r w:rsidRPr="003C3716">
        <w:rPr>
          <w:rFonts w:ascii="Century" w:hAnsi="Century" w:cs="Miriam"/>
          <w:b/>
          <w:spacing w:val="0"/>
          <w:szCs w:val="24"/>
          <w:rtl/>
        </w:rPr>
        <w:t xml:space="preserve"> </w:t>
      </w:r>
      <w:r w:rsidRPr="003C3716">
        <w:rPr>
          <w:rFonts w:ascii="Century" w:hAnsi="Century" w:cs="Miriam" w:hint="eastAsia"/>
          <w:b/>
          <w:spacing w:val="0"/>
          <w:szCs w:val="24"/>
          <w:rtl/>
        </w:rPr>
        <w:t>של</w:t>
      </w:r>
      <w:r w:rsidRPr="003C3716">
        <w:rPr>
          <w:rFonts w:ascii="Century" w:hAnsi="Century" w:cs="Miriam"/>
          <w:b/>
          <w:spacing w:val="0"/>
          <w:szCs w:val="24"/>
          <w:rtl/>
        </w:rPr>
        <w:t xml:space="preserve"> </w:t>
      </w:r>
      <w:r w:rsidRPr="003C3716">
        <w:rPr>
          <w:rFonts w:ascii="Century" w:hAnsi="Century" w:cs="Miriam" w:hint="eastAsia"/>
          <w:b/>
          <w:spacing w:val="0"/>
          <w:szCs w:val="24"/>
          <w:rtl/>
        </w:rPr>
        <w:t>המילה</w:t>
      </w:r>
      <w:r w:rsidRPr="003C3716">
        <w:rPr>
          <w:rFonts w:ascii="Century" w:hAnsi="Century" w:cs="Miriam"/>
          <w:b/>
          <w:spacing w:val="0"/>
          <w:szCs w:val="24"/>
          <w:rtl/>
        </w:rPr>
        <w:t xml:space="preserve"> – </w:t>
      </w:r>
      <w:r w:rsidRPr="003C3716">
        <w:rPr>
          <w:rFonts w:ascii="Century" w:hAnsi="Century" w:cs="Miriam" w:hint="eastAsia"/>
          <w:b/>
          <w:spacing w:val="0"/>
          <w:szCs w:val="24"/>
          <w:rtl/>
        </w:rPr>
        <w:t>בפסק</w:t>
      </w:r>
      <w:r w:rsidRPr="003C3716">
        <w:rPr>
          <w:rFonts w:ascii="Century" w:hAnsi="Century" w:cs="Miriam"/>
          <w:b/>
          <w:spacing w:val="0"/>
          <w:szCs w:val="24"/>
          <w:rtl/>
        </w:rPr>
        <w:t xml:space="preserve"> </w:t>
      </w:r>
      <w:r w:rsidRPr="003C3716">
        <w:rPr>
          <w:rFonts w:ascii="Century" w:hAnsi="Century" w:cs="Miriam" w:hint="eastAsia"/>
          <w:b/>
          <w:spacing w:val="0"/>
          <w:szCs w:val="24"/>
          <w:rtl/>
        </w:rPr>
        <w:t>הדין</w:t>
      </w:r>
      <w:r w:rsidRPr="003C3716">
        <w:rPr>
          <w:rFonts w:ascii="Century" w:hAnsi="Century" w:cs="Miriam"/>
          <w:b/>
          <w:spacing w:val="0"/>
          <w:szCs w:val="24"/>
          <w:rtl/>
        </w:rPr>
        <w:t xml:space="preserve">, </w:t>
      </w:r>
      <w:r w:rsidRPr="003C3716">
        <w:rPr>
          <w:rFonts w:ascii="Century" w:hAnsi="Century" w:cs="Miriam" w:hint="eastAsia"/>
          <w:b/>
          <w:spacing w:val="0"/>
          <w:szCs w:val="24"/>
          <w:rtl/>
        </w:rPr>
        <w:t>אף</w:t>
      </w:r>
      <w:r w:rsidRPr="003C3716">
        <w:rPr>
          <w:rFonts w:ascii="Century" w:hAnsi="Century" w:cs="Miriam"/>
          <w:b/>
          <w:spacing w:val="0"/>
          <w:szCs w:val="24"/>
          <w:rtl/>
        </w:rPr>
        <w:t xml:space="preserve"> </w:t>
      </w:r>
      <w:r w:rsidRPr="003C3716">
        <w:rPr>
          <w:rFonts w:ascii="Century" w:hAnsi="Century" w:cs="Miriam" w:hint="eastAsia"/>
          <w:b/>
          <w:spacing w:val="0"/>
          <w:szCs w:val="24"/>
          <w:rtl/>
        </w:rPr>
        <w:t>אם</w:t>
      </w:r>
      <w:r w:rsidRPr="003C3716">
        <w:rPr>
          <w:rFonts w:ascii="Century" w:hAnsi="Century" w:cs="Miriam"/>
          <w:b/>
          <w:spacing w:val="0"/>
          <w:szCs w:val="24"/>
          <w:rtl/>
        </w:rPr>
        <w:t xml:space="preserve"> </w:t>
      </w:r>
      <w:r w:rsidRPr="003C3716">
        <w:rPr>
          <w:rFonts w:ascii="Century" w:hAnsi="Century" w:cs="Miriam" w:hint="eastAsia"/>
          <w:b/>
          <w:spacing w:val="0"/>
          <w:szCs w:val="24"/>
          <w:rtl/>
        </w:rPr>
        <w:t>טענתו</w:t>
      </w:r>
      <w:r w:rsidRPr="003C3716">
        <w:rPr>
          <w:rFonts w:ascii="Century" w:hAnsi="Century" w:cs="Miriam"/>
          <w:b/>
          <w:spacing w:val="0"/>
          <w:szCs w:val="24"/>
          <w:rtl/>
        </w:rPr>
        <w:t xml:space="preserve"> </w:t>
      </w:r>
      <w:r w:rsidRPr="003C3716">
        <w:rPr>
          <w:rFonts w:ascii="Century" w:hAnsi="Century" w:cs="Miriam" w:hint="eastAsia"/>
          <w:b/>
          <w:spacing w:val="0"/>
          <w:szCs w:val="24"/>
          <w:rtl/>
        </w:rPr>
        <w:t>לא</w:t>
      </w:r>
      <w:r w:rsidRPr="003C3716">
        <w:rPr>
          <w:rFonts w:ascii="Century" w:hAnsi="Century" w:cs="Miriam"/>
          <w:b/>
          <w:spacing w:val="0"/>
          <w:szCs w:val="24"/>
          <w:rtl/>
        </w:rPr>
        <w:t xml:space="preserve"> </w:t>
      </w:r>
      <w:r w:rsidRPr="003C3716">
        <w:rPr>
          <w:rFonts w:ascii="Century" w:hAnsi="Century" w:cs="Miriam" w:hint="eastAsia"/>
          <w:b/>
          <w:spacing w:val="0"/>
          <w:szCs w:val="24"/>
          <w:rtl/>
        </w:rPr>
        <w:t>התקבלה</w:t>
      </w:r>
      <w:r w:rsidRPr="00AE3207">
        <w:rPr>
          <w:rtl/>
        </w:rPr>
        <w:t xml:space="preserve">, </w:t>
      </w:r>
      <w:r w:rsidRPr="00AE3207">
        <w:rPr>
          <w:rFonts w:hint="eastAsia"/>
          <w:rtl/>
        </w:rPr>
        <w:t>אינו</w:t>
      </w:r>
      <w:r w:rsidRPr="00AE3207">
        <w:rPr>
          <w:rtl/>
        </w:rPr>
        <w:t xml:space="preserve"> </w:t>
      </w:r>
      <w:r w:rsidRPr="00AE3207">
        <w:rPr>
          <w:rFonts w:hint="eastAsia"/>
          <w:rtl/>
        </w:rPr>
        <w:t>רשאי</w:t>
      </w:r>
      <w:r w:rsidRPr="00AE3207">
        <w:rPr>
          <w:rtl/>
        </w:rPr>
        <w:t xml:space="preserve"> </w:t>
      </w:r>
      <w:r w:rsidRPr="00AE3207">
        <w:rPr>
          <w:rFonts w:hint="eastAsia"/>
          <w:rtl/>
        </w:rPr>
        <w:t>לטעון</w:t>
      </w:r>
      <w:r w:rsidRPr="00AE3207">
        <w:rPr>
          <w:rtl/>
        </w:rPr>
        <w:t xml:space="preserve">, </w:t>
      </w:r>
      <w:r w:rsidRPr="00AE3207">
        <w:rPr>
          <w:rFonts w:hint="eastAsia"/>
          <w:rtl/>
        </w:rPr>
        <w:t>בשל</w:t>
      </w:r>
      <w:r w:rsidRPr="00AE3207">
        <w:rPr>
          <w:rtl/>
        </w:rPr>
        <w:t xml:space="preserve"> </w:t>
      </w:r>
      <w:r w:rsidRPr="00AE3207">
        <w:rPr>
          <w:rFonts w:hint="eastAsia"/>
          <w:rtl/>
        </w:rPr>
        <w:t>כללי</w:t>
      </w:r>
      <w:r w:rsidRPr="00AE3207">
        <w:rPr>
          <w:rtl/>
        </w:rPr>
        <w:t xml:space="preserve"> </w:t>
      </w:r>
      <w:r w:rsidRPr="00AE3207">
        <w:rPr>
          <w:rFonts w:hint="eastAsia"/>
          <w:rtl/>
        </w:rPr>
        <w:t>ההשתק</w:t>
      </w:r>
      <w:r w:rsidRPr="00AE3207">
        <w:rPr>
          <w:rtl/>
        </w:rPr>
        <w:t xml:space="preserve"> </w:t>
      </w:r>
      <w:r w:rsidRPr="00AE3207">
        <w:rPr>
          <w:rFonts w:hint="eastAsia"/>
          <w:rtl/>
        </w:rPr>
        <w:t>השיפוטי</w:t>
      </w:r>
      <w:r w:rsidRPr="00AE3207">
        <w:rPr>
          <w:rtl/>
        </w:rPr>
        <w:t xml:space="preserve">, </w:t>
      </w:r>
      <w:r w:rsidRPr="00AE3207">
        <w:rPr>
          <w:rFonts w:hint="eastAsia"/>
          <w:rtl/>
        </w:rPr>
        <w:t>טענה</w:t>
      </w:r>
      <w:r w:rsidRPr="00AE3207">
        <w:rPr>
          <w:rtl/>
        </w:rPr>
        <w:t xml:space="preserve"> </w:t>
      </w:r>
      <w:r w:rsidRPr="00AE3207">
        <w:rPr>
          <w:rFonts w:hint="eastAsia"/>
          <w:rtl/>
        </w:rPr>
        <w:t>מנוגדת</w:t>
      </w:r>
      <w:r w:rsidRPr="00AE3207">
        <w:rPr>
          <w:rtl/>
        </w:rPr>
        <w:t xml:space="preserve"> </w:t>
      </w:r>
      <w:r w:rsidRPr="00AE3207">
        <w:rPr>
          <w:rFonts w:hint="eastAsia"/>
          <w:rtl/>
        </w:rPr>
        <w:t>לאותה</w:t>
      </w:r>
      <w:r w:rsidRPr="00AE3207">
        <w:rPr>
          <w:rtl/>
        </w:rPr>
        <w:t xml:space="preserve"> </w:t>
      </w:r>
      <w:r w:rsidRPr="00AE3207">
        <w:rPr>
          <w:rFonts w:hint="eastAsia"/>
          <w:rtl/>
        </w:rPr>
        <w:t>טענה</w:t>
      </w:r>
      <w:r w:rsidRPr="00AE3207">
        <w:rPr>
          <w:rtl/>
        </w:rPr>
        <w:t xml:space="preserve"> </w:t>
      </w:r>
      <w:r w:rsidRPr="00AE3207">
        <w:rPr>
          <w:rFonts w:hint="eastAsia"/>
          <w:rtl/>
        </w:rPr>
        <w:t>או</w:t>
      </w:r>
      <w:r w:rsidRPr="00AE3207">
        <w:rPr>
          <w:rtl/>
        </w:rPr>
        <w:t xml:space="preserve"> </w:t>
      </w:r>
      <w:r w:rsidRPr="00AE3207">
        <w:rPr>
          <w:rFonts w:hint="eastAsia"/>
          <w:rtl/>
        </w:rPr>
        <w:t>עמדה</w:t>
      </w:r>
      <w:r w:rsidRPr="00AE3207">
        <w:rPr>
          <w:rtl/>
        </w:rPr>
        <w:t xml:space="preserve"> </w:t>
      </w:r>
      <w:r w:rsidRPr="00AE3207">
        <w:rPr>
          <w:rFonts w:hint="eastAsia"/>
          <w:rtl/>
        </w:rPr>
        <w:t>בה</w:t>
      </w:r>
      <w:r w:rsidRPr="00AE3207">
        <w:rPr>
          <w:rtl/>
        </w:rPr>
        <w:t xml:space="preserve"> </w:t>
      </w:r>
      <w:r w:rsidRPr="00AE3207">
        <w:rPr>
          <w:rFonts w:hint="eastAsia"/>
          <w:rtl/>
        </w:rPr>
        <w:t>נקט</w:t>
      </w:r>
      <w:r w:rsidRPr="00AE3207">
        <w:rPr>
          <w:rtl/>
        </w:rPr>
        <w:t xml:space="preserve"> </w:t>
      </w:r>
      <w:r w:rsidRPr="00AE3207">
        <w:rPr>
          <w:rFonts w:hint="eastAsia"/>
          <w:rtl/>
        </w:rPr>
        <w:t>במסגרת</w:t>
      </w:r>
      <w:r w:rsidRPr="00AE3207">
        <w:rPr>
          <w:rtl/>
        </w:rPr>
        <w:t xml:space="preserve"> </w:t>
      </w:r>
      <w:r w:rsidRPr="00AE3207">
        <w:rPr>
          <w:rFonts w:hint="eastAsia"/>
          <w:rtl/>
        </w:rPr>
        <w:t>הליך</w:t>
      </w:r>
      <w:r w:rsidRPr="00AE3207">
        <w:rPr>
          <w:rtl/>
        </w:rPr>
        <w:t xml:space="preserve"> </w:t>
      </w:r>
      <w:r w:rsidRPr="00AE3207">
        <w:rPr>
          <w:rFonts w:hint="eastAsia"/>
          <w:rtl/>
        </w:rPr>
        <w:t>קודם</w:t>
      </w:r>
      <w:r>
        <w:rPr>
          <w:rFonts w:hint="cs"/>
          <w:rtl/>
        </w:rPr>
        <w:t xml:space="preserve">" (ראו: עניין </w:t>
      </w:r>
      <w:r>
        <w:rPr>
          <w:rFonts w:ascii="Century" w:hAnsi="Century" w:cs="Miriam" w:hint="cs"/>
          <w:b/>
          <w:spacing w:val="0"/>
          <w:szCs w:val="24"/>
          <w:rtl/>
        </w:rPr>
        <w:t>ה</w:t>
      </w:r>
      <w:r w:rsidRPr="003B3CB1">
        <w:rPr>
          <w:rFonts w:ascii="Century" w:hAnsi="Century" w:cs="Miriam" w:hint="cs"/>
          <w:b/>
          <w:spacing w:val="0"/>
          <w:szCs w:val="24"/>
          <w:rtl/>
        </w:rPr>
        <w:t>פניקס</w:t>
      </w:r>
      <w:r>
        <w:rPr>
          <w:rFonts w:hint="cs"/>
          <w:rtl/>
        </w:rPr>
        <w:t xml:space="preserve">, בפסקה 13; ההדגשה הוספה </w:t>
      </w:r>
      <w:r>
        <w:rPr>
          <w:rtl/>
        </w:rPr>
        <w:t>–</w:t>
      </w:r>
      <w:r>
        <w:rPr>
          <w:rFonts w:hint="cs"/>
          <w:rtl/>
        </w:rPr>
        <w:t xml:space="preserve"> א.ש.).</w:t>
      </w:r>
    </w:p>
    <w:p w14:paraId="2C9F0411" w14:textId="77777777" w:rsidR="00C36C78" w:rsidRPr="00A379DC" w:rsidRDefault="00C36C78" w:rsidP="00C36C78">
      <w:pPr>
        <w:pStyle w:val="Ruller5"/>
        <w:rPr>
          <w:sz w:val="28"/>
          <w:szCs w:val="36"/>
          <w:rtl/>
        </w:rPr>
      </w:pPr>
    </w:p>
    <w:p w14:paraId="6B6BDBBC" w14:textId="77777777" w:rsidR="00C36C78" w:rsidRDefault="00C36C78" w:rsidP="00C36C78">
      <w:pPr>
        <w:pStyle w:val="Ruller4"/>
      </w:pPr>
      <w:r>
        <w:rPr>
          <w:rFonts w:hint="cs"/>
          <w:rtl/>
        </w:rPr>
        <w:t xml:space="preserve">הבהרה חשובה זו מחדדת כי דיננו מכיל בחובו את כלל המניעות הרחב אשר מונע מאדם לשחק בתפקידים הפוכים בשני מגרשים משפטיים שונים. אין אדם יכול לומר במסגרת משפטית אחת </w:t>
      </w:r>
      <w:r>
        <w:rPr>
          <w:rtl/>
        </w:rPr>
        <w:t>–</w:t>
      </w:r>
      <w:r>
        <w:rPr>
          <w:rFonts w:hint="cs"/>
          <w:rtl/>
        </w:rPr>
        <w:t xml:space="preserve"> במקרה דנן: הליך האישור של הסדר הטיעון במשפטו הפלילי </w:t>
      </w:r>
      <w:r>
        <w:rPr>
          <w:rtl/>
        </w:rPr>
        <w:t>–</w:t>
      </w:r>
      <w:r>
        <w:rPr>
          <w:rFonts w:hint="cs"/>
          <w:rtl/>
        </w:rPr>
        <w:t xml:space="preserve"> כי הוא פורש מהזירה הפוליטית כדי לפעול למען הציבור בזירה אחרת, </w:t>
      </w:r>
      <w:r w:rsidRPr="00F60E2A">
        <w:rPr>
          <w:rFonts w:hint="cs"/>
          <w:rtl/>
        </w:rPr>
        <w:t>וכעבור זמן קצר לבשר לציבור בוחריו ולעולם כולו על שובו לזירה הפוליטית ואחר-כך לחזור על אותה עמדה</w:t>
      </w:r>
      <w:r w:rsidRPr="00654784">
        <w:rPr>
          <w:rtl/>
        </w:rPr>
        <w:t xml:space="preserve">, </w:t>
      </w:r>
      <w:r w:rsidRPr="00654784">
        <w:rPr>
          <w:rFonts w:hint="eastAsia"/>
          <w:rtl/>
        </w:rPr>
        <w:t>אשר</w:t>
      </w:r>
      <w:r w:rsidRPr="00654784">
        <w:rPr>
          <w:rtl/>
        </w:rPr>
        <w:t xml:space="preserve"> </w:t>
      </w:r>
      <w:r w:rsidRPr="00654784">
        <w:rPr>
          <w:rFonts w:hint="eastAsia"/>
          <w:rtl/>
        </w:rPr>
        <w:t>מנוגדת</w:t>
      </w:r>
      <w:r w:rsidRPr="00654784">
        <w:rPr>
          <w:rtl/>
        </w:rPr>
        <w:t xml:space="preserve"> </w:t>
      </w:r>
      <w:r w:rsidRPr="00654784">
        <w:rPr>
          <w:rFonts w:hint="eastAsia"/>
          <w:rtl/>
        </w:rPr>
        <w:t>להצהרתו</w:t>
      </w:r>
      <w:r w:rsidRPr="00654784">
        <w:rPr>
          <w:rtl/>
        </w:rPr>
        <w:t xml:space="preserve"> </w:t>
      </w:r>
      <w:r w:rsidRPr="00654784">
        <w:rPr>
          <w:rFonts w:hint="eastAsia"/>
          <w:rtl/>
        </w:rPr>
        <w:t>הראשונית</w:t>
      </w:r>
      <w:r w:rsidRPr="00654784">
        <w:rPr>
          <w:rtl/>
        </w:rPr>
        <w:t xml:space="preserve">, </w:t>
      </w:r>
      <w:r w:rsidRPr="00F60E2A">
        <w:rPr>
          <w:rFonts w:hint="cs"/>
          <w:rtl/>
        </w:rPr>
        <w:t>ב</w:t>
      </w:r>
      <w:r w:rsidRPr="00654784">
        <w:rPr>
          <w:rFonts w:hint="eastAsia"/>
          <w:rtl/>
        </w:rPr>
        <w:t>מסגרת</w:t>
      </w:r>
      <w:r w:rsidRPr="00654784">
        <w:rPr>
          <w:rtl/>
        </w:rPr>
        <w:t xml:space="preserve"> </w:t>
      </w:r>
      <w:r w:rsidRPr="00F60E2A">
        <w:rPr>
          <w:rFonts w:hint="cs"/>
          <w:rtl/>
        </w:rPr>
        <w:t>הליכי הבחירות לכנסת</w:t>
      </w:r>
      <w:r w:rsidRPr="00654784">
        <w:rPr>
          <w:rtl/>
        </w:rPr>
        <w:t xml:space="preserve"> </w:t>
      </w:r>
      <w:r w:rsidRPr="00654784">
        <w:rPr>
          <w:rFonts w:hint="eastAsia"/>
          <w:rtl/>
        </w:rPr>
        <w:t>וההתדיינות</w:t>
      </w:r>
      <w:r w:rsidRPr="00654784">
        <w:rPr>
          <w:rtl/>
        </w:rPr>
        <w:t xml:space="preserve"> </w:t>
      </w:r>
      <w:r w:rsidRPr="00654784">
        <w:rPr>
          <w:rFonts w:hint="eastAsia"/>
          <w:rtl/>
        </w:rPr>
        <w:t>בעתירות</w:t>
      </w:r>
      <w:r w:rsidRPr="00654784">
        <w:rPr>
          <w:rtl/>
        </w:rPr>
        <w:t xml:space="preserve"> </w:t>
      </w:r>
      <w:r w:rsidRPr="00654784">
        <w:rPr>
          <w:rFonts w:hint="eastAsia"/>
          <w:rtl/>
        </w:rPr>
        <w:t>שלפנינו</w:t>
      </w:r>
      <w:r w:rsidRPr="00F60E2A">
        <w:rPr>
          <w:rFonts w:hint="cs"/>
          <w:rtl/>
        </w:rPr>
        <w:t>.</w:t>
      </w:r>
      <w:r>
        <w:rPr>
          <w:rFonts w:hint="cs"/>
          <w:rtl/>
        </w:rPr>
        <w:t xml:space="preserve"> </w:t>
      </w:r>
    </w:p>
    <w:p w14:paraId="23D9BA27" w14:textId="77777777" w:rsidR="00C36C78" w:rsidRDefault="00C36C78" w:rsidP="00C36C78">
      <w:pPr>
        <w:pStyle w:val="Ruller4"/>
        <w:numPr>
          <w:ilvl w:val="0"/>
          <w:numId w:val="0"/>
        </w:numPr>
      </w:pPr>
    </w:p>
    <w:p w14:paraId="72C73192" w14:textId="77777777" w:rsidR="00C36C78" w:rsidRPr="007B6F1C" w:rsidRDefault="00C36C78" w:rsidP="00C36C78">
      <w:pPr>
        <w:pStyle w:val="Ruller4"/>
      </w:pPr>
      <w:r>
        <w:rPr>
          <w:rFonts w:hint="cs"/>
          <w:rtl/>
        </w:rPr>
        <w:t xml:space="preserve">דוקטרינת ההשתק השיפוטי וכללי המניעות המקבילים הובאו לתוך הדין הישראלי מהמשפט המקובל </w:t>
      </w:r>
      <w:proofErr w:type="spellStart"/>
      <w:r>
        <w:rPr>
          <w:rFonts w:hint="cs"/>
          <w:rtl/>
        </w:rPr>
        <w:t>האנגלו</w:t>
      </w:r>
      <w:proofErr w:type="spellEnd"/>
      <w:r>
        <w:rPr>
          <w:rFonts w:hint="cs"/>
          <w:rtl/>
        </w:rPr>
        <w:t xml:space="preserve">-אמריקני, אשר אימץ את הדוקטרינה לפני למעלה </w:t>
      </w:r>
      <w:r>
        <w:rPr>
          <w:rFonts w:hint="cs"/>
          <w:rtl/>
        </w:rPr>
        <w:lastRenderedPageBreak/>
        <w:t xml:space="preserve">מ-150 שנה (ראו: </w:t>
      </w:r>
      <w:r w:rsidRPr="007B6F1C">
        <w:rPr>
          <w:rFonts w:asciiTheme="majorBidi" w:hAnsiTheme="majorBidi" w:cstheme="majorBidi"/>
        </w:rPr>
        <w:t>Hamilton v. Zimmerman, 37 Tenn. (5 Sneed) 39, 47 (1857)</w:t>
      </w:r>
      <w:r>
        <w:rPr>
          <w:rFonts w:hint="cs"/>
          <w:rtl/>
        </w:rPr>
        <w:t xml:space="preserve">). כללים אלה "חיים ובועטים" בגדרו של הדין האמריקני עד עצם היום הזה (ראו, מני רבים: </w:t>
      </w:r>
      <w:r w:rsidRPr="007B6F1C">
        <w:rPr>
          <w:rFonts w:asciiTheme="majorBidi" w:hAnsiTheme="majorBidi" w:cstheme="majorBidi"/>
        </w:rPr>
        <w:t>New Hampshire v. Maine, 532 U.S. 742 (2001</w:t>
      </w:r>
      <w:proofErr w:type="gramStart"/>
      <w:r w:rsidRPr="007B6F1C">
        <w:rPr>
          <w:rFonts w:asciiTheme="majorBidi" w:hAnsiTheme="majorBidi" w:cstheme="majorBidi"/>
        </w:rPr>
        <w:t>)</w:t>
      </w:r>
      <w:r w:rsidRPr="007B6F1C">
        <w:rPr>
          <w:rFonts w:ascii="Century" w:hAnsi="Century" w:hint="cs"/>
          <w:sz w:val="22"/>
          <w:rtl/>
        </w:rPr>
        <w:t>;</w:t>
      </w:r>
      <w:proofErr w:type="spellStart"/>
      <w:r w:rsidRPr="007B6F1C">
        <w:rPr>
          <w:rFonts w:asciiTheme="majorBidi" w:eastAsia="Arial" w:hAnsiTheme="majorBidi" w:cstheme="majorBidi"/>
          <w:iCs/>
          <w:szCs w:val="24"/>
        </w:rPr>
        <w:t>Rissetto</w:t>
      </w:r>
      <w:proofErr w:type="spellEnd"/>
      <w:proofErr w:type="gramEnd"/>
      <w:r w:rsidRPr="007B6F1C">
        <w:rPr>
          <w:rFonts w:asciiTheme="majorBidi" w:eastAsia="Arial" w:hAnsiTheme="majorBidi" w:cstheme="majorBidi"/>
          <w:iCs/>
          <w:szCs w:val="24"/>
        </w:rPr>
        <w:t xml:space="preserve"> v. Plumbers &amp; Steamfitters Local 343, 94 F.3d 597, 605 (9th Cir. 1996)</w:t>
      </w:r>
      <w:r w:rsidRPr="007B6F1C">
        <w:rPr>
          <w:rFonts w:ascii="Century" w:hAnsi="Century" w:hint="cs"/>
          <w:sz w:val="22"/>
          <w:rtl/>
        </w:rPr>
        <w:t>;</w:t>
      </w:r>
      <w:r>
        <w:rPr>
          <w:rFonts w:hint="cs"/>
          <w:rtl/>
        </w:rPr>
        <w:t xml:space="preserve"> </w:t>
      </w:r>
      <w:r w:rsidRPr="007B6F1C">
        <w:rPr>
          <w:rFonts w:asciiTheme="majorBidi" w:hAnsiTheme="majorBidi" w:cstheme="majorBidi"/>
          <w:szCs w:val="24"/>
        </w:rPr>
        <w:t>Arizona v. Shamrock Foods Co., 729 F.2d 1208, 1215 (9th Cir. 1984)</w:t>
      </w:r>
      <w:r w:rsidRPr="007B6F1C">
        <w:rPr>
          <w:rFonts w:ascii="Century" w:hAnsi="Century" w:hint="cs"/>
          <w:sz w:val="22"/>
          <w:rtl/>
        </w:rPr>
        <w:t xml:space="preserve">; </w:t>
      </w:r>
      <w:r w:rsidRPr="007E343B">
        <w:rPr>
          <w:rFonts w:asciiTheme="majorBidi" w:hAnsiTheme="majorBidi" w:cstheme="majorBidi"/>
          <w:szCs w:val="24"/>
        </w:rPr>
        <w:t>Edwards v. Aetna Life Insurance Company, 690 F.2d 595 (6th Cir. 1982)</w:t>
      </w:r>
      <w:r w:rsidRPr="007E343B">
        <w:rPr>
          <w:rFonts w:asciiTheme="majorBidi" w:hAnsiTheme="majorBidi" w:cstheme="majorBidi" w:hint="cs"/>
          <w:szCs w:val="24"/>
          <w:rtl/>
        </w:rPr>
        <w:t xml:space="preserve">; </w:t>
      </w:r>
      <w:r w:rsidRPr="007E343B">
        <w:rPr>
          <w:rFonts w:ascii="Century" w:hAnsi="Century"/>
          <w:sz w:val="22"/>
          <w:rtl/>
        </w:rPr>
        <w:t>וכן</w:t>
      </w:r>
      <w:r w:rsidRPr="007E343B">
        <w:rPr>
          <w:rFonts w:asciiTheme="majorBidi" w:hAnsiTheme="majorBidi" w:cstheme="majorBidi"/>
          <w:szCs w:val="24"/>
        </w:rPr>
        <w:t xml:space="preserve">Kira A. Davis, </w:t>
      </w:r>
      <w:r w:rsidRPr="00B630FB">
        <w:rPr>
          <w:rFonts w:asciiTheme="majorBidi" w:hAnsiTheme="majorBidi" w:cstheme="majorBidi"/>
          <w:i/>
          <w:iCs/>
          <w:szCs w:val="24"/>
        </w:rPr>
        <w:t>Judicial Estoppel and Inconsistent Positions of Law Applied to Fact and Pure Law</w:t>
      </w:r>
      <w:r w:rsidRPr="007B6F1C">
        <w:rPr>
          <w:rFonts w:asciiTheme="majorBidi" w:hAnsiTheme="majorBidi" w:cstheme="majorBidi"/>
          <w:szCs w:val="24"/>
        </w:rPr>
        <w:t xml:space="preserve">, 89 </w:t>
      </w:r>
      <w:r w:rsidRPr="007B6F1C">
        <w:rPr>
          <w:rFonts w:asciiTheme="majorBidi" w:hAnsiTheme="majorBidi" w:cstheme="majorBidi"/>
          <w:smallCaps/>
          <w:szCs w:val="24"/>
        </w:rPr>
        <w:t xml:space="preserve">Cornell L. Rev. </w:t>
      </w:r>
      <w:r w:rsidRPr="007B6F1C">
        <w:rPr>
          <w:rFonts w:asciiTheme="majorBidi" w:hAnsiTheme="majorBidi" w:cstheme="majorBidi"/>
          <w:szCs w:val="24"/>
        </w:rPr>
        <w:t>191 (2003)</w:t>
      </w:r>
      <w:r w:rsidRPr="007B6F1C">
        <w:rPr>
          <w:rFonts w:ascii="Century" w:hAnsi="Century" w:hint="cs"/>
          <w:sz w:val="22"/>
          <w:rtl/>
        </w:rPr>
        <w:t xml:space="preserve">). </w:t>
      </w:r>
    </w:p>
    <w:p w14:paraId="5EC5B236" w14:textId="77777777" w:rsidR="00C36C78" w:rsidRDefault="00C36C78" w:rsidP="00C36C78">
      <w:pPr>
        <w:pStyle w:val="Ruller4"/>
        <w:numPr>
          <w:ilvl w:val="0"/>
          <w:numId w:val="0"/>
        </w:numPr>
        <w:rPr>
          <w:rtl/>
        </w:rPr>
      </w:pPr>
    </w:p>
    <w:p w14:paraId="6152AB57" w14:textId="77777777" w:rsidR="00C36C78" w:rsidRDefault="00C36C78" w:rsidP="00C36C78">
      <w:pPr>
        <w:pStyle w:val="Ruller4"/>
        <w:rPr>
          <w:rtl/>
        </w:rPr>
      </w:pPr>
      <w:r>
        <w:rPr>
          <w:rFonts w:hint="cs"/>
          <w:rtl/>
        </w:rPr>
        <w:t>כמו אצלנו, לפי הגישה הרווחת בארצות הברית, דוקטרינת ההשתק השיפוטי באה להגן על מערכת המשפט כמערכת שבנויה על יושרה:</w:t>
      </w:r>
    </w:p>
    <w:p w14:paraId="3B840DC2" w14:textId="77777777" w:rsidR="00C36C78" w:rsidRPr="00DA49CD" w:rsidRDefault="00C36C78" w:rsidP="00C36C78">
      <w:pPr>
        <w:pStyle w:val="Ruller41"/>
        <w:rPr>
          <w:rtl/>
        </w:rPr>
      </w:pPr>
    </w:p>
    <w:p w14:paraId="5410AD8F" w14:textId="77777777" w:rsidR="00C36C78" w:rsidRPr="00725C65" w:rsidRDefault="00C36C78" w:rsidP="00C36C78">
      <w:pPr>
        <w:pStyle w:val="Ruller5"/>
        <w:bidi w:val="0"/>
        <w:rPr>
          <w:rFonts w:asciiTheme="majorBidi" w:hAnsiTheme="majorBidi" w:cstheme="majorBidi"/>
          <w:sz w:val="24"/>
          <w:szCs w:val="24"/>
        </w:rPr>
      </w:pPr>
      <w:r w:rsidRPr="00725C65">
        <w:rPr>
          <w:rFonts w:asciiTheme="majorBidi" w:hAnsiTheme="majorBidi" w:cstheme="majorBidi"/>
          <w:sz w:val="24"/>
          <w:szCs w:val="24"/>
        </w:rPr>
        <w:t xml:space="preserve">"One view focuses on the harm to the opposing party by having inconsistent positions adopted against it. […] This observation has a solid foundation in traditional principles of estoppel doctrine.   It follows from this view that </w:t>
      </w:r>
      <w:r w:rsidRPr="003D1902">
        <w:rPr>
          <w:rFonts w:asciiTheme="majorBidi" w:hAnsiTheme="majorBidi" w:cstheme="majorBidi"/>
          <w:i/>
          <w:iCs/>
          <w:sz w:val="24"/>
          <w:szCs w:val="24"/>
        </w:rPr>
        <w:t>judicial estoppel is triggered when a litigant wins the first time and then tries to win a second time against the same adversary by contradicting itself</w:t>
      </w:r>
      <w:r w:rsidRPr="00725C65">
        <w:rPr>
          <w:rFonts w:asciiTheme="majorBidi" w:hAnsiTheme="majorBidi" w:cstheme="majorBidi"/>
          <w:sz w:val="24"/>
          <w:szCs w:val="24"/>
        </w:rPr>
        <w:t xml:space="preserve">. Few fact patterns fall within this strict view of the doctrine. Other courts, while recognizing the basic estoppel concept of detrimental reliance, view the inconsistency as harming the court and judicial system rather than the litigant. </w:t>
      </w:r>
      <w:r>
        <w:rPr>
          <w:rFonts w:asciiTheme="majorBidi" w:hAnsiTheme="majorBidi" w:cstheme="majorBidi"/>
          <w:sz w:val="24"/>
          <w:szCs w:val="24"/>
        </w:rPr>
        <w:t xml:space="preserve">[…] </w:t>
      </w:r>
      <w:r w:rsidRPr="00725C65">
        <w:rPr>
          <w:rFonts w:asciiTheme="majorBidi" w:hAnsiTheme="majorBidi" w:cstheme="majorBidi"/>
          <w:sz w:val="24"/>
          <w:szCs w:val="24"/>
        </w:rPr>
        <w:t xml:space="preserve">Some commentators have even argued that limiting the doctrine to litigation between the same parties </w:t>
      </w:r>
      <w:r>
        <w:rPr>
          <w:rFonts w:asciiTheme="majorBidi" w:hAnsiTheme="majorBidi" w:cstheme="majorBidi"/>
          <w:sz w:val="24"/>
          <w:szCs w:val="24"/>
        </w:rPr>
        <w:t>renders the two doctrines redun</w:t>
      </w:r>
      <w:r w:rsidRPr="00725C65">
        <w:rPr>
          <w:rFonts w:asciiTheme="majorBidi" w:hAnsiTheme="majorBidi" w:cstheme="majorBidi"/>
          <w:sz w:val="24"/>
          <w:szCs w:val="24"/>
        </w:rPr>
        <w:t xml:space="preserve">dant. </w:t>
      </w:r>
      <w:r w:rsidRPr="00DA49CD">
        <w:rPr>
          <w:rFonts w:asciiTheme="majorBidi" w:hAnsiTheme="majorBidi" w:cstheme="majorBidi"/>
          <w:i/>
          <w:iCs/>
          <w:sz w:val="24"/>
          <w:szCs w:val="24"/>
        </w:rPr>
        <w:t>More courts apply this broader view than the narrow one previously described</w:t>
      </w:r>
      <w:r w:rsidRPr="00DA49CD">
        <w:rPr>
          <w:rFonts w:asciiTheme="majorBidi" w:hAnsiTheme="majorBidi" w:cstheme="majorBidi"/>
          <w:sz w:val="24"/>
          <w:szCs w:val="24"/>
        </w:rPr>
        <w:t>"</w:t>
      </w:r>
      <w:r w:rsidRPr="00DA49CD">
        <w:rPr>
          <w:rFonts w:ascii="Century" w:hAnsi="Century" w:hint="cs"/>
          <w:rtl/>
        </w:rPr>
        <w:t>.</w:t>
      </w:r>
    </w:p>
    <w:p w14:paraId="1EDF17E0" w14:textId="77777777" w:rsidR="00C36C78" w:rsidRDefault="00C36C78" w:rsidP="00C36C78">
      <w:pPr>
        <w:pStyle w:val="Ruller41"/>
        <w:rPr>
          <w:rtl/>
        </w:rPr>
      </w:pPr>
    </w:p>
    <w:p w14:paraId="6FA3A671" w14:textId="77777777" w:rsidR="00C36C78" w:rsidRPr="00DA49CD" w:rsidRDefault="00C36C78" w:rsidP="00C36C78">
      <w:pPr>
        <w:pStyle w:val="Ruller41"/>
        <w:rPr>
          <w:rtl/>
        </w:rPr>
      </w:pPr>
      <w:r>
        <w:rPr>
          <w:rFonts w:hint="cs"/>
          <w:rtl/>
        </w:rPr>
        <w:t xml:space="preserve">ראו: </w:t>
      </w:r>
      <w:r w:rsidRPr="009742D0">
        <w:rPr>
          <w:rFonts w:asciiTheme="majorBidi" w:hAnsiTheme="majorBidi" w:cstheme="majorBidi"/>
          <w:sz w:val="24"/>
          <w:szCs w:val="24"/>
        </w:rPr>
        <w:t xml:space="preserve">David S. </w:t>
      </w:r>
      <w:proofErr w:type="spellStart"/>
      <w:r w:rsidRPr="009742D0">
        <w:rPr>
          <w:rFonts w:asciiTheme="majorBidi" w:hAnsiTheme="majorBidi" w:cstheme="majorBidi"/>
          <w:sz w:val="24"/>
          <w:szCs w:val="24"/>
        </w:rPr>
        <w:t>Coale</w:t>
      </w:r>
      <w:proofErr w:type="spellEnd"/>
      <w:r w:rsidRPr="009742D0">
        <w:rPr>
          <w:rFonts w:asciiTheme="majorBidi" w:hAnsiTheme="majorBidi" w:cstheme="majorBidi"/>
          <w:sz w:val="24"/>
          <w:szCs w:val="24"/>
        </w:rPr>
        <w:t xml:space="preserve">, </w:t>
      </w:r>
      <w:r w:rsidRPr="00420C20">
        <w:rPr>
          <w:rFonts w:asciiTheme="majorBidi" w:hAnsiTheme="majorBidi" w:cstheme="majorBidi"/>
          <w:i/>
          <w:iCs/>
          <w:sz w:val="24"/>
          <w:szCs w:val="24"/>
        </w:rPr>
        <w:t>A New Framework for Judicial Estoppel</w:t>
      </w:r>
      <w:r>
        <w:rPr>
          <w:rFonts w:asciiTheme="majorBidi" w:hAnsiTheme="majorBidi" w:cstheme="majorBidi"/>
          <w:sz w:val="24"/>
          <w:szCs w:val="24"/>
        </w:rPr>
        <w:t xml:space="preserve">, 18 </w:t>
      </w:r>
      <w:r w:rsidRPr="00264539">
        <w:rPr>
          <w:rFonts w:asciiTheme="majorBidi" w:hAnsiTheme="majorBidi" w:cstheme="majorBidi"/>
          <w:smallCaps/>
          <w:sz w:val="24"/>
          <w:szCs w:val="24"/>
        </w:rPr>
        <w:t>Rev. Litig.</w:t>
      </w:r>
      <w:r w:rsidRPr="009742D0">
        <w:rPr>
          <w:rFonts w:asciiTheme="majorBidi" w:hAnsiTheme="majorBidi" w:cstheme="majorBidi"/>
          <w:sz w:val="24"/>
          <w:szCs w:val="24"/>
        </w:rPr>
        <w:t xml:space="preserve"> 1, 9</w:t>
      </w:r>
      <w:r>
        <w:rPr>
          <w:rFonts w:asciiTheme="majorBidi" w:hAnsiTheme="majorBidi" w:cstheme="majorBidi"/>
          <w:sz w:val="24"/>
          <w:szCs w:val="24"/>
        </w:rPr>
        <w:t xml:space="preserve"> (1999)</w:t>
      </w:r>
      <w:r w:rsidRPr="00DA49CD">
        <w:rPr>
          <w:rFonts w:ascii="Century" w:hAnsi="Century" w:hint="cs"/>
          <w:rtl/>
        </w:rPr>
        <w:t xml:space="preserve"> (ההדגשה הוספה </w:t>
      </w:r>
      <w:r w:rsidRPr="00DA49CD">
        <w:rPr>
          <w:rFonts w:ascii="Century" w:hAnsi="Century"/>
          <w:rtl/>
        </w:rPr>
        <w:t>–</w:t>
      </w:r>
      <w:r w:rsidRPr="00DA49CD">
        <w:rPr>
          <w:rFonts w:ascii="Century" w:hAnsi="Century" w:hint="cs"/>
          <w:rtl/>
        </w:rPr>
        <w:t xml:space="preserve"> א.ש</w:t>
      </w:r>
      <w:r>
        <w:rPr>
          <w:rFonts w:ascii="Century" w:hAnsi="Century" w:hint="cs"/>
          <w:rtl/>
        </w:rPr>
        <w:t>.</w:t>
      </w:r>
      <w:r w:rsidRPr="00DA49CD">
        <w:rPr>
          <w:rFonts w:ascii="Century" w:hAnsi="Century" w:hint="cs"/>
          <w:rtl/>
        </w:rPr>
        <w:t>)</w:t>
      </w:r>
      <w:r>
        <w:rPr>
          <w:rFonts w:asciiTheme="majorBidi" w:hAnsiTheme="majorBidi" w:cstheme="majorBidi" w:hint="cs"/>
          <w:sz w:val="24"/>
          <w:szCs w:val="24"/>
          <w:rtl/>
        </w:rPr>
        <w:t xml:space="preserve">; </w:t>
      </w:r>
      <w:r w:rsidRPr="00DA49CD">
        <w:rPr>
          <w:rFonts w:ascii="Century" w:hAnsi="Century" w:hint="cs"/>
          <w:rtl/>
        </w:rPr>
        <w:t xml:space="preserve">וראו גם </w:t>
      </w:r>
      <w:r w:rsidRPr="007E5D6C">
        <w:rPr>
          <w:rFonts w:asciiTheme="majorBidi" w:hAnsiTheme="majorBidi" w:cstheme="majorBidi"/>
          <w:sz w:val="24"/>
          <w:szCs w:val="24"/>
        </w:rPr>
        <w:t xml:space="preserve">Nicole C. Frazer, </w:t>
      </w:r>
      <w:r w:rsidRPr="007E5D6C">
        <w:rPr>
          <w:rFonts w:asciiTheme="majorBidi" w:hAnsiTheme="majorBidi" w:cstheme="majorBidi"/>
          <w:i/>
          <w:iCs/>
          <w:sz w:val="24"/>
          <w:szCs w:val="24"/>
        </w:rPr>
        <w:t>Reassessing the Doctrine of Judicial Estoppel: The Implications of the Judicial Integrity Rationale</w:t>
      </w:r>
      <w:r w:rsidRPr="007E5D6C">
        <w:rPr>
          <w:rFonts w:asciiTheme="majorBidi" w:hAnsiTheme="majorBidi" w:cstheme="majorBidi"/>
          <w:sz w:val="24"/>
          <w:szCs w:val="24"/>
        </w:rPr>
        <w:t xml:space="preserve">, 101 </w:t>
      </w:r>
      <w:r w:rsidRPr="007E5D6C">
        <w:rPr>
          <w:rFonts w:asciiTheme="majorBidi" w:hAnsiTheme="majorBidi" w:cstheme="majorBidi"/>
          <w:smallCaps/>
          <w:sz w:val="24"/>
          <w:szCs w:val="24"/>
        </w:rPr>
        <w:t>Va. L. Rev.</w:t>
      </w:r>
      <w:r w:rsidRPr="007E5D6C">
        <w:rPr>
          <w:rFonts w:asciiTheme="majorBidi" w:hAnsiTheme="majorBidi" w:cstheme="majorBidi"/>
          <w:sz w:val="24"/>
          <w:szCs w:val="24"/>
        </w:rPr>
        <w:t xml:space="preserve"> 1501</w:t>
      </w:r>
      <w:r>
        <w:rPr>
          <w:rFonts w:asciiTheme="majorBidi" w:hAnsiTheme="majorBidi" w:cstheme="majorBidi"/>
          <w:sz w:val="24"/>
          <w:szCs w:val="24"/>
        </w:rPr>
        <w:t xml:space="preserve"> </w:t>
      </w:r>
      <w:r w:rsidRPr="007E5D6C">
        <w:rPr>
          <w:rFonts w:asciiTheme="majorBidi" w:hAnsiTheme="majorBidi" w:cstheme="majorBidi"/>
          <w:sz w:val="24"/>
          <w:szCs w:val="24"/>
        </w:rPr>
        <w:t>(2015</w:t>
      </w:r>
      <w:r w:rsidRPr="002D5572">
        <w:rPr>
          <w:rFonts w:ascii="Century" w:hAnsi="Century"/>
        </w:rPr>
        <w:t>)</w:t>
      </w:r>
      <w:r w:rsidRPr="002D5572">
        <w:rPr>
          <w:rFonts w:ascii="Century" w:hAnsi="Century" w:hint="cs"/>
          <w:rtl/>
        </w:rPr>
        <w:t xml:space="preserve"> (להלן:</w:t>
      </w:r>
      <w:r w:rsidRPr="002D5572">
        <w:rPr>
          <w:rFonts w:asciiTheme="majorBidi" w:hAnsiTheme="majorBidi" w:cstheme="majorBidi" w:hint="cs"/>
          <w:sz w:val="24"/>
          <w:szCs w:val="24"/>
          <w:rtl/>
        </w:rPr>
        <w:t xml:space="preserve"> </w:t>
      </w:r>
      <w:r w:rsidRPr="002D5572">
        <w:rPr>
          <w:rFonts w:asciiTheme="majorBidi" w:hAnsiTheme="majorBidi" w:cstheme="majorBidi"/>
          <w:i/>
          <w:iCs/>
          <w:sz w:val="24"/>
          <w:szCs w:val="24"/>
        </w:rPr>
        <w:t>Frazer</w:t>
      </w:r>
      <w:r w:rsidRPr="002D5572">
        <w:rPr>
          <w:rFonts w:ascii="Century" w:hAnsi="Century" w:hint="cs"/>
          <w:rtl/>
        </w:rPr>
        <w:t>)</w:t>
      </w:r>
      <w:r w:rsidRPr="007E5D6C">
        <w:rPr>
          <w:rFonts w:asciiTheme="majorBidi" w:hAnsiTheme="majorBidi" w:cstheme="majorBidi"/>
          <w:sz w:val="24"/>
          <w:szCs w:val="24"/>
          <w:rtl/>
        </w:rPr>
        <w:t>.</w:t>
      </w:r>
    </w:p>
    <w:p w14:paraId="7435347C" w14:textId="77777777" w:rsidR="00C36C78" w:rsidRDefault="00C36C78" w:rsidP="00C36C78">
      <w:pPr>
        <w:pStyle w:val="Ruller41"/>
        <w:rPr>
          <w:rtl/>
        </w:rPr>
      </w:pPr>
    </w:p>
    <w:p w14:paraId="382B6791" w14:textId="77777777" w:rsidR="00C36C78" w:rsidRDefault="00C36C78" w:rsidP="00C36C78">
      <w:pPr>
        <w:pStyle w:val="Ruller4"/>
        <w:rPr>
          <w:rtl/>
        </w:rPr>
      </w:pPr>
      <w:r>
        <w:rPr>
          <w:rFonts w:hint="cs"/>
          <w:rtl/>
        </w:rPr>
        <w:t xml:space="preserve">לענייננו-שלנו, יפים במיוחד דבריו של השופט </w:t>
      </w:r>
      <w:r w:rsidRPr="007E343B">
        <w:rPr>
          <w:rFonts w:ascii="Century" w:hAnsi="Century" w:cs="Miriam" w:hint="cs"/>
          <w:b/>
          <w:spacing w:val="0"/>
          <w:sz w:val="22"/>
          <w:szCs w:val="24"/>
          <w:rtl/>
        </w:rPr>
        <w:t xml:space="preserve">פרנק </w:t>
      </w:r>
      <w:proofErr w:type="spellStart"/>
      <w:r w:rsidRPr="007E343B">
        <w:rPr>
          <w:rFonts w:ascii="Century" w:hAnsi="Century" w:cs="Miriam" w:hint="cs"/>
          <w:b/>
          <w:spacing w:val="0"/>
          <w:sz w:val="22"/>
          <w:szCs w:val="24"/>
          <w:rtl/>
        </w:rPr>
        <w:t>איסטרברוק</w:t>
      </w:r>
      <w:proofErr w:type="spellEnd"/>
      <w:r w:rsidRPr="007E343B">
        <w:rPr>
          <w:rFonts w:hint="cs"/>
          <w:rtl/>
        </w:rPr>
        <w:t xml:space="preserve"> </w:t>
      </w:r>
      <w:r>
        <w:rPr>
          <w:rFonts w:hint="cs"/>
          <w:rtl/>
        </w:rPr>
        <w:t>(</w:t>
      </w:r>
      <w:r w:rsidRPr="007E343B">
        <w:rPr>
          <w:rFonts w:asciiTheme="majorBidi" w:hAnsiTheme="majorBidi" w:cstheme="majorBidi"/>
        </w:rPr>
        <w:t>Easterbrook</w:t>
      </w:r>
      <w:r>
        <w:rPr>
          <w:rFonts w:hint="cs"/>
          <w:rtl/>
        </w:rPr>
        <w:t xml:space="preserve">)  מבית המשפט לערעורים של המחוז הפדראלי השביעי: </w:t>
      </w:r>
    </w:p>
    <w:p w14:paraId="7430FC84" w14:textId="77777777" w:rsidR="00C36C78" w:rsidRDefault="00C36C78" w:rsidP="00C36C78">
      <w:pPr>
        <w:pStyle w:val="Ruller41"/>
      </w:pPr>
    </w:p>
    <w:p w14:paraId="165441CD" w14:textId="77777777" w:rsidR="00C36C78" w:rsidRPr="00DD1CBB" w:rsidRDefault="00C36C78" w:rsidP="00C36C78">
      <w:pPr>
        <w:pStyle w:val="Ruller5"/>
        <w:bidi w:val="0"/>
        <w:rPr>
          <w:rFonts w:ascii="FrankRuehl" w:eastAsia="Arial" w:hAnsi="FrankRuehl"/>
          <w:sz w:val="28"/>
        </w:rPr>
      </w:pPr>
      <w:r w:rsidRPr="00EA45F1">
        <w:rPr>
          <w:rFonts w:asciiTheme="majorBidi" w:eastAsia="Arial" w:hAnsiTheme="majorBidi" w:cstheme="majorBidi"/>
          <w:sz w:val="24"/>
          <w:szCs w:val="24"/>
        </w:rPr>
        <w:lastRenderedPageBreak/>
        <w:t xml:space="preserve">"The offense is not taking inconsistent positions so much as it is </w:t>
      </w:r>
      <w:r w:rsidRPr="007B6F1C">
        <w:rPr>
          <w:rFonts w:asciiTheme="majorBidi" w:eastAsia="Arial" w:hAnsiTheme="majorBidi" w:cstheme="majorBidi"/>
          <w:i/>
          <w:iCs/>
          <w:sz w:val="24"/>
          <w:szCs w:val="24"/>
        </w:rPr>
        <w:t>winning</w:t>
      </w:r>
      <w:r w:rsidRPr="00EA45F1">
        <w:rPr>
          <w:rFonts w:asciiTheme="majorBidi" w:eastAsia="Arial" w:hAnsiTheme="majorBidi" w:cstheme="majorBidi"/>
          <w:sz w:val="24"/>
          <w:szCs w:val="24"/>
        </w:rPr>
        <w:t>, twice, on the basis of incompatible positions"</w:t>
      </w:r>
      <w:r w:rsidRPr="00DD1CBB">
        <w:rPr>
          <w:rFonts w:ascii="FrankRuehl" w:eastAsia="Arial" w:hAnsi="FrankRuehl"/>
          <w:sz w:val="28"/>
        </w:rPr>
        <w:t>.</w:t>
      </w:r>
    </w:p>
    <w:p w14:paraId="396D140A" w14:textId="77777777" w:rsidR="00C36C78" w:rsidRPr="00533EC1" w:rsidRDefault="00C36C78" w:rsidP="00C36C78">
      <w:pPr>
        <w:pStyle w:val="Ruller41"/>
        <w:rPr>
          <w:rtl/>
        </w:rPr>
      </w:pPr>
    </w:p>
    <w:p w14:paraId="28A690D0" w14:textId="77777777" w:rsidR="00C36C78" w:rsidRDefault="00C36C78" w:rsidP="00C36C78">
      <w:pPr>
        <w:pStyle w:val="Ruller5"/>
        <w:rPr>
          <w:rFonts w:asciiTheme="majorBidi" w:eastAsia="Arial" w:hAnsiTheme="majorBidi" w:cstheme="majorBidi"/>
          <w:sz w:val="24"/>
          <w:szCs w:val="24"/>
        </w:rPr>
      </w:pPr>
    </w:p>
    <w:p w14:paraId="190E327D" w14:textId="77777777" w:rsidR="00C36C78" w:rsidRDefault="00C36C78" w:rsidP="00C36C78">
      <w:pPr>
        <w:pStyle w:val="Ruller41"/>
        <w:rPr>
          <w:rFonts w:ascii="Century" w:eastAsia="Arial" w:hAnsi="Century"/>
          <w:rtl/>
        </w:rPr>
      </w:pPr>
      <w:r>
        <w:rPr>
          <w:rFonts w:eastAsia="Arial"/>
          <w:rtl/>
        </w:rPr>
        <w:tab/>
      </w:r>
      <w:r>
        <w:rPr>
          <w:rFonts w:eastAsia="Arial" w:hint="cs"/>
          <w:rtl/>
        </w:rPr>
        <w:t xml:space="preserve">ראו: </w:t>
      </w:r>
      <w:r w:rsidRPr="00716E06">
        <w:rPr>
          <w:rFonts w:asciiTheme="majorBidi" w:eastAsia="Arial" w:hAnsiTheme="majorBidi" w:cstheme="majorBidi"/>
          <w:sz w:val="24"/>
          <w:szCs w:val="24"/>
        </w:rPr>
        <w:t xml:space="preserve"> Astor Chauffeured Limousine Co. v. </w:t>
      </w:r>
      <w:proofErr w:type="spellStart"/>
      <w:r w:rsidRPr="00716E06">
        <w:rPr>
          <w:rFonts w:asciiTheme="majorBidi" w:eastAsia="Arial" w:hAnsiTheme="majorBidi" w:cstheme="majorBidi"/>
          <w:sz w:val="24"/>
          <w:szCs w:val="24"/>
        </w:rPr>
        <w:t>Ru</w:t>
      </w:r>
      <w:r>
        <w:rPr>
          <w:rFonts w:asciiTheme="majorBidi" w:eastAsia="Arial" w:hAnsiTheme="majorBidi" w:cstheme="majorBidi"/>
          <w:sz w:val="24"/>
          <w:szCs w:val="24"/>
        </w:rPr>
        <w:t>n</w:t>
      </w:r>
      <w:r w:rsidRPr="00716E06">
        <w:rPr>
          <w:rFonts w:asciiTheme="majorBidi" w:eastAsia="Arial" w:hAnsiTheme="majorBidi" w:cstheme="majorBidi"/>
          <w:sz w:val="24"/>
          <w:szCs w:val="24"/>
        </w:rPr>
        <w:t>nfeldt</w:t>
      </w:r>
      <w:proofErr w:type="spellEnd"/>
      <w:r w:rsidRPr="00716E06">
        <w:rPr>
          <w:rFonts w:asciiTheme="majorBidi" w:eastAsia="Arial" w:hAnsiTheme="majorBidi" w:cstheme="majorBidi"/>
          <w:sz w:val="24"/>
          <w:szCs w:val="24"/>
        </w:rPr>
        <w:t xml:space="preserve"> Inv. Corp., 910 F.2d 1540, 1548 (7th Cir. 1990)</w:t>
      </w:r>
      <w:r w:rsidRPr="00727A5B">
        <w:rPr>
          <w:rFonts w:ascii="Century" w:eastAsia="Arial" w:hAnsi="Century" w:hint="cs"/>
          <w:rtl/>
        </w:rPr>
        <w:t xml:space="preserve"> </w:t>
      </w:r>
      <w:r>
        <w:rPr>
          <w:rFonts w:ascii="Century" w:eastAsia="Arial" w:hAnsi="Century" w:hint="cs"/>
          <w:rtl/>
        </w:rPr>
        <w:t xml:space="preserve">(להלן: עניין </w:t>
      </w:r>
      <w:r w:rsidRPr="00654784">
        <w:rPr>
          <w:rFonts w:asciiTheme="majorBidi" w:eastAsia="Arial" w:hAnsiTheme="majorBidi" w:cstheme="majorBidi"/>
          <w:i/>
          <w:iCs/>
          <w:sz w:val="24"/>
          <w:szCs w:val="24"/>
        </w:rPr>
        <w:t>Astor</w:t>
      </w:r>
      <w:r>
        <w:rPr>
          <w:rFonts w:ascii="Century" w:eastAsia="Arial" w:hAnsi="Century" w:hint="cs"/>
          <w:rtl/>
        </w:rPr>
        <w:t>).</w:t>
      </w:r>
    </w:p>
    <w:p w14:paraId="50B39E5B" w14:textId="77777777" w:rsidR="00C36C78" w:rsidRDefault="00C36C78" w:rsidP="00C36C78">
      <w:pPr>
        <w:pStyle w:val="Ruller41"/>
        <w:rPr>
          <w:rFonts w:ascii="Century" w:eastAsia="Arial" w:hAnsi="Century"/>
          <w:rtl/>
        </w:rPr>
      </w:pPr>
    </w:p>
    <w:p w14:paraId="15CEE4B3" w14:textId="77777777" w:rsidR="00C36C78" w:rsidRPr="00C1401B" w:rsidRDefault="00C36C78" w:rsidP="00C36C78">
      <w:pPr>
        <w:pStyle w:val="Ruller4"/>
        <w:rPr>
          <w:sz w:val="22"/>
          <w:rtl/>
        </w:rPr>
      </w:pPr>
      <w:r>
        <w:rPr>
          <w:rFonts w:eastAsia="Arial" w:hint="cs"/>
          <w:rtl/>
        </w:rPr>
        <w:t xml:space="preserve">עיקרון פשוט זה </w:t>
      </w:r>
      <w:r>
        <w:rPr>
          <w:rFonts w:hint="cs"/>
          <w:sz w:val="22"/>
          <w:rtl/>
        </w:rPr>
        <w:t xml:space="preserve">מסכם את דוקטרינת ההשתק השיפוטי ואת כללי המניעות הנלווים אליה בארצות הברית ובמשפטנו שלנו </w:t>
      </w:r>
      <w:r>
        <w:rPr>
          <w:sz w:val="22"/>
          <w:rtl/>
        </w:rPr>
        <w:t>–</w:t>
      </w:r>
      <w:r>
        <w:rPr>
          <w:rFonts w:hint="cs"/>
          <w:sz w:val="22"/>
          <w:rtl/>
        </w:rPr>
        <w:t xml:space="preserve"> </w:t>
      </w:r>
      <w:r w:rsidRPr="00715BEF">
        <w:rPr>
          <w:rFonts w:hint="eastAsia"/>
          <w:rtl/>
        </w:rPr>
        <w:t>שכידוע</w:t>
      </w:r>
      <w:r w:rsidRPr="00715BEF">
        <w:rPr>
          <w:rtl/>
        </w:rPr>
        <w:t xml:space="preserve"> </w:t>
      </w:r>
      <w:r w:rsidRPr="00715BEF">
        <w:rPr>
          <w:rFonts w:hint="eastAsia"/>
          <w:rtl/>
        </w:rPr>
        <w:t>כולל</w:t>
      </w:r>
      <w:r w:rsidRPr="00715BEF">
        <w:rPr>
          <w:rtl/>
        </w:rPr>
        <w:t xml:space="preserve"> </w:t>
      </w:r>
      <w:r w:rsidRPr="00715BEF">
        <w:rPr>
          <w:rFonts w:hint="eastAsia"/>
          <w:rtl/>
        </w:rPr>
        <w:t>בתוכו</w:t>
      </w:r>
      <w:r w:rsidRPr="00715BEF">
        <w:rPr>
          <w:rtl/>
        </w:rPr>
        <w:t xml:space="preserve">, </w:t>
      </w:r>
      <w:r w:rsidRPr="00715BEF">
        <w:rPr>
          <w:rFonts w:hint="eastAsia"/>
          <w:rtl/>
        </w:rPr>
        <w:t>בין</w:t>
      </w:r>
      <w:r w:rsidRPr="00715BEF">
        <w:rPr>
          <w:rtl/>
        </w:rPr>
        <w:t xml:space="preserve"> </w:t>
      </w:r>
      <w:r w:rsidRPr="00715BEF">
        <w:rPr>
          <w:rFonts w:hint="eastAsia"/>
          <w:rtl/>
        </w:rPr>
        <w:t>השאר</w:t>
      </w:r>
      <w:r w:rsidRPr="00715BEF">
        <w:rPr>
          <w:rtl/>
        </w:rPr>
        <w:t xml:space="preserve">, </w:t>
      </w:r>
      <w:r w:rsidRPr="00715BEF">
        <w:rPr>
          <w:rFonts w:hint="eastAsia"/>
          <w:rtl/>
        </w:rPr>
        <w:t>את</w:t>
      </w:r>
      <w:r w:rsidRPr="00715BEF">
        <w:rPr>
          <w:rtl/>
        </w:rPr>
        <w:t xml:space="preserve"> </w:t>
      </w:r>
      <w:r>
        <w:rPr>
          <w:rFonts w:ascii="FrankRuehl" w:hAnsi="FrankRuehl" w:hint="cs"/>
          <w:color w:val="000000"/>
          <w:sz w:val="28"/>
          <w:rtl/>
        </w:rPr>
        <w:t xml:space="preserve">ההלכה </w:t>
      </w:r>
      <w:r>
        <w:rPr>
          <w:rFonts w:hint="cs"/>
          <w:sz w:val="22"/>
          <w:rtl/>
        </w:rPr>
        <w:t xml:space="preserve">הפסוקה, כאמור בסעיף 1 לחוק יסודות המשפט, התש"ם-1980, ואת </w:t>
      </w:r>
      <w:r w:rsidRPr="00C1401B">
        <w:rPr>
          <w:rFonts w:ascii="FrankRuehl" w:hAnsi="FrankRuehl"/>
          <w:color w:val="000000"/>
          <w:sz w:val="28"/>
          <w:rtl/>
        </w:rPr>
        <w:t xml:space="preserve">"דיני המשפט המקובל ועקרוני היושר של אנגליה, כפי תקפם </w:t>
      </w:r>
      <w:r w:rsidRPr="00C1401B">
        <w:rPr>
          <w:rFonts w:ascii="FrankRuehl" w:hAnsi="FrankRuehl" w:hint="eastAsia"/>
          <w:color w:val="000000"/>
          <w:sz w:val="28"/>
          <w:rtl/>
        </w:rPr>
        <w:t>במדינה</w:t>
      </w:r>
      <w:r w:rsidRPr="00C1401B">
        <w:rPr>
          <w:rFonts w:ascii="FrankRuehl" w:hAnsi="FrankRuehl"/>
          <w:color w:val="000000"/>
          <w:sz w:val="28"/>
          <w:rtl/>
        </w:rPr>
        <w:t>"</w:t>
      </w:r>
      <w:r w:rsidRPr="00C1401B">
        <w:rPr>
          <w:rFonts w:ascii="FrankRuehl" w:hAnsi="FrankRuehl" w:hint="cs"/>
          <w:color w:val="000000"/>
          <w:sz w:val="26"/>
          <w:szCs w:val="26"/>
          <w:rtl/>
        </w:rPr>
        <w:t xml:space="preserve">, </w:t>
      </w:r>
      <w:r w:rsidRPr="00715BEF">
        <w:rPr>
          <w:rFonts w:hint="eastAsia"/>
          <w:rtl/>
        </w:rPr>
        <w:t>כאמור</w:t>
      </w:r>
      <w:r w:rsidRPr="00715BEF">
        <w:rPr>
          <w:rtl/>
        </w:rPr>
        <w:t xml:space="preserve"> </w:t>
      </w:r>
      <w:r w:rsidRPr="00715BEF">
        <w:rPr>
          <w:rFonts w:hint="eastAsia"/>
          <w:rtl/>
        </w:rPr>
        <w:t>בסעיף</w:t>
      </w:r>
      <w:r w:rsidRPr="00715BEF">
        <w:rPr>
          <w:rtl/>
        </w:rPr>
        <w:t xml:space="preserve"> 3 </w:t>
      </w:r>
      <w:r w:rsidRPr="00715BEF">
        <w:rPr>
          <w:rFonts w:hint="eastAsia"/>
          <w:rtl/>
        </w:rPr>
        <w:t>ל</w:t>
      </w:r>
      <w:r w:rsidRPr="00C1401B">
        <w:rPr>
          <w:rFonts w:ascii="Century" w:hAnsi="Century" w:hint="eastAsia"/>
          <w:sz w:val="22"/>
          <w:rtl/>
        </w:rPr>
        <w:t>חוק</w:t>
      </w:r>
      <w:r w:rsidRPr="00C1401B">
        <w:rPr>
          <w:rFonts w:ascii="Century" w:hAnsi="Century"/>
          <w:sz w:val="22"/>
          <w:rtl/>
        </w:rPr>
        <w:t xml:space="preserve"> </w:t>
      </w:r>
      <w:r w:rsidRPr="00C1401B">
        <w:rPr>
          <w:rFonts w:ascii="Century" w:hAnsi="Century" w:hint="eastAsia"/>
          <w:sz w:val="22"/>
          <w:rtl/>
        </w:rPr>
        <w:t>הפרשנות</w:t>
      </w:r>
      <w:r w:rsidRPr="00C1401B">
        <w:rPr>
          <w:rFonts w:ascii="Century" w:hAnsi="Century"/>
          <w:sz w:val="22"/>
          <w:rtl/>
        </w:rPr>
        <w:t>,</w:t>
      </w:r>
      <w:r w:rsidRPr="00C1401B">
        <w:rPr>
          <w:rFonts w:ascii="Century" w:hAnsi="Century" w:hint="cs"/>
          <w:sz w:val="22"/>
          <w:rtl/>
        </w:rPr>
        <w:t xml:space="preserve"> </w:t>
      </w:r>
      <w:r w:rsidRPr="00C1401B">
        <w:rPr>
          <w:rFonts w:ascii="Century" w:hAnsi="Century" w:hint="eastAsia"/>
          <w:sz w:val="22"/>
          <w:rtl/>
        </w:rPr>
        <w:t>התשמ</w:t>
      </w:r>
      <w:r w:rsidRPr="00C1401B">
        <w:rPr>
          <w:rFonts w:ascii="Century" w:hAnsi="Century"/>
          <w:sz w:val="22"/>
          <w:rtl/>
        </w:rPr>
        <w:t>"</w:t>
      </w:r>
      <w:r w:rsidRPr="00C1401B">
        <w:rPr>
          <w:rFonts w:ascii="Century" w:hAnsi="Century" w:hint="eastAsia"/>
          <w:sz w:val="22"/>
          <w:rtl/>
        </w:rPr>
        <w:t>א</w:t>
      </w:r>
      <w:r w:rsidRPr="00C1401B">
        <w:rPr>
          <w:rFonts w:ascii="Century" w:hAnsi="Century"/>
          <w:sz w:val="22"/>
          <w:rtl/>
        </w:rPr>
        <w:t>-1981</w:t>
      </w:r>
      <w:r w:rsidRPr="00C1401B">
        <w:rPr>
          <w:rFonts w:ascii="Century" w:hAnsi="Century" w:hint="cs"/>
          <w:sz w:val="22"/>
          <w:rtl/>
        </w:rPr>
        <w:t xml:space="preserve">. </w:t>
      </w:r>
      <w:r w:rsidRPr="00C1401B">
        <w:rPr>
          <w:rFonts w:hint="cs"/>
          <w:sz w:val="22"/>
          <w:rtl/>
        </w:rPr>
        <w:t xml:space="preserve">יישומו </w:t>
      </w:r>
      <w:r w:rsidRPr="00C1401B">
        <w:rPr>
          <w:rFonts w:eastAsia="Arial" w:hint="cs"/>
          <w:rtl/>
        </w:rPr>
        <w:t xml:space="preserve">על המקרה שלפנינו מוליך אל המסקנה המתחייבת כדלקמן: </w:t>
      </w:r>
      <w:r w:rsidRPr="00C1401B">
        <w:rPr>
          <w:rFonts w:ascii="Century" w:eastAsia="Arial" w:hAnsi="Century" w:cs="Miriam" w:hint="cs"/>
          <w:b/>
          <w:spacing w:val="0"/>
          <w:sz w:val="22"/>
          <w:szCs w:val="24"/>
          <w:rtl/>
        </w:rPr>
        <w:t xml:space="preserve">דרעי אינו יכול לקבל את מבוקשו </w:t>
      </w:r>
      <w:r w:rsidRPr="00C1401B">
        <w:rPr>
          <w:rFonts w:ascii="Century" w:eastAsia="Arial" w:hAnsi="Century" w:cs="Miriam" w:hint="cs"/>
          <w:b/>
          <w:spacing w:val="0"/>
          <w:sz w:val="22"/>
          <w:szCs w:val="24"/>
          <w:u w:val="single"/>
          <w:rtl/>
        </w:rPr>
        <w:t>פעמיים</w:t>
      </w:r>
      <w:r w:rsidRPr="00C1401B">
        <w:rPr>
          <w:rFonts w:ascii="Century" w:eastAsia="Arial" w:hAnsi="Century" w:cs="Miriam" w:hint="cs"/>
          <w:b/>
          <w:spacing w:val="0"/>
          <w:sz w:val="22"/>
          <w:szCs w:val="24"/>
          <w:rtl/>
        </w:rPr>
        <w:t xml:space="preserve"> על ידי (1) הצהרה "אני פורש מהזירה הפוליטית", שכאמור נועדה להביא לאישורו של הסדר הטיעון שלו עם התביעה ולהפוך את סוגיית הקלון ואת בעיית "הדלת המסתובבת" לבלתי רלבנטיות במסגרת הליכי האישור; ועל ידי (2) חזרה מהצהרתו זו במסגרת הליכי מינויו לשר בממשלת ישראל זמן קצר אחרי מסירתה לבית המשפט</w:t>
      </w:r>
      <w:r w:rsidRPr="00C1401B">
        <w:rPr>
          <w:rFonts w:eastAsia="Arial" w:hint="cs"/>
          <w:rtl/>
        </w:rPr>
        <w:t>. פשיטא הוא, כי מהלך זה, אשר הופך את הצהרתו של דרעי לחוכא ואטלולא, חסום בפניו מניה וביה על ידי כללי המניעות.</w:t>
      </w:r>
    </w:p>
    <w:p w14:paraId="3D286020" w14:textId="77777777" w:rsidR="00C36C78" w:rsidRDefault="00C36C78" w:rsidP="00C36C78">
      <w:pPr>
        <w:pStyle w:val="Ruller4"/>
        <w:numPr>
          <w:ilvl w:val="0"/>
          <w:numId w:val="0"/>
        </w:numPr>
        <w:rPr>
          <w:rFonts w:eastAsia="Arial"/>
          <w:rtl/>
        </w:rPr>
      </w:pPr>
    </w:p>
    <w:p w14:paraId="50FC6ED6" w14:textId="77777777" w:rsidR="00C36C78" w:rsidRDefault="00C36C78" w:rsidP="00C36C78">
      <w:pPr>
        <w:pStyle w:val="Ruller4"/>
        <w:rPr>
          <w:rFonts w:ascii="Century" w:hAnsi="Century"/>
          <w:sz w:val="22"/>
        </w:rPr>
      </w:pPr>
      <w:r>
        <w:rPr>
          <w:rFonts w:hint="cs"/>
          <w:rtl/>
        </w:rPr>
        <w:t xml:space="preserve">סבורני אפוא כי עלינו להפעיל את דוקטרינת ההשתק השיפוטי ואת כללי המניעות הנלווים על המקרה שלפנינו, שבמרכזו הפרה בוטה של ההצהרה שניתנה על ידי דרעי לבית משפט בהליך פלילי במסגרת אישורו של הסדר טיעון. אוסיף ואדגיש כי כללים אלה מונעים חזרה מהצהרות כאלה לא רק בגדרו של הליך שיפוטי או מעין-שיפוטי אחר, אשר בא אחרי ההליך בו ניתנה ההצהרה, אלא גם בכל הליך בו נדרשת הפעלת הוראות הדין על ידי רשות שלטונית או אחד ממוסדות המדינה </w:t>
      </w:r>
      <w:r>
        <w:rPr>
          <w:rtl/>
        </w:rPr>
        <w:t>–</w:t>
      </w:r>
      <w:r>
        <w:rPr>
          <w:rFonts w:hint="cs"/>
          <w:rtl/>
        </w:rPr>
        <w:t xml:space="preserve"> ובכך אין כל רבותא (ראו והשוו: </w:t>
      </w:r>
      <w:r w:rsidRPr="002D5572">
        <w:rPr>
          <w:rFonts w:asciiTheme="majorBidi" w:hAnsiTheme="majorBidi" w:cstheme="majorBidi"/>
          <w:i/>
          <w:iCs/>
          <w:szCs w:val="24"/>
        </w:rPr>
        <w:t>Frazer</w:t>
      </w:r>
      <w:r w:rsidRPr="002D5572">
        <w:rPr>
          <w:rFonts w:ascii="Century" w:hAnsi="Century" w:hint="cs"/>
          <w:sz w:val="22"/>
          <w:rtl/>
        </w:rPr>
        <w:t>, בעמ' 1502;</w:t>
      </w:r>
      <w:r>
        <w:rPr>
          <w:rFonts w:asciiTheme="majorBidi" w:hAnsiTheme="majorBidi" w:cstheme="majorBidi" w:hint="cs"/>
          <w:i/>
          <w:iCs/>
          <w:szCs w:val="24"/>
          <w:rtl/>
        </w:rPr>
        <w:t xml:space="preserve"> </w:t>
      </w:r>
      <w:r w:rsidRPr="002D5572">
        <w:rPr>
          <w:rFonts w:asciiTheme="majorBidi" w:hAnsiTheme="majorBidi" w:cstheme="majorBidi"/>
          <w:szCs w:val="24"/>
        </w:rPr>
        <w:t>Michael D. Moberly</w:t>
      </w:r>
      <w:r w:rsidRPr="002D5572">
        <w:rPr>
          <w:rFonts w:asciiTheme="majorBidi" w:hAnsiTheme="majorBidi" w:cstheme="majorBidi"/>
          <w:i/>
          <w:iCs/>
          <w:szCs w:val="24"/>
        </w:rPr>
        <w:t xml:space="preserve">, Playing "Fast and Loose" or Just Fast?: A Look at Judicial Estoppel in the Ninth Circuit, </w:t>
      </w:r>
      <w:r w:rsidRPr="002D5572">
        <w:rPr>
          <w:rFonts w:asciiTheme="majorBidi" w:hAnsiTheme="majorBidi" w:cstheme="majorBidi"/>
          <w:szCs w:val="24"/>
        </w:rPr>
        <w:t xml:space="preserve">33 </w:t>
      </w:r>
      <w:r>
        <w:rPr>
          <w:rFonts w:asciiTheme="majorBidi" w:hAnsiTheme="majorBidi" w:cstheme="majorBidi"/>
          <w:szCs w:val="24"/>
        </w:rPr>
        <w:t xml:space="preserve"> </w:t>
      </w:r>
      <w:r>
        <w:rPr>
          <w:rFonts w:asciiTheme="majorBidi" w:hAnsiTheme="majorBidi" w:cstheme="majorBidi"/>
          <w:smallCaps/>
          <w:szCs w:val="24"/>
        </w:rPr>
        <w:t xml:space="preserve">Gonzaga </w:t>
      </w:r>
      <w:r w:rsidRPr="007E5D6C">
        <w:rPr>
          <w:rFonts w:asciiTheme="majorBidi" w:hAnsiTheme="majorBidi" w:cstheme="majorBidi"/>
          <w:smallCaps/>
          <w:szCs w:val="24"/>
        </w:rPr>
        <w:t>L. Rev</w:t>
      </w:r>
      <w:r w:rsidRPr="00BF4C9A">
        <w:rPr>
          <w:rFonts w:asciiTheme="majorBidi" w:hAnsiTheme="majorBidi" w:cstheme="majorBidi"/>
          <w:smallCaps/>
          <w:szCs w:val="24"/>
        </w:rPr>
        <w:t>.</w:t>
      </w:r>
      <w:r w:rsidRPr="002D5572">
        <w:rPr>
          <w:rFonts w:asciiTheme="majorBidi" w:hAnsiTheme="majorBidi" w:cstheme="majorBidi"/>
          <w:szCs w:val="24"/>
        </w:rPr>
        <w:t xml:space="preserve"> 171, 194, 196</w:t>
      </w:r>
      <w:r>
        <w:rPr>
          <w:rFonts w:asciiTheme="majorBidi" w:hAnsiTheme="majorBidi" w:cstheme="majorBidi"/>
          <w:szCs w:val="24"/>
        </w:rPr>
        <w:t xml:space="preserve"> (1998)</w:t>
      </w:r>
      <w:r>
        <w:rPr>
          <w:rFonts w:hint="cs"/>
          <w:rtl/>
        </w:rPr>
        <w:t xml:space="preserve">; כמו כן ראו: </w:t>
      </w:r>
      <w:r w:rsidRPr="00666814">
        <w:rPr>
          <w:rFonts w:ascii="Century" w:hAnsi="Century" w:cs="Miriam" w:hint="cs"/>
          <w:b/>
          <w:spacing w:val="0"/>
          <w:sz w:val="22"/>
          <w:szCs w:val="24"/>
          <w:rtl/>
        </w:rPr>
        <w:t>ע"א 513/89</w:t>
      </w:r>
      <w:r>
        <w:rPr>
          <w:rFonts w:hint="cs"/>
          <w:rtl/>
        </w:rPr>
        <w:t xml:space="preserve">, בעמ' 199-198; </w:t>
      </w:r>
      <w:r w:rsidRPr="00666814">
        <w:rPr>
          <w:rFonts w:hint="eastAsia"/>
          <w:rtl/>
        </w:rPr>
        <w:t>ע</w:t>
      </w:r>
      <w:r w:rsidRPr="00666814">
        <w:rPr>
          <w:rtl/>
        </w:rPr>
        <w:t>"</w:t>
      </w:r>
      <w:r w:rsidRPr="00666814">
        <w:rPr>
          <w:rFonts w:hint="eastAsia"/>
          <w:rtl/>
        </w:rPr>
        <w:t>א</w:t>
      </w:r>
      <w:r w:rsidRPr="00666814">
        <w:rPr>
          <w:rtl/>
        </w:rPr>
        <w:t xml:space="preserve"> 4330/07 </w:t>
      </w:r>
      <w:r w:rsidRPr="00666814">
        <w:rPr>
          <w:rFonts w:ascii="Century" w:hAnsi="Century" w:cs="Miriam" w:hint="eastAsia"/>
          <w:b/>
          <w:spacing w:val="0"/>
          <w:sz w:val="22"/>
          <w:szCs w:val="24"/>
          <w:rtl/>
        </w:rPr>
        <w:t>אוריאל</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נ</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מדינת</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ישראל</w:t>
      </w:r>
      <w:r w:rsidRPr="00666814">
        <w:rPr>
          <w:rFonts w:ascii="Century" w:hAnsi="Century" w:cs="Miriam"/>
          <w:b/>
          <w:spacing w:val="0"/>
          <w:sz w:val="22"/>
          <w:szCs w:val="24"/>
          <w:rtl/>
        </w:rPr>
        <w:t xml:space="preserve"> – </w:t>
      </w:r>
      <w:r w:rsidRPr="00666814">
        <w:rPr>
          <w:rFonts w:ascii="Century" w:hAnsi="Century" w:cs="Miriam" w:hint="eastAsia"/>
          <w:b/>
          <w:spacing w:val="0"/>
          <w:sz w:val="22"/>
          <w:szCs w:val="24"/>
          <w:rtl/>
        </w:rPr>
        <w:t>משרד</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הבריאות</w:t>
      </w:r>
      <w:r w:rsidRPr="00666814">
        <w:rPr>
          <w:rFonts w:ascii="Century" w:hAnsi="Century" w:cs="Miriam"/>
          <w:b/>
          <w:spacing w:val="0"/>
          <w:sz w:val="22"/>
          <w:szCs w:val="24"/>
          <w:rtl/>
        </w:rPr>
        <w:t xml:space="preserve"> – </w:t>
      </w:r>
      <w:r w:rsidRPr="00666814">
        <w:rPr>
          <w:rFonts w:ascii="Century" w:hAnsi="Century" w:cs="Miriam" w:hint="eastAsia"/>
          <w:b/>
          <w:spacing w:val="0"/>
          <w:sz w:val="22"/>
          <w:szCs w:val="24"/>
          <w:rtl/>
        </w:rPr>
        <w:t>בית</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חולים</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רמב</w:t>
      </w:r>
      <w:r w:rsidRPr="00666814">
        <w:rPr>
          <w:rFonts w:ascii="Century" w:hAnsi="Century" w:cs="Miriam"/>
          <w:b/>
          <w:spacing w:val="0"/>
          <w:sz w:val="22"/>
          <w:szCs w:val="24"/>
          <w:rtl/>
        </w:rPr>
        <w:t>"</w:t>
      </w:r>
      <w:r w:rsidRPr="00666814">
        <w:rPr>
          <w:rFonts w:ascii="Century" w:hAnsi="Century" w:cs="Miriam" w:hint="eastAsia"/>
          <w:b/>
          <w:spacing w:val="0"/>
          <w:sz w:val="22"/>
          <w:szCs w:val="24"/>
          <w:rtl/>
        </w:rPr>
        <w:t>ם</w:t>
      </w:r>
      <w:r w:rsidRPr="00666814">
        <w:rPr>
          <w:rFonts w:ascii="Century" w:hAnsi="Century" w:cs="Miriam"/>
          <w:b/>
          <w:spacing w:val="0"/>
          <w:sz w:val="22"/>
          <w:szCs w:val="24"/>
          <w:rtl/>
        </w:rPr>
        <w:t xml:space="preserve"> </w:t>
      </w:r>
      <w:r w:rsidRPr="00666814">
        <w:rPr>
          <w:rFonts w:ascii="Century" w:hAnsi="Century" w:cs="Miriam" w:hint="eastAsia"/>
          <w:b/>
          <w:spacing w:val="0"/>
          <w:sz w:val="22"/>
          <w:szCs w:val="24"/>
          <w:rtl/>
        </w:rPr>
        <w:t>חיפה</w:t>
      </w:r>
      <w:r>
        <w:rPr>
          <w:rFonts w:hint="cs"/>
          <w:rtl/>
        </w:rPr>
        <w:t xml:space="preserve">, פסקה מד </w:t>
      </w:r>
      <w:r w:rsidRPr="00666814">
        <w:rPr>
          <w:rtl/>
        </w:rPr>
        <w:t>(</w:t>
      </w:r>
      <w:r>
        <w:rPr>
          <w:rFonts w:hint="cs"/>
          <w:rtl/>
        </w:rPr>
        <w:t>5</w:t>
      </w:r>
      <w:r w:rsidRPr="00666814">
        <w:rPr>
          <w:rtl/>
        </w:rPr>
        <w:t>.</w:t>
      </w:r>
      <w:r>
        <w:rPr>
          <w:rFonts w:hint="cs"/>
          <w:rtl/>
        </w:rPr>
        <w:t>3</w:t>
      </w:r>
      <w:r w:rsidRPr="00666814">
        <w:rPr>
          <w:rtl/>
        </w:rPr>
        <w:t>.2009)</w:t>
      </w:r>
      <w:r>
        <w:rPr>
          <w:rFonts w:hint="cs"/>
          <w:rtl/>
        </w:rPr>
        <w:t xml:space="preserve">). זאת, מאחר שדוקטרינת ההשתק השיפוטי וכללי המניעות הנלווים </w:t>
      </w:r>
      <w:r>
        <w:rPr>
          <w:rtl/>
        </w:rPr>
        <w:t>–</w:t>
      </w:r>
      <w:r>
        <w:rPr>
          <w:rFonts w:hint="cs"/>
          <w:rtl/>
        </w:rPr>
        <w:t xml:space="preserve"> כפי שעוצבו במשפטנו שלנו ובמשפט המקובל </w:t>
      </w:r>
      <w:r>
        <w:rPr>
          <w:rtl/>
        </w:rPr>
        <w:t>–</w:t>
      </w:r>
      <w:r>
        <w:rPr>
          <w:rFonts w:hint="cs"/>
          <w:rtl/>
        </w:rPr>
        <w:t xml:space="preserve"> נועדו להגן על היושרה (</w:t>
      </w:r>
      <w:r w:rsidRPr="001232B7">
        <w:rPr>
          <w:rFonts w:asciiTheme="majorBidi" w:hAnsiTheme="majorBidi" w:cstheme="majorBidi"/>
        </w:rPr>
        <w:t>integrity</w:t>
      </w:r>
      <w:r>
        <w:rPr>
          <w:rFonts w:hint="cs"/>
          <w:rtl/>
        </w:rPr>
        <w:t xml:space="preserve">) של </w:t>
      </w:r>
      <w:r w:rsidRPr="00C06E92">
        <w:rPr>
          <w:rFonts w:ascii="Century" w:hAnsi="Century" w:cs="Miriam" w:hint="cs"/>
          <w:b/>
          <w:spacing w:val="0"/>
          <w:sz w:val="22"/>
          <w:szCs w:val="24"/>
          <w:rtl/>
        </w:rPr>
        <w:t>המערכת המשפטית כולה</w:t>
      </w:r>
      <w:r>
        <w:rPr>
          <w:rFonts w:hint="cs"/>
          <w:rtl/>
        </w:rPr>
        <w:t xml:space="preserve"> וכן למנוע מצב דברים אנומאלי שתואר על ידי השופט האמריקני </w:t>
      </w:r>
      <w:proofErr w:type="spellStart"/>
      <w:r>
        <w:rPr>
          <w:rFonts w:hint="cs"/>
          <w:rtl/>
        </w:rPr>
        <w:t>איסטרברוק</w:t>
      </w:r>
      <w:proofErr w:type="spellEnd"/>
      <w:r>
        <w:rPr>
          <w:rFonts w:hint="cs"/>
          <w:rtl/>
        </w:rPr>
        <w:t xml:space="preserve"> כניצחונו הכפול של מי שמקדם את ענייניו מתוך שתי עמדות </w:t>
      </w:r>
      <w:r>
        <w:rPr>
          <w:rFonts w:hint="cs"/>
          <w:rtl/>
        </w:rPr>
        <w:lastRenderedPageBreak/>
        <w:t xml:space="preserve">הסותרות זו את זו אהדדי: </w:t>
      </w:r>
      <w:r>
        <w:rPr>
          <w:rFonts w:asciiTheme="majorBidi" w:eastAsia="Arial" w:hAnsiTheme="majorBidi" w:cstheme="majorBidi"/>
          <w:szCs w:val="24"/>
        </w:rPr>
        <w:t>"</w:t>
      </w:r>
      <w:r w:rsidRPr="001232B7">
        <w:rPr>
          <w:rFonts w:asciiTheme="majorBidi" w:eastAsia="Arial" w:hAnsiTheme="majorBidi" w:cstheme="majorBidi"/>
          <w:szCs w:val="24"/>
        </w:rPr>
        <w:t>winning, twice, on the basis of incompatible positions"</w:t>
      </w:r>
      <w:r>
        <w:rPr>
          <w:rFonts w:asciiTheme="majorBidi" w:hAnsiTheme="majorBidi" w:cstheme="majorBidi" w:hint="cs"/>
          <w:szCs w:val="24"/>
          <w:rtl/>
        </w:rPr>
        <w:t xml:space="preserve"> </w:t>
      </w:r>
      <w:r>
        <w:rPr>
          <w:rFonts w:hint="cs"/>
          <w:rtl/>
        </w:rPr>
        <w:t xml:space="preserve">(ראו: עניין </w:t>
      </w:r>
      <w:r w:rsidRPr="00E0447B">
        <w:rPr>
          <w:rFonts w:asciiTheme="majorBidi" w:hAnsiTheme="majorBidi" w:cstheme="majorBidi"/>
          <w:i/>
          <w:iCs/>
        </w:rPr>
        <w:t>Astor</w:t>
      </w:r>
      <w:r>
        <w:rPr>
          <w:rFonts w:ascii="Century" w:hAnsi="Century" w:hint="cs"/>
          <w:sz w:val="22"/>
          <w:rtl/>
        </w:rPr>
        <w:t xml:space="preserve">, בעמ' 1548). </w:t>
      </w:r>
    </w:p>
    <w:p w14:paraId="7F34DEF5" w14:textId="77777777" w:rsidR="00C36C78" w:rsidRDefault="00C36C78" w:rsidP="00C36C78">
      <w:pPr>
        <w:pStyle w:val="Ruller4"/>
        <w:numPr>
          <w:ilvl w:val="0"/>
          <w:numId w:val="0"/>
        </w:numPr>
        <w:rPr>
          <w:rFonts w:ascii="Century" w:hAnsi="Century"/>
          <w:sz w:val="22"/>
        </w:rPr>
      </w:pPr>
    </w:p>
    <w:p w14:paraId="2A5A4754" w14:textId="77777777" w:rsidR="00C36C78" w:rsidRDefault="00C36C78" w:rsidP="00C36C78">
      <w:pPr>
        <w:pStyle w:val="Ruller4"/>
        <w:rPr>
          <w:rFonts w:ascii="Century" w:hAnsi="Century"/>
          <w:sz w:val="22"/>
        </w:rPr>
      </w:pPr>
      <w:r>
        <w:rPr>
          <w:rFonts w:hint="cs"/>
          <w:rtl/>
        </w:rPr>
        <w:t xml:space="preserve">כך או אחרת: </w:t>
      </w:r>
      <w:r>
        <w:rPr>
          <w:rFonts w:ascii="Century" w:hAnsi="Century" w:hint="cs"/>
          <w:sz w:val="22"/>
          <w:rtl/>
        </w:rPr>
        <w:t>ההליכים בפני בג"ץ אשר מתנהלים כעת לפנינו, הם הליכים שיפוטיים מובהקים, אשר בוודאי חוסים בצלם של דוקטרינת ההשתק השיפוטי ושל כללי המניעות הנלווים. להליכים אלה יש להוסיף את</w:t>
      </w:r>
      <w:r>
        <w:rPr>
          <w:rFonts w:hint="cs"/>
          <w:rtl/>
        </w:rPr>
        <w:t xml:space="preserve"> הליך הבחירות לכנסת והליך מינויו של דרעי לתפקיד שר אשר ממילא כורכים בתוכם, מכוח הדין, הליכים מעין-שיפוטיים בפני ועדת הבחירות המרכזית והיושב בראשה </w:t>
      </w:r>
      <w:r>
        <w:rPr>
          <w:rtl/>
        </w:rPr>
        <w:t>–</w:t>
      </w:r>
      <w:r>
        <w:rPr>
          <w:rFonts w:hint="cs"/>
          <w:rtl/>
        </w:rPr>
        <w:t xml:space="preserve"> בכל הקשור לאישור רשימת המפלגות ובדיקת סוגיית הקלון בהתאם לאמור בסעיף 42א לחוק יסוד: הכנסת ו</w:t>
      </w:r>
      <w:r w:rsidRPr="00C06E92">
        <w:rPr>
          <w:rFonts w:ascii="Century" w:hAnsi="Century" w:hint="eastAsia"/>
          <w:sz w:val="22"/>
          <w:rtl/>
        </w:rPr>
        <w:t>סעיף</w:t>
      </w:r>
      <w:r w:rsidRPr="00C06E92">
        <w:rPr>
          <w:rFonts w:ascii="Century" w:hAnsi="Century"/>
          <w:sz w:val="22"/>
          <w:rtl/>
        </w:rPr>
        <w:t xml:space="preserve"> 6(</w:t>
      </w:r>
      <w:r w:rsidRPr="00C06E92">
        <w:rPr>
          <w:rFonts w:ascii="Century" w:hAnsi="Century" w:hint="eastAsia"/>
          <w:sz w:val="22"/>
          <w:rtl/>
        </w:rPr>
        <w:t>ג</w:t>
      </w:r>
      <w:r w:rsidRPr="00C06E92">
        <w:rPr>
          <w:rFonts w:ascii="Century" w:hAnsi="Century"/>
          <w:sz w:val="22"/>
          <w:rtl/>
        </w:rPr>
        <w:t xml:space="preserve">)(1) </w:t>
      </w:r>
      <w:r w:rsidRPr="00C06E92">
        <w:rPr>
          <w:rFonts w:ascii="Century" w:hAnsi="Century" w:hint="eastAsia"/>
          <w:sz w:val="22"/>
          <w:rtl/>
        </w:rPr>
        <w:t>לחוק</w:t>
      </w:r>
      <w:r w:rsidRPr="00C06E92">
        <w:rPr>
          <w:rFonts w:ascii="Century" w:hAnsi="Century"/>
          <w:sz w:val="22"/>
          <w:rtl/>
        </w:rPr>
        <w:t xml:space="preserve"> </w:t>
      </w:r>
      <w:r w:rsidRPr="00C06E92">
        <w:rPr>
          <w:rFonts w:ascii="Century" w:hAnsi="Century" w:hint="eastAsia"/>
          <w:sz w:val="22"/>
          <w:rtl/>
        </w:rPr>
        <w:t>יסוד</w:t>
      </w:r>
      <w:r w:rsidRPr="00C06E92">
        <w:rPr>
          <w:rFonts w:ascii="Century" w:hAnsi="Century"/>
          <w:sz w:val="22"/>
          <w:rtl/>
        </w:rPr>
        <w:t xml:space="preserve">: </w:t>
      </w:r>
      <w:r w:rsidRPr="00C06E92">
        <w:rPr>
          <w:rFonts w:ascii="Century" w:hAnsi="Century" w:hint="eastAsia"/>
          <w:sz w:val="22"/>
          <w:rtl/>
        </w:rPr>
        <w:t>הממשלה</w:t>
      </w:r>
      <w:r>
        <w:rPr>
          <w:rFonts w:ascii="Century" w:hAnsi="Century" w:hint="cs"/>
          <w:sz w:val="22"/>
          <w:rtl/>
        </w:rPr>
        <w:t xml:space="preserve"> </w:t>
      </w:r>
      <w:r w:rsidRPr="00F60E2A">
        <w:rPr>
          <w:rFonts w:hint="cs"/>
          <w:rtl/>
        </w:rPr>
        <w:t xml:space="preserve">(למעמד ההליכים בפני ועדת הבחירות המרכזית כהליכים מעין-שיפוטיים, ראו: </w:t>
      </w:r>
      <w:r w:rsidRPr="00F60E2A">
        <w:rPr>
          <w:rFonts w:hint="eastAsia"/>
          <w:rtl/>
        </w:rPr>
        <w:t>ע</w:t>
      </w:r>
      <w:r w:rsidRPr="00F60E2A">
        <w:rPr>
          <w:rtl/>
        </w:rPr>
        <w:t>"</w:t>
      </w:r>
      <w:r w:rsidRPr="00F60E2A">
        <w:rPr>
          <w:rFonts w:hint="eastAsia"/>
          <w:rtl/>
        </w:rPr>
        <w:t>ב</w:t>
      </w:r>
      <w:r w:rsidRPr="00F60E2A">
        <w:rPr>
          <w:rtl/>
        </w:rPr>
        <w:t xml:space="preserve"> 6615/22 </w:t>
      </w:r>
      <w:r w:rsidRPr="00F60E2A">
        <w:rPr>
          <w:rFonts w:ascii="Century" w:hAnsi="Century" w:cs="Miriam" w:hint="eastAsia"/>
          <w:b/>
          <w:spacing w:val="0"/>
          <w:sz w:val="22"/>
          <w:szCs w:val="24"/>
          <w:rtl/>
        </w:rPr>
        <w:t>שיקלי</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נ</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יושב</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ראש</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ועדת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הבחירות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המרכזית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לכנסת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w:t>
      </w:r>
      <w:r w:rsidRPr="00F60E2A">
        <w:rPr>
          <w:rFonts w:ascii="Century" w:hAnsi="Century" w:cs="Miriam"/>
          <w:b/>
          <w:spacing w:val="0"/>
          <w:sz w:val="22"/>
          <w:szCs w:val="24"/>
          <w:rtl/>
        </w:rPr>
        <w:t xml:space="preserve">-25, </w:t>
      </w:r>
      <w:r w:rsidRPr="00F60E2A">
        <w:rPr>
          <w:rFonts w:ascii="Century" w:hAnsi="Century" w:cs="Miriam" w:hint="eastAsia"/>
          <w:b/>
          <w:spacing w:val="0"/>
          <w:sz w:val="22"/>
          <w:szCs w:val="24"/>
          <w:rtl/>
        </w:rPr>
        <w:t>יצחק</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עמית</w:t>
      </w:r>
      <w:r w:rsidRPr="00F60E2A">
        <w:rPr>
          <w:rFonts w:hint="cs"/>
          <w:rtl/>
        </w:rPr>
        <w:t xml:space="preserve">, פסקה 27 לפסק דינה של הנשיאה </w:t>
      </w:r>
      <w:r w:rsidRPr="00F60E2A">
        <w:rPr>
          <w:rFonts w:ascii="Century" w:hAnsi="Century" w:cs="Miriam" w:hint="cs"/>
          <w:b/>
          <w:spacing w:val="0"/>
          <w:sz w:val="22"/>
          <w:szCs w:val="24"/>
          <w:rtl/>
        </w:rPr>
        <w:t>א' חיות</w:t>
      </w:r>
      <w:r w:rsidRPr="00F60E2A">
        <w:rPr>
          <w:rtl/>
        </w:rPr>
        <w:t xml:space="preserve"> (</w:t>
      </w:r>
      <w:r w:rsidRPr="00F60E2A">
        <w:rPr>
          <w:rFonts w:hint="cs"/>
          <w:rtl/>
        </w:rPr>
        <w:t>3</w:t>
      </w:r>
      <w:r w:rsidRPr="00F60E2A">
        <w:rPr>
          <w:rtl/>
        </w:rPr>
        <w:t>.11.2022)</w:t>
      </w:r>
      <w:r w:rsidRPr="00F60E2A">
        <w:rPr>
          <w:rFonts w:hint="cs"/>
          <w:rtl/>
        </w:rPr>
        <w:t>; תר"מ 144/98</w:t>
      </w:r>
      <w:r w:rsidRPr="00F60E2A">
        <w:rPr>
          <w:rtl/>
        </w:rPr>
        <w:t xml:space="preserve"> </w:t>
      </w:r>
      <w:r w:rsidRPr="00F60E2A">
        <w:rPr>
          <w:rFonts w:ascii="Century" w:hAnsi="Century" w:cs="Miriam" w:hint="eastAsia"/>
          <w:b/>
          <w:spacing w:val="0"/>
          <w:sz w:val="22"/>
          <w:szCs w:val="24"/>
          <w:rtl/>
        </w:rPr>
        <w:t>טולדנו</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נ</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יעקב</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פרץ</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ראש</w:t>
      </w:r>
      <w:r w:rsidRPr="00F60E2A">
        <w:rPr>
          <w:rFonts w:ascii="Century" w:hAnsi="Century" w:cs="Miriam"/>
          <w:b/>
          <w:spacing w:val="0"/>
          <w:sz w:val="22"/>
          <w:szCs w:val="24"/>
          <w:rtl/>
        </w:rPr>
        <w:t>-</w:t>
      </w:r>
      <w:r w:rsidRPr="00F60E2A">
        <w:rPr>
          <w:rFonts w:ascii="Century" w:hAnsi="Century" w:cs="Miriam" w:hint="eastAsia"/>
          <w:b/>
          <w:spacing w:val="0"/>
          <w:sz w:val="22"/>
          <w:szCs w:val="24"/>
          <w:rtl/>
        </w:rPr>
        <w:t>עיריית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קרית</w:t>
      </w:r>
      <w:r w:rsidRPr="00F60E2A">
        <w:rPr>
          <w:rFonts w:ascii="Century" w:hAnsi="Century" w:cs="Miriam"/>
          <w:b/>
          <w:spacing w:val="0"/>
          <w:sz w:val="22"/>
          <w:szCs w:val="24"/>
          <w:rtl/>
        </w:rPr>
        <w:t>-</w:t>
      </w:r>
      <w:r w:rsidRPr="00F60E2A">
        <w:rPr>
          <w:rFonts w:ascii="Century" w:hAnsi="Century" w:cs="Miriam" w:hint="eastAsia"/>
          <w:b/>
          <w:spacing w:val="0"/>
          <w:sz w:val="22"/>
          <w:szCs w:val="24"/>
          <w:rtl/>
        </w:rPr>
        <w:t>אתא</w:t>
      </w:r>
      <w:r w:rsidRPr="00F60E2A">
        <w:rPr>
          <w:rtl/>
        </w:rPr>
        <w:t xml:space="preserve">, </w:t>
      </w:r>
      <w:r w:rsidRPr="00F60E2A">
        <w:rPr>
          <w:rFonts w:hint="cs"/>
          <w:rtl/>
        </w:rPr>
        <w:t xml:space="preserve">פ"ד </w:t>
      </w:r>
      <w:r w:rsidRPr="00F60E2A">
        <w:rPr>
          <w:rFonts w:hint="eastAsia"/>
          <w:rtl/>
        </w:rPr>
        <w:t>נב</w:t>
      </w:r>
      <w:r w:rsidRPr="00F60E2A">
        <w:rPr>
          <w:rtl/>
        </w:rPr>
        <w:t xml:space="preserve">(4) </w:t>
      </w:r>
      <w:r w:rsidRPr="00F60E2A">
        <w:rPr>
          <w:rFonts w:hint="cs"/>
          <w:rtl/>
        </w:rPr>
        <w:t>666, 671-670</w:t>
      </w:r>
      <w:r w:rsidRPr="00F60E2A">
        <w:rPr>
          <w:rtl/>
        </w:rPr>
        <w:t xml:space="preserve"> (1998)</w:t>
      </w:r>
      <w:r w:rsidRPr="00F60E2A">
        <w:rPr>
          <w:rFonts w:hint="cs"/>
          <w:rtl/>
        </w:rPr>
        <w:t xml:space="preserve">; </w:t>
      </w:r>
      <w:r w:rsidRPr="00F60E2A">
        <w:rPr>
          <w:rtl/>
        </w:rPr>
        <w:t xml:space="preserve">א"ב 11280/02 </w:t>
      </w:r>
      <w:r w:rsidRPr="00F60E2A">
        <w:rPr>
          <w:rFonts w:ascii="Century" w:hAnsi="Century" w:cs="Miriam"/>
          <w:b/>
          <w:spacing w:val="0"/>
          <w:sz w:val="22"/>
          <w:szCs w:val="24"/>
          <w:rtl/>
        </w:rPr>
        <w:t>ועדת הבחירות המרכזית לכנסת השש-עשרה נ' טיבי</w:t>
      </w:r>
      <w:r w:rsidRPr="00F60E2A">
        <w:rPr>
          <w:rtl/>
        </w:rPr>
        <w:t xml:space="preserve">, </w:t>
      </w:r>
      <w:r w:rsidRPr="00F60E2A">
        <w:rPr>
          <w:rFonts w:hint="cs"/>
          <w:rtl/>
        </w:rPr>
        <w:t xml:space="preserve">פ"ד </w:t>
      </w:r>
      <w:r w:rsidRPr="00F60E2A">
        <w:rPr>
          <w:rtl/>
        </w:rPr>
        <w:t>נז(4) 1</w:t>
      </w:r>
      <w:r w:rsidRPr="00F60E2A">
        <w:rPr>
          <w:rFonts w:hint="cs"/>
          <w:rtl/>
        </w:rPr>
        <w:t xml:space="preserve">, 61 (2003); </w:t>
      </w:r>
      <w:r w:rsidRPr="00F60E2A">
        <w:rPr>
          <w:rFonts w:hint="eastAsia"/>
          <w:rtl/>
        </w:rPr>
        <w:t>בג</w:t>
      </w:r>
      <w:r w:rsidRPr="00F60E2A">
        <w:rPr>
          <w:rtl/>
        </w:rPr>
        <w:t>"</w:t>
      </w:r>
      <w:r w:rsidRPr="00F60E2A">
        <w:rPr>
          <w:rFonts w:hint="eastAsia"/>
          <w:rtl/>
        </w:rPr>
        <w:t>ץ</w:t>
      </w:r>
      <w:r w:rsidRPr="00F60E2A">
        <w:rPr>
          <w:rtl/>
        </w:rPr>
        <w:t xml:space="preserve"> 1262/06 </w:t>
      </w:r>
      <w:r w:rsidRPr="00F60E2A">
        <w:rPr>
          <w:rFonts w:ascii="Century" w:hAnsi="Century" w:cs="Miriam" w:hint="eastAsia"/>
          <w:b/>
          <w:spacing w:val="0"/>
          <w:sz w:val="22"/>
          <w:szCs w:val="24"/>
          <w:rtl/>
        </w:rPr>
        <w:t>התנועה</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למען</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איכות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השלטון</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בישראל</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נ</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סיעת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ש</w:t>
      </w:r>
      <w:r w:rsidRPr="00F60E2A">
        <w:rPr>
          <w:rFonts w:ascii="Century" w:hAnsi="Century" w:cs="Miriam"/>
          <w:b/>
          <w:spacing w:val="0"/>
          <w:sz w:val="22"/>
          <w:szCs w:val="24"/>
          <w:rtl/>
        </w:rPr>
        <w:t>"</w:t>
      </w:r>
      <w:r w:rsidRPr="00F60E2A">
        <w:rPr>
          <w:rFonts w:ascii="Century" w:hAnsi="Century" w:cs="Miriam" w:hint="eastAsia"/>
          <w:b/>
          <w:spacing w:val="0"/>
          <w:sz w:val="22"/>
          <w:szCs w:val="24"/>
          <w:rtl/>
        </w:rPr>
        <w:t>ס</w:t>
      </w:r>
      <w:r w:rsidRPr="00F60E2A">
        <w:rPr>
          <w:rtl/>
        </w:rPr>
        <w:t xml:space="preserve">, </w:t>
      </w:r>
      <w:r w:rsidRPr="00F60E2A">
        <w:rPr>
          <w:rFonts w:hint="cs"/>
          <w:rtl/>
        </w:rPr>
        <w:t xml:space="preserve">פ"ד </w:t>
      </w:r>
      <w:r w:rsidRPr="00F60E2A">
        <w:rPr>
          <w:rFonts w:hint="eastAsia"/>
          <w:rtl/>
        </w:rPr>
        <w:t>סא</w:t>
      </w:r>
      <w:r w:rsidRPr="00F60E2A">
        <w:rPr>
          <w:rtl/>
        </w:rPr>
        <w:t xml:space="preserve">(1) </w:t>
      </w:r>
      <w:r w:rsidRPr="00F60E2A">
        <w:rPr>
          <w:rFonts w:hint="cs"/>
          <w:rtl/>
        </w:rPr>
        <w:t>185, 204</w:t>
      </w:r>
      <w:r w:rsidRPr="00F60E2A">
        <w:rPr>
          <w:rtl/>
        </w:rPr>
        <w:t xml:space="preserve"> (2006)</w:t>
      </w:r>
      <w:r w:rsidRPr="00F60E2A">
        <w:rPr>
          <w:rFonts w:hint="cs"/>
          <w:rtl/>
        </w:rPr>
        <w:t xml:space="preserve">; וכן </w:t>
      </w:r>
      <w:r w:rsidRPr="00F60E2A">
        <w:rPr>
          <w:rFonts w:hint="eastAsia"/>
          <w:rtl/>
        </w:rPr>
        <w:t>ע</w:t>
      </w:r>
      <w:r w:rsidRPr="00F60E2A">
        <w:rPr>
          <w:rtl/>
        </w:rPr>
        <w:t>"</w:t>
      </w:r>
      <w:r w:rsidRPr="00F60E2A">
        <w:rPr>
          <w:rFonts w:hint="eastAsia"/>
          <w:rtl/>
        </w:rPr>
        <w:t>ב</w:t>
      </w:r>
      <w:r w:rsidRPr="00F60E2A">
        <w:rPr>
          <w:rtl/>
        </w:rPr>
        <w:t xml:space="preserve"> 2/84 </w:t>
      </w:r>
      <w:r w:rsidRPr="00F60E2A">
        <w:rPr>
          <w:rFonts w:ascii="Century" w:hAnsi="Century" w:cs="Miriam" w:hint="eastAsia"/>
          <w:b/>
          <w:spacing w:val="0"/>
          <w:sz w:val="22"/>
          <w:szCs w:val="24"/>
          <w:rtl/>
        </w:rPr>
        <w:t>ניימן</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נ</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יו</w:t>
      </w:r>
      <w:r w:rsidRPr="00F60E2A">
        <w:rPr>
          <w:rFonts w:ascii="Century" w:hAnsi="Century" w:cs="Miriam"/>
          <w:b/>
          <w:spacing w:val="0"/>
          <w:sz w:val="22"/>
          <w:szCs w:val="24"/>
          <w:rtl/>
        </w:rPr>
        <w:t>"</w:t>
      </w:r>
      <w:r w:rsidRPr="00F60E2A">
        <w:rPr>
          <w:rFonts w:ascii="Century" w:hAnsi="Century" w:cs="Miriam" w:hint="eastAsia"/>
          <w:b/>
          <w:spacing w:val="0"/>
          <w:sz w:val="22"/>
          <w:szCs w:val="24"/>
          <w:rtl/>
        </w:rPr>
        <w:t>ר</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ועדת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הבחירות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המרכזית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לכנסת</w:t>
      </w:r>
      <w:r w:rsidRPr="00F60E2A">
        <w:rPr>
          <w:rFonts w:ascii="Century" w:hAnsi="Century" w:cs="Miriam"/>
          <w:b/>
          <w:spacing w:val="0"/>
          <w:sz w:val="22"/>
          <w:szCs w:val="24"/>
          <w:rtl/>
        </w:rPr>
        <w:t xml:space="preserve"> </w:t>
      </w:r>
      <w:r w:rsidRPr="00F60E2A">
        <w:rPr>
          <w:rFonts w:ascii="Century" w:hAnsi="Century" w:cs="Miriam" w:hint="eastAsia"/>
          <w:b/>
          <w:spacing w:val="0"/>
          <w:sz w:val="22"/>
          <w:szCs w:val="24"/>
          <w:rtl/>
        </w:rPr>
        <w:t>האחת</w:t>
      </w:r>
      <w:r w:rsidRPr="00F60E2A">
        <w:rPr>
          <w:rFonts w:ascii="Century" w:hAnsi="Century" w:cs="Miriam"/>
          <w:b/>
          <w:spacing w:val="0"/>
          <w:sz w:val="22"/>
          <w:szCs w:val="24"/>
          <w:rtl/>
        </w:rPr>
        <w:t>-</w:t>
      </w:r>
      <w:r w:rsidRPr="00F60E2A">
        <w:rPr>
          <w:rFonts w:ascii="Century" w:hAnsi="Century" w:cs="Miriam" w:hint="eastAsia"/>
          <w:b/>
          <w:spacing w:val="0"/>
          <w:sz w:val="22"/>
          <w:szCs w:val="24"/>
          <w:rtl/>
        </w:rPr>
        <w:t>עשרה</w:t>
      </w:r>
      <w:r w:rsidRPr="00F60E2A">
        <w:rPr>
          <w:rtl/>
        </w:rPr>
        <w:t xml:space="preserve">, </w:t>
      </w:r>
      <w:r w:rsidRPr="00F60E2A">
        <w:rPr>
          <w:rFonts w:hint="cs"/>
          <w:rtl/>
        </w:rPr>
        <w:t xml:space="preserve">פ"ד </w:t>
      </w:r>
      <w:r w:rsidRPr="00F60E2A">
        <w:rPr>
          <w:rFonts w:hint="eastAsia"/>
          <w:rtl/>
        </w:rPr>
        <w:t>לט</w:t>
      </w:r>
      <w:r w:rsidRPr="00F60E2A">
        <w:rPr>
          <w:rtl/>
        </w:rPr>
        <w:t xml:space="preserve">(2) </w:t>
      </w:r>
      <w:r w:rsidRPr="00F60E2A">
        <w:rPr>
          <w:rFonts w:hint="cs"/>
          <w:rtl/>
        </w:rPr>
        <w:t>225, 254</w:t>
      </w:r>
      <w:r w:rsidRPr="00F60E2A">
        <w:rPr>
          <w:rtl/>
        </w:rPr>
        <w:t xml:space="preserve"> (1985)</w:t>
      </w:r>
      <w:r w:rsidRPr="00F60E2A">
        <w:rPr>
          <w:rFonts w:hint="cs"/>
          <w:rtl/>
        </w:rPr>
        <w:t>)</w:t>
      </w:r>
      <w:r>
        <w:rPr>
          <w:rFonts w:ascii="Century" w:hAnsi="Century" w:hint="cs"/>
          <w:sz w:val="22"/>
          <w:rtl/>
        </w:rPr>
        <w:t xml:space="preserve">. </w:t>
      </w:r>
    </w:p>
    <w:p w14:paraId="646F31C3" w14:textId="77777777" w:rsidR="00C36C78" w:rsidRDefault="00C36C78" w:rsidP="00C36C78">
      <w:pPr>
        <w:pStyle w:val="Ruller4"/>
        <w:numPr>
          <w:ilvl w:val="0"/>
          <w:numId w:val="0"/>
        </w:numPr>
        <w:rPr>
          <w:rFonts w:ascii="Century" w:hAnsi="Century"/>
          <w:sz w:val="22"/>
        </w:rPr>
      </w:pPr>
    </w:p>
    <w:p w14:paraId="18D4F449" w14:textId="77777777" w:rsidR="00C36C78" w:rsidRPr="0041222F" w:rsidRDefault="00C36C78" w:rsidP="00C36C78">
      <w:pPr>
        <w:pStyle w:val="Ruller4"/>
        <w:rPr>
          <w:rFonts w:ascii="Century" w:hAnsi="Century"/>
          <w:sz w:val="22"/>
        </w:rPr>
      </w:pPr>
      <w:r>
        <w:rPr>
          <w:rFonts w:ascii="Century" w:hAnsi="Century" w:hint="cs"/>
          <w:sz w:val="22"/>
          <w:rtl/>
        </w:rPr>
        <w:t xml:space="preserve">זאת ועוד: הסדרי טיעון, כדוגמת זה שנערך בין דרעי לבין התביעה במשפטו הפלילי, אינם יוצרים מערכת יחסים דואלית בין התביעה לנאשם, ותו לא. </w:t>
      </w:r>
      <w:r w:rsidRPr="0041222F">
        <w:rPr>
          <w:rFonts w:ascii="Century" w:hAnsi="Century" w:hint="cs"/>
          <w:sz w:val="22"/>
          <w:rtl/>
        </w:rPr>
        <w:t xml:space="preserve">הסדרי טיעון יוצרים מערכת משולשת של יחסים משפטיים בין הנאשם, התביעה ובית המשפט אשר מופקד על האינטרס הציבורי בענישה (ראו: </w:t>
      </w:r>
      <w:r w:rsidRPr="003F0824">
        <w:rPr>
          <w:rtl/>
        </w:rPr>
        <w:t xml:space="preserve">ע"פ 532/71 </w:t>
      </w:r>
      <w:proofErr w:type="spellStart"/>
      <w:r w:rsidRPr="0041222F">
        <w:rPr>
          <w:rFonts w:ascii="Miriam" w:hAnsi="Miriam" w:cs="Miriam"/>
          <w:szCs w:val="24"/>
          <w:rtl/>
        </w:rPr>
        <w:t>בחמוצקי</w:t>
      </w:r>
      <w:proofErr w:type="spellEnd"/>
      <w:r w:rsidRPr="0041222F">
        <w:rPr>
          <w:rFonts w:ascii="Miriam" w:hAnsi="Miriam" w:cs="Miriam"/>
          <w:szCs w:val="24"/>
          <w:rtl/>
        </w:rPr>
        <w:t xml:space="preserve"> נ' מדינת ישראל</w:t>
      </w:r>
      <w:r w:rsidRPr="003F0824">
        <w:rPr>
          <w:rtl/>
        </w:rPr>
        <w:t xml:space="preserve">, פ״ד כו(1) </w:t>
      </w:r>
      <w:r>
        <w:rPr>
          <w:rFonts w:hint="cs"/>
          <w:rtl/>
        </w:rPr>
        <w:t>543, 549</w:t>
      </w:r>
      <w:r w:rsidRPr="003F0824">
        <w:rPr>
          <w:rtl/>
        </w:rPr>
        <w:t xml:space="preserve"> (1972</w:t>
      </w:r>
      <w:r>
        <w:rPr>
          <w:rFonts w:hint="cs"/>
          <w:rtl/>
        </w:rPr>
        <w:t xml:space="preserve">); </w:t>
      </w:r>
      <w:r w:rsidRPr="003F0824">
        <w:t xml:space="preserve"> </w:t>
      </w:r>
      <w:r w:rsidRPr="00FF6B33">
        <w:rPr>
          <w:rtl/>
        </w:rPr>
        <w:t xml:space="preserve">ע"פ 1958/98 </w:t>
      </w:r>
      <w:r w:rsidRPr="0041222F">
        <w:rPr>
          <w:rFonts w:ascii="Miriam" w:hAnsi="Miriam" w:cs="Miriam"/>
          <w:szCs w:val="24"/>
          <w:rtl/>
        </w:rPr>
        <w:t>פלוני נ' מדינת ישראל</w:t>
      </w:r>
      <w:r w:rsidRPr="00FF6B33">
        <w:rPr>
          <w:rtl/>
        </w:rPr>
        <w:t xml:space="preserve">, </w:t>
      </w:r>
      <w:r>
        <w:rPr>
          <w:rFonts w:hint="cs"/>
          <w:rtl/>
        </w:rPr>
        <w:t xml:space="preserve">פ"ד </w:t>
      </w:r>
      <w:r w:rsidRPr="00FF6B33">
        <w:rPr>
          <w:rtl/>
        </w:rPr>
        <w:t>נז(1) 577</w:t>
      </w:r>
      <w:r>
        <w:rPr>
          <w:rFonts w:hint="cs"/>
          <w:rtl/>
        </w:rPr>
        <w:t>, 588, 605, 611</w:t>
      </w:r>
      <w:r w:rsidRPr="0041222F">
        <w:rPr>
          <w:rFonts w:ascii="Miriam" w:hAnsi="Miriam" w:cs="Miriam" w:hint="cs"/>
          <w:szCs w:val="24"/>
          <w:rtl/>
        </w:rPr>
        <w:t xml:space="preserve"> </w:t>
      </w:r>
      <w:r w:rsidRPr="00FF6B33">
        <w:rPr>
          <w:rtl/>
        </w:rPr>
        <w:t>(2002)</w:t>
      </w:r>
      <w:r>
        <w:rPr>
          <w:rFonts w:hint="cs"/>
          <w:rtl/>
        </w:rPr>
        <w:t xml:space="preserve"> (להלן: עניין </w:t>
      </w:r>
      <w:r w:rsidRPr="0041222F">
        <w:rPr>
          <w:rFonts w:ascii="Miriam" w:hAnsi="Miriam" w:cs="Miriam" w:hint="eastAsia"/>
          <w:szCs w:val="24"/>
          <w:rtl/>
        </w:rPr>
        <w:t>פלוני</w:t>
      </w:r>
      <w:r>
        <w:rPr>
          <w:rFonts w:hint="cs"/>
          <w:rtl/>
        </w:rPr>
        <w:t xml:space="preserve">); </w:t>
      </w:r>
      <w:r w:rsidRPr="00B95EBE">
        <w:rPr>
          <w:rtl/>
        </w:rPr>
        <w:t xml:space="preserve">בג"ץ 2925/19 </w:t>
      </w:r>
      <w:r w:rsidRPr="0041222F">
        <w:rPr>
          <w:rFonts w:ascii="Miriam" w:hAnsi="Miriam" w:cs="Miriam"/>
          <w:szCs w:val="24"/>
          <w:rtl/>
        </w:rPr>
        <w:t>נגר נ' פרקליטות מחוז צפון</w:t>
      </w:r>
      <w:r w:rsidRPr="00B95EBE">
        <w:rPr>
          <w:rFonts w:hint="cs"/>
          <w:rtl/>
        </w:rPr>
        <w:t>, פסקה</w:t>
      </w:r>
      <w:r w:rsidRPr="0041222F">
        <w:rPr>
          <w:rFonts w:ascii="Miriam" w:hAnsi="Miriam" w:cs="Miriam" w:hint="cs"/>
          <w:szCs w:val="24"/>
          <w:rtl/>
        </w:rPr>
        <w:t xml:space="preserve"> </w:t>
      </w:r>
      <w:r w:rsidRPr="00B95EBE">
        <w:rPr>
          <w:rFonts w:hint="cs"/>
          <w:rtl/>
        </w:rPr>
        <w:t>7</w:t>
      </w:r>
      <w:r w:rsidRPr="00B95EBE">
        <w:rPr>
          <w:rtl/>
        </w:rPr>
        <w:t xml:space="preserve"> (24.</w:t>
      </w:r>
      <w:r>
        <w:rPr>
          <w:rFonts w:hint="cs"/>
          <w:rtl/>
        </w:rPr>
        <w:t>6</w:t>
      </w:r>
      <w:r w:rsidRPr="00B95EBE">
        <w:rPr>
          <w:rtl/>
        </w:rPr>
        <w:t>.2019)</w:t>
      </w:r>
      <w:r>
        <w:rPr>
          <w:rFonts w:hint="cs"/>
          <w:rtl/>
        </w:rPr>
        <w:t xml:space="preserve">; </w:t>
      </w:r>
      <w:r w:rsidRPr="00932006">
        <w:rPr>
          <w:rtl/>
        </w:rPr>
        <w:t xml:space="preserve">בג"ץ 3036/10 </w:t>
      </w:r>
      <w:r w:rsidRPr="0041222F">
        <w:rPr>
          <w:rFonts w:ascii="Miriam" w:hAnsi="Miriam" w:cs="Miriam" w:hint="cs"/>
          <w:szCs w:val="24"/>
          <w:rtl/>
        </w:rPr>
        <w:t>נגר</w:t>
      </w:r>
      <w:r w:rsidRPr="0041222F">
        <w:rPr>
          <w:rFonts w:ascii="Miriam" w:hAnsi="Miriam" w:cs="Miriam"/>
          <w:szCs w:val="24"/>
          <w:rtl/>
        </w:rPr>
        <w:t xml:space="preserve"> נ' פרקליטות המדינה (מחוז תל אביב)</w:t>
      </w:r>
      <w:r>
        <w:rPr>
          <w:rFonts w:hint="cs"/>
          <w:rtl/>
        </w:rPr>
        <w:t>, פסקה 32</w:t>
      </w:r>
      <w:r w:rsidRPr="00932006">
        <w:rPr>
          <w:rtl/>
        </w:rPr>
        <w:t xml:space="preserve"> (</w:t>
      </w:r>
      <w:r>
        <w:rPr>
          <w:rFonts w:hint="cs"/>
          <w:rtl/>
        </w:rPr>
        <w:t>3</w:t>
      </w:r>
      <w:r w:rsidRPr="00932006">
        <w:rPr>
          <w:rtl/>
        </w:rPr>
        <w:t>.11.2010)</w:t>
      </w:r>
      <w:r>
        <w:rPr>
          <w:rFonts w:hint="cs"/>
          <w:rtl/>
        </w:rPr>
        <w:t xml:space="preserve">; וכן </w:t>
      </w:r>
      <w:r w:rsidRPr="003F0824">
        <w:rPr>
          <w:rtl/>
        </w:rPr>
        <w:t xml:space="preserve">אליהו הרנון "עסקות טיעון בישראל  –  חלוקת התפקידים הראויה שבין התביעה לבית המשפט ומעמדו של הקורבן" </w:t>
      </w:r>
      <w:r w:rsidRPr="0041222F">
        <w:rPr>
          <w:rFonts w:ascii="Miriam" w:hAnsi="Miriam" w:cs="Miriam"/>
          <w:szCs w:val="24"/>
          <w:rtl/>
        </w:rPr>
        <w:t>משפטים</w:t>
      </w:r>
      <w:r w:rsidRPr="003F0824">
        <w:rPr>
          <w:rtl/>
        </w:rPr>
        <w:t xml:space="preserve"> כז(3) 543</w:t>
      </w:r>
      <w:r>
        <w:rPr>
          <w:rFonts w:hint="cs"/>
          <w:rtl/>
        </w:rPr>
        <w:t xml:space="preserve">, 561 (1997); להרחבה בדבר תפקידו של השופט במסגרת הסדרי טיעון, ראו: אליהו הרנון וקנת מן </w:t>
      </w:r>
      <w:r w:rsidRPr="007F7E00">
        <w:rPr>
          <w:rFonts w:ascii="Century" w:hAnsi="Century" w:cs="Miriam" w:hint="cs"/>
          <w:b/>
          <w:spacing w:val="0"/>
          <w:sz w:val="22"/>
          <w:szCs w:val="24"/>
          <w:rtl/>
        </w:rPr>
        <w:t>עסקות טיעון בישראל</w:t>
      </w:r>
      <w:r w:rsidRPr="007F7E00">
        <w:rPr>
          <w:rFonts w:hint="cs"/>
          <w:rtl/>
        </w:rPr>
        <w:t xml:space="preserve"> </w:t>
      </w:r>
      <w:r>
        <w:rPr>
          <w:rFonts w:hint="cs"/>
          <w:rtl/>
        </w:rPr>
        <w:t>126-100 (1981)).</w:t>
      </w:r>
      <w:r w:rsidRPr="0041222F">
        <w:rPr>
          <w:rFonts w:ascii="Century" w:hAnsi="Century" w:hint="cs"/>
          <w:sz w:val="22"/>
          <w:rtl/>
        </w:rPr>
        <w:t xml:space="preserve"> מערכת משולשת זו אינה מכילה בתוכה רק את הסדר הטיעון, אלא גם את הצהרותיהם של בעלי הדין </w:t>
      </w:r>
      <w:r w:rsidRPr="0041222F">
        <w:rPr>
          <w:rFonts w:ascii="Century" w:hAnsi="Century"/>
          <w:sz w:val="22"/>
          <w:rtl/>
        </w:rPr>
        <w:t>–</w:t>
      </w:r>
      <w:r w:rsidRPr="0041222F">
        <w:rPr>
          <w:rFonts w:ascii="Century" w:hAnsi="Century" w:hint="cs"/>
          <w:sz w:val="22"/>
          <w:rtl/>
        </w:rPr>
        <w:t xml:space="preserve"> ובפרט, זאת של הנאשם </w:t>
      </w:r>
      <w:r w:rsidRPr="0041222F">
        <w:rPr>
          <w:rFonts w:ascii="Century" w:hAnsi="Century"/>
          <w:sz w:val="22"/>
          <w:rtl/>
        </w:rPr>
        <w:t>–</w:t>
      </w:r>
      <w:r w:rsidRPr="0041222F">
        <w:rPr>
          <w:rFonts w:ascii="Century" w:hAnsi="Century" w:hint="cs"/>
          <w:sz w:val="22"/>
          <w:rtl/>
        </w:rPr>
        <w:t xml:space="preserve"> בהליך בו מובא ההסדר לאישורו של בית המשפט. </w:t>
      </w:r>
      <w:r>
        <w:rPr>
          <w:rFonts w:hint="cs"/>
          <w:rtl/>
        </w:rPr>
        <w:t xml:space="preserve">שכן, </w:t>
      </w:r>
      <w:r>
        <w:rPr>
          <w:rtl/>
        </w:rPr>
        <w:t>גם בהתקיים הסדר טיעון</w:t>
      </w:r>
      <w:r>
        <w:rPr>
          <w:rFonts w:hint="cs"/>
          <w:rtl/>
        </w:rPr>
        <w:t>,</w:t>
      </w:r>
      <w:r>
        <w:rPr>
          <w:rtl/>
        </w:rPr>
        <w:t xml:space="preserve"> בית</w:t>
      </w:r>
      <w:r w:rsidRPr="0041222F">
        <w:rPr>
          <w:rFonts w:hint="cs"/>
          <w:position w:val="3"/>
          <w:rtl/>
        </w:rPr>
        <w:t xml:space="preserve"> </w:t>
      </w:r>
      <w:r>
        <w:rPr>
          <w:rtl/>
        </w:rPr>
        <w:t xml:space="preserve">המשפט אינו </w:t>
      </w:r>
      <w:r>
        <w:rPr>
          <w:rFonts w:ascii="Century" w:hAnsi="Century" w:hint="cs"/>
          <w:sz w:val="22"/>
          <w:rtl/>
        </w:rPr>
        <w:t xml:space="preserve">משיל מעצמו את </w:t>
      </w:r>
      <w:r>
        <w:rPr>
          <w:rtl/>
        </w:rPr>
        <w:t xml:space="preserve">תפקידו </w:t>
      </w:r>
      <w:r>
        <w:rPr>
          <w:rFonts w:hint="cs"/>
          <w:rtl/>
        </w:rPr>
        <w:t>השיפוטי</w:t>
      </w:r>
      <w:r>
        <w:rPr>
          <w:rtl/>
        </w:rPr>
        <w:t xml:space="preserve"> בהרשעה ובהטלת העונש</w:t>
      </w:r>
      <w:r>
        <w:rPr>
          <w:rFonts w:hint="cs"/>
          <w:rtl/>
        </w:rPr>
        <w:t xml:space="preserve"> </w:t>
      </w:r>
      <w:r>
        <w:rPr>
          <w:rtl/>
        </w:rPr>
        <w:t>–</w:t>
      </w:r>
      <w:r>
        <w:rPr>
          <w:rFonts w:hint="cs"/>
          <w:rtl/>
        </w:rPr>
        <w:t xml:space="preserve"> תפקיד שעיקרו הבטחת האינטרס הציבורי באכיפת הדין הפלילי. במסגרת זאת, לעניין ההקלה </w:t>
      </w:r>
      <w:r>
        <w:rPr>
          <w:rFonts w:hint="cs"/>
          <w:rtl/>
        </w:rPr>
        <w:lastRenderedPageBreak/>
        <w:t xml:space="preserve">בעונשו של הנאשם, נדרש בית המשפט </w:t>
      </w:r>
      <w:r>
        <w:rPr>
          <w:rtl/>
        </w:rPr>
        <w:t xml:space="preserve">להעריך </w:t>
      </w:r>
      <w:r>
        <w:rPr>
          <w:rFonts w:hint="cs"/>
          <w:rtl/>
        </w:rPr>
        <w:t xml:space="preserve">את </w:t>
      </w:r>
      <w:r>
        <w:rPr>
          <w:rtl/>
        </w:rPr>
        <w:t xml:space="preserve">משקלה של נטילת </w:t>
      </w:r>
      <w:r>
        <w:rPr>
          <w:rFonts w:hint="cs"/>
          <w:rtl/>
        </w:rPr>
        <w:t>ה</w:t>
      </w:r>
      <w:r>
        <w:rPr>
          <w:rtl/>
        </w:rPr>
        <w:t xml:space="preserve">אחריות מצדו </w:t>
      </w:r>
      <w:r>
        <w:rPr>
          <w:rFonts w:hint="cs"/>
          <w:rtl/>
        </w:rPr>
        <w:t xml:space="preserve">של הנאשם (ראו: </w:t>
      </w:r>
      <w:r w:rsidRPr="0041222F">
        <w:rPr>
          <w:rFonts w:ascii="Century" w:hAnsi="Century" w:hint="cs"/>
          <w:sz w:val="22"/>
          <w:rtl/>
        </w:rPr>
        <w:t xml:space="preserve">עניין </w:t>
      </w:r>
      <w:r w:rsidRPr="0041222F">
        <w:rPr>
          <w:rFonts w:ascii="Miriam" w:hAnsi="Miriam" w:cs="Miriam" w:hint="eastAsia"/>
          <w:szCs w:val="24"/>
          <w:rtl/>
        </w:rPr>
        <w:t>פלוני</w:t>
      </w:r>
      <w:r w:rsidRPr="0041222F">
        <w:rPr>
          <w:rFonts w:ascii="Century" w:hAnsi="Century" w:hint="cs"/>
          <w:sz w:val="22"/>
          <w:rtl/>
        </w:rPr>
        <w:t xml:space="preserve">, בעמ' 593) </w:t>
      </w:r>
      <w:r w:rsidRPr="0041222F">
        <w:rPr>
          <w:rFonts w:ascii="Century" w:hAnsi="Century"/>
          <w:sz w:val="22"/>
          <w:rtl/>
        </w:rPr>
        <w:t>–</w:t>
      </w:r>
      <w:r w:rsidRPr="0041222F">
        <w:rPr>
          <w:rFonts w:ascii="Century" w:hAnsi="Century" w:hint="cs"/>
          <w:sz w:val="22"/>
          <w:rtl/>
        </w:rPr>
        <w:t xml:space="preserve"> בין היתר, ב</w:t>
      </w:r>
      <w:r>
        <w:rPr>
          <w:rFonts w:ascii="Century" w:hAnsi="Century" w:hint="cs"/>
          <w:sz w:val="22"/>
          <w:rtl/>
        </w:rPr>
        <w:t>התחשב בה</w:t>
      </w:r>
      <w:r w:rsidRPr="0041222F">
        <w:rPr>
          <w:rFonts w:ascii="Century" w:hAnsi="Century" w:hint="cs"/>
          <w:sz w:val="22"/>
          <w:rtl/>
        </w:rPr>
        <w:t>צהרות</w:t>
      </w:r>
      <w:r>
        <w:rPr>
          <w:rFonts w:ascii="Century" w:hAnsi="Century" w:hint="cs"/>
          <w:sz w:val="22"/>
          <w:rtl/>
        </w:rPr>
        <w:t xml:space="preserve"> הנאשם</w:t>
      </w:r>
      <w:r w:rsidRPr="0041222F">
        <w:rPr>
          <w:rFonts w:ascii="Century" w:hAnsi="Century" w:hint="cs"/>
          <w:sz w:val="22"/>
          <w:rtl/>
        </w:rPr>
        <w:t xml:space="preserve"> בפניו. </w:t>
      </w:r>
    </w:p>
    <w:p w14:paraId="3CAC6452" w14:textId="77777777" w:rsidR="00C36C78" w:rsidRPr="00F82BD4" w:rsidRDefault="00C36C78" w:rsidP="00C36C78">
      <w:pPr>
        <w:pStyle w:val="Ruller4"/>
        <w:numPr>
          <w:ilvl w:val="0"/>
          <w:numId w:val="0"/>
        </w:numPr>
        <w:rPr>
          <w:rFonts w:ascii="Century" w:hAnsi="Century"/>
          <w:sz w:val="22"/>
        </w:rPr>
      </w:pPr>
    </w:p>
    <w:p w14:paraId="3C91626D" w14:textId="77777777" w:rsidR="00C36C78" w:rsidRDefault="00C36C78" w:rsidP="00C36C78">
      <w:pPr>
        <w:pStyle w:val="Ruller4"/>
      </w:pPr>
      <w:r>
        <w:rPr>
          <w:rFonts w:hint="cs"/>
          <w:rtl/>
        </w:rPr>
        <w:t xml:space="preserve">אשר על כן, הצהרתו של דרעי כי "בשנים שנותרו [לו]" הוא לא יפעל עוד בזירה הפוליטית </w:t>
      </w:r>
      <w:r>
        <w:rPr>
          <w:rtl/>
        </w:rPr>
        <w:t>–</w:t>
      </w:r>
      <w:r>
        <w:rPr>
          <w:rFonts w:hint="cs"/>
          <w:rtl/>
        </w:rPr>
        <w:t xml:space="preserve"> לצד טענת התובע כי עזיבת הזירה הפוליטית על ידי דרעי היא בגדר שיקול שתומך באישורו של הסדר הטיעון </w:t>
      </w:r>
      <w:r>
        <w:rPr>
          <w:rtl/>
        </w:rPr>
        <w:t>–</w:t>
      </w:r>
      <w:r>
        <w:rPr>
          <w:rFonts w:hint="cs"/>
          <w:rtl/>
        </w:rPr>
        <w:t xml:space="preserve"> אינה בגדר מילים ריקות ונטולות נפקות משפטית. מבחינתו של בית המשפט שאישר את הסדר הטיעון, הצהרה זו שיקפה את הגזרה שגזר על עצמו דרעי כחלק מנטילת האחריות על מעשיו. הצהרה זו כמוה כחלק מהסדר הטיעון גופו אשר נותנת משמעות לסעיף 4 להסדר, בו הצהירה התביעה כי רשמה לפניה "את הודעת הנאשם בדבר החלטתו להתפטר מהכנסת ועל כן היועץ המשפטי לממשלה לא טוען בעניין הקלון בפני הערכאה הדיונית". מצב דברים זה נותן משנה תוקף לצורך לאכוף את ההתחייבות שדרעי נתן בהצהרתו ולחסימת מינויו לכהונה כשר בממשלה. מינוי זה מפר באופן בוטה את התחייבותו האמורה של דרעי </w:t>
      </w:r>
      <w:r>
        <w:rPr>
          <w:rtl/>
        </w:rPr>
        <w:t>–</w:t>
      </w:r>
      <w:r>
        <w:rPr>
          <w:rFonts w:hint="cs"/>
          <w:rtl/>
        </w:rPr>
        <w:t xml:space="preserve"> ואותו לא נוכל לאפשר. אינני בטוח אם ההתחייבות, שכאמור ניתנה על ידי דרעי, תהא תקפה לכל שנות חייו הפעילים, אולם בטוחני כי יש בה כדי לחייבנו לעצור את תרחיש "הדלת המסתובבת" אשר החל להתרחש לנגד עינינו, ומול עיניי הציבור כולו, בחלוף זמן כה קצר מאז שניתנה. </w:t>
      </w:r>
    </w:p>
    <w:p w14:paraId="3079B1C3" w14:textId="77777777" w:rsidR="00C36C78" w:rsidRDefault="00C36C78" w:rsidP="00C36C78">
      <w:pPr>
        <w:pStyle w:val="Ruller4"/>
        <w:numPr>
          <w:ilvl w:val="0"/>
          <w:numId w:val="0"/>
        </w:numPr>
        <w:rPr>
          <w:rFonts w:ascii="Century" w:hAnsi="Century"/>
          <w:sz w:val="22"/>
        </w:rPr>
      </w:pPr>
    </w:p>
    <w:p w14:paraId="47A5483A" w14:textId="77777777" w:rsidR="00C36C78" w:rsidRPr="00715BEF" w:rsidRDefault="00C36C78" w:rsidP="00C36C78">
      <w:pPr>
        <w:pStyle w:val="Ruller4"/>
        <w:rPr>
          <w:rtl/>
        </w:rPr>
      </w:pPr>
      <w:r>
        <w:rPr>
          <w:rFonts w:hint="cs"/>
          <w:rtl/>
        </w:rPr>
        <w:t xml:space="preserve">מצב משפטי זה, הקרוי השתק שיפוטי או מניעות, מונע מדרעי מלכהן כשר בממשלה בנקודת הזמן הנוכחית, כטענת העותרים. מאחר שאורכה </w:t>
      </w:r>
      <w:proofErr w:type="spellStart"/>
      <w:r>
        <w:rPr>
          <w:rFonts w:hint="cs"/>
          <w:rtl/>
        </w:rPr>
        <w:t>המדוייק</w:t>
      </w:r>
      <w:proofErr w:type="spellEnd"/>
      <w:r>
        <w:rPr>
          <w:rFonts w:hint="cs"/>
          <w:rtl/>
        </w:rPr>
        <w:t xml:space="preserve"> של תקופת המניעה אינה עומדת להכרעתנו, לא אנסה לקבעוֹ. אסתפק בלומר כי דרעי מנוע מלהציג את מועמדותו לכהונה בממשלה הנוכחית, וכי מצב משפטי זה מחייב גם את ראש הממשלה. </w:t>
      </w:r>
      <w:r w:rsidRPr="00715BEF">
        <w:rPr>
          <w:rFonts w:hint="eastAsia"/>
          <w:rtl/>
        </w:rPr>
        <w:t>זאת</w:t>
      </w:r>
      <w:r w:rsidRPr="00715BEF">
        <w:rPr>
          <w:rtl/>
        </w:rPr>
        <w:t xml:space="preserve">, </w:t>
      </w:r>
      <w:r w:rsidRPr="00715BEF">
        <w:rPr>
          <w:rFonts w:hint="eastAsia"/>
          <w:rtl/>
        </w:rPr>
        <w:t>מאחר</w:t>
      </w:r>
      <w:r w:rsidRPr="00715BEF">
        <w:rPr>
          <w:rtl/>
        </w:rPr>
        <w:t xml:space="preserve"> </w:t>
      </w:r>
      <w:r w:rsidRPr="00715BEF">
        <w:rPr>
          <w:rFonts w:hint="eastAsia"/>
          <w:rtl/>
        </w:rPr>
        <w:t>שהחלטתו</w:t>
      </w:r>
      <w:r w:rsidRPr="00715BEF">
        <w:rPr>
          <w:rtl/>
        </w:rPr>
        <w:t xml:space="preserve"> </w:t>
      </w:r>
      <w:r w:rsidRPr="00715BEF">
        <w:rPr>
          <w:rFonts w:hint="eastAsia"/>
          <w:rtl/>
        </w:rPr>
        <w:t>של</w:t>
      </w:r>
      <w:r w:rsidRPr="00715BEF">
        <w:rPr>
          <w:rtl/>
        </w:rPr>
        <w:t xml:space="preserve"> </w:t>
      </w:r>
      <w:r w:rsidRPr="00715BEF">
        <w:rPr>
          <w:rFonts w:hint="eastAsia"/>
          <w:rtl/>
        </w:rPr>
        <w:t>ראש</w:t>
      </w:r>
      <w:r w:rsidRPr="00715BEF">
        <w:rPr>
          <w:rtl/>
        </w:rPr>
        <w:t xml:space="preserve"> </w:t>
      </w:r>
      <w:r w:rsidRPr="00715BEF">
        <w:rPr>
          <w:rFonts w:hint="eastAsia"/>
          <w:rtl/>
        </w:rPr>
        <w:t>הממשלה</w:t>
      </w:r>
      <w:r w:rsidRPr="00715BEF">
        <w:rPr>
          <w:rtl/>
        </w:rPr>
        <w:t xml:space="preserve"> </w:t>
      </w:r>
      <w:r w:rsidRPr="00715BEF">
        <w:rPr>
          <w:rFonts w:hint="eastAsia"/>
          <w:rtl/>
        </w:rPr>
        <w:t>למנות</w:t>
      </w:r>
      <w:r w:rsidRPr="00715BEF">
        <w:rPr>
          <w:rtl/>
        </w:rPr>
        <w:t xml:space="preserve"> </w:t>
      </w:r>
      <w:r w:rsidRPr="00715BEF">
        <w:rPr>
          <w:rFonts w:hint="eastAsia"/>
          <w:rtl/>
        </w:rPr>
        <w:t>את</w:t>
      </w:r>
      <w:r w:rsidRPr="00715BEF">
        <w:rPr>
          <w:rtl/>
        </w:rPr>
        <w:t xml:space="preserve"> </w:t>
      </w:r>
      <w:r w:rsidRPr="00715BEF">
        <w:rPr>
          <w:rFonts w:hint="eastAsia"/>
          <w:rtl/>
        </w:rPr>
        <w:t>דרעי</w:t>
      </w:r>
      <w:r w:rsidRPr="00715BEF">
        <w:rPr>
          <w:rtl/>
        </w:rPr>
        <w:t xml:space="preserve"> </w:t>
      </w:r>
      <w:r w:rsidRPr="00715BEF">
        <w:rPr>
          <w:rFonts w:hint="eastAsia"/>
          <w:rtl/>
        </w:rPr>
        <w:t>לכהונת</w:t>
      </w:r>
      <w:r w:rsidRPr="00715BEF">
        <w:rPr>
          <w:rtl/>
        </w:rPr>
        <w:t xml:space="preserve"> </w:t>
      </w:r>
      <w:r w:rsidRPr="00715BEF">
        <w:rPr>
          <w:rFonts w:hint="eastAsia"/>
          <w:rtl/>
        </w:rPr>
        <w:t>שר</w:t>
      </w:r>
      <w:r w:rsidRPr="00715BEF">
        <w:rPr>
          <w:rtl/>
        </w:rPr>
        <w:t xml:space="preserve"> </w:t>
      </w:r>
      <w:r w:rsidRPr="00715BEF">
        <w:rPr>
          <w:rFonts w:hint="eastAsia"/>
          <w:rtl/>
        </w:rPr>
        <w:t>עומדת</w:t>
      </w:r>
      <w:r w:rsidRPr="00715BEF">
        <w:rPr>
          <w:rtl/>
        </w:rPr>
        <w:t xml:space="preserve"> </w:t>
      </w:r>
      <w:r w:rsidRPr="00715BEF">
        <w:rPr>
          <w:rFonts w:hint="eastAsia"/>
          <w:rtl/>
        </w:rPr>
        <w:t>בניגוד</w:t>
      </w:r>
      <w:r w:rsidRPr="00715BEF">
        <w:rPr>
          <w:rtl/>
        </w:rPr>
        <w:t xml:space="preserve"> </w:t>
      </w:r>
      <w:r w:rsidRPr="00715BEF">
        <w:rPr>
          <w:rFonts w:hint="eastAsia"/>
          <w:rtl/>
        </w:rPr>
        <w:t>לדין</w:t>
      </w:r>
      <w:r>
        <w:rPr>
          <w:rFonts w:hint="cs"/>
          <w:rtl/>
        </w:rPr>
        <w:t xml:space="preserve"> </w:t>
      </w:r>
      <w:r>
        <w:rPr>
          <w:rtl/>
        </w:rPr>
        <w:t>–</w:t>
      </w:r>
      <w:r>
        <w:rPr>
          <w:rFonts w:hint="cs"/>
          <w:rtl/>
        </w:rPr>
        <w:t xml:space="preserve"> שכפי שהוסבר על ידי בהרחבה, מונע מדרעי עצמו להתמנות לשר. החלטתו של ראש הממשלה למנות את דרעי לשר, בהתעלם מהמצב המשפטי המתואר השורר בקשר לדרעי </w:t>
      </w:r>
      <w:r>
        <w:rPr>
          <w:rtl/>
        </w:rPr>
        <w:t>–</w:t>
      </w:r>
      <w:r>
        <w:rPr>
          <w:rFonts w:hint="cs"/>
          <w:rtl/>
        </w:rPr>
        <w:t xml:space="preserve"> אינה יכולה לעמוד.</w:t>
      </w:r>
      <w:r w:rsidRPr="00715BEF">
        <w:rPr>
          <w:rtl/>
        </w:rPr>
        <w:t xml:space="preserve"> </w:t>
      </w:r>
    </w:p>
    <w:p w14:paraId="2AD0B05D" w14:textId="77777777" w:rsidR="00C36C78" w:rsidRPr="000511A9" w:rsidRDefault="00C36C78" w:rsidP="00C36C78">
      <w:pPr>
        <w:pStyle w:val="Ruller41"/>
      </w:pPr>
    </w:p>
    <w:p w14:paraId="230AAAB7" w14:textId="77777777" w:rsidR="00C36C78" w:rsidRDefault="00C36C78" w:rsidP="00C36C78">
      <w:pPr>
        <w:pStyle w:val="Ruller4"/>
        <w:rPr>
          <w:rFonts w:ascii="Century" w:hAnsi="Century"/>
          <w:sz w:val="22"/>
        </w:rPr>
      </w:pPr>
      <w:r>
        <w:rPr>
          <w:rFonts w:ascii="Century" w:hAnsi="Century" w:hint="cs"/>
          <w:sz w:val="22"/>
          <w:rtl/>
        </w:rPr>
        <w:t xml:space="preserve">מטעמים אלה </w:t>
      </w:r>
      <w:r>
        <w:rPr>
          <w:rFonts w:ascii="Century" w:hAnsi="Century"/>
          <w:sz w:val="22"/>
          <w:rtl/>
        </w:rPr>
        <w:t>–</w:t>
      </w:r>
      <w:r>
        <w:rPr>
          <w:rFonts w:ascii="Century" w:hAnsi="Century" w:hint="cs"/>
          <w:sz w:val="22"/>
          <w:rtl/>
        </w:rPr>
        <w:t xml:space="preserve"> ומטעמים אלה בלבד </w:t>
      </w:r>
      <w:r>
        <w:rPr>
          <w:rFonts w:ascii="Century" w:hAnsi="Century"/>
          <w:sz w:val="22"/>
          <w:rtl/>
        </w:rPr>
        <w:t>–</w:t>
      </w:r>
      <w:r>
        <w:rPr>
          <w:rFonts w:ascii="Century" w:hAnsi="Century" w:hint="cs"/>
          <w:sz w:val="22"/>
          <w:rtl/>
        </w:rPr>
        <w:t xml:space="preserve"> מצאתי כי העותרים זכאים לסעדים שנתבקשו על ידיהם בסעיף ד' לעתירה שהוגשה ב</w:t>
      </w:r>
      <w:r>
        <w:rPr>
          <w:rFonts w:hint="cs"/>
          <w:rtl/>
        </w:rPr>
        <w:t xml:space="preserve">בג"ץ 8948/22, בסעיפים ב.2 ו-ב.2.א </w:t>
      </w:r>
      <w:r>
        <w:rPr>
          <w:rFonts w:ascii="Century" w:hAnsi="Century" w:hint="cs"/>
          <w:sz w:val="22"/>
          <w:rtl/>
        </w:rPr>
        <w:t>לעתירה שהוגשה ב</w:t>
      </w:r>
      <w:r>
        <w:rPr>
          <w:rFonts w:hint="cs"/>
          <w:rtl/>
        </w:rPr>
        <w:t xml:space="preserve">בג"ץ 8949/22, וכן בסעיפים א' ו-65 </w:t>
      </w:r>
      <w:r>
        <w:rPr>
          <w:rFonts w:ascii="Century" w:hAnsi="Century" w:hint="cs"/>
          <w:sz w:val="22"/>
          <w:rtl/>
        </w:rPr>
        <w:t>לעתירה שהוגשה ב</w:t>
      </w:r>
      <w:r>
        <w:rPr>
          <w:rFonts w:hint="cs"/>
          <w:rtl/>
        </w:rPr>
        <w:t>בג"ץ 8982/22 (ראו גם: סעיפים 295, 316, 318, 323 לעתירה ב</w:t>
      </w:r>
      <w:r w:rsidRPr="00612D49">
        <w:rPr>
          <w:rFonts w:hint="eastAsia"/>
          <w:rtl/>
        </w:rPr>
        <w:t>בג</w:t>
      </w:r>
      <w:r w:rsidRPr="00612D49">
        <w:rPr>
          <w:rtl/>
        </w:rPr>
        <w:t>"</w:t>
      </w:r>
      <w:r w:rsidRPr="00612D49">
        <w:rPr>
          <w:rFonts w:hint="eastAsia"/>
          <w:rtl/>
        </w:rPr>
        <w:t>ץ</w:t>
      </w:r>
      <w:r>
        <w:rPr>
          <w:rFonts w:hint="cs"/>
          <w:rtl/>
        </w:rPr>
        <w:t xml:space="preserve"> </w:t>
      </w:r>
      <w:r w:rsidRPr="00612D49">
        <w:rPr>
          <w:rtl/>
        </w:rPr>
        <w:t>8949/2</w:t>
      </w:r>
      <w:r>
        <w:rPr>
          <w:rFonts w:hint="cs"/>
          <w:rtl/>
        </w:rPr>
        <w:t xml:space="preserve">2; סעיפים 59, 62 </w:t>
      </w:r>
      <w:r w:rsidRPr="00E06407">
        <w:rPr>
          <w:rFonts w:hint="cs"/>
          <w:rtl/>
        </w:rPr>
        <w:t>לעתירה בבג"ץ 8982/22; וכן סעיפים 50-49, 52, 113 לעתירה בבג"ץ 8948/22).</w:t>
      </w:r>
      <w:r>
        <w:rPr>
          <w:rFonts w:hint="cs"/>
          <w:rtl/>
        </w:rPr>
        <w:t xml:space="preserve"> </w:t>
      </w:r>
    </w:p>
    <w:p w14:paraId="6B43FA88" w14:textId="77777777" w:rsidR="00C36C78" w:rsidRDefault="00C36C78" w:rsidP="00C36C78">
      <w:pPr>
        <w:pStyle w:val="Ruller4"/>
        <w:numPr>
          <w:ilvl w:val="0"/>
          <w:numId w:val="0"/>
        </w:numPr>
        <w:rPr>
          <w:rFonts w:ascii="Century" w:hAnsi="Century"/>
          <w:sz w:val="22"/>
        </w:rPr>
      </w:pPr>
    </w:p>
    <w:p w14:paraId="29EF1B42" w14:textId="77777777" w:rsidR="00C36C78" w:rsidRDefault="00C36C78" w:rsidP="00C36C78">
      <w:pPr>
        <w:pStyle w:val="Ruller4"/>
        <w:rPr>
          <w:rFonts w:ascii="Century" w:hAnsi="Century"/>
          <w:sz w:val="22"/>
          <w:rtl/>
        </w:rPr>
      </w:pPr>
      <w:r>
        <w:rPr>
          <w:rFonts w:ascii="Century" w:hAnsi="Century" w:hint="cs"/>
          <w:sz w:val="22"/>
          <w:rtl/>
        </w:rPr>
        <w:lastRenderedPageBreak/>
        <w:t xml:space="preserve">סבורני כי חובה עלינו לעצור את "הדלת המסתובבת". </w:t>
      </w:r>
      <w:r w:rsidRPr="0030743D">
        <w:rPr>
          <w:rFonts w:ascii="Century" w:hAnsi="Century" w:hint="cs"/>
          <w:sz w:val="22"/>
          <w:rtl/>
        </w:rPr>
        <w:t xml:space="preserve">אשר על כן, אציע לחבריי כי נוציא מלפנינו פסק דין המצהיר כי מר אריה מכלוף דרעי מנוע </w:t>
      </w:r>
      <w:r w:rsidRPr="0030743D">
        <w:rPr>
          <w:rFonts w:ascii="Century" w:hAnsi="Century" w:hint="eastAsia"/>
          <w:sz w:val="22"/>
          <w:rtl/>
        </w:rPr>
        <w:t>מלכהן</w:t>
      </w:r>
      <w:r w:rsidRPr="0030743D">
        <w:rPr>
          <w:rFonts w:ascii="Century" w:hAnsi="Century"/>
          <w:sz w:val="22"/>
          <w:rtl/>
        </w:rPr>
        <w:t xml:space="preserve"> </w:t>
      </w:r>
      <w:r w:rsidRPr="0030743D">
        <w:rPr>
          <w:rFonts w:ascii="Century" w:hAnsi="Century" w:hint="cs"/>
          <w:sz w:val="22"/>
          <w:rtl/>
        </w:rPr>
        <w:t xml:space="preserve">כשר בממשלה הנוכחית, וכי ראש הממשלה, מר בנימין נתניהו, אף הוא </w:t>
      </w:r>
      <w:r>
        <w:rPr>
          <w:rFonts w:ascii="Century" w:hAnsi="Century" w:hint="cs"/>
          <w:sz w:val="22"/>
          <w:rtl/>
        </w:rPr>
        <w:t xml:space="preserve">היה מנוע </w:t>
      </w:r>
      <w:r w:rsidRPr="0030743D">
        <w:rPr>
          <w:rFonts w:ascii="Century" w:hAnsi="Century" w:hint="cs"/>
          <w:sz w:val="22"/>
          <w:rtl/>
        </w:rPr>
        <w:t>מלמנות את מר א</w:t>
      </w:r>
      <w:r>
        <w:rPr>
          <w:rFonts w:ascii="Century" w:hAnsi="Century" w:hint="cs"/>
          <w:sz w:val="22"/>
          <w:rtl/>
        </w:rPr>
        <w:t xml:space="preserve">ריה מכלוף דרעי לכהונת שר כאמור וכעת חייב הוא להעביר את מר דרעי מתפקידיו כשר הפנים ושר הבריאות. </w:t>
      </w:r>
      <w:r w:rsidRPr="0030743D">
        <w:rPr>
          <w:rFonts w:ascii="Century" w:hAnsi="Century" w:hint="cs"/>
          <w:sz w:val="22"/>
          <w:rtl/>
        </w:rPr>
        <w:t xml:space="preserve">כמו כן מציע אני כי ניתן צו מוחלט שיבטל את מינויו של מר אריה מכלוף </w:t>
      </w:r>
      <w:r>
        <w:rPr>
          <w:rFonts w:ascii="Century" w:hAnsi="Century" w:hint="cs"/>
          <w:sz w:val="22"/>
          <w:rtl/>
        </w:rPr>
        <w:t xml:space="preserve">דרעי לתפקיד של שר בממשלת ישראל ואת ההליכים שהביאו למינוי זה ושיחייב את </w:t>
      </w:r>
      <w:r w:rsidRPr="0030743D">
        <w:rPr>
          <w:rFonts w:ascii="Century" w:hAnsi="Century" w:hint="cs"/>
          <w:sz w:val="22"/>
          <w:rtl/>
        </w:rPr>
        <w:t>ראש הממשלה, מר בנימין נתניהו,</w:t>
      </w:r>
      <w:r>
        <w:rPr>
          <w:rFonts w:ascii="Century" w:hAnsi="Century" w:hint="cs"/>
          <w:sz w:val="22"/>
          <w:rtl/>
        </w:rPr>
        <w:t xml:space="preserve"> להעביר את מר דרעי </w:t>
      </w:r>
      <w:r w:rsidRPr="0030743D">
        <w:rPr>
          <w:rFonts w:ascii="Century" w:hAnsi="Century" w:hint="cs"/>
          <w:sz w:val="22"/>
          <w:rtl/>
        </w:rPr>
        <w:t>מתפקידיו כשר הפנים ושר הבריאות.</w:t>
      </w:r>
    </w:p>
    <w:p w14:paraId="54F58386" w14:textId="77777777" w:rsidR="00C36C78" w:rsidRDefault="00C36C78" w:rsidP="00C36C78">
      <w:pPr>
        <w:pStyle w:val="Ruller4"/>
        <w:numPr>
          <w:ilvl w:val="0"/>
          <w:numId w:val="0"/>
        </w:numPr>
        <w:rPr>
          <w:rFonts w:ascii="Century" w:hAnsi="Century"/>
          <w:sz w:val="22"/>
        </w:rPr>
      </w:pPr>
    </w:p>
    <w:p w14:paraId="69C38FA2" w14:textId="77777777" w:rsidR="00C36C78" w:rsidRDefault="00C36C78" w:rsidP="00C36C78">
      <w:pPr>
        <w:pStyle w:val="Ruller4"/>
        <w:rPr>
          <w:rFonts w:ascii="Century" w:hAnsi="Century"/>
          <w:sz w:val="22"/>
        </w:rPr>
      </w:pPr>
      <w:r>
        <w:rPr>
          <w:rFonts w:ascii="Century" w:hAnsi="Century" w:hint="cs"/>
          <w:sz w:val="22"/>
          <w:rtl/>
        </w:rPr>
        <w:t xml:space="preserve">כאן המקום לסיים את דבריי. אולם, מפאת חשיבותו הציבורית של הדיון בעתירות שלפנינו, ראיתי לנכון להתייחס, בקצירת האומר, לחלק מדברי חבריי, לעמדתה של היועצת המשפטית לממשלה, וכן לטענת המשיבים אשר שואלת אותנו </w:t>
      </w:r>
      <w:r w:rsidRPr="001F24FB">
        <w:rPr>
          <w:rFonts w:ascii="Century" w:hAnsi="Century"/>
          <w:sz w:val="22"/>
          <w:rtl/>
        </w:rPr>
        <w:t>"</w:t>
      </w:r>
      <w:r w:rsidRPr="001F24FB">
        <w:rPr>
          <w:rFonts w:ascii="Century" w:hAnsi="Century" w:hint="eastAsia"/>
          <w:sz w:val="22"/>
          <w:rtl/>
        </w:rPr>
        <w:t>כיצד</w:t>
      </w:r>
      <w:r w:rsidRPr="001F24FB">
        <w:rPr>
          <w:rFonts w:ascii="Century" w:hAnsi="Century"/>
          <w:sz w:val="22"/>
          <w:rtl/>
        </w:rPr>
        <w:t xml:space="preserve"> </w:t>
      </w:r>
      <w:r w:rsidRPr="001F24FB">
        <w:rPr>
          <w:rFonts w:ascii="Century" w:hAnsi="Century" w:hint="eastAsia"/>
          <w:sz w:val="22"/>
          <w:rtl/>
        </w:rPr>
        <w:t>ייתכן</w:t>
      </w:r>
      <w:r w:rsidRPr="001F24FB">
        <w:rPr>
          <w:rFonts w:ascii="Century" w:hAnsi="Century"/>
          <w:sz w:val="22"/>
          <w:rtl/>
        </w:rPr>
        <w:t xml:space="preserve"> </w:t>
      </w:r>
      <w:r w:rsidRPr="001F24FB">
        <w:rPr>
          <w:rFonts w:ascii="Century" w:hAnsi="Century" w:hint="eastAsia"/>
          <w:sz w:val="22"/>
          <w:rtl/>
        </w:rPr>
        <w:t>שתחסמו</w:t>
      </w:r>
      <w:r w:rsidRPr="001F24FB">
        <w:rPr>
          <w:rFonts w:ascii="Century" w:hAnsi="Century"/>
          <w:sz w:val="22"/>
          <w:rtl/>
        </w:rPr>
        <w:t xml:space="preserve"> </w:t>
      </w:r>
      <w:r w:rsidRPr="001F24FB">
        <w:rPr>
          <w:rFonts w:ascii="Century" w:hAnsi="Century" w:hint="eastAsia"/>
          <w:sz w:val="22"/>
          <w:rtl/>
        </w:rPr>
        <w:t>את</w:t>
      </w:r>
      <w:r w:rsidRPr="001F24FB">
        <w:rPr>
          <w:rFonts w:ascii="Century" w:hAnsi="Century"/>
          <w:sz w:val="22"/>
          <w:rtl/>
        </w:rPr>
        <w:t xml:space="preserve"> </w:t>
      </w:r>
      <w:r w:rsidRPr="001F24FB">
        <w:rPr>
          <w:rFonts w:ascii="Century" w:hAnsi="Century" w:hint="eastAsia"/>
          <w:sz w:val="22"/>
          <w:rtl/>
        </w:rPr>
        <w:t>דרכו</w:t>
      </w:r>
      <w:r w:rsidRPr="001F24FB">
        <w:rPr>
          <w:rFonts w:ascii="Century" w:hAnsi="Century"/>
          <w:sz w:val="22"/>
          <w:rtl/>
        </w:rPr>
        <w:t xml:space="preserve"> </w:t>
      </w:r>
      <w:r w:rsidRPr="001F24FB">
        <w:rPr>
          <w:rFonts w:ascii="Century" w:hAnsi="Century" w:hint="eastAsia"/>
          <w:sz w:val="22"/>
          <w:rtl/>
        </w:rPr>
        <w:t>לממשלה</w:t>
      </w:r>
      <w:r w:rsidRPr="001F24FB">
        <w:rPr>
          <w:rFonts w:ascii="Century" w:hAnsi="Century"/>
          <w:sz w:val="22"/>
          <w:rtl/>
        </w:rPr>
        <w:t xml:space="preserve"> </w:t>
      </w:r>
      <w:r w:rsidRPr="001F24FB">
        <w:rPr>
          <w:rFonts w:ascii="Century" w:hAnsi="Century" w:hint="eastAsia"/>
          <w:sz w:val="22"/>
          <w:rtl/>
        </w:rPr>
        <w:t>של</w:t>
      </w:r>
      <w:r w:rsidRPr="001F24FB">
        <w:rPr>
          <w:rFonts w:ascii="Century" w:hAnsi="Century"/>
          <w:sz w:val="22"/>
          <w:rtl/>
        </w:rPr>
        <w:t xml:space="preserve"> </w:t>
      </w:r>
      <w:r w:rsidRPr="001F24FB">
        <w:rPr>
          <w:rFonts w:ascii="Century" w:hAnsi="Century" w:hint="eastAsia"/>
          <w:sz w:val="22"/>
          <w:rtl/>
        </w:rPr>
        <w:t>נבחר</w:t>
      </w:r>
      <w:r w:rsidRPr="001F24FB">
        <w:rPr>
          <w:rFonts w:ascii="Century" w:hAnsi="Century"/>
          <w:sz w:val="22"/>
          <w:rtl/>
        </w:rPr>
        <w:t xml:space="preserve"> </w:t>
      </w:r>
      <w:r w:rsidRPr="001F24FB">
        <w:rPr>
          <w:rFonts w:ascii="Century" w:hAnsi="Century" w:hint="eastAsia"/>
          <w:sz w:val="22"/>
          <w:rtl/>
        </w:rPr>
        <w:t>ציבור</w:t>
      </w:r>
      <w:r w:rsidRPr="001F24FB">
        <w:rPr>
          <w:rFonts w:ascii="Century" w:hAnsi="Century"/>
          <w:sz w:val="22"/>
          <w:rtl/>
        </w:rPr>
        <w:t xml:space="preserve"> </w:t>
      </w:r>
      <w:r w:rsidRPr="001F24FB">
        <w:rPr>
          <w:rFonts w:ascii="Century" w:hAnsi="Century" w:hint="eastAsia"/>
          <w:sz w:val="22"/>
          <w:rtl/>
        </w:rPr>
        <w:t>שבחירתו</w:t>
      </w:r>
      <w:r w:rsidRPr="001F24FB">
        <w:rPr>
          <w:rFonts w:ascii="Century" w:hAnsi="Century"/>
          <w:sz w:val="22"/>
          <w:rtl/>
        </w:rPr>
        <w:t xml:space="preserve"> </w:t>
      </w:r>
      <w:r w:rsidRPr="001F24FB">
        <w:rPr>
          <w:rFonts w:ascii="Century" w:hAnsi="Century" w:hint="eastAsia"/>
          <w:sz w:val="22"/>
          <w:rtl/>
        </w:rPr>
        <w:t>למשרה</w:t>
      </w:r>
      <w:r w:rsidRPr="001F24FB">
        <w:rPr>
          <w:rFonts w:ascii="Century" w:hAnsi="Century"/>
          <w:sz w:val="22"/>
          <w:rtl/>
        </w:rPr>
        <w:t xml:space="preserve"> </w:t>
      </w:r>
      <w:r w:rsidRPr="001F24FB">
        <w:rPr>
          <w:rFonts w:ascii="Century" w:hAnsi="Century" w:hint="eastAsia"/>
          <w:sz w:val="22"/>
          <w:rtl/>
        </w:rPr>
        <w:t>הרמה</w:t>
      </w:r>
      <w:r w:rsidRPr="001F24FB">
        <w:rPr>
          <w:rFonts w:ascii="Century" w:hAnsi="Century"/>
          <w:sz w:val="22"/>
          <w:rtl/>
        </w:rPr>
        <w:t xml:space="preserve"> </w:t>
      </w:r>
      <w:r w:rsidRPr="001F24FB">
        <w:rPr>
          <w:rFonts w:ascii="Century" w:hAnsi="Century" w:hint="eastAsia"/>
          <w:sz w:val="22"/>
          <w:rtl/>
        </w:rPr>
        <w:t>באה</w:t>
      </w:r>
      <w:r w:rsidRPr="001F24FB">
        <w:rPr>
          <w:rFonts w:ascii="Century" w:hAnsi="Century"/>
          <w:sz w:val="22"/>
          <w:rtl/>
        </w:rPr>
        <w:t xml:space="preserve"> </w:t>
      </w:r>
      <w:r w:rsidRPr="001F24FB">
        <w:rPr>
          <w:rFonts w:ascii="Century" w:hAnsi="Century" w:hint="eastAsia"/>
          <w:sz w:val="22"/>
          <w:rtl/>
        </w:rPr>
        <w:t>מכוח</w:t>
      </w:r>
      <w:r w:rsidRPr="001F24FB">
        <w:rPr>
          <w:rFonts w:ascii="Century" w:hAnsi="Century"/>
          <w:sz w:val="22"/>
          <w:rtl/>
        </w:rPr>
        <w:t xml:space="preserve"> </w:t>
      </w:r>
      <w:r w:rsidRPr="001F24FB">
        <w:rPr>
          <w:rFonts w:ascii="Century" w:hAnsi="Century" w:hint="eastAsia"/>
          <w:sz w:val="22"/>
          <w:rtl/>
        </w:rPr>
        <w:t>הצבעתם</w:t>
      </w:r>
      <w:r w:rsidRPr="001F24FB">
        <w:rPr>
          <w:rFonts w:ascii="Century" w:hAnsi="Century"/>
          <w:sz w:val="22"/>
          <w:rtl/>
        </w:rPr>
        <w:t xml:space="preserve"> </w:t>
      </w:r>
      <w:r w:rsidRPr="001F24FB">
        <w:rPr>
          <w:rFonts w:ascii="Century" w:hAnsi="Century" w:hint="eastAsia"/>
          <w:sz w:val="22"/>
          <w:rtl/>
        </w:rPr>
        <w:t>של</w:t>
      </w:r>
      <w:r w:rsidRPr="001F24FB">
        <w:rPr>
          <w:rFonts w:ascii="Century" w:hAnsi="Century"/>
          <w:sz w:val="22"/>
          <w:rtl/>
        </w:rPr>
        <w:t xml:space="preserve"> </w:t>
      </w:r>
      <w:r w:rsidRPr="001F24FB">
        <w:rPr>
          <w:rFonts w:ascii="Century" w:hAnsi="Century" w:hint="eastAsia"/>
          <w:sz w:val="22"/>
          <w:rtl/>
        </w:rPr>
        <w:t>כ</w:t>
      </w:r>
      <w:r w:rsidRPr="001F24FB">
        <w:rPr>
          <w:rFonts w:ascii="Century" w:hAnsi="Century"/>
          <w:sz w:val="22"/>
          <w:rtl/>
        </w:rPr>
        <w:t xml:space="preserve">-400,000 </w:t>
      </w:r>
      <w:r w:rsidRPr="001F24FB">
        <w:rPr>
          <w:rFonts w:ascii="Century" w:hAnsi="Century" w:hint="eastAsia"/>
          <w:sz w:val="22"/>
          <w:rtl/>
        </w:rPr>
        <w:t>אזרחים</w:t>
      </w:r>
      <w:r w:rsidRPr="001F24FB">
        <w:rPr>
          <w:rFonts w:ascii="Century" w:hAnsi="Century"/>
          <w:sz w:val="22"/>
          <w:rtl/>
        </w:rPr>
        <w:t xml:space="preserve"> </w:t>
      </w:r>
      <w:r w:rsidRPr="001F24FB">
        <w:rPr>
          <w:rFonts w:ascii="Century" w:hAnsi="Century" w:hint="eastAsia"/>
          <w:sz w:val="22"/>
          <w:rtl/>
        </w:rPr>
        <w:t>ואזרחיות</w:t>
      </w:r>
      <w:r w:rsidRPr="001F24FB">
        <w:rPr>
          <w:rFonts w:ascii="Century" w:hAnsi="Century"/>
          <w:sz w:val="22"/>
          <w:rtl/>
        </w:rPr>
        <w:t xml:space="preserve"> </w:t>
      </w:r>
      <w:r>
        <w:rPr>
          <w:rFonts w:ascii="Century" w:hAnsi="Century" w:hint="cs"/>
          <w:sz w:val="22"/>
          <w:rtl/>
        </w:rPr>
        <w:t xml:space="preserve">אשר </w:t>
      </w:r>
      <w:r w:rsidRPr="001F24FB">
        <w:rPr>
          <w:rFonts w:ascii="Century" w:hAnsi="Century" w:hint="eastAsia"/>
          <w:sz w:val="22"/>
          <w:rtl/>
        </w:rPr>
        <w:t>נתנו</w:t>
      </w:r>
      <w:r w:rsidRPr="001F24FB">
        <w:rPr>
          <w:rFonts w:ascii="Century" w:hAnsi="Century"/>
          <w:sz w:val="22"/>
          <w:rtl/>
        </w:rPr>
        <w:t xml:space="preserve"> </w:t>
      </w:r>
      <w:r w:rsidRPr="001F24FB">
        <w:rPr>
          <w:rFonts w:ascii="Century" w:hAnsi="Century" w:hint="eastAsia"/>
          <w:sz w:val="22"/>
          <w:rtl/>
        </w:rPr>
        <w:t>את</w:t>
      </w:r>
      <w:r w:rsidRPr="001F24FB">
        <w:rPr>
          <w:rFonts w:ascii="Century" w:hAnsi="Century"/>
          <w:sz w:val="22"/>
          <w:rtl/>
        </w:rPr>
        <w:t xml:space="preserve"> </w:t>
      </w:r>
      <w:r w:rsidRPr="001F24FB">
        <w:rPr>
          <w:rFonts w:ascii="Century" w:hAnsi="Century" w:hint="eastAsia"/>
          <w:sz w:val="22"/>
          <w:rtl/>
        </w:rPr>
        <w:t>קולותיהם</w:t>
      </w:r>
      <w:r w:rsidRPr="001F24FB">
        <w:rPr>
          <w:rFonts w:ascii="Century" w:hAnsi="Century"/>
          <w:sz w:val="22"/>
          <w:rtl/>
        </w:rPr>
        <w:t xml:space="preserve"> </w:t>
      </w:r>
      <w:r w:rsidRPr="001F24FB">
        <w:rPr>
          <w:rFonts w:ascii="Century" w:hAnsi="Century" w:hint="eastAsia"/>
          <w:sz w:val="22"/>
          <w:rtl/>
        </w:rPr>
        <w:t>למפלגת</w:t>
      </w:r>
      <w:r w:rsidRPr="001F24FB">
        <w:rPr>
          <w:rFonts w:ascii="Century" w:hAnsi="Century"/>
          <w:sz w:val="22"/>
          <w:rtl/>
        </w:rPr>
        <w:t xml:space="preserve"> </w:t>
      </w:r>
      <w:r w:rsidRPr="001F24FB">
        <w:rPr>
          <w:rFonts w:ascii="Century" w:hAnsi="Century" w:hint="eastAsia"/>
          <w:sz w:val="22"/>
          <w:rtl/>
        </w:rPr>
        <w:t>ש</w:t>
      </w:r>
      <w:r w:rsidRPr="001F24FB">
        <w:rPr>
          <w:rFonts w:ascii="Century" w:hAnsi="Century"/>
          <w:sz w:val="22"/>
          <w:rtl/>
        </w:rPr>
        <w:t>"</w:t>
      </w:r>
      <w:r w:rsidRPr="001F24FB">
        <w:rPr>
          <w:rFonts w:ascii="Century" w:hAnsi="Century" w:hint="eastAsia"/>
          <w:sz w:val="22"/>
          <w:rtl/>
        </w:rPr>
        <w:t>ס</w:t>
      </w:r>
      <w:r w:rsidRPr="001F24FB">
        <w:rPr>
          <w:rFonts w:ascii="Century" w:hAnsi="Century"/>
          <w:sz w:val="22"/>
          <w:rtl/>
        </w:rPr>
        <w:t xml:space="preserve"> </w:t>
      </w:r>
      <w:r w:rsidRPr="001F24FB">
        <w:rPr>
          <w:rFonts w:ascii="Century" w:hAnsi="Century" w:hint="eastAsia"/>
          <w:sz w:val="22"/>
          <w:rtl/>
        </w:rPr>
        <w:t>בראשותו</w:t>
      </w:r>
      <w:r w:rsidRPr="001F24FB">
        <w:rPr>
          <w:rFonts w:ascii="Century" w:hAnsi="Century"/>
          <w:sz w:val="22"/>
          <w:rtl/>
        </w:rPr>
        <w:t xml:space="preserve"> </w:t>
      </w:r>
      <w:r w:rsidRPr="001F24FB">
        <w:rPr>
          <w:rFonts w:ascii="Century" w:hAnsi="Century" w:hint="eastAsia"/>
          <w:sz w:val="22"/>
          <w:rtl/>
        </w:rPr>
        <w:t>של</w:t>
      </w:r>
      <w:r w:rsidRPr="001F24FB">
        <w:rPr>
          <w:rFonts w:ascii="Century" w:hAnsi="Century"/>
          <w:sz w:val="22"/>
          <w:rtl/>
        </w:rPr>
        <w:t xml:space="preserve"> </w:t>
      </w:r>
      <w:r w:rsidRPr="001F24FB">
        <w:rPr>
          <w:rFonts w:ascii="Century" w:hAnsi="Century" w:hint="eastAsia"/>
          <w:sz w:val="22"/>
          <w:rtl/>
        </w:rPr>
        <w:t>אותו</w:t>
      </w:r>
      <w:r w:rsidRPr="001F24FB">
        <w:rPr>
          <w:rFonts w:ascii="Century" w:hAnsi="Century"/>
          <w:sz w:val="22"/>
          <w:rtl/>
        </w:rPr>
        <w:t xml:space="preserve"> </w:t>
      </w:r>
      <w:r w:rsidRPr="001F24FB">
        <w:rPr>
          <w:rFonts w:ascii="Century" w:hAnsi="Century" w:hint="eastAsia"/>
          <w:sz w:val="22"/>
          <w:rtl/>
        </w:rPr>
        <w:t>נבחר</w:t>
      </w:r>
      <w:r w:rsidRPr="001F24FB">
        <w:rPr>
          <w:rFonts w:ascii="Century" w:hAnsi="Century"/>
          <w:sz w:val="22"/>
          <w:rtl/>
        </w:rPr>
        <w:t xml:space="preserve"> </w:t>
      </w:r>
      <w:r w:rsidRPr="001F24FB">
        <w:rPr>
          <w:rFonts w:ascii="Century" w:hAnsi="Century" w:hint="eastAsia"/>
          <w:sz w:val="22"/>
          <w:rtl/>
        </w:rPr>
        <w:t>ציבור</w:t>
      </w:r>
      <w:r w:rsidRPr="001F24FB">
        <w:rPr>
          <w:rFonts w:ascii="Century" w:hAnsi="Century"/>
          <w:sz w:val="22"/>
          <w:rtl/>
        </w:rPr>
        <w:t xml:space="preserve"> – </w:t>
      </w:r>
      <w:r w:rsidRPr="001F24FB">
        <w:rPr>
          <w:rFonts w:ascii="Century" w:hAnsi="Century" w:hint="eastAsia"/>
          <w:sz w:val="22"/>
          <w:rtl/>
        </w:rPr>
        <w:t>מר</w:t>
      </w:r>
      <w:r w:rsidRPr="001F24FB">
        <w:rPr>
          <w:rFonts w:ascii="Century" w:hAnsi="Century"/>
          <w:sz w:val="22"/>
          <w:rtl/>
        </w:rPr>
        <w:t xml:space="preserve"> </w:t>
      </w:r>
      <w:r w:rsidRPr="001F24FB">
        <w:rPr>
          <w:rFonts w:ascii="Century" w:hAnsi="Century" w:hint="eastAsia"/>
          <w:sz w:val="22"/>
          <w:rtl/>
        </w:rPr>
        <w:t>אריה</w:t>
      </w:r>
      <w:r w:rsidRPr="001F24FB">
        <w:rPr>
          <w:rFonts w:ascii="Century" w:hAnsi="Century"/>
          <w:sz w:val="22"/>
          <w:rtl/>
        </w:rPr>
        <w:t xml:space="preserve"> </w:t>
      </w:r>
      <w:r w:rsidRPr="001F24FB">
        <w:rPr>
          <w:rFonts w:ascii="Century" w:hAnsi="Century" w:hint="eastAsia"/>
          <w:sz w:val="22"/>
          <w:rtl/>
        </w:rPr>
        <w:t>מכלוף</w:t>
      </w:r>
      <w:r w:rsidRPr="001F24FB">
        <w:rPr>
          <w:rFonts w:ascii="Century" w:hAnsi="Century"/>
          <w:sz w:val="22"/>
          <w:rtl/>
        </w:rPr>
        <w:t xml:space="preserve"> </w:t>
      </w:r>
      <w:r w:rsidRPr="001F24FB">
        <w:rPr>
          <w:rFonts w:ascii="Century" w:hAnsi="Century" w:hint="eastAsia"/>
          <w:sz w:val="22"/>
          <w:rtl/>
        </w:rPr>
        <w:t>דרעי</w:t>
      </w:r>
      <w:r w:rsidRPr="001F24FB">
        <w:rPr>
          <w:rFonts w:ascii="Century" w:hAnsi="Century"/>
          <w:sz w:val="22"/>
          <w:rtl/>
        </w:rPr>
        <w:t>?".</w:t>
      </w:r>
      <w:r>
        <w:rPr>
          <w:rFonts w:ascii="Century" w:hAnsi="Century" w:hint="cs"/>
          <w:sz w:val="22"/>
          <w:rtl/>
        </w:rPr>
        <w:t xml:space="preserve">  </w:t>
      </w:r>
    </w:p>
    <w:p w14:paraId="0E6A1F88" w14:textId="77777777" w:rsidR="00C36C78" w:rsidRDefault="00C36C78" w:rsidP="00C36C78">
      <w:pPr>
        <w:pStyle w:val="Ruller4"/>
        <w:numPr>
          <w:ilvl w:val="0"/>
          <w:numId w:val="0"/>
        </w:numPr>
        <w:rPr>
          <w:rFonts w:ascii="Century" w:hAnsi="Century"/>
          <w:sz w:val="22"/>
        </w:rPr>
      </w:pPr>
    </w:p>
    <w:p w14:paraId="18486A8B" w14:textId="77777777" w:rsidR="00C36C78" w:rsidRPr="008F00DD" w:rsidRDefault="00C36C78" w:rsidP="00C36C78">
      <w:pPr>
        <w:pStyle w:val="Ruller4"/>
        <w:rPr>
          <w:rFonts w:ascii="Century" w:hAnsi="Century"/>
          <w:sz w:val="22"/>
          <w:rtl/>
        </w:rPr>
      </w:pPr>
      <w:r>
        <w:rPr>
          <w:rFonts w:ascii="Century" w:hAnsi="Century" w:hint="cs"/>
          <w:sz w:val="22"/>
          <w:rtl/>
        </w:rPr>
        <w:t xml:space="preserve">בכל אלה אדון כעת, ואשתדל שלא </w:t>
      </w:r>
      <w:r w:rsidRPr="001F24FB">
        <w:rPr>
          <w:rFonts w:ascii="Century" w:hAnsi="Century" w:hint="eastAsia"/>
          <w:sz w:val="22"/>
          <w:rtl/>
        </w:rPr>
        <w:t>להלאות</w:t>
      </w:r>
      <w:r>
        <w:rPr>
          <w:rFonts w:ascii="Century" w:hAnsi="Century" w:hint="cs"/>
          <w:sz w:val="22"/>
          <w:rtl/>
        </w:rPr>
        <w:t xml:space="preserve"> את קוראי פסק הדין.</w:t>
      </w:r>
    </w:p>
    <w:p w14:paraId="2D2C0A93" w14:textId="77777777" w:rsidR="00C36C78" w:rsidRDefault="00C36C78" w:rsidP="00C36C78">
      <w:pPr>
        <w:pStyle w:val="Ruller4"/>
        <w:numPr>
          <w:ilvl w:val="0"/>
          <w:numId w:val="0"/>
        </w:numPr>
        <w:rPr>
          <w:sz w:val="22"/>
          <w:rtl/>
        </w:rPr>
      </w:pPr>
    </w:p>
    <w:p w14:paraId="0D9E6619" w14:textId="77777777" w:rsidR="00C36C78" w:rsidRPr="001E5E1A" w:rsidRDefault="00C36C78" w:rsidP="00C36C78">
      <w:pPr>
        <w:pStyle w:val="Ruller41"/>
        <w:rPr>
          <w:rFonts w:ascii="Century" w:hAnsi="Century" w:cs="Miriam"/>
          <w:b/>
          <w:spacing w:val="0"/>
          <w:szCs w:val="24"/>
          <w:rtl/>
        </w:rPr>
      </w:pPr>
      <w:r>
        <w:rPr>
          <w:rFonts w:ascii="Century" w:hAnsi="Century" w:cs="Miriam" w:hint="cs"/>
          <w:b/>
          <w:spacing w:val="0"/>
          <w:szCs w:val="24"/>
          <w:rtl/>
        </w:rPr>
        <w:t>הערות סיום</w:t>
      </w:r>
    </w:p>
    <w:p w14:paraId="10BF8582" w14:textId="77777777" w:rsidR="00C36C78" w:rsidRDefault="00C36C78" w:rsidP="00C36C78">
      <w:pPr>
        <w:pStyle w:val="Ruller41"/>
        <w:rPr>
          <w:rtl/>
        </w:rPr>
      </w:pPr>
    </w:p>
    <w:p w14:paraId="1E717717" w14:textId="77777777" w:rsidR="00C36C78" w:rsidRDefault="00C36C78" w:rsidP="00C36C78">
      <w:pPr>
        <w:pStyle w:val="Ruller4"/>
      </w:pPr>
      <w:r>
        <w:rPr>
          <w:rFonts w:hint="cs"/>
          <w:rtl/>
        </w:rPr>
        <w:t>אני מצרף את דעתי לתוצאה אליה הגיעה חברתי, הנשיאה</w:t>
      </w:r>
      <w:r w:rsidRPr="000348EB">
        <w:rPr>
          <w:rFonts w:ascii="Century" w:hAnsi="Century" w:cs="Miriam" w:hint="cs"/>
          <w:b/>
          <w:spacing w:val="0"/>
          <w:sz w:val="22"/>
          <w:szCs w:val="24"/>
          <w:rtl/>
        </w:rPr>
        <w:t xml:space="preserve"> חיות</w:t>
      </w:r>
      <w:r>
        <w:rPr>
          <w:rFonts w:hint="cs"/>
          <w:rtl/>
        </w:rPr>
        <w:t xml:space="preserve">, בחוות דעתה. באשר לנימוקיה </w:t>
      </w:r>
      <w:r>
        <w:rPr>
          <w:rtl/>
        </w:rPr>
        <w:t>–</w:t>
      </w:r>
      <w:r>
        <w:rPr>
          <w:rFonts w:hint="cs"/>
          <w:rtl/>
        </w:rPr>
        <w:t xml:space="preserve"> אלו מקובלים עלי ככל שעניינם הצהרה שנתן דרעי בפני בית משפט השלום. הנשיאה סבורה כי הצהרה זו והמצג שהיא הציגה בפני בית משפט השלום גורעים באופן משמעותי מסבירות החלטתו של ראש הממשלה למנות את דרעי לשר. לטעמי, משקלה העצמי של הצהרה כאמור הוא משקל מכריע. כפי שהוסבר על ידי, הצהרה זאת יוצרת השתק שיפוטי ומניעות </w:t>
      </w:r>
      <w:r>
        <w:rPr>
          <w:rtl/>
        </w:rPr>
        <w:t>–</w:t>
      </w:r>
      <w:r>
        <w:rPr>
          <w:rFonts w:hint="cs"/>
          <w:rtl/>
        </w:rPr>
        <w:t xml:space="preserve"> מצב משפטי אינדיווידואלי שמונע את מינויו של דרעי לכהונה בממשלה. פעולה בניגוד למצב משפטי כאמור בלי ספק עולה כדי חוסר סבירות קיצוני </w:t>
      </w:r>
      <w:r>
        <w:rPr>
          <w:rtl/>
        </w:rPr>
        <w:t>–</w:t>
      </w:r>
      <w:r>
        <w:rPr>
          <w:rFonts w:hint="cs"/>
          <w:rtl/>
        </w:rPr>
        <w:t xml:space="preserve"> מבלי לקחת בחשבון את צֶבֶר ההרשעות של דרעי </w:t>
      </w:r>
      <w:r>
        <w:rPr>
          <w:rtl/>
        </w:rPr>
        <w:t>–</w:t>
      </w:r>
      <w:r>
        <w:rPr>
          <w:rFonts w:hint="cs"/>
          <w:rtl/>
        </w:rPr>
        <w:t xml:space="preserve"> אך לטעמי סיווג זה של עילת ההתערבות בהחלטתו של ראש הממשלה איננו דרוש. </w:t>
      </w:r>
      <w:r w:rsidRPr="00193B6D">
        <w:rPr>
          <w:rFonts w:ascii="Century" w:hAnsi="Century" w:cs="Miriam" w:hint="cs"/>
          <w:b/>
          <w:spacing w:val="0"/>
          <w:sz w:val="22"/>
          <w:szCs w:val="24"/>
          <w:rtl/>
        </w:rPr>
        <w:t xml:space="preserve">לדידי, </w:t>
      </w:r>
      <w:r w:rsidRPr="000348EB">
        <w:rPr>
          <w:rFonts w:ascii="Century" w:hAnsi="Century" w:cs="Miriam" w:hint="eastAsia"/>
          <w:b/>
          <w:spacing w:val="0"/>
          <w:sz w:val="22"/>
          <w:szCs w:val="24"/>
          <w:rtl/>
        </w:rPr>
        <w:t>העילה</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להתערבותנו</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היא</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עצם</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הצורך</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למנוע</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פעולה</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שנוגדת</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את</w:t>
      </w:r>
      <w:r w:rsidRPr="000348EB">
        <w:rPr>
          <w:rFonts w:ascii="Century" w:hAnsi="Century" w:cs="Miriam"/>
          <w:b/>
          <w:spacing w:val="0"/>
          <w:sz w:val="22"/>
          <w:szCs w:val="24"/>
          <w:rtl/>
        </w:rPr>
        <w:t xml:space="preserve"> </w:t>
      </w:r>
      <w:r w:rsidRPr="000348EB">
        <w:rPr>
          <w:rFonts w:ascii="Century" w:hAnsi="Century" w:cs="Miriam" w:hint="eastAsia"/>
          <w:b/>
          <w:spacing w:val="0"/>
          <w:sz w:val="22"/>
          <w:szCs w:val="24"/>
          <w:rtl/>
        </w:rPr>
        <w:t>הדין</w:t>
      </w:r>
      <w:r>
        <w:rPr>
          <w:rFonts w:hint="cs"/>
          <w:rtl/>
        </w:rPr>
        <w:t xml:space="preserve">. </w:t>
      </w:r>
    </w:p>
    <w:p w14:paraId="01F25CF0" w14:textId="77777777" w:rsidR="00C36C78" w:rsidRDefault="00C36C78" w:rsidP="00C36C78">
      <w:pPr>
        <w:pStyle w:val="Ruller4"/>
        <w:numPr>
          <w:ilvl w:val="0"/>
          <w:numId w:val="0"/>
        </w:numPr>
      </w:pPr>
    </w:p>
    <w:p w14:paraId="49E423C7" w14:textId="77777777" w:rsidR="00C36C78" w:rsidRDefault="00C36C78" w:rsidP="00C36C78">
      <w:pPr>
        <w:pStyle w:val="Ruller4"/>
      </w:pPr>
      <w:r>
        <w:rPr>
          <w:rFonts w:hint="cs"/>
          <w:rtl/>
        </w:rPr>
        <w:t xml:space="preserve">את דעתי בעניינה של "דוקטרינת הסבירות" כבסיס לביקורת שיפוטית על החלטות שלטוניות הבעתי במספר הזדמנויות; ולא כאן המקום להאריך. אחזור על </w:t>
      </w:r>
      <w:r>
        <w:rPr>
          <w:rFonts w:hint="cs"/>
          <w:rtl/>
        </w:rPr>
        <w:lastRenderedPageBreak/>
        <w:t xml:space="preserve">הדברים בקיצור נמרץ. הנני מתנגד להפעלתה של דוקטרינת הסבירות במתכונת שכיניתיה "המשפט זה אני", במסגרתה בית המשפט מעמיד את איכות השיקולים אשר נשקלו על ידי הרשות עובר לקבלת החלטתה לבחינה מוסרית-ערכית משל עצמו. התערבות זו בשיקול הדעת המינהלי אינה מקובלת עלי כלל ועיקר. לטעמי, דוקטרינת הסבירות מעמידה לרשותנו כלל שיורי שפועלו זהה </w:t>
      </w:r>
      <w:r w:rsidRPr="00FA4968">
        <w:rPr>
          <w:rFonts w:hint="eastAsia"/>
          <w:rtl/>
        </w:rPr>
        <w:t>מבחינה</w:t>
      </w:r>
      <w:r w:rsidRPr="00FA4968">
        <w:rPr>
          <w:rtl/>
        </w:rPr>
        <w:t xml:space="preserve"> </w:t>
      </w:r>
      <w:r w:rsidRPr="00FA4968">
        <w:rPr>
          <w:rFonts w:hint="eastAsia"/>
          <w:rtl/>
        </w:rPr>
        <w:t>פונקציונלית</w:t>
      </w:r>
      <w:r w:rsidRPr="00FA4968">
        <w:rPr>
          <w:rtl/>
        </w:rPr>
        <w:t xml:space="preserve"> </w:t>
      </w:r>
      <w:r w:rsidRPr="00FA4968">
        <w:rPr>
          <w:rFonts w:hint="eastAsia"/>
          <w:rtl/>
        </w:rPr>
        <w:t>לפועלו</w:t>
      </w:r>
      <w:r w:rsidRPr="00FA4968">
        <w:rPr>
          <w:rtl/>
        </w:rPr>
        <w:t xml:space="preserve"> </w:t>
      </w:r>
      <w:r w:rsidRPr="00FA4968">
        <w:rPr>
          <w:rFonts w:hint="eastAsia"/>
          <w:rtl/>
        </w:rPr>
        <w:t>של</w:t>
      </w:r>
      <w:r w:rsidRPr="00FA4968">
        <w:rPr>
          <w:rtl/>
        </w:rPr>
        <w:t xml:space="preserve"> </w:t>
      </w:r>
      <w:r w:rsidRPr="00FA4968">
        <w:rPr>
          <w:rFonts w:hint="eastAsia"/>
          <w:rtl/>
        </w:rPr>
        <w:t>הכלל</w:t>
      </w:r>
      <w:r w:rsidRPr="00FA4968">
        <w:rPr>
          <w:rtl/>
        </w:rPr>
        <w:t xml:space="preserve"> "</w:t>
      </w:r>
      <w:r w:rsidRPr="00FA4968">
        <w:rPr>
          <w:rFonts w:hint="eastAsia"/>
          <w:rtl/>
        </w:rPr>
        <w:t>הדבר</w:t>
      </w:r>
      <w:r w:rsidRPr="00FA4968">
        <w:rPr>
          <w:rtl/>
        </w:rPr>
        <w:t xml:space="preserve"> </w:t>
      </w:r>
      <w:r w:rsidRPr="00FA4968">
        <w:rPr>
          <w:rFonts w:hint="eastAsia"/>
          <w:rtl/>
        </w:rPr>
        <w:t>מעיד</w:t>
      </w:r>
      <w:r w:rsidRPr="00FA4968">
        <w:rPr>
          <w:rtl/>
        </w:rPr>
        <w:t xml:space="preserve"> </w:t>
      </w:r>
      <w:r w:rsidRPr="00FA4968">
        <w:rPr>
          <w:rFonts w:hint="eastAsia"/>
          <w:rtl/>
        </w:rPr>
        <w:t>על</w:t>
      </w:r>
      <w:r w:rsidRPr="00FA4968">
        <w:rPr>
          <w:rtl/>
        </w:rPr>
        <w:t xml:space="preserve"> </w:t>
      </w:r>
      <w:r w:rsidRPr="00FA4968">
        <w:rPr>
          <w:rFonts w:hint="eastAsia"/>
          <w:rtl/>
        </w:rPr>
        <w:t>עצמו</w:t>
      </w:r>
      <w:r w:rsidRPr="00FA4968">
        <w:rPr>
          <w:rtl/>
        </w:rPr>
        <w:t xml:space="preserve">" </w:t>
      </w:r>
      <w:r w:rsidRPr="00FA4968">
        <w:rPr>
          <w:rFonts w:hint="eastAsia"/>
          <w:rtl/>
        </w:rPr>
        <w:t>בגדרם</w:t>
      </w:r>
      <w:r w:rsidRPr="00FA4968">
        <w:rPr>
          <w:rtl/>
        </w:rPr>
        <w:t xml:space="preserve"> </w:t>
      </w:r>
      <w:r w:rsidRPr="00FA4968">
        <w:rPr>
          <w:rFonts w:hint="eastAsia"/>
          <w:rtl/>
        </w:rPr>
        <w:t>של</w:t>
      </w:r>
      <w:r w:rsidRPr="00FA4968">
        <w:rPr>
          <w:rtl/>
        </w:rPr>
        <w:t xml:space="preserve"> </w:t>
      </w:r>
      <w:r w:rsidRPr="00FA4968">
        <w:rPr>
          <w:rFonts w:hint="eastAsia"/>
          <w:rtl/>
        </w:rPr>
        <w:t>דיני</w:t>
      </w:r>
      <w:r w:rsidRPr="00FA4968">
        <w:rPr>
          <w:rtl/>
        </w:rPr>
        <w:t xml:space="preserve"> </w:t>
      </w:r>
      <w:r w:rsidRPr="00FA4968">
        <w:rPr>
          <w:rFonts w:hint="eastAsia"/>
          <w:rtl/>
        </w:rPr>
        <w:t>הנזיקין</w:t>
      </w:r>
      <w:r w:rsidRPr="00FA4968">
        <w:rPr>
          <w:rtl/>
        </w:rPr>
        <w:t xml:space="preserve">, </w:t>
      </w:r>
      <w:r w:rsidRPr="00FA4968">
        <w:rPr>
          <w:rFonts w:hint="eastAsia"/>
          <w:rtl/>
        </w:rPr>
        <w:t>אשר</w:t>
      </w:r>
      <w:r w:rsidRPr="00FA4968">
        <w:rPr>
          <w:rtl/>
        </w:rPr>
        <w:t xml:space="preserve"> </w:t>
      </w:r>
      <w:r w:rsidRPr="00FA4968">
        <w:rPr>
          <w:rFonts w:hint="eastAsia"/>
          <w:rtl/>
        </w:rPr>
        <w:t>מאפשר</w:t>
      </w:r>
      <w:r w:rsidRPr="00FA4968">
        <w:rPr>
          <w:rtl/>
        </w:rPr>
        <w:t xml:space="preserve"> </w:t>
      </w:r>
      <w:r w:rsidRPr="00FA4968">
        <w:rPr>
          <w:rFonts w:hint="eastAsia"/>
          <w:rtl/>
        </w:rPr>
        <w:t>לתובע</w:t>
      </w:r>
      <w:r w:rsidRPr="00FA4968">
        <w:rPr>
          <w:rtl/>
        </w:rPr>
        <w:t xml:space="preserve"> </w:t>
      </w:r>
      <w:r w:rsidRPr="00FA4968">
        <w:rPr>
          <w:rFonts w:hint="eastAsia"/>
          <w:rtl/>
        </w:rPr>
        <w:t>לבסס</w:t>
      </w:r>
      <w:r w:rsidRPr="00FA4968">
        <w:rPr>
          <w:rtl/>
        </w:rPr>
        <w:t xml:space="preserve"> </w:t>
      </w:r>
      <w:r w:rsidRPr="00FA4968">
        <w:rPr>
          <w:rFonts w:hint="eastAsia"/>
          <w:rtl/>
        </w:rPr>
        <w:t>את</w:t>
      </w:r>
      <w:r w:rsidRPr="00FA4968">
        <w:rPr>
          <w:rtl/>
        </w:rPr>
        <w:t xml:space="preserve"> </w:t>
      </w:r>
      <w:r w:rsidRPr="00FA4968">
        <w:rPr>
          <w:rFonts w:hint="eastAsia"/>
          <w:rtl/>
        </w:rPr>
        <w:t>טענתו</w:t>
      </w:r>
      <w:r w:rsidRPr="00FA4968">
        <w:rPr>
          <w:rtl/>
        </w:rPr>
        <w:t xml:space="preserve"> </w:t>
      </w:r>
      <w:r w:rsidRPr="00FA4968">
        <w:rPr>
          <w:rFonts w:hint="eastAsia"/>
          <w:rtl/>
        </w:rPr>
        <w:t>בדבר</w:t>
      </w:r>
      <w:r w:rsidRPr="00FA4968">
        <w:rPr>
          <w:rtl/>
        </w:rPr>
        <w:t xml:space="preserve"> </w:t>
      </w:r>
      <w:r w:rsidRPr="00FA4968">
        <w:rPr>
          <w:rFonts w:hint="eastAsia"/>
          <w:rtl/>
        </w:rPr>
        <w:t>התרשלות</w:t>
      </w:r>
      <w:r w:rsidRPr="00FA4968">
        <w:rPr>
          <w:rtl/>
        </w:rPr>
        <w:t xml:space="preserve"> </w:t>
      </w:r>
      <w:r w:rsidRPr="00FA4968">
        <w:rPr>
          <w:rFonts w:hint="eastAsia"/>
          <w:rtl/>
        </w:rPr>
        <w:t>הנתבע</w:t>
      </w:r>
      <w:r w:rsidRPr="00FA4968">
        <w:rPr>
          <w:rtl/>
        </w:rPr>
        <w:t xml:space="preserve"> </w:t>
      </w:r>
      <w:r w:rsidRPr="00FA4968">
        <w:rPr>
          <w:rFonts w:hint="eastAsia"/>
          <w:rtl/>
        </w:rPr>
        <w:t>מבלי</w:t>
      </w:r>
      <w:r w:rsidRPr="00FA4968">
        <w:rPr>
          <w:rtl/>
        </w:rPr>
        <w:t xml:space="preserve"> </w:t>
      </w:r>
      <w:r w:rsidRPr="00FA4968">
        <w:rPr>
          <w:rFonts w:hint="eastAsia"/>
          <w:rtl/>
        </w:rPr>
        <w:t>להוכיח</w:t>
      </w:r>
      <w:r w:rsidRPr="00FA4968">
        <w:rPr>
          <w:rtl/>
        </w:rPr>
        <w:t xml:space="preserve"> </w:t>
      </w:r>
      <w:r w:rsidRPr="00FA4968">
        <w:rPr>
          <w:rFonts w:hint="eastAsia"/>
          <w:rtl/>
        </w:rPr>
        <w:t>את</w:t>
      </w:r>
      <w:r w:rsidRPr="00FA4968">
        <w:rPr>
          <w:rtl/>
        </w:rPr>
        <w:t xml:space="preserve"> </w:t>
      </w:r>
      <w:r w:rsidRPr="00FA4968">
        <w:rPr>
          <w:rFonts w:hint="eastAsia"/>
          <w:rtl/>
        </w:rPr>
        <w:t>פרטי</w:t>
      </w:r>
      <w:r w:rsidRPr="00FA4968">
        <w:rPr>
          <w:rtl/>
        </w:rPr>
        <w:t xml:space="preserve"> </w:t>
      </w:r>
      <w:r w:rsidRPr="00FA4968">
        <w:rPr>
          <w:rFonts w:hint="eastAsia"/>
          <w:rtl/>
        </w:rPr>
        <w:t>ההתרשלות</w:t>
      </w:r>
      <w:r w:rsidRPr="00FA4968">
        <w:rPr>
          <w:rtl/>
        </w:rPr>
        <w:t xml:space="preserve"> </w:t>
      </w:r>
      <w:r w:rsidRPr="00FA4968">
        <w:rPr>
          <w:rFonts w:hint="eastAsia"/>
          <w:rtl/>
        </w:rPr>
        <w:t>בנסיבות</w:t>
      </w:r>
      <w:r w:rsidRPr="00FA4968">
        <w:rPr>
          <w:rtl/>
        </w:rPr>
        <w:t xml:space="preserve"> </w:t>
      </w:r>
      <w:r w:rsidRPr="00FA4968">
        <w:rPr>
          <w:rFonts w:hint="eastAsia"/>
          <w:rtl/>
        </w:rPr>
        <w:t>מהן</w:t>
      </w:r>
      <w:r w:rsidRPr="00FA4968">
        <w:rPr>
          <w:rtl/>
        </w:rPr>
        <w:t xml:space="preserve"> </w:t>
      </w:r>
      <w:r w:rsidRPr="00FA4968">
        <w:rPr>
          <w:rFonts w:hint="eastAsia"/>
          <w:rtl/>
        </w:rPr>
        <w:t>עולה</w:t>
      </w:r>
      <w:r w:rsidRPr="00FA4968">
        <w:rPr>
          <w:rtl/>
        </w:rPr>
        <w:t xml:space="preserve"> – </w:t>
      </w:r>
      <w:r w:rsidRPr="00FA4968">
        <w:rPr>
          <w:rFonts w:hint="eastAsia"/>
          <w:rtl/>
        </w:rPr>
        <w:t>במאזן</w:t>
      </w:r>
      <w:r w:rsidRPr="00FA4968">
        <w:rPr>
          <w:rtl/>
        </w:rPr>
        <w:t xml:space="preserve"> </w:t>
      </w:r>
      <w:r w:rsidRPr="00FA4968">
        <w:rPr>
          <w:rFonts w:hint="eastAsia"/>
          <w:rtl/>
        </w:rPr>
        <w:t>ההסתברויות</w:t>
      </w:r>
      <w:r w:rsidRPr="00FA4968">
        <w:rPr>
          <w:rtl/>
        </w:rPr>
        <w:t xml:space="preserve"> – </w:t>
      </w:r>
      <w:r w:rsidRPr="00FA4968">
        <w:rPr>
          <w:rFonts w:hint="eastAsia"/>
          <w:rtl/>
        </w:rPr>
        <w:t>כי</w:t>
      </w:r>
      <w:r w:rsidRPr="00FA4968">
        <w:rPr>
          <w:rtl/>
        </w:rPr>
        <w:t xml:space="preserve"> </w:t>
      </w:r>
      <w:r w:rsidRPr="00FA4968">
        <w:rPr>
          <w:rFonts w:hint="eastAsia"/>
          <w:rtl/>
        </w:rPr>
        <w:t>הנתבע</w:t>
      </w:r>
      <w:r w:rsidRPr="00FA4968">
        <w:rPr>
          <w:rtl/>
        </w:rPr>
        <w:t xml:space="preserve"> </w:t>
      </w:r>
      <w:r w:rsidRPr="00FA4968">
        <w:rPr>
          <w:rFonts w:hint="eastAsia"/>
          <w:rtl/>
        </w:rPr>
        <w:t>התרשל</w:t>
      </w:r>
      <w:r w:rsidRPr="00FA4968">
        <w:rPr>
          <w:rtl/>
        </w:rPr>
        <w:t xml:space="preserve"> </w:t>
      </w:r>
      <w:r w:rsidRPr="00FA4968">
        <w:rPr>
          <w:rFonts w:hint="eastAsia"/>
          <w:rtl/>
        </w:rPr>
        <w:t>בדרך</w:t>
      </w:r>
      <w:r w:rsidRPr="00FA4968">
        <w:rPr>
          <w:rtl/>
        </w:rPr>
        <w:t xml:space="preserve"> </w:t>
      </w:r>
      <w:r w:rsidRPr="00FA4968">
        <w:rPr>
          <w:rFonts w:hint="eastAsia"/>
          <w:rtl/>
        </w:rPr>
        <w:t>כלשהי</w:t>
      </w:r>
      <w:r>
        <w:rPr>
          <w:rFonts w:hint="cs"/>
          <w:rtl/>
        </w:rPr>
        <w:t xml:space="preserve">, שאינה ידועה, </w:t>
      </w:r>
      <w:r w:rsidRPr="00FA4968">
        <w:rPr>
          <w:rFonts w:hint="eastAsia"/>
          <w:rtl/>
        </w:rPr>
        <w:t>ועל</w:t>
      </w:r>
      <w:r w:rsidRPr="00FA4968">
        <w:rPr>
          <w:rtl/>
        </w:rPr>
        <w:t xml:space="preserve"> </w:t>
      </w:r>
      <w:r w:rsidRPr="00FA4968">
        <w:rPr>
          <w:rFonts w:hint="eastAsia"/>
          <w:rtl/>
        </w:rPr>
        <w:t>ידי</w:t>
      </w:r>
      <w:r w:rsidRPr="00FA4968">
        <w:rPr>
          <w:rtl/>
        </w:rPr>
        <w:t xml:space="preserve"> </w:t>
      </w:r>
      <w:r w:rsidRPr="00FA4968">
        <w:rPr>
          <w:rFonts w:hint="eastAsia"/>
          <w:rtl/>
        </w:rPr>
        <w:t>כך</w:t>
      </w:r>
      <w:r w:rsidRPr="00FA4968">
        <w:rPr>
          <w:rtl/>
        </w:rPr>
        <w:t xml:space="preserve"> </w:t>
      </w:r>
      <w:r w:rsidRPr="00FA4968">
        <w:rPr>
          <w:rFonts w:hint="eastAsia"/>
          <w:rtl/>
        </w:rPr>
        <w:t>גרם</w:t>
      </w:r>
      <w:r w:rsidRPr="00FA4968">
        <w:rPr>
          <w:rtl/>
        </w:rPr>
        <w:t xml:space="preserve"> </w:t>
      </w:r>
      <w:r w:rsidRPr="00FA4968">
        <w:rPr>
          <w:rFonts w:hint="eastAsia"/>
          <w:rtl/>
        </w:rPr>
        <w:t>נזק</w:t>
      </w:r>
      <w:r w:rsidRPr="00FA4968">
        <w:rPr>
          <w:rtl/>
        </w:rPr>
        <w:t xml:space="preserve"> </w:t>
      </w:r>
      <w:r w:rsidRPr="00FA4968">
        <w:rPr>
          <w:rFonts w:hint="eastAsia"/>
          <w:rtl/>
        </w:rPr>
        <w:t>לתובע</w:t>
      </w:r>
      <w:r w:rsidRPr="00FA4968">
        <w:rPr>
          <w:rtl/>
        </w:rPr>
        <w:t xml:space="preserve"> (</w:t>
      </w:r>
      <w:r w:rsidRPr="00FA4968">
        <w:rPr>
          <w:rFonts w:hint="eastAsia"/>
          <w:rtl/>
        </w:rPr>
        <w:t>ראו</w:t>
      </w:r>
      <w:r w:rsidRPr="00FA4968">
        <w:rPr>
          <w:rtl/>
        </w:rPr>
        <w:t xml:space="preserve">: </w:t>
      </w:r>
      <w:r w:rsidRPr="00FA4968">
        <w:rPr>
          <w:rFonts w:hint="eastAsia"/>
          <w:rtl/>
        </w:rPr>
        <w:t>עע</w:t>
      </w:r>
      <w:r w:rsidRPr="00FA4968">
        <w:rPr>
          <w:rtl/>
        </w:rPr>
        <w:t>"</w:t>
      </w:r>
      <w:r w:rsidRPr="00FA4968">
        <w:rPr>
          <w:rFonts w:hint="eastAsia"/>
          <w:rtl/>
        </w:rPr>
        <w:t>מ</w:t>
      </w:r>
      <w:r w:rsidRPr="00FA4968">
        <w:rPr>
          <w:rtl/>
        </w:rPr>
        <w:t xml:space="preserve"> 1798/20 </w:t>
      </w:r>
      <w:r w:rsidRPr="00A70123">
        <w:rPr>
          <w:rFonts w:ascii="Century" w:hAnsi="Century" w:cs="Miriam" w:hint="eastAsia"/>
          <w:b/>
          <w:spacing w:val="0"/>
          <w:sz w:val="22"/>
          <w:szCs w:val="24"/>
          <w:rtl/>
        </w:rPr>
        <w:t>עמותת</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פורום</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המזרח</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התיכון</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ישראל</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נ</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עיריית</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תל</w:t>
      </w:r>
      <w:r w:rsidRPr="00A70123">
        <w:rPr>
          <w:rFonts w:ascii="Century" w:hAnsi="Century" w:cs="Miriam"/>
          <w:b/>
          <w:spacing w:val="0"/>
          <w:sz w:val="22"/>
          <w:szCs w:val="24"/>
          <w:rtl/>
        </w:rPr>
        <w:t xml:space="preserve"> </w:t>
      </w:r>
      <w:r w:rsidRPr="00A70123">
        <w:rPr>
          <w:rFonts w:ascii="Century" w:hAnsi="Century" w:cs="Miriam" w:hint="eastAsia"/>
          <w:b/>
          <w:spacing w:val="0"/>
          <w:sz w:val="22"/>
          <w:szCs w:val="24"/>
          <w:rtl/>
        </w:rPr>
        <w:t>אביב</w:t>
      </w:r>
      <w:r w:rsidRPr="00A70123">
        <w:rPr>
          <w:rFonts w:ascii="Century" w:hAnsi="Century" w:cs="Miriam"/>
          <w:b/>
          <w:spacing w:val="0"/>
          <w:sz w:val="22"/>
          <w:szCs w:val="24"/>
          <w:rtl/>
        </w:rPr>
        <w:t>-</w:t>
      </w:r>
      <w:r w:rsidRPr="00A70123">
        <w:rPr>
          <w:rFonts w:ascii="Century" w:hAnsi="Century" w:cs="Miriam" w:hint="eastAsia"/>
          <w:b/>
          <w:spacing w:val="0"/>
          <w:sz w:val="22"/>
          <w:szCs w:val="24"/>
          <w:rtl/>
        </w:rPr>
        <w:t>יפו</w:t>
      </w:r>
      <w:r>
        <w:rPr>
          <w:rFonts w:hint="cs"/>
          <w:rtl/>
        </w:rPr>
        <w:t xml:space="preserve">, </w:t>
      </w:r>
      <w:r w:rsidRPr="00FA4968">
        <w:rPr>
          <w:rFonts w:hint="eastAsia"/>
          <w:rtl/>
        </w:rPr>
        <w:t>פסקה</w:t>
      </w:r>
      <w:r w:rsidRPr="00FA4968">
        <w:rPr>
          <w:rtl/>
        </w:rPr>
        <w:t xml:space="preserve"> 2 </w:t>
      </w:r>
      <w:r w:rsidRPr="00FA4968">
        <w:rPr>
          <w:rFonts w:hint="eastAsia"/>
          <w:rtl/>
        </w:rPr>
        <w:t>ל</w:t>
      </w:r>
      <w:r>
        <w:rPr>
          <w:rFonts w:hint="cs"/>
          <w:rtl/>
        </w:rPr>
        <w:t>פסק דיני</w:t>
      </w:r>
      <w:r w:rsidRPr="00FA4968">
        <w:rPr>
          <w:rtl/>
        </w:rPr>
        <w:t xml:space="preserve"> (7.1.2021)</w:t>
      </w:r>
      <w:r>
        <w:rPr>
          <w:rFonts w:hint="cs"/>
          <w:rtl/>
        </w:rPr>
        <w:t xml:space="preserve"> (להלן: עניין </w:t>
      </w:r>
      <w:r w:rsidRPr="00C96CAF">
        <w:rPr>
          <w:rFonts w:ascii="Century" w:hAnsi="Century" w:cs="Miriam" w:hint="cs"/>
          <w:b/>
          <w:spacing w:val="0"/>
          <w:sz w:val="22"/>
          <w:szCs w:val="24"/>
          <w:rtl/>
        </w:rPr>
        <w:t>פורום המזרח התיכון</w:t>
      </w:r>
      <w:r>
        <w:rPr>
          <w:rFonts w:hint="cs"/>
          <w:rtl/>
        </w:rPr>
        <w:t xml:space="preserve">); וכן </w:t>
      </w:r>
      <w:r>
        <w:rPr>
          <w:rFonts w:hint="eastAsia"/>
          <w:rtl/>
        </w:rPr>
        <w:t>דנ</w:t>
      </w:r>
      <w:r>
        <w:rPr>
          <w:rtl/>
        </w:rPr>
        <w:t>"</w:t>
      </w:r>
      <w:r>
        <w:rPr>
          <w:rFonts w:hint="eastAsia"/>
          <w:rtl/>
        </w:rPr>
        <w:t>פ</w:t>
      </w:r>
      <w:r>
        <w:rPr>
          <w:rtl/>
        </w:rPr>
        <w:t xml:space="preserve"> 5387/20</w:t>
      </w:r>
      <w:r>
        <w:rPr>
          <w:rFonts w:hint="cs"/>
          <w:rtl/>
        </w:rPr>
        <w:t xml:space="preserve"> </w:t>
      </w:r>
      <w:r w:rsidRPr="00A70123">
        <w:rPr>
          <w:rFonts w:ascii="Century" w:hAnsi="Century" w:cs="Miriam" w:hint="cs"/>
          <w:b/>
          <w:spacing w:val="0"/>
          <w:sz w:val="22"/>
          <w:szCs w:val="24"/>
          <w:rtl/>
        </w:rPr>
        <w:t>רותם נ' מדינת ישראל</w:t>
      </w:r>
      <w:r>
        <w:rPr>
          <w:rFonts w:hint="cs"/>
          <w:rtl/>
        </w:rPr>
        <w:t xml:space="preserve">, פסקאות 7-1 לפסק דיני </w:t>
      </w:r>
      <w:r>
        <w:rPr>
          <w:rtl/>
        </w:rPr>
        <w:t>(‏15.12.2021)</w:t>
      </w:r>
      <w:r>
        <w:rPr>
          <w:rFonts w:hint="cs"/>
          <w:rtl/>
        </w:rPr>
        <w:t xml:space="preserve">). בדומה לכך, </w:t>
      </w:r>
      <w:r w:rsidRPr="00C96CAF">
        <w:rPr>
          <w:rFonts w:hint="eastAsia"/>
          <w:rtl/>
        </w:rPr>
        <w:t>דוקטרינת</w:t>
      </w:r>
      <w:r w:rsidRPr="00C96CAF">
        <w:rPr>
          <w:rtl/>
        </w:rPr>
        <w:t xml:space="preserve"> </w:t>
      </w:r>
      <w:r w:rsidRPr="00C96CAF">
        <w:rPr>
          <w:rFonts w:hint="eastAsia"/>
          <w:rtl/>
        </w:rPr>
        <w:t>הסבירות</w:t>
      </w:r>
      <w:r w:rsidRPr="00C96CAF">
        <w:rPr>
          <w:rtl/>
        </w:rPr>
        <w:t xml:space="preserve"> </w:t>
      </w:r>
      <w:r w:rsidRPr="00C96CAF">
        <w:rPr>
          <w:rFonts w:hint="eastAsia"/>
          <w:rtl/>
        </w:rPr>
        <w:t>קובעת</w:t>
      </w:r>
      <w:r w:rsidRPr="00C96CAF">
        <w:rPr>
          <w:rtl/>
        </w:rPr>
        <w:t xml:space="preserve"> </w:t>
      </w:r>
      <w:r w:rsidRPr="00C96CAF">
        <w:rPr>
          <w:rFonts w:hint="eastAsia"/>
          <w:rtl/>
        </w:rPr>
        <w:t>כי</w:t>
      </w:r>
      <w:r w:rsidRPr="00C96CAF">
        <w:rPr>
          <w:rtl/>
        </w:rPr>
        <w:t xml:space="preserve"> </w:t>
      </w:r>
      <w:r w:rsidRPr="00C96CAF">
        <w:rPr>
          <w:rFonts w:hint="eastAsia"/>
          <w:rtl/>
        </w:rPr>
        <w:t>החלטה</w:t>
      </w:r>
      <w:r w:rsidRPr="00C96CAF">
        <w:rPr>
          <w:rtl/>
        </w:rPr>
        <w:t xml:space="preserve"> </w:t>
      </w:r>
      <w:r w:rsidRPr="00C96CAF">
        <w:rPr>
          <w:rFonts w:hint="eastAsia"/>
          <w:rtl/>
        </w:rPr>
        <w:t>מינהלית</w:t>
      </w:r>
      <w:r w:rsidRPr="00C96CAF">
        <w:rPr>
          <w:rtl/>
        </w:rPr>
        <w:t xml:space="preserve"> </w:t>
      </w:r>
      <w:r w:rsidRPr="00C96CAF">
        <w:rPr>
          <w:rFonts w:hint="eastAsia"/>
          <w:rtl/>
        </w:rPr>
        <w:t>אשר</w:t>
      </w:r>
      <w:r w:rsidRPr="00C96CAF">
        <w:rPr>
          <w:rtl/>
        </w:rPr>
        <w:t xml:space="preserve"> </w:t>
      </w:r>
      <w:r w:rsidRPr="00C96CAF">
        <w:rPr>
          <w:rFonts w:hint="eastAsia"/>
          <w:rtl/>
        </w:rPr>
        <w:t>נראית</w:t>
      </w:r>
      <w:r>
        <w:rPr>
          <w:rFonts w:hint="cs"/>
          <w:rtl/>
        </w:rPr>
        <w:t>, על פניה,</w:t>
      </w:r>
      <w:r w:rsidRPr="00C96CAF">
        <w:rPr>
          <w:rtl/>
        </w:rPr>
        <w:t xml:space="preserve"> </w:t>
      </w:r>
      <w:r w:rsidRPr="00C96CAF">
        <w:rPr>
          <w:rFonts w:hint="eastAsia"/>
          <w:rtl/>
        </w:rPr>
        <w:t>בלתי</w:t>
      </w:r>
      <w:r w:rsidRPr="00C96CAF">
        <w:rPr>
          <w:rtl/>
        </w:rPr>
        <w:t xml:space="preserve"> </w:t>
      </w:r>
      <w:r w:rsidRPr="00C96CAF">
        <w:rPr>
          <w:rFonts w:hint="eastAsia"/>
          <w:rtl/>
        </w:rPr>
        <w:t>סבירה</w:t>
      </w:r>
      <w:r w:rsidRPr="00C96CAF">
        <w:rPr>
          <w:rtl/>
        </w:rPr>
        <w:t xml:space="preserve"> </w:t>
      </w:r>
      <w:r w:rsidRPr="00C96CAF">
        <w:rPr>
          <w:rFonts w:hint="eastAsia"/>
          <w:rtl/>
        </w:rPr>
        <w:t>במידה</w:t>
      </w:r>
      <w:r w:rsidRPr="00C96CAF">
        <w:rPr>
          <w:rtl/>
        </w:rPr>
        <w:t xml:space="preserve"> </w:t>
      </w:r>
      <w:r w:rsidRPr="00C96CAF">
        <w:rPr>
          <w:rFonts w:hint="eastAsia"/>
          <w:rtl/>
        </w:rPr>
        <w:t>קיצונית</w:t>
      </w:r>
      <w:r w:rsidRPr="00C96CAF">
        <w:rPr>
          <w:rtl/>
        </w:rPr>
        <w:t xml:space="preserve"> </w:t>
      </w:r>
      <w:r>
        <w:rPr>
          <w:rFonts w:hint="cs"/>
          <w:rtl/>
        </w:rPr>
        <w:t>"</w:t>
      </w:r>
      <w:r w:rsidRPr="00C96CAF">
        <w:rPr>
          <w:rFonts w:hint="eastAsia"/>
          <w:rtl/>
        </w:rPr>
        <w:t>היא</w:t>
      </w:r>
      <w:r w:rsidRPr="00C96CAF">
        <w:rPr>
          <w:rtl/>
        </w:rPr>
        <w:t xml:space="preserve"> </w:t>
      </w:r>
      <w:r w:rsidRPr="00C96CAF">
        <w:rPr>
          <w:rFonts w:hint="eastAsia"/>
          <w:rtl/>
        </w:rPr>
        <w:t>החלטה</w:t>
      </w:r>
      <w:r w:rsidRPr="00C96CAF">
        <w:rPr>
          <w:rtl/>
        </w:rPr>
        <w:t xml:space="preserve"> </w:t>
      </w:r>
      <w:r w:rsidRPr="00C96CAF">
        <w:rPr>
          <w:rFonts w:hint="eastAsia"/>
          <w:rtl/>
        </w:rPr>
        <w:t>שלבטח</w:t>
      </w:r>
      <w:r w:rsidRPr="00C96CAF">
        <w:rPr>
          <w:rtl/>
        </w:rPr>
        <w:t xml:space="preserve"> </w:t>
      </w:r>
      <w:r w:rsidRPr="00C96CAF">
        <w:rPr>
          <w:rFonts w:hint="eastAsia"/>
          <w:rtl/>
        </w:rPr>
        <w:t>לוקה</w:t>
      </w:r>
      <w:r w:rsidRPr="00C96CAF">
        <w:rPr>
          <w:rtl/>
        </w:rPr>
        <w:t xml:space="preserve"> </w:t>
      </w:r>
      <w:r w:rsidRPr="00C96CAF">
        <w:rPr>
          <w:rFonts w:hint="eastAsia"/>
          <w:rtl/>
        </w:rPr>
        <w:t>באחד</w:t>
      </w:r>
      <w:r w:rsidRPr="00C96CAF">
        <w:rPr>
          <w:rtl/>
        </w:rPr>
        <w:t xml:space="preserve"> </w:t>
      </w:r>
      <w:r w:rsidRPr="00C96CAF">
        <w:rPr>
          <w:rFonts w:hint="eastAsia"/>
          <w:rtl/>
        </w:rPr>
        <w:t>הפגמים</w:t>
      </w:r>
      <w:r w:rsidRPr="00C96CAF">
        <w:rPr>
          <w:rtl/>
        </w:rPr>
        <w:t xml:space="preserve"> </w:t>
      </w:r>
      <w:r w:rsidRPr="00C96CAF">
        <w:rPr>
          <w:rFonts w:hint="eastAsia"/>
          <w:rtl/>
        </w:rPr>
        <w:t>היסודיים</w:t>
      </w:r>
      <w:r w:rsidRPr="00C96CAF">
        <w:rPr>
          <w:rtl/>
        </w:rPr>
        <w:t xml:space="preserve"> </w:t>
      </w:r>
      <w:r w:rsidRPr="00C96CAF">
        <w:rPr>
          <w:rFonts w:hint="eastAsia"/>
          <w:rtl/>
        </w:rPr>
        <w:t>כדוגמת</w:t>
      </w:r>
      <w:r w:rsidRPr="00C96CAF">
        <w:rPr>
          <w:rtl/>
        </w:rPr>
        <w:t xml:space="preserve"> </w:t>
      </w:r>
      <w:r w:rsidRPr="00C96CAF">
        <w:rPr>
          <w:rFonts w:hint="eastAsia"/>
          <w:rtl/>
        </w:rPr>
        <w:t>שרירות</w:t>
      </w:r>
      <w:r w:rsidRPr="00C96CAF">
        <w:rPr>
          <w:rtl/>
        </w:rPr>
        <w:t xml:space="preserve">, </w:t>
      </w:r>
      <w:r w:rsidRPr="00C96CAF">
        <w:rPr>
          <w:rFonts w:hint="eastAsia"/>
          <w:rtl/>
        </w:rPr>
        <w:t>שיקולים</w:t>
      </w:r>
      <w:r w:rsidRPr="00C96CAF">
        <w:rPr>
          <w:rtl/>
        </w:rPr>
        <w:t xml:space="preserve"> </w:t>
      </w:r>
      <w:r w:rsidRPr="00C96CAF">
        <w:rPr>
          <w:rFonts w:hint="eastAsia"/>
          <w:rtl/>
        </w:rPr>
        <w:t>זרים</w:t>
      </w:r>
      <w:r w:rsidRPr="00C96CAF">
        <w:rPr>
          <w:rtl/>
        </w:rPr>
        <w:t xml:space="preserve"> </w:t>
      </w:r>
      <w:r w:rsidRPr="00C96CAF">
        <w:rPr>
          <w:rFonts w:hint="eastAsia"/>
          <w:rtl/>
        </w:rPr>
        <w:t>והפליה</w:t>
      </w:r>
      <w:r w:rsidRPr="00C96CAF">
        <w:rPr>
          <w:rtl/>
        </w:rPr>
        <w:t xml:space="preserve">, </w:t>
      </w:r>
      <w:r w:rsidRPr="00C96CAF">
        <w:rPr>
          <w:rFonts w:hint="eastAsia"/>
          <w:rtl/>
        </w:rPr>
        <w:t>וזאת</w:t>
      </w:r>
      <w:r w:rsidRPr="00C96CAF">
        <w:rPr>
          <w:rtl/>
        </w:rPr>
        <w:t xml:space="preserve"> </w:t>
      </w:r>
      <w:r w:rsidRPr="00C96CAF">
        <w:rPr>
          <w:rFonts w:hint="eastAsia"/>
          <w:rtl/>
        </w:rPr>
        <w:t>על</w:t>
      </w:r>
      <w:r w:rsidRPr="00C96CAF">
        <w:rPr>
          <w:rtl/>
        </w:rPr>
        <w:t xml:space="preserve"> </w:t>
      </w:r>
      <w:r w:rsidRPr="00C96CAF">
        <w:rPr>
          <w:rFonts w:hint="eastAsia"/>
          <w:rtl/>
        </w:rPr>
        <w:t>אף</w:t>
      </w:r>
      <w:r w:rsidRPr="00C96CAF">
        <w:rPr>
          <w:rtl/>
        </w:rPr>
        <w:t xml:space="preserve"> </w:t>
      </w:r>
      <w:r w:rsidRPr="00C96CAF">
        <w:rPr>
          <w:rFonts w:hint="eastAsia"/>
          <w:rtl/>
        </w:rPr>
        <w:t>שקיומו</w:t>
      </w:r>
      <w:r w:rsidRPr="00C96CAF">
        <w:rPr>
          <w:rtl/>
        </w:rPr>
        <w:t xml:space="preserve"> </w:t>
      </w:r>
      <w:r w:rsidRPr="00C96CAF">
        <w:rPr>
          <w:rFonts w:hint="eastAsia"/>
          <w:rtl/>
        </w:rPr>
        <w:t>של</w:t>
      </w:r>
      <w:r w:rsidRPr="00C96CAF">
        <w:rPr>
          <w:rtl/>
        </w:rPr>
        <w:t xml:space="preserve"> </w:t>
      </w:r>
      <w:r w:rsidRPr="00C96CAF">
        <w:rPr>
          <w:rFonts w:hint="eastAsia"/>
          <w:rtl/>
        </w:rPr>
        <w:t>פגם</w:t>
      </w:r>
      <w:r w:rsidRPr="00C96CAF">
        <w:rPr>
          <w:rtl/>
        </w:rPr>
        <w:t xml:space="preserve"> </w:t>
      </w:r>
      <w:r w:rsidRPr="00C96CAF">
        <w:rPr>
          <w:rFonts w:hint="eastAsia"/>
          <w:rtl/>
        </w:rPr>
        <w:t>כגון</w:t>
      </w:r>
      <w:r w:rsidRPr="00C96CAF">
        <w:rPr>
          <w:rtl/>
        </w:rPr>
        <w:t xml:space="preserve"> </w:t>
      </w:r>
      <w:r w:rsidRPr="00C96CAF">
        <w:rPr>
          <w:rFonts w:hint="eastAsia"/>
          <w:rtl/>
        </w:rPr>
        <w:t>דא</w:t>
      </w:r>
      <w:r w:rsidRPr="00C96CAF">
        <w:rPr>
          <w:rtl/>
        </w:rPr>
        <w:t xml:space="preserve"> </w:t>
      </w:r>
      <w:r w:rsidRPr="00C96CAF">
        <w:rPr>
          <w:rFonts w:hint="eastAsia"/>
          <w:rtl/>
        </w:rPr>
        <w:t>איננו</w:t>
      </w:r>
      <w:r w:rsidRPr="00C96CAF">
        <w:rPr>
          <w:rtl/>
        </w:rPr>
        <w:t xml:space="preserve"> </w:t>
      </w:r>
      <w:r w:rsidRPr="00C96CAF">
        <w:rPr>
          <w:rFonts w:hint="eastAsia"/>
          <w:rtl/>
        </w:rPr>
        <w:t>גלוי</w:t>
      </w:r>
      <w:r w:rsidRPr="00C96CAF">
        <w:rPr>
          <w:rtl/>
        </w:rPr>
        <w:t xml:space="preserve"> </w:t>
      </w:r>
      <w:r w:rsidRPr="00C96CAF">
        <w:rPr>
          <w:rFonts w:hint="eastAsia"/>
          <w:rtl/>
        </w:rPr>
        <w:t>לעין</w:t>
      </w:r>
      <w:r>
        <w:rPr>
          <w:rFonts w:hint="cs"/>
          <w:rtl/>
        </w:rPr>
        <w:t xml:space="preserve">" (ראו: עניין </w:t>
      </w:r>
      <w:r w:rsidRPr="00C96CAF">
        <w:rPr>
          <w:rFonts w:ascii="Century" w:hAnsi="Century" w:cs="Miriam" w:hint="cs"/>
          <w:b/>
          <w:spacing w:val="0"/>
          <w:sz w:val="22"/>
          <w:szCs w:val="24"/>
          <w:rtl/>
        </w:rPr>
        <w:t>פורום המזרח התיכון</w:t>
      </w:r>
      <w:r w:rsidRPr="00C96CAF">
        <w:rPr>
          <w:rtl/>
        </w:rPr>
        <w:t>,</w:t>
      </w:r>
      <w:r>
        <w:rPr>
          <w:rFonts w:hint="cs"/>
          <w:rtl/>
        </w:rPr>
        <w:t xml:space="preserve"> בפסקה 2 לפסק דיני; וכן </w:t>
      </w:r>
      <w:r w:rsidRPr="001075FE">
        <w:rPr>
          <w:rFonts w:hint="eastAsia"/>
          <w:rtl/>
        </w:rPr>
        <w:t>בג</w:t>
      </w:r>
      <w:r>
        <w:rPr>
          <w:rFonts w:hint="cs"/>
          <w:rtl/>
        </w:rPr>
        <w:t>"</w:t>
      </w:r>
      <w:r w:rsidRPr="001075FE">
        <w:rPr>
          <w:rFonts w:hint="eastAsia"/>
          <w:rtl/>
        </w:rPr>
        <w:t>ץ</w:t>
      </w:r>
      <w:r>
        <w:rPr>
          <w:rtl/>
        </w:rPr>
        <w:t xml:space="preserve"> 8173/21</w:t>
      </w:r>
      <w:r>
        <w:rPr>
          <w:rFonts w:hint="cs"/>
          <w:rtl/>
        </w:rPr>
        <w:t xml:space="preserve"> </w:t>
      </w:r>
      <w:r w:rsidRPr="001075FE">
        <w:rPr>
          <w:rFonts w:ascii="Century" w:hAnsi="Century" w:cs="Miriam" w:hint="eastAsia"/>
          <w:b/>
          <w:spacing w:val="0"/>
          <w:sz w:val="22"/>
          <w:szCs w:val="24"/>
          <w:rtl/>
        </w:rPr>
        <w:t>התנועה</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למען</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איכות</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השלטון</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בישראל</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נ</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ממשלת</w:t>
      </w:r>
      <w:r w:rsidRPr="001075FE">
        <w:rPr>
          <w:rFonts w:ascii="Century" w:hAnsi="Century" w:cs="Miriam"/>
          <w:b/>
          <w:spacing w:val="0"/>
          <w:sz w:val="22"/>
          <w:szCs w:val="24"/>
          <w:rtl/>
        </w:rPr>
        <w:t xml:space="preserve"> </w:t>
      </w:r>
      <w:r w:rsidRPr="001075FE">
        <w:rPr>
          <w:rFonts w:ascii="Century" w:hAnsi="Century" w:cs="Miriam" w:hint="eastAsia"/>
          <w:b/>
          <w:spacing w:val="0"/>
          <w:sz w:val="22"/>
          <w:szCs w:val="24"/>
          <w:rtl/>
        </w:rPr>
        <w:t>ישראל</w:t>
      </w:r>
      <w:r>
        <w:rPr>
          <w:rFonts w:hint="cs"/>
          <w:rtl/>
        </w:rPr>
        <w:t>, פסקאות 45-44 לפסק דיני (</w:t>
      </w:r>
      <w:r>
        <w:rPr>
          <w:rtl/>
        </w:rPr>
        <w:t>‏22.5.2022)</w:t>
      </w:r>
      <w:r>
        <w:rPr>
          <w:rFonts w:hint="cs"/>
          <w:rtl/>
        </w:rPr>
        <w:t xml:space="preserve"> (להלן: עניין </w:t>
      </w:r>
      <w:r w:rsidRPr="001075FE">
        <w:rPr>
          <w:rFonts w:ascii="Century" w:hAnsi="Century" w:cs="Miriam" w:hint="cs"/>
          <w:b/>
          <w:spacing w:val="0"/>
          <w:sz w:val="22"/>
          <w:szCs w:val="24"/>
          <w:rtl/>
        </w:rPr>
        <w:t>פרץ</w:t>
      </w:r>
      <w:r>
        <w:rPr>
          <w:rFonts w:hint="cs"/>
          <w:rtl/>
        </w:rPr>
        <w:t>)). בפועלה במתכונת שיורית זו, דוקטרינת הסבירות מביאה תועלת חברתית מרובה: היא מספקת לבתי המשפט כלי יעיל והכרחי לביקורת שיפוטית תחת חוסר ודאות ואינה מאפשרת לרשויות השלטון להסתיר את קלקלתן על ידי ניצול של עמימות המסד העובדתי. טוב אפוא נעשה אם נשמרה במתכונת זו. במקרה שלפנינו, סבורני כי היזקקות לדוקטרינת הסבירות אינה נדרשת.</w:t>
      </w:r>
    </w:p>
    <w:p w14:paraId="503D52CD" w14:textId="77777777" w:rsidR="00C36C78" w:rsidRDefault="00C36C78" w:rsidP="00C36C78">
      <w:pPr>
        <w:pStyle w:val="Ruller4"/>
        <w:numPr>
          <w:ilvl w:val="0"/>
          <w:numId w:val="0"/>
        </w:numPr>
      </w:pPr>
    </w:p>
    <w:p w14:paraId="5B9E5438" w14:textId="77777777" w:rsidR="00C36C78" w:rsidRDefault="00C36C78" w:rsidP="00C36C78">
      <w:pPr>
        <w:pStyle w:val="Ruller4"/>
      </w:pPr>
      <w:r>
        <w:rPr>
          <w:rFonts w:hint="cs"/>
          <w:rtl/>
        </w:rPr>
        <w:t xml:space="preserve">בהקשרה של דוקטרינה זו, אציין כי קשה להלום את עמדתה של היועצת המשפטית לממשלה (להלן: </w:t>
      </w:r>
      <w:r w:rsidRPr="0066015A">
        <w:rPr>
          <w:rFonts w:ascii="Century" w:hAnsi="Century" w:cs="Miriam" w:hint="cs"/>
          <w:b/>
          <w:spacing w:val="0"/>
          <w:sz w:val="22"/>
          <w:szCs w:val="24"/>
          <w:rtl/>
        </w:rPr>
        <w:t>היועמ"ש</w:t>
      </w:r>
      <w:r>
        <w:rPr>
          <w:rFonts w:hint="cs"/>
          <w:rtl/>
        </w:rPr>
        <w:t xml:space="preserve">) אשר דוגלת בתקפותו של סעיף 6(ג)(1) החדש לחוק יסוד: הממשלה, אינה טוענת לקיומו של השתק שיפוטי כמונע את מינויו של דרעי לשר, ויחד עם כך מצדדת בבטלות המינוי בשל היותו בלתי סביר באופן קיצוני. לטענת היועמ"ש, צֶבֶר העבירות שנרשמו לחובתו של דרעי, </w:t>
      </w:r>
      <w:r w:rsidRPr="0066015A">
        <w:rPr>
          <w:rFonts w:ascii="Century" w:hAnsi="Century" w:cs="Miriam" w:hint="cs"/>
          <w:b/>
          <w:spacing w:val="0"/>
          <w:sz w:val="22"/>
          <w:szCs w:val="24"/>
          <w:rtl/>
        </w:rPr>
        <w:t>הוא עצמו</w:t>
      </w:r>
      <w:r>
        <w:rPr>
          <w:rFonts w:hint="cs"/>
          <w:rtl/>
        </w:rPr>
        <w:t xml:space="preserve"> הופך את מינויו להחלטה שלוקה בחוסר סבירות קיצוני אשר יורד לשורש העניין </w:t>
      </w:r>
      <w:r>
        <w:rPr>
          <w:rtl/>
        </w:rPr>
        <w:t>–</w:t>
      </w:r>
      <w:r>
        <w:rPr>
          <w:rFonts w:hint="cs"/>
          <w:rtl/>
        </w:rPr>
        <w:t xml:space="preserve"> וזאת, אני מתקשה לקבל. חלק מעבירותיו של דרעי </w:t>
      </w:r>
      <w:r>
        <w:rPr>
          <w:rtl/>
        </w:rPr>
        <w:t>–</w:t>
      </w:r>
      <w:r>
        <w:rPr>
          <w:rFonts w:hint="cs"/>
          <w:rtl/>
        </w:rPr>
        <w:t xml:space="preserve"> שוחד והפרת אמונים </w:t>
      </w:r>
      <w:r>
        <w:rPr>
          <w:rtl/>
        </w:rPr>
        <w:t>–</w:t>
      </w:r>
      <w:r>
        <w:rPr>
          <w:rFonts w:hint="cs"/>
          <w:rtl/>
        </w:rPr>
        <w:t xml:space="preserve"> הן עבירות חמורות, אך ישנות מאד; ועל כן, גם אם נתעלם ממעמדן של עבירות אלה לפי </w:t>
      </w:r>
      <w:r w:rsidRPr="000960C6">
        <w:rPr>
          <w:rFonts w:hint="eastAsia"/>
          <w:rtl/>
        </w:rPr>
        <w:t>חוק</w:t>
      </w:r>
      <w:r w:rsidRPr="000960C6">
        <w:rPr>
          <w:rtl/>
        </w:rPr>
        <w:t xml:space="preserve"> </w:t>
      </w:r>
      <w:r w:rsidRPr="000960C6">
        <w:rPr>
          <w:rFonts w:hint="eastAsia"/>
          <w:rtl/>
        </w:rPr>
        <w:t>המידע</w:t>
      </w:r>
      <w:r w:rsidRPr="000960C6">
        <w:rPr>
          <w:rtl/>
        </w:rPr>
        <w:t xml:space="preserve"> </w:t>
      </w:r>
      <w:r w:rsidRPr="000960C6">
        <w:rPr>
          <w:rFonts w:hint="eastAsia"/>
          <w:rtl/>
        </w:rPr>
        <w:t>הפלילי</w:t>
      </w:r>
      <w:r w:rsidRPr="000960C6">
        <w:rPr>
          <w:rtl/>
        </w:rPr>
        <w:t xml:space="preserve"> </w:t>
      </w:r>
      <w:r w:rsidRPr="000960C6">
        <w:rPr>
          <w:rFonts w:hint="eastAsia"/>
          <w:rtl/>
        </w:rPr>
        <w:t>ותקנת</w:t>
      </w:r>
      <w:r w:rsidRPr="000960C6">
        <w:rPr>
          <w:rtl/>
        </w:rPr>
        <w:t xml:space="preserve"> </w:t>
      </w:r>
      <w:r w:rsidRPr="000960C6">
        <w:rPr>
          <w:rFonts w:hint="eastAsia"/>
          <w:rtl/>
        </w:rPr>
        <w:t>השבים</w:t>
      </w:r>
      <w:r w:rsidRPr="000960C6">
        <w:rPr>
          <w:rtl/>
        </w:rPr>
        <w:t xml:space="preserve">, </w:t>
      </w:r>
      <w:r>
        <w:rPr>
          <w:rFonts w:hint="cs"/>
          <w:rtl/>
        </w:rPr>
        <w:t>ה</w:t>
      </w:r>
      <w:r w:rsidRPr="000960C6">
        <w:rPr>
          <w:rFonts w:hint="eastAsia"/>
          <w:rtl/>
        </w:rPr>
        <w:t>תשע</w:t>
      </w:r>
      <w:r w:rsidRPr="000960C6">
        <w:rPr>
          <w:rtl/>
        </w:rPr>
        <w:t>"</w:t>
      </w:r>
      <w:r w:rsidRPr="000960C6">
        <w:rPr>
          <w:rFonts w:hint="eastAsia"/>
          <w:rtl/>
        </w:rPr>
        <w:t>ט</w:t>
      </w:r>
      <w:r w:rsidRPr="000960C6">
        <w:rPr>
          <w:rtl/>
        </w:rPr>
        <w:t>-2019</w:t>
      </w:r>
      <w:r>
        <w:rPr>
          <w:rFonts w:hint="cs"/>
          <w:rtl/>
        </w:rPr>
        <w:t xml:space="preserve">, לא נוכל, לדעתי, לחלוק על הפררוגטיבה של ראש הממשלה לתת להן משקל נמוך מפאת חלוף הזמן. באשר לעבירות המס בהן הורשע דרעי בעקבות הסדר הטיעון </w:t>
      </w:r>
      <w:r>
        <w:rPr>
          <w:rtl/>
        </w:rPr>
        <w:t>–</w:t>
      </w:r>
      <w:r>
        <w:rPr>
          <w:rFonts w:hint="cs"/>
          <w:rtl/>
        </w:rPr>
        <w:t xml:space="preserve"> הנחת היסוד של היועמ"ש, שכאמור דוגלת בתקפותו של סעיף 6(ג)(1) החדש לחוק יסוד: הממשלה ובכלל "אין כלא </w:t>
      </w:r>
      <w:r>
        <w:rPr>
          <w:rtl/>
        </w:rPr>
        <w:t>–</w:t>
      </w:r>
      <w:r>
        <w:rPr>
          <w:rFonts w:hint="cs"/>
          <w:rtl/>
        </w:rPr>
        <w:t xml:space="preserve"> אין קלון" אשר עולה מהאמור באותו סעיף, </w:t>
      </w:r>
      <w:r>
        <w:rPr>
          <w:rFonts w:hint="cs"/>
          <w:rtl/>
        </w:rPr>
        <w:lastRenderedPageBreak/>
        <w:t xml:space="preserve">חייבת היתה, לטעמי, להוביל למסקנה כי ראש הממשלה רשאי היה לתת משקל נמוך גם לעבירות אלה בהחלטתו למנות את דרעי לשר. בנסיבות אלה </w:t>
      </w:r>
      <w:r w:rsidRPr="0066015A">
        <w:rPr>
          <w:rFonts w:ascii="Century" w:hAnsi="Century"/>
          <w:sz w:val="22"/>
          <w:rtl/>
        </w:rPr>
        <w:t>–</w:t>
      </w:r>
      <w:r w:rsidRPr="0066015A">
        <w:rPr>
          <w:rFonts w:ascii="Century" w:hAnsi="Century" w:hint="cs"/>
          <w:sz w:val="22"/>
          <w:rtl/>
        </w:rPr>
        <w:t xml:space="preserve"> ובהתעלם </w:t>
      </w:r>
      <w:proofErr w:type="spellStart"/>
      <w:r w:rsidRPr="0066015A">
        <w:rPr>
          <w:rFonts w:ascii="Century" w:hAnsi="Century" w:hint="cs"/>
          <w:sz w:val="22"/>
          <w:rtl/>
        </w:rPr>
        <w:t>מההשתק</w:t>
      </w:r>
      <w:proofErr w:type="spellEnd"/>
      <w:r w:rsidRPr="0066015A">
        <w:rPr>
          <w:rFonts w:ascii="Century" w:hAnsi="Century" w:hint="cs"/>
          <w:sz w:val="22"/>
          <w:rtl/>
        </w:rPr>
        <w:t xml:space="preserve"> השיפוטי, </w:t>
      </w:r>
      <w:r>
        <w:rPr>
          <w:rFonts w:ascii="Century" w:hAnsi="Century" w:hint="cs"/>
          <w:sz w:val="22"/>
          <w:rtl/>
        </w:rPr>
        <w:t>כפי שעשתה</w:t>
      </w:r>
      <w:r w:rsidRPr="0066015A">
        <w:rPr>
          <w:rFonts w:ascii="Century" w:hAnsi="Century" w:hint="cs"/>
          <w:sz w:val="22"/>
          <w:rtl/>
        </w:rPr>
        <w:t xml:space="preserve"> היועמ"ש </w:t>
      </w:r>
      <w:r w:rsidRPr="0066015A">
        <w:rPr>
          <w:rFonts w:ascii="Century" w:hAnsi="Century"/>
          <w:sz w:val="22"/>
          <w:rtl/>
        </w:rPr>
        <w:t>–</w:t>
      </w:r>
      <w:r w:rsidRPr="0066015A">
        <w:rPr>
          <w:rFonts w:ascii="Century" w:hAnsi="Century" w:hint="cs"/>
          <w:sz w:val="22"/>
          <w:rtl/>
        </w:rPr>
        <w:t xml:space="preserve"> </w:t>
      </w:r>
      <w:r w:rsidRPr="0066015A">
        <w:rPr>
          <w:rFonts w:ascii="Century" w:hAnsi="Century" w:hint="eastAsia"/>
          <w:sz w:val="22"/>
          <w:rtl/>
        </w:rPr>
        <w:t>גם</w:t>
      </w:r>
      <w:r w:rsidRPr="0066015A">
        <w:rPr>
          <w:rFonts w:ascii="Century" w:hAnsi="Century"/>
          <w:sz w:val="22"/>
          <w:rtl/>
        </w:rPr>
        <w:t xml:space="preserve"> </w:t>
      </w:r>
      <w:r w:rsidRPr="0066015A">
        <w:rPr>
          <w:rFonts w:ascii="Century" w:hAnsi="Century" w:hint="cs"/>
          <w:sz w:val="22"/>
          <w:rtl/>
        </w:rPr>
        <w:t xml:space="preserve">אם </w:t>
      </w:r>
      <w:r w:rsidRPr="0066015A">
        <w:rPr>
          <w:rFonts w:ascii="Century" w:hAnsi="Century" w:hint="eastAsia"/>
          <w:sz w:val="22"/>
          <w:rtl/>
        </w:rPr>
        <w:t>נמצא</w:t>
      </w:r>
      <w:r w:rsidRPr="0066015A">
        <w:rPr>
          <w:rFonts w:ascii="Century" w:hAnsi="Century"/>
          <w:sz w:val="22"/>
          <w:rtl/>
        </w:rPr>
        <w:t xml:space="preserve"> </w:t>
      </w:r>
      <w:r w:rsidRPr="0066015A">
        <w:rPr>
          <w:rFonts w:ascii="Century" w:hAnsi="Century" w:hint="eastAsia"/>
          <w:sz w:val="22"/>
          <w:rtl/>
        </w:rPr>
        <w:t>כי</w:t>
      </w:r>
      <w:r w:rsidRPr="0066015A">
        <w:rPr>
          <w:rFonts w:ascii="Century" w:hAnsi="Century"/>
          <w:sz w:val="22"/>
          <w:rtl/>
        </w:rPr>
        <w:t xml:space="preserve"> </w:t>
      </w:r>
      <w:r w:rsidRPr="0066015A">
        <w:rPr>
          <w:rFonts w:ascii="Century" w:hAnsi="Century" w:hint="eastAsia"/>
          <w:sz w:val="22"/>
          <w:rtl/>
        </w:rPr>
        <w:t>החלט</w:t>
      </w:r>
      <w:r w:rsidRPr="0066015A">
        <w:rPr>
          <w:rFonts w:ascii="Century" w:hAnsi="Century" w:hint="cs"/>
          <w:sz w:val="22"/>
          <w:rtl/>
        </w:rPr>
        <w:t>תו של ראש הממשלה</w:t>
      </w:r>
      <w:r w:rsidRPr="0066015A">
        <w:rPr>
          <w:rFonts w:ascii="Century" w:hAnsi="Century"/>
          <w:sz w:val="22"/>
          <w:rtl/>
        </w:rPr>
        <w:t xml:space="preserve"> </w:t>
      </w:r>
      <w:r w:rsidRPr="0066015A">
        <w:rPr>
          <w:rFonts w:ascii="Century" w:hAnsi="Century" w:hint="eastAsia"/>
          <w:sz w:val="22"/>
          <w:rtl/>
        </w:rPr>
        <w:t>ראויה</w:t>
      </w:r>
      <w:r w:rsidRPr="00BF3536">
        <w:rPr>
          <w:rtl/>
        </w:rPr>
        <w:t xml:space="preserve"> </w:t>
      </w:r>
      <w:r w:rsidRPr="00BF3536">
        <w:rPr>
          <w:rFonts w:hint="eastAsia"/>
          <w:rtl/>
        </w:rPr>
        <w:t>לביקורת</w:t>
      </w:r>
      <w:r>
        <w:rPr>
          <w:rFonts w:hint="cs"/>
          <w:rtl/>
        </w:rPr>
        <w:t xml:space="preserve"> </w:t>
      </w:r>
      <w:r w:rsidRPr="00BF3536">
        <w:rPr>
          <w:rFonts w:hint="eastAsia"/>
          <w:rtl/>
        </w:rPr>
        <w:t>מטעמים</w:t>
      </w:r>
      <w:r w:rsidRPr="00BF3536">
        <w:rPr>
          <w:rtl/>
        </w:rPr>
        <w:t xml:space="preserve"> </w:t>
      </w:r>
      <w:r w:rsidRPr="00BF3536">
        <w:rPr>
          <w:rFonts w:hint="eastAsia"/>
          <w:rtl/>
        </w:rPr>
        <w:t>כאלה</w:t>
      </w:r>
      <w:r w:rsidRPr="00BF3536">
        <w:rPr>
          <w:rtl/>
        </w:rPr>
        <w:t xml:space="preserve"> </w:t>
      </w:r>
      <w:r w:rsidRPr="00BF3536">
        <w:rPr>
          <w:rFonts w:hint="eastAsia"/>
          <w:rtl/>
        </w:rPr>
        <w:t>או</w:t>
      </w:r>
      <w:r w:rsidRPr="00BF3536">
        <w:rPr>
          <w:rtl/>
        </w:rPr>
        <w:t xml:space="preserve"> </w:t>
      </w:r>
      <w:r w:rsidRPr="00BF3536">
        <w:rPr>
          <w:rFonts w:hint="eastAsia"/>
          <w:rtl/>
        </w:rPr>
        <w:t>אחרים</w:t>
      </w:r>
      <w:r>
        <w:rPr>
          <w:rFonts w:hint="cs"/>
          <w:rtl/>
        </w:rPr>
        <w:t>, לא נוכל לומר, בפה-מלא ובלי היסוס, שלפנינו החלטה בלתי סבירה במידה כה קיצונית עד ששום ראש ממשלה לא היה מקבל אותה, בניסיונו להרכיב ממשלה, מטעמים שבטובת הציבור. הרכבת ממשלה על ידי מי שאמור לעמוד בראשה היא פעילות פוליטית מובהקת הכרוכה בבניית קואליציות ובריתות שונות על בסיס של "תן וקח". פעילות זו מתקיימת תחת אילוצים שונים ומגוונים, לרבות האפשרות של פיזור הכנסת ובחירות חדשות. בפעילות זו, כל אימת שאינה מפרה את הוראות הדין, אין בידינו להתערב: פעילות כאמור והאיזונים המורכבים עליהם מופקד ראש הממשלה במהלכה מקבלים גושפנקא "ביום הבוחר, ולא ביום העותר" (לפי מטבע לשון בו עשיתי שימוש ב</w:t>
      </w:r>
      <w:r w:rsidRPr="000F50D8">
        <w:rPr>
          <w:rFonts w:hint="eastAsia"/>
          <w:rtl/>
        </w:rPr>
        <w:t>בג</w:t>
      </w:r>
      <w:r>
        <w:rPr>
          <w:rFonts w:hint="cs"/>
          <w:rtl/>
        </w:rPr>
        <w:t>"</w:t>
      </w:r>
      <w:r w:rsidRPr="000F50D8">
        <w:rPr>
          <w:rFonts w:hint="eastAsia"/>
          <w:rtl/>
        </w:rPr>
        <w:t>ץ</w:t>
      </w:r>
      <w:r>
        <w:rPr>
          <w:rtl/>
        </w:rPr>
        <w:t xml:space="preserve"> 5004/14</w:t>
      </w:r>
      <w:r>
        <w:rPr>
          <w:rFonts w:hint="cs"/>
          <w:rtl/>
        </w:rPr>
        <w:t xml:space="preserve"> </w:t>
      </w:r>
      <w:r w:rsidRPr="000F50D8">
        <w:rPr>
          <w:rFonts w:ascii="Century" w:hAnsi="Century" w:cs="Miriam" w:hint="eastAsia"/>
          <w:b/>
          <w:spacing w:val="0"/>
          <w:sz w:val="22"/>
          <w:szCs w:val="24"/>
          <w:rtl/>
        </w:rPr>
        <w:t>ג</w:t>
      </w:r>
      <w:r w:rsidRPr="000F50D8">
        <w:rPr>
          <w:rFonts w:ascii="Century" w:hAnsi="Century" w:cs="Miriam"/>
          <w:b/>
          <w:spacing w:val="0"/>
          <w:sz w:val="22"/>
          <w:szCs w:val="24"/>
          <w:rtl/>
        </w:rPr>
        <w:t>'</w:t>
      </w:r>
      <w:r w:rsidRPr="000F50D8">
        <w:rPr>
          <w:rFonts w:ascii="Century" w:hAnsi="Century" w:cs="Miriam" w:hint="eastAsia"/>
          <w:b/>
          <w:spacing w:val="0"/>
          <w:sz w:val="22"/>
          <w:szCs w:val="24"/>
          <w:rtl/>
        </w:rPr>
        <w:t>קלין</w:t>
      </w:r>
      <w:r w:rsidRPr="000F50D8">
        <w:rPr>
          <w:rFonts w:ascii="Century" w:hAnsi="Century" w:cs="Miriam"/>
          <w:b/>
          <w:spacing w:val="0"/>
          <w:sz w:val="22"/>
          <w:szCs w:val="24"/>
          <w:rtl/>
        </w:rPr>
        <w:t xml:space="preserve"> </w:t>
      </w:r>
      <w:r w:rsidRPr="000F50D8">
        <w:rPr>
          <w:rFonts w:ascii="Century" w:hAnsi="Century" w:cs="Miriam" w:hint="eastAsia"/>
          <w:b/>
          <w:spacing w:val="0"/>
          <w:sz w:val="22"/>
          <w:szCs w:val="24"/>
          <w:rtl/>
        </w:rPr>
        <w:t>נ</w:t>
      </w:r>
      <w:r w:rsidRPr="000F50D8">
        <w:rPr>
          <w:rFonts w:ascii="Century" w:hAnsi="Century" w:cs="Miriam"/>
          <w:b/>
          <w:spacing w:val="0"/>
          <w:sz w:val="22"/>
          <w:szCs w:val="24"/>
          <w:rtl/>
        </w:rPr>
        <w:t xml:space="preserve">' </w:t>
      </w:r>
      <w:r w:rsidRPr="000F50D8">
        <w:rPr>
          <w:rFonts w:ascii="Century" w:hAnsi="Century" w:cs="Miriam" w:hint="eastAsia"/>
          <w:b/>
          <w:spacing w:val="0"/>
          <w:sz w:val="22"/>
          <w:szCs w:val="24"/>
          <w:rtl/>
        </w:rPr>
        <w:t>משרד</w:t>
      </w:r>
      <w:r w:rsidRPr="000F50D8">
        <w:rPr>
          <w:rFonts w:ascii="Century" w:hAnsi="Century" w:cs="Miriam"/>
          <w:b/>
          <w:spacing w:val="0"/>
          <w:sz w:val="22"/>
          <w:szCs w:val="24"/>
          <w:rtl/>
        </w:rPr>
        <w:t xml:space="preserve"> </w:t>
      </w:r>
      <w:r w:rsidRPr="000F50D8">
        <w:rPr>
          <w:rFonts w:ascii="Century" w:hAnsi="Century" w:cs="Miriam" w:hint="eastAsia"/>
          <w:b/>
          <w:spacing w:val="0"/>
          <w:sz w:val="22"/>
          <w:szCs w:val="24"/>
          <w:rtl/>
        </w:rPr>
        <w:t>החינוך</w:t>
      </w:r>
      <w:r>
        <w:rPr>
          <w:rFonts w:hint="cs"/>
          <w:rtl/>
        </w:rPr>
        <w:t xml:space="preserve">, פסקה 4 לפסק דיני </w:t>
      </w:r>
      <w:r w:rsidRPr="000F50D8">
        <w:rPr>
          <w:rtl/>
        </w:rPr>
        <w:t>(‏7.8.2019)</w:t>
      </w:r>
      <w:r>
        <w:rPr>
          <w:rFonts w:hint="cs"/>
          <w:rtl/>
        </w:rPr>
        <w:t>)</w:t>
      </w:r>
      <w:r w:rsidRPr="000F50D8">
        <w:rPr>
          <w:rtl/>
        </w:rPr>
        <w:t>.</w:t>
      </w:r>
      <w:r>
        <w:rPr>
          <w:rFonts w:hint="cs"/>
          <w:rtl/>
        </w:rPr>
        <w:t xml:space="preserve"> לפיכך, אם לפנינו </w:t>
      </w:r>
      <w:r w:rsidRPr="00BF3536">
        <w:rPr>
          <w:rFonts w:hint="eastAsia"/>
          <w:rtl/>
        </w:rPr>
        <w:t>החלטה</w:t>
      </w:r>
      <w:r w:rsidRPr="00BF3536">
        <w:rPr>
          <w:rtl/>
        </w:rPr>
        <w:t xml:space="preserve"> </w:t>
      </w:r>
      <w:r>
        <w:rPr>
          <w:rFonts w:hint="cs"/>
          <w:rtl/>
        </w:rPr>
        <w:t xml:space="preserve">שראש הממשלה </w:t>
      </w:r>
      <w:r w:rsidRPr="00BF3536">
        <w:rPr>
          <w:rFonts w:hint="eastAsia"/>
          <w:rtl/>
        </w:rPr>
        <w:t>יכ</w:t>
      </w:r>
      <w:r>
        <w:rPr>
          <w:rFonts w:hint="cs"/>
          <w:rtl/>
        </w:rPr>
        <w:t>ו</w:t>
      </w:r>
      <w:r w:rsidRPr="00BF3536">
        <w:rPr>
          <w:rFonts w:hint="eastAsia"/>
          <w:rtl/>
        </w:rPr>
        <w:t>ל</w:t>
      </w:r>
      <w:r>
        <w:rPr>
          <w:rFonts w:hint="cs"/>
          <w:rtl/>
        </w:rPr>
        <w:t xml:space="preserve"> הי</w:t>
      </w:r>
      <w:r w:rsidRPr="00BF3536">
        <w:rPr>
          <w:rFonts w:hint="eastAsia"/>
          <w:rtl/>
        </w:rPr>
        <w:t>ה</w:t>
      </w:r>
      <w:r w:rsidRPr="00BF3536">
        <w:rPr>
          <w:rtl/>
        </w:rPr>
        <w:t xml:space="preserve"> </w:t>
      </w:r>
      <w:r w:rsidRPr="00BF3536">
        <w:rPr>
          <w:rFonts w:hint="eastAsia"/>
          <w:rtl/>
        </w:rPr>
        <w:t>לקבל</w:t>
      </w:r>
      <w:r>
        <w:rPr>
          <w:rFonts w:hint="cs"/>
          <w:rtl/>
        </w:rPr>
        <w:t>ה</w:t>
      </w:r>
      <w:r w:rsidRPr="00BF3536">
        <w:rPr>
          <w:rtl/>
        </w:rPr>
        <w:t xml:space="preserve"> </w:t>
      </w:r>
      <w:r w:rsidRPr="00BF3536">
        <w:rPr>
          <w:rFonts w:hint="eastAsia"/>
          <w:rtl/>
        </w:rPr>
        <w:t>כאשר</w:t>
      </w:r>
      <w:r w:rsidRPr="00BF3536">
        <w:rPr>
          <w:rtl/>
        </w:rPr>
        <w:t xml:space="preserve"> </w:t>
      </w:r>
      <w:r>
        <w:rPr>
          <w:rFonts w:hint="eastAsia"/>
          <w:rtl/>
        </w:rPr>
        <w:t>ה</w:t>
      </w:r>
      <w:r>
        <w:rPr>
          <w:rFonts w:hint="cs"/>
          <w:rtl/>
        </w:rPr>
        <w:t>ו</w:t>
      </w:r>
      <w:r w:rsidRPr="00BF3536">
        <w:rPr>
          <w:rFonts w:hint="eastAsia"/>
          <w:rtl/>
        </w:rPr>
        <w:t>א</w:t>
      </w:r>
      <w:r w:rsidRPr="00BF3536">
        <w:rPr>
          <w:rtl/>
        </w:rPr>
        <w:t xml:space="preserve"> </w:t>
      </w:r>
      <w:r>
        <w:rPr>
          <w:rFonts w:hint="eastAsia"/>
          <w:rtl/>
        </w:rPr>
        <w:t>מעמיד</w:t>
      </w:r>
      <w:r w:rsidRPr="00BF3536">
        <w:rPr>
          <w:rtl/>
        </w:rPr>
        <w:t xml:space="preserve"> </w:t>
      </w:r>
      <w:r w:rsidRPr="00BF3536">
        <w:rPr>
          <w:rFonts w:hint="eastAsia"/>
          <w:rtl/>
        </w:rPr>
        <w:t>לנגד</w:t>
      </w:r>
      <w:r w:rsidRPr="00BF3536">
        <w:rPr>
          <w:rtl/>
        </w:rPr>
        <w:t xml:space="preserve"> </w:t>
      </w:r>
      <w:r w:rsidRPr="00BF3536">
        <w:rPr>
          <w:rFonts w:hint="eastAsia"/>
          <w:rtl/>
        </w:rPr>
        <w:t>עיני</w:t>
      </w:r>
      <w:r>
        <w:rPr>
          <w:rFonts w:hint="cs"/>
          <w:rtl/>
        </w:rPr>
        <w:t>ו</w:t>
      </w:r>
      <w:r w:rsidRPr="00BF3536">
        <w:rPr>
          <w:rtl/>
        </w:rPr>
        <w:t xml:space="preserve"> </w:t>
      </w:r>
      <w:r w:rsidRPr="00BF3536">
        <w:rPr>
          <w:rFonts w:hint="eastAsia"/>
          <w:rtl/>
        </w:rPr>
        <w:t>את</w:t>
      </w:r>
      <w:r w:rsidRPr="00BF3536">
        <w:rPr>
          <w:rtl/>
        </w:rPr>
        <w:t xml:space="preserve"> </w:t>
      </w:r>
      <w:r w:rsidRPr="00BF3536">
        <w:rPr>
          <w:rFonts w:hint="eastAsia"/>
          <w:rtl/>
        </w:rPr>
        <w:t>טובת</w:t>
      </w:r>
      <w:r w:rsidRPr="00BF3536">
        <w:rPr>
          <w:rtl/>
        </w:rPr>
        <w:t xml:space="preserve"> </w:t>
      </w:r>
      <w:r w:rsidRPr="00BF3536">
        <w:rPr>
          <w:rFonts w:hint="eastAsia"/>
          <w:rtl/>
        </w:rPr>
        <w:t>הציבור</w:t>
      </w:r>
      <w:r w:rsidRPr="00BF3536">
        <w:rPr>
          <w:rtl/>
        </w:rPr>
        <w:t xml:space="preserve">, </w:t>
      </w:r>
      <w:r>
        <w:rPr>
          <w:rFonts w:hint="cs"/>
          <w:rtl/>
        </w:rPr>
        <w:t xml:space="preserve">שומה עלינו </w:t>
      </w:r>
      <w:r w:rsidRPr="00BF3536">
        <w:rPr>
          <w:rFonts w:hint="eastAsia"/>
          <w:rtl/>
        </w:rPr>
        <w:t>למשוך</w:t>
      </w:r>
      <w:r w:rsidRPr="00BF3536">
        <w:rPr>
          <w:rtl/>
        </w:rPr>
        <w:t xml:space="preserve"> </w:t>
      </w:r>
      <w:r w:rsidRPr="00BF3536">
        <w:rPr>
          <w:rFonts w:hint="eastAsia"/>
          <w:rtl/>
        </w:rPr>
        <w:t>את</w:t>
      </w:r>
      <w:r w:rsidRPr="00BF3536">
        <w:rPr>
          <w:rtl/>
        </w:rPr>
        <w:t xml:space="preserve"> </w:t>
      </w:r>
      <w:r w:rsidRPr="00BF3536">
        <w:rPr>
          <w:rFonts w:hint="eastAsia"/>
          <w:rtl/>
        </w:rPr>
        <w:t>ידינו</w:t>
      </w:r>
      <w:r w:rsidRPr="00BF3536">
        <w:rPr>
          <w:rtl/>
        </w:rPr>
        <w:t xml:space="preserve"> </w:t>
      </w:r>
      <w:r w:rsidRPr="00BF3536">
        <w:rPr>
          <w:rFonts w:hint="eastAsia"/>
          <w:rtl/>
        </w:rPr>
        <w:t>ממעשה</w:t>
      </w:r>
      <w:r w:rsidRPr="00BF3536">
        <w:rPr>
          <w:rtl/>
        </w:rPr>
        <w:t xml:space="preserve"> </w:t>
      </w:r>
      <w:r w:rsidRPr="00BF3536">
        <w:rPr>
          <w:rFonts w:hint="eastAsia"/>
          <w:rtl/>
        </w:rPr>
        <w:t>ההתערבות</w:t>
      </w:r>
      <w:r w:rsidRPr="00BF3536">
        <w:rPr>
          <w:rtl/>
        </w:rPr>
        <w:t xml:space="preserve">, </w:t>
      </w:r>
      <w:r w:rsidRPr="00BF3536">
        <w:rPr>
          <w:rFonts w:hint="eastAsia"/>
          <w:rtl/>
        </w:rPr>
        <w:t>שאם</w:t>
      </w:r>
      <w:r w:rsidRPr="00BF3536">
        <w:rPr>
          <w:rtl/>
        </w:rPr>
        <w:t xml:space="preserve"> </w:t>
      </w:r>
      <w:r w:rsidRPr="00BF3536">
        <w:rPr>
          <w:rFonts w:hint="eastAsia"/>
          <w:rtl/>
        </w:rPr>
        <w:t>לא</w:t>
      </w:r>
      <w:r w:rsidRPr="00BF3536">
        <w:rPr>
          <w:rtl/>
        </w:rPr>
        <w:t xml:space="preserve"> </w:t>
      </w:r>
      <w:r w:rsidRPr="00BF3536">
        <w:rPr>
          <w:rFonts w:hint="eastAsia"/>
          <w:rtl/>
        </w:rPr>
        <w:t>כן</w:t>
      </w:r>
      <w:r>
        <w:rPr>
          <w:rFonts w:hint="cs"/>
          <w:rtl/>
        </w:rPr>
        <w:t>,</w:t>
      </w:r>
      <w:r w:rsidRPr="00BF3536">
        <w:rPr>
          <w:rtl/>
        </w:rPr>
        <w:t xml:space="preserve"> </w:t>
      </w:r>
      <w:r w:rsidRPr="00BF3536">
        <w:rPr>
          <w:rFonts w:hint="eastAsia"/>
          <w:rtl/>
        </w:rPr>
        <w:t>נמצא</w:t>
      </w:r>
      <w:r w:rsidRPr="00BF3536">
        <w:rPr>
          <w:rtl/>
        </w:rPr>
        <w:t xml:space="preserve"> </w:t>
      </w:r>
      <w:r w:rsidRPr="00BF3536">
        <w:rPr>
          <w:rFonts w:hint="eastAsia"/>
          <w:rtl/>
        </w:rPr>
        <w:t>את</w:t>
      </w:r>
      <w:r w:rsidRPr="00BF3536">
        <w:rPr>
          <w:rtl/>
        </w:rPr>
        <w:t xml:space="preserve"> </w:t>
      </w:r>
      <w:r w:rsidRPr="00BF3536">
        <w:rPr>
          <w:rFonts w:hint="eastAsia"/>
          <w:rtl/>
        </w:rPr>
        <w:t>עצמנו</w:t>
      </w:r>
      <w:r w:rsidRPr="00BF3536">
        <w:rPr>
          <w:rtl/>
        </w:rPr>
        <w:t xml:space="preserve"> </w:t>
      </w:r>
      <w:r w:rsidRPr="00BF3536">
        <w:rPr>
          <w:rFonts w:hint="eastAsia"/>
          <w:rtl/>
        </w:rPr>
        <w:t>פועלים</w:t>
      </w:r>
      <w:r w:rsidRPr="00BF3536">
        <w:rPr>
          <w:rtl/>
        </w:rPr>
        <w:t xml:space="preserve"> </w:t>
      </w:r>
      <w:r w:rsidRPr="00BF3536">
        <w:rPr>
          <w:rFonts w:hint="eastAsia"/>
          <w:rtl/>
        </w:rPr>
        <w:t>במרחב</w:t>
      </w:r>
      <w:r w:rsidRPr="00BF3536">
        <w:rPr>
          <w:rtl/>
        </w:rPr>
        <w:t xml:space="preserve"> </w:t>
      </w:r>
      <w:r w:rsidRPr="00BF3536">
        <w:rPr>
          <w:rFonts w:hint="eastAsia"/>
          <w:rtl/>
        </w:rPr>
        <w:t>ה</w:t>
      </w:r>
      <w:r>
        <w:rPr>
          <w:rFonts w:hint="cs"/>
          <w:rtl/>
        </w:rPr>
        <w:t>פוליטי</w:t>
      </w:r>
      <w:r w:rsidRPr="00BF3536">
        <w:rPr>
          <w:rtl/>
        </w:rPr>
        <w:t xml:space="preserve">, </w:t>
      </w:r>
      <w:proofErr w:type="spellStart"/>
      <w:r w:rsidRPr="00BF3536">
        <w:rPr>
          <w:rFonts w:hint="eastAsia"/>
          <w:rtl/>
        </w:rPr>
        <w:t>הלבר</w:t>
      </w:r>
      <w:proofErr w:type="spellEnd"/>
      <w:r w:rsidRPr="00BF3536">
        <w:rPr>
          <w:rtl/>
        </w:rPr>
        <w:t>-</w:t>
      </w:r>
      <w:r w:rsidRPr="00BF3536">
        <w:rPr>
          <w:rFonts w:hint="eastAsia"/>
          <w:rtl/>
        </w:rPr>
        <w:t>משפטי</w:t>
      </w:r>
      <w:r w:rsidRPr="00BF3536">
        <w:rPr>
          <w:rtl/>
        </w:rPr>
        <w:t xml:space="preserve">, </w:t>
      </w:r>
      <w:r w:rsidRPr="00BF3536">
        <w:rPr>
          <w:rFonts w:hint="eastAsia"/>
          <w:rtl/>
        </w:rPr>
        <w:t>ומחליפים</w:t>
      </w:r>
      <w:r w:rsidRPr="00BF3536">
        <w:rPr>
          <w:rtl/>
        </w:rPr>
        <w:t xml:space="preserve"> </w:t>
      </w:r>
      <w:r w:rsidRPr="00BF3536">
        <w:rPr>
          <w:rFonts w:hint="eastAsia"/>
          <w:rtl/>
        </w:rPr>
        <w:t>את</w:t>
      </w:r>
      <w:r w:rsidRPr="00BF3536">
        <w:rPr>
          <w:rtl/>
        </w:rPr>
        <w:t xml:space="preserve"> </w:t>
      </w:r>
      <w:r w:rsidRPr="00BF3536">
        <w:rPr>
          <w:rFonts w:hint="eastAsia"/>
          <w:rtl/>
        </w:rPr>
        <w:t>שיקול</w:t>
      </w:r>
      <w:r w:rsidRPr="00BF3536">
        <w:rPr>
          <w:rtl/>
        </w:rPr>
        <w:t>-</w:t>
      </w:r>
      <w:r w:rsidRPr="00BF3536">
        <w:rPr>
          <w:rFonts w:hint="eastAsia"/>
          <w:rtl/>
        </w:rPr>
        <w:t>דעת</w:t>
      </w:r>
      <w:r>
        <w:rPr>
          <w:rFonts w:hint="cs"/>
          <w:rtl/>
        </w:rPr>
        <w:t>ו</w:t>
      </w:r>
      <w:r w:rsidRPr="00BF3536">
        <w:rPr>
          <w:rtl/>
        </w:rPr>
        <w:t xml:space="preserve"> </w:t>
      </w:r>
      <w:r w:rsidRPr="00BF3536">
        <w:rPr>
          <w:rFonts w:hint="eastAsia"/>
          <w:rtl/>
        </w:rPr>
        <w:t>של</w:t>
      </w:r>
      <w:r w:rsidRPr="00BF3536">
        <w:rPr>
          <w:rtl/>
        </w:rPr>
        <w:t xml:space="preserve"> </w:t>
      </w:r>
      <w:r>
        <w:rPr>
          <w:rFonts w:hint="cs"/>
          <w:rtl/>
        </w:rPr>
        <w:t xml:space="preserve">ראש הממשלה </w:t>
      </w:r>
      <w:r w:rsidRPr="00BF3536">
        <w:rPr>
          <w:rFonts w:hint="eastAsia"/>
          <w:rtl/>
        </w:rPr>
        <w:t>בשיקול</w:t>
      </w:r>
      <w:r w:rsidRPr="00BF3536">
        <w:rPr>
          <w:rtl/>
        </w:rPr>
        <w:t>-</w:t>
      </w:r>
      <w:r w:rsidRPr="00BF3536">
        <w:rPr>
          <w:rFonts w:hint="eastAsia"/>
          <w:rtl/>
        </w:rPr>
        <w:t>דעתנו</w:t>
      </w:r>
      <w:r>
        <w:rPr>
          <w:rFonts w:hint="cs"/>
          <w:rtl/>
        </w:rPr>
        <w:t xml:space="preserve"> (ראו: עניין </w:t>
      </w:r>
      <w:r w:rsidRPr="000F50D8">
        <w:rPr>
          <w:rFonts w:ascii="Century" w:hAnsi="Century" w:cs="Miriam" w:hint="cs"/>
          <w:b/>
          <w:spacing w:val="0"/>
          <w:sz w:val="22"/>
          <w:szCs w:val="24"/>
          <w:rtl/>
        </w:rPr>
        <w:t>פרץ</w:t>
      </w:r>
      <w:r>
        <w:rPr>
          <w:rFonts w:hint="cs"/>
          <w:rtl/>
        </w:rPr>
        <w:t xml:space="preserve">, בפסקה 45 לפסק דיני). </w:t>
      </w:r>
    </w:p>
    <w:p w14:paraId="6411C8B3" w14:textId="77777777" w:rsidR="00C36C78" w:rsidRDefault="00C36C78" w:rsidP="00C36C78">
      <w:pPr>
        <w:pStyle w:val="Ruller4"/>
        <w:numPr>
          <w:ilvl w:val="0"/>
          <w:numId w:val="0"/>
        </w:numPr>
      </w:pPr>
    </w:p>
    <w:p w14:paraId="194D6B7F" w14:textId="77777777" w:rsidR="00C36C78" w:rsidRDefault="00C36C78" w:rsidP="00C36C78">
      <w:pPr>
        <w:pStyle w:val="Ruller4"/>
      </w:pPr>
      <w:r>
        <w:rPr>
          <w:rFonts w:hint="cs"/>
          <w:rtl/>
        </w:rPr>
        <w:t xml:space="preserve">בהקשר זה, ביקש מאתנו נציג היועמ"ש, בכתובים ובמהלך הטיעון בעל-פה, לעשות הבחנה בין כשירותו הפורמאלית של דרעי להתמנות לשר בממשלה לבין סבירותו של המינוי; ומכאן השאלה שעלתה בדיון: אם נכבד בקשה זו כמות שהיא, כיצד נוכל להתעלם מהכלל "אין כלא </w:t>
      </w:r>
      <w:r>
        <w:rPr>
          <w:rtl/>
        </w:rPr>
        <w:t>–</w:t>
      </w:r>
      <w:r>
        <w:rPr>
          <w:rFonts w:hint="cs"/>
          <w:rtl/>
        </w:rPr>
        <w:t xml:space="preserve"> אין קלון" אשר הופך את מינויו של דרעי לשר ליותר סביר בהשוואה למצב המשפטי הקודם? התשובה שניתנה לנו לשאלה זו, אם הבנתיה נכון, עומדת על כך שבמסגרת בדיקתו של סבירות המינוי </w:t>
      </w:r>
      <w:r>
        <w:rPr>
          <w:rtl/>
        </w:rPr>
        <w:t>–</w:t>
      </w:r>
      <w:r>
        <w:rPr>
          <w:rFonts w:hint="cs"/>
          <w:rtl/>
        </w:rPr>
        <w:t xml:space="preserve"> אשר לוקחת בחשבון את אמון הציבור בממשלה ובמי שעומד בראשה </w:t>
      </w:r>
      <w:r>
        <w:rPr>
          <w:rtl/>
        </w:rPr>
        <w:t>–</w:t>
      </w:r>
      <w:r>
        <w:rPr>
          <w:rFonts w:hint="cs"/>
          <w:rtl/>
        </w:rPr>
        <w:t xml:space="preserve"> אפשר בהחלט לראות בעבירות המס של דרעי עבירות חמורות שדבק בהן קלון. ברם, בצאתי מן ההנחה שהונחה על ידי היועמ"ש, שכאמור מאשרת את חוקתיותו ואת תקפותו של סעיף 6(ג)(1) החדש לחוק יסוד: הממשלה, הנני מתקשה להסכים עם תשובה זו. לטעמי, ראש הממשלה בהחלט רשאי לכלול במניין שיקוליו את הכלל "אין כלא </w:t>
      </w:r>
      <w:r>
        <w:rPr>
          <w:rtl/>
        </w:rPr>
        <w:t>–</w:t>
      </w:r>
      <w:r>
        <w:rPr>
          <w:rFonts w:hint="cs"/>
          <w:rtl/>
        </w:rPr>
        <w:t xml:space="preserve"> אין קלון" אשר עולה מהאמור בסעיף 6(ג)(1) לחוק יסוד: הממשלה. </w:t>
      </w:r>
    </w:p>
    <w:p w14:paraId="4A21B343" w14:textId="77777777" w:rsidR="00C36C78" w:rsidRDefault="00C36C78" w:rsidP="00C36C78">
      <w:pPr>
        <w:pStyle w:val="Ruller4"/>
        <w:numPr>
          <w:ilvl w:val="0"/>
          <w:numId w:val="0"/>
        </w:numPr>
      </w:pPr>
    </w:p>
    <w:p w14:paraId="09E7002A" w14:textId="77777777" w:rsidR="00C36C78" w:rsidRPr="00BF3536" w:rsidRDefault="00C36C78" w:rsidP="00C36C78">
      <w:pPr>
        <w:pStyle w:val="Ruller4"/>
      </w:pPr>
      <w:r>
        <w:rPr>
          <w:rFonts w:hint="cs"/>
          <w:rtl/>
        </w:rPr>
        <w:t xml:space="preserve">לזאת אוסיף את המובן מאליו: באומרי את אשר אמרתי על אודות עמדתה של היועמ"ש, איני משנה כהוא זה ממסקנתי לפיה מינויו של דרעי אינו יכול לעמוד </w:t>
      </w:r>
      <w:r>
        <w:rPr>
          <w:rtl/>
        </w:rPr>
        <w:t>–</w:t>
      </w:r>
      <w:r>
        <w:rPr>
          <w:rFonts w:hint="cs"/>
          <w:rtl/>
        </w:rPr>
        <w:t xml:space="preserve"> זאת, כאמור, מטעמי השתק ומניעות, ומטעמים אלו בלבד.  </w:t>
      </w:r>
    </w:p>
    <w:p w14:paraId="7DFDF12B" w14:textId="77777777" w:rsidR="00C36C78" w:rsidRPr="00BF3536" w:rsidRDefault="00C36C78" w:rsidP="00C36C78">
      <w:pPr>
        <w:pStyle w:val="Ruller41"/>
      </w:pPr>
    </w:p>
    <w:p w14:paraId="1219FB61" w14:textId="77777777" w:rsidR="00C36C78" w:rsidRDefault="00C36C78" w:rsidP="00C36C78">
      <w:pPr>
        <w:pStyle w:val="Ruller4"/>
      </w:pPr>
      <w:r>
        <w:rPr>
          <w:rFonts w:hint="cs"/>
          <w:rtl/>
        </w:rPr>
        <w:t xml:space="preserve"> ברצוני לומר מילים אחדות גם על חוות דעתה של חברתי, השופטת </w:t>
      </w:r>
      <w:r w:rsidRPr="008C6E78">
        <w:rPr>
          <w:rFonts w:ascii="Century" w:hAnsi="Century" w:cs="Miriam" w:hint="cs"/>
          <w:b/>
          <w:spacing w:val="0"/>
          <w:sz w:val="22"/>
          <w:szCs w:val="24"/>
          <w:rtl/>
        </w:rPr>
        <w:t>ד' ברק-ארז</w:t>
      </w:r>
      <w:r>
        <w:rPr>
          <w:rFonts w:hint="cs"/>
          <w:rtl/>
        </w:rPr>
        <w:t xml:space="preserve">. דרישת ההגינות עליה נסמכת חברתי בחוות דעתה וכלל המניעות, אשר נגזר מדרישה זו, מתכתבים היטב עם הרציונל של יושרה אשר עומד בבסיסה של דוקטרינת ההשתק השיפוטי. האמור בחוות דעתה של חברתי מקובל עלי אפוא לחלוטין ככל שבבסיסו עומד הרעיון הזהה לזה אשר עומד מאחורי דוקטרינת ההשתק השיפוטי וכללי המניעות הנלווים אליה. </w:t>
      </w:r>
    </w:p>
    <w:p w14:paraId="09CD7C5A" w14:textId="77777777" w:rsidR="00C36C78" w:rsidRDefault="00C36C78" w:rsidP="00C36C78">
      <w:pPr>
        <w:pStyle w:val="Ruller4"/>
        <w:numPr>
          <w:ilvl w:val="0"/>
          <w:numId w:val="0"/>
        </w:numPr>
      </w:pPr>
    </w:p>
    <w:p w14:paraId="2B284072" w14:textId="77777777" w:rsidR="00C36C78" w:rsidRDefault="00C36C78" w:rsidP="00C36C78">
      <w:pPr>
        <w:pStyle w:val="Ruller4"/>
        <w:rPr>
          <w:rFonts w:ascii="Century" w:hAnsi="Century"/>
          <w:sz w:val="22"/>
          <w:rtl/>
        </w:rPr>
      </w:pPr>
      <w:r>
        <w:rPr>
          <w:rFonts w:hint="cs"/>
          <w:rtl/>
        </w:rPr>
        <w:t xml:space="preserve">לבסוף, אענה לכ-400,000 בוחרים ובוחרות שנתנו את קולם למפלגת ש"ס ולעומד בראשה. ראשית, אציין כי הציבור הנכבד הזה נתן את קולו לבחירתו של דרעי כנציגו בכנסת, וממילא לא בחר את שרי הממשלה. גדולה מכך: בחירתו של אדם לכהונה בכנסת ועלייתו לאיגרא </w:t>
      </w:r>
      <w:proofErr w:type="spellStart"/>
      <w:r>
        <w:rPr>
          <w:rFonts w:hint="cs"/>
          <w:rtl/>
        </w:rPr>
        <w:t>רמא</w:t>
      </w:r>
      <w:proofErr w:type="spellEnd"/>
      <w:r>
        <w:rPr>
          <w:rFonts w:hint="cs"/>
          <w:rtl/>
        </w:rPr>
        <w:t xml:space="preserve"> של הממשלה אינה מקנה לאותו אדם זכויות יתר, אינה פוטרת אותו מחובותיו המשפטיות ואינה נותנת לו פטור מתוצאותיהם של הליכים משפטיים, פליליים או אזרחיים, בהם הוא היה מעורב כנאשם או כנתבע </w:t>
      </w:r>
      <w:r>
        <w:rPr>
          <w:rtl/>
        </w:rPr>
        <w:t>–</w:t>
      </w:r>
      <w:r>
        <w:rPr>
          <w:rFonts w:hint="cs"/>
          <w:rtl/>
        </w:rPr>
        <w:t xml:space="preserve"> משל היה מלך שאינו אחראי לעוולותיו (</w:t>
      </w:r>
      <w:r w:rsidRPr="002265EF">
        <w:rPr>
          <w:rFonts w:asciiTheme="majorBidi" w:hAnsiTheme="majorBidi" w:cstheme="majorBidi"/>
        </w:rPr>
        <w:t>"The King can do no wrong"</w:t>
      </w:r>
      <w:r w:rsidRPr="002265EF">
        <w:rPr>
          <w:rFonts w:ascii="Century" w:hAnsi="Century" w:hint="cs"/>
          <w:sz w:val="22"/>
          <w:rtl/>
        </w:rPr>
        <w:t xml:space="preserve">). במשטרנו המשפטי, אשר חרט על דגלו את העיקרון של שלטון החוק, כולם שווים בפני הדין. אנשים רמי מעלה אינם נמצאים מעל הדין, והאזרח הפשוט אינו נמצא מתחתיו (ראו: </w:t>
      </w:r>
      <w:r w:rsidRPr="002265EF">
        <w:rPr>
          <w:rFonts w:ascii="Century" w:hAnsi="Century" w:hint="eastAsia"/>
          <w:sz w:val="22"/>
          <w:rtl/>
        </w:rPr>
        <w:t>בג</w:t>
      </w:r>
      <w:r w:rsidRPr="002265EF">
        <w:rPr>
          <w:rFonts w:ascii="Century" w:hAnsi="Century"/>
          <w:sz w:val="22"/>
          <w:rtl/>
        </w:rPr>
        <w:t>"</w:t>
      </w:r>
      <w:r w:rsidRPr="002265EF">
        <w:rPr>
          <w:rFonts w:ascii="Century" w:hAnsi="Century" w:hint="eastAsia"/>
          <w:sz w:val="22"/>
          <w:rtl/>
        </w:rPr>
        <w:t>ץ</w:t>
      </w:r>
      <w:r w:rsidRPr="002265EF">
        <w:rPr>
          <w:rFonts w:ascii="Century" w:hAnsi="Century"/>
          <w:sz w:val="22"/>
          <w:rtl/>
        </w:rPr>
        <w:t xml:space="preserve"> 2534/97 </w:t>
      </w:r>
      <w:r w:rsidRPr="002265EF">
        <w:rPr>
          <w:rFonts w:ascii="Century" w:hAnsi="Century" w:cs="Miriam" w:hint="eastAsia"/>
          <w:b/>
          <w:spacing w:val="0"/>
          <w:sz w:val="22"/>
          <w:szCs w:val="24"/>
          <w:rtl/>
        </w:rPr>
        <w:t>יהב</w:t>
      </w:r>
      <w:r w:rsidRPr="002265EF">
        <w:rPr>
          <w:rFonts w:ascii="Century" w:hAnsi="Century" w:cs="Miriam"/>
          <w:b/>
          <w:spacing w:val="0"/>
          <w:sz w:val="22"/>
          <w:szCs w:val="24"/>
          <w:rtl/>
        </w:rPr>
        <w:t xml:space="preserve"> </w:t>
      </w:r>
      <w:r w:rsidRPr="002265EF">
        <w:rPr>
          <w:rFonts w:ascii="Century" w:hAnsi="Century" w:cs="Miriam" w:hint="eastAsia"/>
          <w:b/>
          <w:spacing w:val="0"/>
          <w:sz w:val="22"/>
          <w:szCs w:val="24"/>
          <w:rtl/>
        </w:rPr>
        <w:t>נ</w:t>
      </w:r>
      <w:r w:rsidRPr="002265EF">
        <w:rPr>
          <w:rFonts w:ascii="Century" w:hAnsi="Century" w:cs="Miriam"/>
          <w:b/>
          <w:spacing w:val="0"/>
          <w:sz w:val="22"/>
          <w:szCs w:val="24"/>
          <w:rtl/>
        </w:rPr>
        <w:t xml:space="preserve">' </w:t>
      </w:r>
      <w:r w:rsidRPr="002265EF">
        <w:rPr>
          <w:rFonts w:ascii="Century" w:hAnsi="Century" w:cs="Miriam" w:hint="eastAsia"/>
          <w:b/>
          <w:spacing w:val="0"/>
          <w:sz w:val="22"/>
          <w:szCs w:val="24"/>
          <w:rtl/>
        </w:rPr>
        <w:t>פרקליטת</w:t>
      </w:r>
      <w:r w:rsidRPr="002265EF">
        <w:rPr>
          <w:rFonts w:ascii="Century" w:hAnsi="Century" w:cs="Miriam"/>
          <w:b/>
          <w:spacing w:val="0"/>
          <w:sz w:val="22"/>
          <w:szCs w:val="24"/>
          <w:rtl/>
        </w:rPr>
        <w:t xml:space="preserve"> </w:t>
      </w:r>
      <w:r w:rsidRPr="002265EF">
        <w:rPr>
          <w:rFonts w:ascii="Century" w:hAnsi="Century" w:cs="Miriam" w:hint="eastAsia"/>
          <w:b/>
          <w:spacing w:val="0"/>
          <w:sz w:val="22"/>
          <w:szCs w:val="24"/>
          <w:rtl/>
        </w:rPr>
        <w:t>המדינה</w:t>
      </w:r>
      <w:r w:rsidRPr="002265EF">
        <w:rPr>
          <w:rFonts w:ascii="Century" w:hAnsi="Century"/>
          <w:sz w:val="22"/>
          <w:rtl/>
        </w:rPr>
        <w:t xml:space="preserve">, </w:t>
      </w:r>
      <w:r w:rsidRPr="002265EF">
        <w:rPr>
          <w:rFonts w:ascii="Century" w:hAnsi="Century" w:hint="cs"/>
          <w:sz w:val="22"/>
          <w:rtl/>
        </w:rPr>
        <w:t xml:space="preserve">פ"ד </w:t>
      </w:r>
      <w:r w:rsidRPr="002265EF">
        <w:rPr>
          <w:rFonts w:ascii="Century" w:hAnsi="Century" w:hint="eastAsia"/>
          <w:sz w:val="22"/>
          <w:rtl/>
        </w:rPr>
        <w:t>נא</w:t>
      </w:r>
      <w:r w:rsidRPr="002265EF">
        <w:rPr>
          <w:rFonts w:ascii="Century" w:hAnsi="Century"/>
          <w:sz w:val="22"/>
          <w:rtl/>
        </w:rPr>
        <w:t xml:space="preserve">(3) </w:t>
      </w:r>
      <w:r w:rsidRPr="002265EF">
        <w:rPr>
          <w:rFonts w:ascii="Century" w:hAnsi="Century" w:hint="cs"/>
          <w:sz w:val="22"/>
          <w:rtl/>
        </w:rPr>
        <w:t>1, 13</w:t>
      </w:r>
      <w:r w:rsidRPr="002265EF">
        <w:rPr>
          <w:rFonts w:ascii="Century" w:hAnsi="Century"/>
          <w:sz w:val="22"/>
          <w:rtl/>
        </w:rPr>
        <w:t xml:space="preserve"> (1997)</w:t>
      </w:r>
      <w:r w:rsidRPr="002265EF">
        <w:rPr>
          <w:rFonts w:ascii="Century" w:hAnsi="Century" w:hint="cs"/>
          <w:sz w:val="22"/>
          <w:rtl/>
        </w:rPr>
        <w:t xml:space="preserve">; </w:t>
      </w:r>
      <w:r w:rsidRPr="002265EF">
        <w:rPr>
          <w:rFonts w:ascii="Century" w:hAnsi="Century" w:hint="eastAsia"/>
          <w:sz w:val="22"/>
          <w:rtl/>
        </w:rPr>
        <w:t>בג</w:t>
      </w:r>
      <w:r w:rsidRPr="002265EF">
        <w:rPr>
          <w:rFonts w:ascii="Century" w:hAnsi="Century"/>
          <w:sz w:val="22"/>
          <w:rtl/>
        </w:rPr>
        <w:t>"</w:t>
      </w:r>
      <w:r w:rsidRPr="002265EF">
        <w:rPr>
          <w:rFonts w:ascii="Century" w:hAnsi="Century" w:hint="eastAsia"/>
          <w:sz w:val="22"/>
          <w:rtl/>
        </w:rPr>
        <w:t>ץ</w:t>
      </w:r>
      <w:r w:rsidRPr="002265EF">
        <w:rPr>
          <w:rFonts w:ascii="Century" w:hAnsi="Century"/>
          <w:sz w:val="22"/>
          <w:rtl/>
        </w:rPr>
        <w:t xml:space="preserve"> 98/69 </w:t>
      </w:r>
      <w:r w:rsidRPr="002265EF">
        <w:rPr>
          <w:rFonts w:ascii="Century" w:hAnsi="Century" w:cs="Miriam" w:hint="eastAsia"/>
          <w:b/>
          <w:spacing w:val="0"/>
          <w:sz w:val="22"/>
          <w:szCs w:val="24"/>
          <w:rtl/>
        </w:rPr>
        <w:t>ברגמן</w:t>
      </w:r>
      <w:r w:rsidRPr="002265EF">
        <w:rPr>
          <w:rFonts w:ascii="Century" w:hAnsi="Century" w:cs="Miriam"/>
          <w:b/>
          <w:spacing w:val="0"/>
          <w:sz w:val="22"/>
          <w:szCs w:val="24"/>
          <w:rtl/>
        </w:rPr>
        <w:t xml:space="preserve"> </w:t>
      </w:r>
      <w:r w:rsidRPr="002265EF">
        <w:rPr>
          <w:rFonts w:ascii="Century" w:hAnsi="Century" w:cs="Miriam" w:hint="eastAsia"/>
          <w:b/>
          <w:spacing w:val="0"/>
          <w:sz w:val="22"/>
          <w:szCs w:val="24"/>
          <w:rtl/>
        </w:rPr>
        <w:t>נ</w:t>
      </w:r>
      <w:r w:rsidRPr="002265EF">
        <w:rPr>
          <w:rFonts w:ascii="Century" w:hAnsi="Century" w:cs="Miriam"/>
          <w:b/>
          <w:spacing w:val="0"/>
          <w:sz w:val="22"/>
          <w:szCs w:val="24"/>
          <w:rtl/>
        </w:rPr>
        <w:t xml:space="preserve">' </w:t>
      </w:r>
      <w:r w:rsidRPr="002265EF">
        <w:rPr>
          <w:rFonts w:ascii="Century" w:hAnsi="Century" w:cs="Miriam" w:hint="eastAsia"/>
          <w:b/>
          <w:spacing w:val="0"/>
          <w:sz w:val="22"/>
          <w:szCs w:val="24"/>
          <w:rtl/>
        </w:rPr>
        <w:t>שר</w:t>
      </w:r>
      <w:r w:rsidRPr="002265EF">
        <w:rPr>
          <w:rFonts w:ascii="Century" w:hAnsi="Century" w:cs="Miriam"/>
          <w:b/>
          <w:spacing w:val="0"/>
          <w:sz w:val="22"/>
          <w:szCs w:val="24"/>
          <w:rtl/>
        </w:rPr>
        <w:t xml:space="preserve"> </w:t>
      </w:r>
      <w:r w:rsidRPr="002265EF">
        <w:rPr>
          <w:rFonts w:ascii="Century" w:hAnsi="Century" w:cs="Miriam" w:hint="eastAsia"/>
          <w:b/>
          <w:spacing w:val="0"/>
          <w:sz w:val="22"/>
          <w:szCs w:val="24"/>
          <w:rtl/>
        </w:rPr>
        <w:t>האוצר</w:t>
      </w:r>
      <w:r w:rsidRPr="002265EF">
        <w:rPr>
          <w:rFonts w:ascii="Century" w:hAnsi="Century"/>
          <w:sz w:val="22"/>
          <w:rtl/>
        </w:rPr>
        <w:t xml:space="preserve">, </w:t>
      </w:r>
      <w:r w:rsidRPr="002265EF">
        <w:rPr>
          <w:rFonts w:ascii="Century" w:hAnsi="Century" w:hint="cs"/>
          <w:sz w:val="22"/>
          <w:rtl/>
        </w:rPr>
        <w:t xml:space="preserve">פ"ד </w:t>
      </w:r>
      <w:r w:rsidRPr="002265EF">
        <w:rPr>
          <w:rFonts w:ascii="Century" w:hAnsi="Century" w:hint="eastAsia"/>
          <w:sz w:val="22"/>
          <w:rtl/>
        </w:rPr>
        <w:t>כג</w:t>
      </w:r>
      <w:r w:rsidRPr="002265EF">
        <w:rPr>
          <w:rFonts w:ascii="Century" w:hAnsi="Century"/>
          <w:sz w:val="22"/>
          <w:rtl/>
        </w:rPr>
        <w:t xml:space="preserve">(1) </w:t>
      </w:r>
      <w:r w:rsidRPr="002265EF">
        <w:rPr>
          <w:rFonts w:ascii="Century" w:hAnsi="Century" w:hint="cs"/>
          <w:sz w:val="22"/>
          <w:rtl/>
        </w:rPr>
        <w:t>693, 699</w:t>
      </w:r>
      <w:r w:rsidRPr="002265EF">
        <w:rPr>
          <w:rFonts w:ascii="Century" w:hAnsi="Century"/>
          <w:sz w:val="22"/>
          <w:rtl/>
        </w:rPr>
        <w:t xml:space="preserve"> (1969)</w:t>
      </w:r>
      <w:r w:rsidRPr="002265EF">
        <w:rPr>
          <w:rFonts w:ascii="Century" w:hAnsi="Century" w:hint="cs"/>
          <w:sz w:val="22"/>
          <w:rtl/>
        </w:rPr>
        <w:t>).</w:t>
      </w:r>
      <w:r>
        <w:rPr>
          <w:rFonts w:hint="cs"/>
          <w:rtl/>
        </w:rPr>
        <w:t xml:space="preserve"> </w:t>
      </w:r>
      <w:r w:rsidRPr="002265EF">
        <w:rPr>
          <w:rFonts w:ascii="Century" w:hAnsi="Century" w:hint="cs"/>
          <w:sz w:val="22"/>
          <w:rtl/>
        </w:rPr>
        <w:t>כולנו מרכינים את ראשינו בפני הדין, ואילו הדין אינו מרכין את ראשו בפני איש.</w:t>
      </w:r>
    </w:p>
    <w:p w14:paraId="423D0E49" w14:textId="77777777" w:rsidR="00EF114E" w:rsidRDefault="00EF114E" w:rsidP="00EF114E">
      <w:pPr>
        <w:pStyle w:val="BODYVERDICT"/>
        <w:rPr>
          <w:rFonts w:cs="Miriam"/>
          <w:b/>
          <w:bCs/>
          <w:sz w:val="24"/>
          <w:szCs w:val="24"/>
          <w:rtl/>
        </w:rPr>
      </w:pPr>
    </w:p>
    <w:p w14:paraId="3B59DB30" w14:textId="77777777" w:rsidR="00EF114E" w:rsidRP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p>
    <w:p w14:paraId="013AA405" w14:textId="77777777" w:rsidR="00EF114E" w:rsidRDefault="00EF114E" w:rsidP="00EF114E">
      <w:pPr>
        <w:pStyle w:val="BODYVERDICT"/>
        <w:rPr>
          <w:rFonts w:cs="Miriam"/>
          <w:b/>
          <w:bCs/>
          <w:sz w:val="24"/>
          <w:szCs w:val="24"/>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p>
    <w:p w14:paraId="41B316A7" w14:textId="77777777" w:rsidR="00EF114E" w:rsidRDefault="00EF114E" w:rsidP="00EF114E">
      <w:pPr>
        <w:pStyle w:val="BODYVERDICT"/>
        <w:rPr>
          <w:rFonts w:cs="Miriam"/>
          <w:b/>
          <w:bCs/>
          <w:sz w:val="24"/>
          <w:szCs w:val="24"/>
          <w:rtl/>
        </w:rPr>
      </w:pPr>
    </w:p>
    <w:p w14:paraId="0E78DF69" w14:textId="77777777" w:rsidR="00EF114E" w:rsidRDefault="00EF114E" w:rsidP="00D316ED">
      <w:pPr>
        <w:pStyle w:val="BODYVERDICT"/>
        <w:rPr>
          <w:rFonts w:cs="Miriam"/>
          <w:b/>
          <w:bCs/>
          <w:sz w:val="24"/>
          <w:szCs w:val="24"/>
          <w:rtl/>
        </w:rPr>
      </w:pPr>
      <w:r>
        <w:rPr>
          <w:rFonts w:cs="Miriam" w:hint="cs"/>
          <w:sz w:val="24"/>
          <w:szCs w:val="24"/>
          <w:u w:val="single"/>
          <w:rtl/>
        </w:rPr>
        <w:t>השופט י</w:t>
      </w:r>
      <w:r w:rsidR="00D316ED">
        <w:rPr>
          <w:rFonts w:cs="Miriam" w:hint="cs"/>
          <w:sz w:val="24"/>
          <w:szCs w:val="24"/>
          <w:u w:val="single"/>
          <w:rtl/>
        </w:rPr>
        <w:t xml:space="preserve">' </w:t>
      </w:r>
      <w:r>
        <w:rPr>
          <w:rFonts w:cs="Miriam" w:hint="cs"/>
          <w:sz w:val="24"/>
          <w:szCs w:val="24"/>
          <w:u w:val="single"/>
          <w:rtl/>
        </w:rPr>
        <w:t>עמית:</w:t>
      </w:r>
    </w:p>
    <w:p w14:paraId="4E1F7CCF" w14:textId="77777777" w:rsidR="00D316ED" w:rsidRDefault="00D316ED" w:rsidP="00D316ED">
      <w:pPr>
        <w:jc w:val="right"/>
        <w:rPr>
          <w:rFonts w:cs="Miriam"/>
          <w:b/>
          <w:bCs/>
          <w:u w:val="single"/>
        </w:rPr>
      </w:pPr>
    </w:p>
    <w:p w14:paraId="2903FDD9" w14:textId="77777777" w:rsidR="00D316ED" w:rsidRPr="00B65D90" w:rsidRDefault="00D316ED" w:rsidP="00D316ED">
      <w:pPr>
        <w:pStyle w:val="BODYVERDICT"/>
        <w:rPr>
          <w:rFonts w:cs="Miriam"/>
          <w:sz w:val="4"/>
          <w:szCs w:val="4"/>
          <w:u w:val="single"/>
          <w:rtl/>
        </w:rPr>
      </w:pPr>
    </w:p>
    <w:p w14:paraId="192E2FD9" w14:textId="77777777" w:rsidR="00D316ED" w:rsidRDefault="00D316ED" w:rsidP="00D316ED">
      <w:pPr>
        <w:pStyle w:val="Ruller41"/>
        <w:rPr>
          <w:rtl/>
        </w:rPr>
      </w:pPr>
    </w:p>
    <w:p w14:paraId="1BEE4C49" w14:textId="77777777" w:rsidR="00D316ED" w:rsidRDefault="00D316ED" w:rsidP="00D316ED">
      <w:pPr>
        <w:pStyle w:val="Ruller41"/>
        <w:rPr>
          <w:rtl/>
        </w:rPr>
      </w:pPr>
      <w:r>
        <w:rPr>
          <w:rtl/>
        </w:rPr>
        <w:tab/>
      </w:r>
      <w:r>
        <w:rPr>
          <w:rFonts w:hint="cs"/>
          <w:rtl/>
        </w:rPr>
        <w:t xml:space="preserve">אני מצטרף לפסק דינה של חברתי הנשיאה, ואוסיף מספר הערות משל עצמי. </w:t>
      </w:r>
    </w:p>
    <w:p w14:paraId="1FF145B1" w14:textId="77777777" w:rsidR="00D316ED" w:rsidRDefault="00D316ED" w:rsidP="00D316ED">
      <w:pPr>
        <w:pStyle w:val="Ruller41"/>
        <w:rPr>
          <w:rtl/>
        </w:rPr>
      </w:pPr>
    </w:p>
    <w:p w14:paraId="060B617C" w14:textId="77777777" w:rsidR="00D316ED" w:rsidRPr="009604B5" w:rsidRDefault="00D316ED" w:rsidP="00D316ED">
      <w:pPr>
        <w:pStyle w:val="Ruller41"/>
        <w:rPr>
          <w:rFonts w:ascii="Century" w:hAnsi="Century" w:cs="Miriam"/>
          <w:b/>
          <w:spacing w:val="0"/>
          <w:szCs w:val="24"/>
          <w:rtl/>
        </w:rPr>
      </w:pPr>
      <w:r w:rsidRPr="009604B5">
        <w:rPr>
          <w:rFonts w:ascii="Century" w:hAnsi="Century" w:cs="Miriam" w:hint="cs"/>
          <w:b/>
          <w:spacing w:val="0"/>
          <w:szCs w:val="24"/>
          <w:rtl/>
        </w:rPr>
        <w:t>פתח דבר</w:t>
      </w:r>
    </w:p>
    <w:p w14:paraId="7DA77EC7" w14:textId="77777777" w:rsidR="00D316ED" w:rsidRDefault="00D316ED" w:rsidP="00D316ED">
      <w:pPr>
        <w:pStyle w:val="Ruller41"/>
        <w:rPr>
          <w:rtl/>
        </w:rPr>
      </w:pPr>
    </w:p>
    <w:p w14:paraId="1DB782FE" w14:textId="77777777" w:rsidR="00D316ED" w:rsidRPr="00B84DC8" w:rsidRDefault="00D316ED" w:rsidP="00D316ED">
      <w:pPr>
        <w:pStyle w:val="Ruller41"/>
        <w:rPr>
          <w:rFonts w:ascii="Century" w:hAnsi="Century"/>
          <w:rtl/>
        </w:rPr>
      </w:pPr>
      <w:r w:rsidRPr="00B75CD7">
        <w:rPr>
          <w:rFonts w:hint="cs"/>
          <w:rtl/>
        </w:rPr>
        <w:t>1.</w:t>
      </w:r>
      <w:r w:rsidRPr="00B75CD7">
        <w:rPr>
          <w:rFonts w:hint="cs"/>
          <w:rtl/>
        </w:rPr>
        <w:tab/>
        <w:t xml:space="preserve">אי היציבות הפוליטית בישראל בשנים האחרונות, כפי שבאה לידי ביטוי בחמש מערכות בחירות תוך כשלוש שנים וחצי, קולעת את מערכת המשפט פעם אחר פעם ל"חלום בלהות חוקתי" ולעין הסערה הפוליטית. </w:t>
      </w:r>
      <w:r w:rsidRPr="00B84DC8">
        <w:rPr>
          <w:rFonts w:hint="eastAsia"/>
          <w:rtl/>
        </w:rPr>
        <w:t>בד</w:t>
      </w:r>
      <w:r w:rsidRPr="00B84DC8">
        <w:rPr>
          <w:rtl/>
        </w:rPr>
        <w:t xml:space="preserve"> בבד, </w:t>
      </w:r>
      <w:r>
        <w:rPr>
          <w:rFonts w:hint="cs"/>
          <w:rtl/>
        </w:rPr>
        <w:t xml:space="preserve">למרבה הצער, </w:t>
      </w:r>
      <w:r w:rsidRPr="00B84DC8">
        <w:rPr>
          <w:rFonts w:hint="eastAsia"/>
          <w:rtl/>
        </w:rPr>
        <w:t>אנו</w:t>
      </w:r>
      <w:r w:rsidRPr="00B84DC8">
        <w:rPr>
          <w:rtl/>
        </w:rPr>
        <w:t xml:space="preserve"> עדים </w:t>
      </w:r>
      <w:r w:rsidRPr="00B84DC8">
        <w:rPr>
          <w:rFonts w:hint="eastAsia"/>
          <w:rtl/>
        </w:rPr>
        <w:t>לירידה</w:t>
      </w:r>
      <w:r w:rsidRPr="00B84DC8">
        <w:rPr>
          <w:rtl/>
        </w:rPr>
        <w:t xml:space="preserve"> </w:t>
      </w:r>
      <w:r w:rsidRPr="00B84DC8">
        <w:rPr>
          <w:rFonts w:hint="eastAsia"/>
          <w:rtl/>
        </w:rPr>
        <w:t>ברף</w:t>
      </w:r>
      <w:r w:rsidRPr="00B84DC8">
        <w:rPr>
          <w:rtl/>
        </w:rPr>
        <w:t xml:space="preserve"> </w:t>
      </w:r>
      <w:r w:rsidRPr="00B84DC8">
        <w:rPr>
          <w:rFonts w:hint="eastAsia"/>
          <w:rtl/>
        </w:rPr>
        <w:t>הנורמות</w:t>
      </w:r>
      <w:r w:rsidRPr="00B84DC8">
        <w:rPr>
          <w:rtl/>
        </w:rPr>
        <w:t xml:space="preserve"> </w:t>
      </w:r>
      <w:r w:rsidRPr="00B84DC8">
        <w:rPr>
          <w:rFonts w:hint="eastAsia"/>
          <w:rtl/>
        </w:rPr>
        <w:t>הערכיות</w:t>
      </w:r>
      <w:r w:rsidRPr="00B84DC8">
        <w:rPr>
          <w:rtl/>
        </w:rPr>
        <w:t xml:space="preserve"> </w:t>
      </w:r>
      <w:r w:rsidRPr="00B84DC8">
        <w:rPr>
          <w:rFonts w:hint="eastAsia"/>
          <w:rtl/>
        </w:rPr>
        <w:t>והמוסריות</w:t>
      </w:r>
      <w:r w:rsidRPr="00B84DC8">
        <w:rPr>
          <w:rtl/>
        </w:rPr>
        <w:t xml:space="preserve"> </w:t>
      </w:r>
      <w:r w:rsidRPr="00B84DC8">
        <w:rPr>
          <w:rFonts w:hint="eastAsia"/>
          <w:rtl/>
        </w:rPr>
        <w:t>שנבחרי</w:t>
      </w:r>
      <w:r w:rsidRPr="00B84DC8">
        <w:rPr>
          <w:rtl/>
        </w:rPr>
        <w:t xml:space="preserve"> </w:t>
      </w:r>
      <w:r w:rsidRPr="00B84DC8">
        <w:rPr>
          <w:rFonts w:hint="eastAsia"/>
          <w:rtl/>
        </w:rPr>
        <w:t>הציבור</w:t>
      </w:r>
      <w:r w:rsidRPr="00B84DC8">
        <w:rPr>
          <w:rtl/>
        </w:rPr>
        <w:t xml:space="preserve"> </w:t>
      </w:r>
      <w:r w:rsidRPr="00B84DC8">
        <w:rPr>
          <w:rFonts w:hint="eastAsia"/>
          <w:rtl/>
        </w:rPr>
        <w:t>מציבים</w:t>
      </w:r>
      <w:r w:rsidRPr="00B84DC8">
        <w:rPr>
          <w:rtl/>
        </w:rPr>
        <w:t xml:space="preserve"> </w:t>
      </w:r>
      <w:r w:rsidRPr="00B84DC8">
        <w:rPr>
          <w:rFonts w:hint="eastAsia"/>
          <w:rtl/>
        </w:rPr>
        <w:t>לעצמם</w:t>
      </w:r>
      <w:r w:rsidRPr="00B84DC8">
        <w:rPr>
          <w:rtl/>
        </w:rPr>
        <w:t>, כפי שבא</w:t>
      </w:r>
      <w:r>
        <w:rPr>
          <w:rFonts w:hint="cs"/>
          <w:rtl/>
        </w:rPr>
        <w:t>ה</w:t>
      </w:r>
      <w:r w:rsidRPr="00B84DC8">
        <w:rPr>
          <w:rtl/>
        </w:rPr>
        <w:t xml:space="preserve"> לידי ביטוי בתיקון לחוק יסוד: הממשלה </w:t>
      </w:r>
      <w:r>
        <w:rPr>
          <w:rtl/>
        </w:rPr>
        <w:t>(להלן</w:t>
      </w:r>
      <w:r>
        <w:rPr>
          <w:rFonts w:hint="cs"/>
          <w:rtl/>
        </w:rPr>
        <w:t xml:space="preserve"> גם</w:t>
      </w:r>
      <w:r>
        <w:rPr>
          <w:rtl/>
        </w:rPr>
        <w:t>:</w:t>
      </w:r>
      <w:r>
        <w:rPr>
          <w:rFonts w:hint="cs"/>
          <w:rtl/>
        </w:rPr>
        <w:t xml:space="preserve"> </w:t>
      </w:r>
      <w:r w:rsidRPr="00B3053F">
        <w:rPr>
          <w:rFonts w:ascii="Century" w:hAnsi="Century" w:cs="Miriam" w:hint="eastAsia"/>
          <w:b/>
          <w:spacing w:val="0"/>
          <w:szCs w:val="24"/>
          <w:rtl/>
        </w:rPr>
        <w:t>חוק</w:t>
      </w:r>
      <w:r w:rsidRPr="00B3053F">
        <w:rPr>
          <w:rFonts w:ascii="Century" w:hAnsi="Century" w:cs="Miriam"/>
          <w:b/>
          <w:spacing w:val="0"/>
          <w:szCs w:val="24"/>
          <w:rtl/>
        </w:rPr>
        <w:t xml:space="preserve"> </w:t>
      </w:r>
      <w:r w:rsidRPr="00B3053F">
        <w:rPr>
          <w:rFonts w:ascii="Century" w:hAnsi="Century" w:cs="Miriam" w:hint="eastAsia"/>
          <w:b/>
          <w:spacing w:val="0"/>
          <w:szCs w:val="24"/>
          <w:rtl/>
        </w:rPr>
        <w:t>היסוד</w:t>
      </w:r>
      <w:r>
        <w:rPr>
          <w:rFonts w:ascii="Century" w:hAnsi="Century" w:hint="cs"/>
          <w:rtl/>
        </w:rPr>
        <w:t>)</w:t>
      </w:r>
      <w:r>
        <w:rPr>
          <w:rtl/>
        </w:rPr>
        <w:t xml:space="preserve"> </w:t>
      </w:r>
      <w:r w:rsidRPr="00B84DC8">
        <w:rPr>
          <w:rtl/>
        </w:rPr>
        <w:t xml:space="preserve">נושא דיון זה. </w:t>
      </w:r>
      <w:r w:rsidRPr="00B84DC8">
        <w:rPr>
          <w:rFonts w:hint="eastAsia"/>
          <w:rtl/>
        </w:rPr>
        <w:t>אך</w:t>
      </w:r>
      <w:r w:rsidRPr="00B84DC8">
        <w:rPr>
          <w:rtl/>
        </w:rPr>
        <w:t xml:space="preserve"> נזכיר </w:t>
      </w:r>
      <w:r w:rsidRPr="00B84DC8">
        <w:rPr>
          <w:rtl/>
        </w:rPr>
        <w:lastRenderedPageBreak/>
        <w:t xml:space="preserve">כי </w:t>
      </w:r>
      <w:r>
        <w:rPr>
          <w:rFonts w:hint="cs"/>
          <w:rtl/>
        </w:rPr>
        <w:t xml:space="preserve">גם </w:t>
      </w:r>
      <w:r w:rsidRPr="00B84DC8">
        <w:rPr>
          <w:rFonts w:hint="eastAsia"/>
          <w:rtl/>
        </w:rPr>
        <w:t>אמת</w:t>
      </w:r>
      <w:r w:rsidRPr="00B84DC8">
        <w:rPr>
          <w:rtl/>
        </w:rPr>
        <w:t xml:space="preserve">, הגינות, </w:t>
      </w:r>
      <w:r w:rsidRPr="00B84DC8">
        <w:rPr>
          <w:rFonts w:hint="eastAsia"/>
          <w:rtl/>
        </w:rPr>
        <w:t>יושר</w:t>
      </w:r>
      <w:r w:rsidRPr="00B84DC8">
        <w:rPr>
          <w:rtl/>
        </w:rPr>
        <w:t xml:space="preserve">, </w:t>
      </w:r>
      <w:r w:rsidRPr="00B84DC8">
        <w:rPr>
          <w:rFonts w:hint="eastAsia"/>
          <w:rtl/>
        </w:rPr>
        <w:t>נ</w:t>
      </w:r>
      <w:r>
        <w:rPr>
          <w:rFonts w:hint="cs"/>
          <w:rtl/>
        </w:rPr>
        <w:t>י</w:t>
      </w:r>
      <w:r w:rsidRPr="00B84DC8">
        <w:rPr>
          <w:rFonts w:hint="eastAsia"/>
          <w:rtl/>
        </w:rPr>
        <w:t>קיון</w:t>
      </w:r>
      <w:r w:rsidRPr="00B84DC8">
        <w:rPr>
          <w:rtl/>
        </w:rPr>
        <w:t xml:space="preserve"> כפיים, טוהר השירות </w:t>
      </w:r>
      <w:r w:rsidRPr="00B84DC8">
        <w:rPr>
          <w:rFonts w:hint="eastAsia"/>
          <w:rtl/>
        </w:rPr>
        <w:t>הציבורי</w:t>
      </w:r>
      <w:r w:rsidRPr="00B84DC8">
        <w:rPr>
          <w:rtl/>
        </w:rPr>
        <w:t xml:space="preserve"> – כל אלה ה</w:t>
      </w:r>
      <w:r w:rsidRPr="00B84DC8">
        <w:rPr>
          <w:rFonts w:hint="eastAsia"/>
          <w:rtl/>
        </w:rPr>
        <w:t>ם</w:t>
      </w:r>
      <w:r w:rsidRPr="00B84DC8">
        <w:rPr>
          <w:rtl/>
        </w:rPr>
        <w:t xml:space="preserve"> </w:t>
      </w:r>
      <w:r w:rsidRPr="00B84DC8">
        <w:rPr>
          <w:rFonts w:hint="eastAsia"/>
          <w:rtl/>
        </w:rPr>
        <w:t>חלק</w:t>
      </w:r>
      <w:r w:rsidRPr="00B84DC8">
        <w:rPr>
          <w:rtl/>
        </w:rPr>
        <w:t xml:space="preserve"> </w:t>
      </w:r>
      <w:r w:rsidRPr="00B84DC8">
        <w:rPr>
          <w:rFonts w:hint="eastAsia"/>
          <w:rtl/>
        </w:rPr>
        <w:t>מהדרישות</w:t>
      </w:r>
      <w:r w:rsidRPr="00B84DC8">
        <w:rPr>
          <w:rtl/>
        </w:rPr>
        <w:t xml:space="preserve"> </w:t>
      </w:r>
      <w:r w:rsidRPr="00B84DC8">
        <w:rPr>
          <w:rFonts w:hint="eastAsia"/>
          <w:rtl/>
        </w:rPr>
        <w:t>שהציבור</w:t>
      </w:r>
      <w:r w:rsidRPr="00B84DC8">
        <w:rPr>
          <w:rtl/>
        </w:rPr>
        <w:t xml:space="preserve"> </w:t>
      </w:r>
      <w:r w:rsidRPr="00B84DC8">
        <w:rPr>
          <w:rFonts w:hint="eastAsia"/>
          <w:rtl/>
        </w:rPr>
        <w:t>מצפה</w:t>
      </w:r>
      <w:r w:rsidRPr="00B84DC8">
        <w:rPr>
          <w:rtl/>
        </w:rPr>
        <w:t xml:space="preserve"> </w:t>
      </w:r>
      <w:r w:rsidRPr="00B84DC8">
        <w:rPr>
          <w:rFonts w:hint="eastAsia"/>
          <w:rtl/>
        </w:rPr>
        <w:t>לה</w:t>
      </w:r>
      <w:r>
        <w:rPr>
          <w:rFonts w:hint="cs"/>
          <w:rtl/>
        </w:rPr>
        <w:t>ן</w:t>
      </w:r>
      <w:r w:rsidRPr="00B84DC8">
        <w:rPr>
          <w:rtl/>
        </w:rPr>
        <w:t xml:space="preserve"> </w:t>
      </w:r>
      <w:r w:rsidRPr="00B84DC8">
        <w:rPr>
          <w:rFonts w:hint="eastAsia"/>
          <w:rtl/>
        </w:rPr>
        <w:t>מנבחריו</w:t>
      </w:r>
      <w:r w:rsidRPr="00B84DC8">
        <w:rPr>
          <w:rtl/>
        </w:rPr>
        <w:t xml:space="preserve"> ובכיריו. </w:t>
      </w:r>
    </w:p>
    <w:p w14:paraId="242916ED" w14:textId="77777777" w:rsidR="00D316ED" w:rsidRPr="006E29B6" w:rsidRDefault="00D316ED" w:rsidP="00D316ED">
      <w:pPr>
        <w:pStyle w:val="Ruller41"/>
        <w:rPr>
          <w:rFonts w:ascii="Century" w:hAnsi="Century"/>
          <w:highlight w:val="yellow"/>
        </w:rPr>
      </w:pPr>
    </w:p>
    <w:p w14:paraId="576154F8" w14:textId="77777777" w:rsidR="00D316ED" w:rsidRPr="00B75CD7" w:rsidRDefault="00D316ED" w:rsidP="00D316ED">
      <w:pPr>
        <w:pStyle w:val="Ruller41"/>
        <w:rPr>
          <w:rFonts w:ascii="Century" w:hAnsi="Century"/>
          <w:rtl/>
        </w:rPr>
      </w:pPr>
      <w:r w:rsidRPr="00260E9B">
        <w:rPr>
          <w:rFonts w:ascii="Century" w:hAnsi="Century" w:hint="cs"/>
          <w:rtl/>
        </w:rPr>
        <w:t>2.</w:t>
      </w:r>
      <w:r w:rsidRPr="0055790D">
        <w:rPr>
          <w:rFonts w:ascii="Century" w:hAnsi="Century"/>
          <w:rtl/>
        </w:rPr>
        <w:tab/>
        <w:t>"</w:t>
      </w:r>
      <w:r w:rsidRPr="0055790D">
        <w:rPr>
          <w:rFonts w:ascii="Century" w:hAnsi="Century" w:hint="eastAsia"/>
          <w:rtl/>
        </w:rPr>
        <w:t>אשריה</w:t>
      </w:r>
      <w:r w:rsidRPr="0055790D">
        <w:rPr>
          <w:rFonts w:ascii="Century" w:hAnsi="Century"/>
          <w:rtl/>
        </w:rPr>
        <w:t xml:space="preserve"> </w:t>
      </w:r>
      <w:r w:rsidRPr="0055790D">
        <w:rPr>
          <w:rFonts w:ascii="Century" w:hAnsi="Century" w:hint="eastAsia"/>
          <w:rtl/>
        </w:rPr>
        <w:t>חברה</w:t>
      </w:r>
      <w:r w:rsidRPr="0055790D">
        <w:rPr>
          <w:rFonts w:ascii="Century" w:hAnsi="Century"/>
          <w:rtl/>
        </w:rPr>
        <w:t xml:space="preserve"> </w:t>
      </w:r>
      <w:r w:rsidRPr="0055790D">
        <w:rPr>
          <w:rFonts w:ascii="Century" w:hAnsi="Century" w:hint="eastAsia"/>
          <w:rtl/>
        </w:rPr>
        <w:t>שתרבות</w:t>
      </w:r>
      <w:r w:rsidRPr="0055790D">
        <w:rPr>
          <w:rFonts w:ascii="Century" w:hAnsi="Century"/>
          <w:rtl/>
        </w:rPr>
        <w:t xml:space="preserve"> </w:t>
      </w:r>
      <w:r w:rsidRPr="0055790D">
        <w:rPr>
          <w:rFonts w:ascii="Century" w:hAnsi="Century" w:hint="eastAsia"/>
          <w:rtl/>
        </w:rPr>
        <w:t>ה</w:t>
      </w:r>
      <w:r w:rsidRPr="0055790D">
        <w:rPr>
          <w:rFonts w:ascii="Century" w:hAnsi="Century"/>
          <w:rtl/>
        </w:rPr>
        <w:t>-</w:t>
      </w:r>
      <w:r w:rsidRPr="0055790D">
        <w:rPr>
          <w:rFonts w:ascii="Century" w:hAnsi="Century"/>
        </w:rPr>
        <w:t xml:space="preserve"> </w:t>
      </w:r>
      <w:r w:rsidRPr="00B84DC8">
        <w:rPr>
          <w:rFonts w:asciiTheme="majorBidi" w:hAnsiTheme="majorBidi" w:cstheme="majorBidi"/>
          <w:sz w:val="23"/>
          <w:szCs w:val="23"/>
        </w:rPr>
        <w:t>it isn’t done</w:t>
      </w:r>
      <w:r w:rsidRPr="0055790D">
        <w:rPr>
          <w:rFonts w:ascii="Century" w:hAnsi="Century" w:hint="eastAsia"/>
          <w:rtl/>
        </w:rPr>
        <w:t>מוטמעת</w:t>
      </w:r>
      <w:r w:rsidRPr="0055790D">
        <w:rPr>
          <w:rFonts w:ascii="Century" w:hAnsi="Century"/>
          <w:rtl/>
        </w:rPr>
        <w:t xml:space="preserve"> </w:t>
      </w:r>
      <w:r w:rsidRPr="0055790D">
        <w:rPr>
          <w:rFonts w:ascii="Century" w:hAnsi="Century" w:hint="eastAsia"/>
          <w:rtl/>
        </w:rPr>
        <w:t>באורחות</w:t>
      </w:r>
      <w:r w:rsidRPr="0055790D">
        <w:rPr>
          <w:rFonts w:ascii="Century" w:hAnsi="Century"/>
          <w:rtl/>
        </w:rPr>
        <w:t xml:space="preserve"> </w:t>
      </w:r>
      <w:r w:rsidRPr="0055790D">
        <w:rPr>
          <w:rFonts w:ascii="Century" w:hAnsi="Century" w:hint="eastAsia"/>
          <w:rtl/>
        </w:rPr>
        <w:t>השלטון</w:t>
      </w:r>
      <w:r w:rsidRPr="0055790D">
        <w:rPr>
          <w:rFonts w:ascii="Century" w:hAnsi="Century"/>
          <w:rtl/>
        </w:rPr>
        <w:t xml:space="preserve"> </w:t>
      </w:r>
      <w:r w:rsidRPr="0055790D">
        <w:rPr>
          <w:rFonts w:ascii="Century" w:hAnsi="Century" w:hint="eastAsia"/>
          <w:rtl/>
        </w:rPr>
        <w:t>שבה</w:t>
      </w:r>
      <w:r w:rsidRPr="0055790D">
        <w:rPr>
          <w:rFonts w:ascii="Century" w:hAnsi="Century"/>
          <w:rtl/>
        </w:rPr>
        <w:t xml:space="preserve">. </w:t>
      </w:r>
      <w:r w:rsidRPr="0055790D">
        <w:rPr>
          <w:rFonts w:ascii="Century" w:hAnsi="Century" w:hint="eastAsia"/>
          <w:rtl/>
        </w:rPr>
        <w:t>אשריו</w:t>
      </w:r>
      <w:r w:rsidRPr="0055790D">
        <w:rPr>
          <w:rFonts w:ascii="Century" w:hAnsi="Century"/>
          <w:rtl/>
        </w:rPr>
        <w:t xml:space="preserve"> </w:t>
      </w:r>
      <w:r w:rsidRPr="0055790D">
        <w:rPr>
          <w:rFonts w:ascii="Century" w:hAnsi="Century" w:hint="eastAsia"/>
          <w:rtl/>
        </w:rPr>
        <w:t>בית</w:t>
      </w:r>
      <w:r w:rsidRPr="0055790D">
        <w:rPr>
          <w:rFonts w:ascii="Century" w:hAnsi="Century"/>
          <w:rtl/>
        </w:rPr>
        <w:t>-</w:t>
      </w:r>
      <w:r w:rsidRPr="0055790D">
        <w:rPr>
          <w:rFonts w:ascii="Century" w:hAnsi="Century" w:hint="eastAsia"/>
          <w:rtl/>
        </w:rPr>
        <w:t>משפט</w:t>
      </w:r>
      <w:r w:rsidRPr="0055790D">
        <w:rPr>
          <w:rFonts w:ascii="Century" w:hAnsi="Century"/>
          <w:rtl/>
        </w:rPr>
        <w:t xml:space="preserve"> </w:t>
      </w:r>
      <w:r w:rsidRPr="0055790D">
        <w:rPr>
          <w:rFonts w:ascii="Century" w:hAnsi="Century" w:hint="eastAsia"/>
          <w:rtl/>
        </w:rPr>
        <w:t>שלא</w:t>
      </w:r>
      <w:r w:rsidRPr="0055790D">
        <w:rPr>
          <w:rFonts w:ascii="Century" w:hAnsi="Century"/>
          <w:rtl/>
        </w:rPr>
        <w:t xml:space="preserve"> </w:t>
      </w:r>
      <w:r w:rsidRPr="0055790D">
        <w:rPr>
          <w:rFonts w:ascii="Century" w:hAnsi="Century" w:hint="eastAsia"/>
          <w:rtl/>
        </w:rPr>
        <w:t>הוטל</w:t>
      </w:r>
      <w:r w:rsidRPr="0055790D">
        <w:rPr>
          <w:rFonts w:ascii="Century" w:hAnsi="Century"/>
          <w:rtl/>
        </w:rPr>
        <w:t xml:space="preserve"> </w:t>
      </w:r>
      <w:r w:rsidRPr="0055790D">
        <w:rPr>
          <w:rFonts w:ascii="Century" w:hAnsi="Century" w:hint="eastAsia"/>
          <w:rtl/>
        </w:rPr>
        <w:t>עליו</w:t>
      </w:r>
      <w:r w:rsidRPr="0055790D">
        <w:rPr>
          <w:rFonts w:ascii="Century" w:hAnsi="Century"/>
          <w:rtl/>
        </w:rPr>
        <w:t xml:space="preserve"> </w:t>
      </w:r>
      <w:r w:rsidRPr="0055790D">
        <w:rPr>
          <w:rFonts w:ascii="Century" w:hAnsi="Century" w:hint="eastAsia"/>
          <w:rtl/>
        </w:rPr>
        <w:t>להכריע</w:t>
      </w:r>
      <w:r w:rsidRPr="0055790D">
        <w:rPr>
          <w:rFonts w:ascii="Century" w:hAnsi="Century"/>
          <w:rtl/>
        </w:rPr>
        <w:t xml:space="preserve"> </w:t>
      </w:r>
      <w:r w:rsidRPr="0055790D">
        <w:rPr>
          <w:rFonts w:ascii="Century" w:hAnsi="Century" w:hint="eastAsia"/>
          <w:rtl/>
        </w:rPr>
        <w:t>בנושאים</w:t>
      </w:r>
      <w:r w:rsidRPr="0055790D">
        <w:rPr>
          <w:rFonts w:ascii="Century" w:hAnsi="Century"/>
          <w:rtl/>
        </w:rPr>
        <w:t xml:space="preserve"> </w:t>
      </w:r>
      <w:r w:rsidRPr="0055790D">
        <w:rPr>
          <w:rFonts w:ascii="Century" w:hAnsi="Century" w:hint="eastAsia"/>
          <w:rtl/>
        </w:rPr>
        <w:t>שתרבות</w:t>
      </w:r>
      <w:r w:rsidRPr="0055790D">
        <w:rPr>
          <w:rFonts w:ascii="Century" w:hAnsi="Century"/>
          <w:rtl/>
        </w:rPr>
        <w:t xml:space="preserve"> </w:t>
      </w:r>
      <w:r w:rsidRPr="0055790D">
        <w:rPr>
          <w:rFonts w:ascii="Century" w:hAnsi="Century" w:hint="eastAsia"/>
          <w:rtl/>
        </w:rPr>
        <w:t>ה</w:t>
      </w:r>
      <w:r w:rsidRPr="0055790D">
        <w:rPr>
          <w:rFonts w:ascii="Century" w:hAnsi="Century"/>
          <w:rtl/>
        </w:rPr>
        <w:t>-</w:t>
      </w:r>
      <w:r w:rsidRPr="00B84DC8">
        <w:rPr>
          <w:rFonts w:asciiTheme="majorBidi" w:hAnsiTheme="majorBidi" w:cstheme="majorBidi"/>
          <w:sz w:val="23"/>
          <w:szCs w:val="23"/>
        </w:rPr>
        <w:t>it isn’t done</w:t>
      </w:r>
      <w:r w:rsidRPr="0055790D">
        <w:rPr>
          <w:rFonts w:ascii="Century" w:hAnsi="Century"/>
          <w:rtl/>
        </w:rPr>
        <w:t xml:space="preserve"> </w:t>
      </w:r>
      <w:r w:rsidRPr="0055790D">
        <w:rPr>
          <w:rFonts w:ascii="Century" w:hAnsi="Century" w:hint="eastAsia"/>
          <w:rtl/>
        </w:rPr>
        <w:t>מכריעה</w:t>
      </w:r>
      <w:r w:rsidRPr="0055790D">
        <w:rPr>
          <w:rFonts w:ascii="Century" w:hAnsi="Century"/>
          <w:rtl/>
        </w:rPr>
        <w:t xml:space="preserve"> </w:t>
      </w:r>
      <w:r w:rsidRPr="0055790D">
        <w:rPr>
          <w:rFonts w:ascii="Century" w:hAnsi="Century" w:hint="eastAsia"/>
          <w:rtl/>
        </w:rPr>
        <w:t>בהם</w:t>
      </w:r>
      <w:r w:rsidRPr="0055790D">
        <w:rPr>
          <w:rFonts w:ascii="Century" w:hAnsi="Century"/>
          <w:rtl/>
        </w:rPr>
        <w:t xml:space="preserve">, </w:t>
      </w:r>
      <w:r w:rsidRPr="0055790D">
        <w:rPr>
          <w:rFonts w:ascii="Century" w:hAnsi="Century" w:hint="eastAsia"/>
          <w:rtl/>
        </w:rPr>
        <w:t>ובעצם</w:t>
      </w:r>
      <w:r w:rsidRPr="0055790D">
        <w:rPr>
          <w:rFonts w:ascii="Century" w:hAnsi="Century"/>
          <w:rtl/>
        </w:rPr>
        <w:t xml:space="preserve"> </w:t>
      </w:r>
      <w:r w:rsidRPr="0055790D">
        <w:rPr>
          <w:rFonts w:ascii="Century" w:hAnsi="Century" w:hint="eastAsia"/>
          <w:rtl/>
        </w:rPr>
        <w:t>הכרעתה</w:t>
      </w:r>
      <w:r w:rsidRPr="0055790D">
        <w:rPr>
          <w:rFonts w:ascii="Century" w:hAnsi="Century"/>
          <w:rtl/>
        </w:rPr>
        <w:t xml:space="preserve"> </w:t>
      </w:r>
      <w:r w:rsidRPr="0055790D">
        <w:rPr>
          <w:rFonts w:ascii="Century" w:hAnsi="Century" w:hint="eastAsia"/>
          <w:rtl/>
        </w:rPr>
        <w:t>מרחיקה</w:t>
      </w:r>
      <w:r w:rsidRPr="0055790D">
        <w:rPr>
          <w:rFonts w:ascii="Century" w:hAnsi="Century"/>
          <w:rtl/>
        </w:rPr>
        <w:t xml:space="preserve"> </w:t>
      </w:r>
      <w:r w:rsidRPr="0055790D">
        <w:rPr>
          <w:rFonts w:ascii="Century" w:hAnsi="Century" w:hint="eastAsia"/>
          <w:rtl/>
        </w:rPr>
        <w:t>היא</w:t>
      </w:r>
      <w:r w:rsidRPr="0055790D">
        <w:rPr>
          <w:rFonts w:ascii="Century" w:hAnsi="Century"/>
          <w:rtl/>
        </w:rPr>
        <w:t xml:space="preserve"> </w:t>
      </w:r>
      <w:r w:rsidRPr="0055790D">
        <w:rPr>
          <w:rFonts w:ascii="Century" w:hAnsi="Century" w:hint="eastAsia"/>
          <w:rtl/>
        </w:rPr>
        <w:t>אותה</w:t>
      </w:r>
      <w:r w:rsidRPr="0055790D">
        <w:rPr>
          <w:rFonts w:ascii="Century" w:hAnsi="Century"/>
          <w:rtl/>
        </w:rPr>
        <w:t xml:space="preserve"> </w:t>
      </w:r>
      <w:r w:rsidRPr="0055790D">
        <w:rPr>
          <w:rFonts w:ascii="Century" w:hAnsi="Century" w:hint="eastAsia"/>
          <w:rtl/>
        </w:rPr>
        <w:t>מחצרו</w:t>
      </w:r>
      <w:r w:rsidRPr="0055790D">
        <w:rPr>
          <w:rFonts w:ascii="Century" w:hAnsi="Century"/>
          <w:rtl/>
        </w:rPr>
        <w:t>" (</w:t>
      </w:r>
      <w:r w:rsidRPr="0055790D">
        <w:rPr>
          <w:rFonts w:ascii="Century" w:hAnsi="Century" w:hint="eastAsia"/>
          <w:rtl/>
        </w:rPr>
        <w:t>דברי</w:t>
      </w:r>
      <w:r w:rsidRPr="0055790D">
        <w:rPr>
          <w:rFonts w:ascii="Century" w:hAnsi="Century"/>
          <w:rtl/>
        </w:rPr>
        <w:t xml:space="preserve"> </w:t>
      </w:r>
      <w:r w:rsidRPr="0055790D">
        <w:rPr>
          <w:rFonts w:ascii="Century" w:hAnsi="Century" w:hint="eastAsia"/>
          <w:rtl/>
        </w:rPr>
        <w:t>השופט</w:t>
      </w:r>
      <w:r w:rsidRPr="0055790D">
        <w:rPr>
          <w:rFonts w:ascii="Century" w:hAnsi="Century"/>
          <w:rtl/>
        </w:rPr>
        <w:t xml:space="preserve"> </w:t>
      </w:r>
      <w:r w:rsidRPr="00544FDE">
        <w:rPr>
          <w:rFonts w:ascii="Century" w:hAnsi="Century" w:cs="Miriam" w:hint="cs"/>
          <w:b/>
          <w:spacing w:val="0"/>
          <w:szCs w:val="24"/>
          <w:rtl/>
        </w:rPr>
        <w:t>מ'</w:t>
      </w:r>
      <w:r>
        <w:rPr>
          <w:rFonts w:ascii="Century" w:hAnsi="Century" w:hint="cs"/>
          <w:rtl/>
        </w:rPr>
        <w:t xml:space="preserve"> </w:t>
      </w:r>
      <w:r w:rsidRPr="006E29B6">
        <w:rPr>
          <w:rFonts w:ascii="Century" w:hAnsi="Century" w:cs="Miriam" w:hint="eastAsia"/>
          <w:b/>
          <w:spacing w:val="0"/>
          <w:szCs w:val="24"/>
          <w:rtl/>
        </w:rPr>
        <w:t>חשין</w:t>
      </w:r>
      <w:r w:rsidRPr="00260E9B">
        <w:rPr>
          <w:rFonts w:ascii="Century" w:hAnsi="Century" w:hint="cs"/>
          <w:rtl/>
        </w:rPr>
        <w:t xml:space="preserve"> </w:t>
      </w:r>
      <w:r w:rsidRPr="00260E9B">
        <w:rPr>
          <w:rFonts w:hint="cs"/>
          <w:rtl/>
        </w:rPr>
        <w:t xml:space="preserve">בבג"ץ 1993/03 </w:t>
      </w:r>
      <w:r w:rsidRPr="00B75CD7">
        <w:rPr>
          <w:rFonts w:ascii="Century" w:hAnsi="Century" w:cs="Miriam" w:hint="cs"/>
          <w:b/>
          <w:spacing w:val="0"/>
          <w:szCs w:val="24"/>
          <w:rtl/>
        </w:rPr>
        <w:t>התנועה למען איכות השלטון בישראל נ' ראש הממשלה</w:t>
      </w:r>
      <w:r w:rsidRPr="00B75CD7">
        <w:rPr>
          <w:rFonts w:hint="cs"/>
          <w:rtl/>
        </w:rPr>
        <w:t>, פ"ד נז(6) 817</w:t>
      </w:r>
      <w:r>
        <w:rPr>
          <w:rFonts w:hint="cs"/>
          <w:rtl/>
        </w:rPr>
        <w:t>, 918</w:t>
      </w:r>
      <w:r w:rsidRPr="00B75CD7">
        <w:rPr>
          <w:rFonts w:hint="cs"/>
          <w:rtl/>
        </w:rPr>
        <w:t xml:space="preserve"> (2003) (להלן: </w:t>
      </w:r>
      <w:r w:rsidRPr="00544FDE">
        <w:rPr>
          <w:rFonts w:ascii="Century" w:hAnsi="Century" w:hint="cs"/>
          <w:rtl/>
        </w:rPr>
        <w:t>עניין</w:t>
      </w:r>
      <w:r w:rsidRPr="007B4A93">
        <w:rPr>
          <w:rFonts w:ascii="Century" w:hAnsi="Century" w:cs="Miriam" w:hint="cs"/>
          <w:b/>
          <w:spacing w:val="0"/>
          <w:szCs w:val="24"/>
          <w:rtl/>
        </w:rPr>
        <w:t xml:space="preserve"> </w:t>
      </w:r>
      <w:r w:rsidRPr="00B75CD7">
        <w:rPr>
          <w:rFonts w:ascii="Century" w:hAnsi="Century" w:cs="Miriam" w:hint="cs"/>
          <w:b/>
          <w:spacing w:val="0"/>
          <w:szCs w:val="24"/>
          <w:rtl/>
        </w:rPr>
        <w:t>הנגבי הראשון</w:t>
      </w:r>
      <w:r w:rsidRPr="006E29B6">
        <w:rPr>
          <w:rFonts w:ascii="Century" w:hAnsi="Century"/>
          <w:rtl/>
        </w:rPr>
        <w:t>)</w:t>
      </w:r>
      <w:r w:rsidRPr="00260E9B">
        <w:rPr>
          <w:rFonts w:ascii="Century" w:hAnsi="Century" w:hint="cs"/>
          <w:rtl/>
        </w:rPr>
        <w:t xml:space="preserve"> אגב מינויו של הנגבי </w:t>
      </w:r>
      <w:r w:rsidRPr="000C05A5">
        <w:rPr>
          <w:rFonts w:ascii="Century" w:hAnsi="Century" w:hint="cs"/>
          <w:rtl/>
        </w:rPr>
        <w:t xml:space="preserve">לתפקיד השר לביטחון פנים). אך מדינת ישראל אינה מדינה של </w:t>
      </w:r>
      <w:r w:rsidRPr="00B84DC8">
        <w:rPr>
          <w:rFonts w:asciiTheme="majorBidi" w:hAnsiTheme="majorBidi" w:cstheme="majorBidi"/>
          <w:sz w:val="23"/>
          <w:szCs w:val="23"/>
        </w:rPr>
        <w:t>it isn’t done</w:t>
      </w:r>
      <w:r>
        <w:rPr>
          <w:rFonts w:asciiTheme="majorBidi" w:hAnsiTheme="majorBidi" w:cstheme="majorBidi" w:hint="cs"/>
          <w:sz w:val="23"/>
          <w:szCs w:val="23"/>
          <w:rtl/>
        </w:rPr>
        <w:t>,</w:t>
      </w:r>
      <w:r w:rsidRPr="00B84DC8">
        <w:rPr>
          <w:rFonts w:asciiTheme="majorBidi" w:hAnsiTheme="majorBidi" w:cstheme="majorBidi"/>
          <w:sz w:val="23"/>
          <w:szCs w:val="23"/>
          <w:rtl/>
        </w:rPr>
        <w:t xml:space="preserve"> </w:t>
      </w:r>
      <w:r w:rsidRPr="00B75CD7">
        <w:rPr>
          <w:rFonts w:ascii="Century" w:hAnsi="Century" w:hint="cs"/>
          <w:rtl/>
        </w:rPr>
        <w:t xml:space="preserve">ושלא בטובתנו אנו נדרשים לנושאים שלא חזו ראשונים. </w:t>
      </w:r>
    </w:p>
    <w:p w14:paraId="4C0583E3" w14:textId="77777777" w:rsidR="00D316ED" w:rsidRPr="006E29B6" w:rsidRDefault="00D316ED" w:rsidP="00D316ED">
      <w:pPr>
        <w:pStyle w:val="Ruller41"/>
        <w:rPr>
          <w:rFonts w:ascii="Century" w:hAnsi="Century"/>
          <w:highlight w:val="yellow"/>
          <w:rtl/>
        </w:rPr>
      </w:pPr>
    </w:p>
    <w:p w14:paraId="0AA1747C" w14:textId="77777777" w:rsidR="00D316ED" w:rsidRDefault="00D316ED" w:rsidP="00D316ED">
      <w:pPr>
        <w:pStyle w:val="Ruller41"/>
        <w:rPr>
          <w:rFonts w:ascii="Century" w:hAnsi="Century"/>
          <w:rtl/>
        </w:rPr>
      </w:pPr>
      <w:r w:rsidRPr="00B75CD7">
        <w:rPr>
          <w:rFonts w:ascii="Century" w:hAnsi="Century" w:hint="cs"/>
          <w:rtl/>
        </w:rPr>
        <w:t>3.</w:t>
      </w:r>
      <w:r w:rsidRPr="00B75CD7">
        <w:rPr>
          <w:rFonts w:ascii="Century" w:hAnsi="Century" w:hint="cs"/>
          <w:rtl/>
        </w:rPr>
        <w:tab/>
        <w:t xml:space="preserve">הייתה זו הכנסת אשר כבר בשנת 1950 קיבלה את החלטת הררי שלפיה "החוקה תהיה בנויה פרקים </w:t>
      </w:r>
      <w:proofErr w:type="spellStart"/>
      <w:r w:rsidRPr="00B75CD7">
        <w:rPr>
          <w:rFonts w:ascii="Century" w:hAnsi="Century" w:hint="cs"/>
          <w:rtl/>
        </w:rPr>
        <w:t>פרקים</w:t>
      </w:r>
      <w:proofErr w:type="spellEnd"/>
      <w:r w:rsidRPr="00B75CD7">
        <w:rPr>
          <w:rFonts w:ascii="Century" w:hAnsi="Century" w:hint="cs"/>
          <w:rtl/>
        </w:rPr>
        <w:t xml:space="preserve">, באופן שכל אחד מהם יהווה חוק יסודי בפני עצמו. הפרקים יובאו בפני הכנסת, במידה שהוועדה תסיים את עבודתה, וכל הפרקים יחד יתאגדו לחוקת המדינה" (דברי הכנסת 5, 1743 (התש"י)). </w:t>
      </w:r>
      <w:r>
        <w:rPr>
          <w:rFonts w:ascii="Century" w:hAnsi="Century" w:hint="cs"/>
          <w:rtl/>
        </w:rPr>
        <w:t>וכפי שנזדמן לי לומר:</w:t>
      </w:r>
    </w:p>
    <w:p w14:paraId="6EFE646E" w14:textId="77777777" w:rsidR="00D316ED" w:rsidRDefault="00D316ED" w:rsidP="00D316ED">
      <w:pPr>
        <w:pStyle w:val="Ruller41"/>
        <w:rPr>
          <w:rFonts w:ascii="Century" w:hAnsi="Century"/>
          <w:rtl/>
        </w:rPr>
      </w:pPr>
    </w:p>
    <w:p w14:paraId="305FB052" w14:textId="77777777" w:rsidR="00D316ED" w:rsidRDefault="00D316ED" w:rsidP="00D316ED">
      <w:pPr>
        <w:pStyle w:val="Ruller5"/>
        <w:rPr>
          <w:rFonts w:ascii="Century" w:hAnsi="Century"/>
          <w:rtl/>
        </w:rPr>
      </w:pPr>
      <w:r>
        <w:rPr>
          <w:rFonts w:hint="cs"/>
          <w:rtl/>
        </w:rPr>
        <w:t>"</w:t>
      </w:r>
      <w:r>
        <w:rPr>
          <w:rtl/>
        </w:rPr>
        <w:t>יום חקיקתו של חוק יסוד או תיקון לחוק יסוד אמור להיות יום חגיגי שבו הכנסת לובשת לבן ומצטחצחת בהתרגשות לקראת המאורע ולא יום קטנות פוליטי</w:t>
      </w:r>
      <w:r>
        <w:rPr>
          <w:rFonts w:hint="cs"/>
          <w:rtl/>
        </w:rPr>
        <w:t>"</w:t>
      </w:r>
      <w:r w:rsidRPr="00FD2A6E">
        <w:rPr>
          <w:rFonts w:ascii="Century" w:hAnsi="Century"/>
          <w:rtl/>
        </w:rPr>
        <w:t xml:space="preserve"> </w:t>
      </w:r>
      <w:r>
        <w:rPr>
          <w:rFonts w:ascii="Century" w:hAnsi="Century" w:hint="cs"/>
          <w:rtl/>
        </w:rPr>
        <w:t>(</w:t>
      </w:r>
      <w:r w:rsidRPr="006E29B6">
        <w:rPr>
          <w:rFonts w:ascii="Century" w:hAnsi="Century"/>
          <w:rtl/>
        </w:rPr>
        <w:t xml:space="preserve">בג"ץ 5969/20 </w:t>
      </w:r>
      <w:r w:rsidRPr="006E29B6">
        <w:rPr>
          <w:rFonts w:ascii="Century" w:hAnsi="Century" w:cs="Miriam"/>
          <w:b/>
          <w:szCs w:val="24"/>
          <w:rtl/>
        </w:rPr>
        <w:t>שפיר נ' הכנסת</w:t>
      </w:r>
      <w:r w:rsidRPr="006E29B6">
        <w:rPr>
          <w:rFonts w:ascii="Century" w:hAnsi="Century"/>
          <w:rtl/>
        </w:rPr>
        <w:t xml:space="preserve">, </w:t>
      </w:r>
      <w:r w:rsidRPr="006E29B6">
        <w:rPr>
          <w:rFonts w:ascii="Century" w:hAnsi="Century" w:hint="eastAsia"/>
          <w:rtl/>
        </w:rPr>
        <w:t>פסקה</w:t>
      </w:r>
      <w:r w:rsidRPr="006E29B6">
        <w:rPr>
          <w:rFonts w:ascii="Century" w:hAnsi="Century"/>
          <w:rtl/>
        </w:rPr>
        <w:t xml:space="preserve"> 4 </w:t>
      </w:r>
      <w:r w:rsidRPr="006E29B6">
        <w:rPr>
          <w:rFonts w:ascii="Century" w:hAnsi="Century" w:hint="eastAsia"/>
          <w:rtl/>
        </w:rPr>
        <w:t>לפסק</w:t>
      </w:r>
      <w:r w:rsidRPr="006E29B6">
        <w:rPr>
          <w:rFonts w:ascii="Century" w:hAnsi="Century"/>
          <w:rtl/>
        </w:rPr>
        <w:t xml:space="preserve"> </w:t>
      </w:r>
      <w:r w:rsidRPr="006E29B6">
        <w:rPr>
          <w:rFonts w:ascii="Century" w:hAnsi="Century" w:hint="eastAsia"/>
          <w:rtl/>
        </w:rPr>
        <w:t>דיני</w:t>
      </w:r>
      <w:r w:rsidRPr="006E29B6">
        <w:rPr>
          <w:rFonts w:ascii="Century" w:hAnsi="Century"/>
          <w:rtl/>
        </w:rPr>
        <w:t xml:space="preserve"> (23.5.2021)</w:t>
      </w:r>
      <w:r>
        <w:rPr>
          <w:rFonts w:hint="cs"/>
          <w:rtl/>
        </w:rPr>
        <w:t>)</w:t>
      </w:r>
      <w:r>
        <w:rPr>
          <w:rtl/>
        </w:rPr>
        <w:t xml:space="preserve">. </w:t>
      </w:r>
    </w:p>
    <w:p w14:paraId="61FC040B" w14:textId="77777777" w:rsidR="00D316ED" w:rsidRDefault="00D316ED" w:rsidP="00D316ED">
      <w:pPr>
        <w:pStyle w:val="Ruller41"/>
        <w:rPr>
          <w:rFonts w:ascii="Century" w:hAnsi="Century"/>
          <w:rtl/>
        </w:rPr>
      </w:pPr>
    </w:p>
    <w:p w14:paraId="1C33F410" w14:textId="77777777" w:rsidR="00D316ED" w:rsidRDefault="00D316ED" w:rsidP="00D316ED">
      <w:pPr>
        <w:pStyle w:val="Ruller41"/>
        <w:rPr>
          <w:rFonts w:ascii="Century" w:hAnsi="Century"/>
          <w:rtl/>
        </w:rPr>
      </w:pPr>
      <w:r w:rsidRPr="00B84DC8">
        <w:rPr>
          <w:rFonts w:ascii="Century" w:hAnsi="Century"/>
          <w:rtl/>
        </w:rPr>
        <w:tab/>
      </w:r>
      <w:r w:rsidRPr="00B84DC8">
        <w:rPr>
          <w:rFonts w:ascii="Century" w:hAnsi="Century" w:hint="eastAsia"/>
          <w:rtl/>
        </w:rPr>
        <w:t>אך</w:t>
      </w:r>
      <w:r w:rsidRPr="00B84DC8">
        <w:rPr>
          <w:rFonts w:ascii="Century" w:hAnsi="Century"/>
          <w:rtl/>
        </w:rPr>
        <w:t xml:space="preserve"> </w:t>
      </w:r>
      <w:r w:rsidRPr="00B84DC8">
        <w:rPr>
          <w:rFonts w:ascii="Century" w:hAnsi="Century" w:hint="eastAsia"/>
          <w:rtl/>
        </w:rPr>
        <w:t>אוי</w:t>
      </w:r>
      <w:r w:rsidRPr="00B84DC8">
        <w:rPr>
          <w:rFonts w:ascii="Century" w:hAnsi="Century"/>
          <w:rtl/>
        </w:rPr>
        <w:t xml:space="preserve"> </w:t>
      </w:r>
      <w:r w:rsidRPr="00B84DC8">
        <w:rPr>
          <w:rFonts w:ascii="Century" w:hAnsi="Century" w:hint="eastAsia"/>
          <w:rtl/>
        </w:rPr>
        <w:t>לאותה</w:t>
      </w:r>
      <w:r w:rsidRPr="00B84DC8">
        <w:rPr>
          <w:rFonts w:ascii="Century" w:hAnsi="Century"/>
          <w:rtl/>
        </w:rPr>
        <w:t xml:space="preserve"> </w:t>
      </w:r>
      <w:r w:rsidRPr="00B84DC8">
        <w:rPr>
          <w:rFonts w:ascii="Century" w:hAnsi="Century" w:hint="eastAsia"/>
          <w:rtl/>
        </w:rPr>
        <w:t>חוקה</w:t>
      </w:r>
      <w:r w:rsidRPr="00B84DC8">
        <w:rPr>
          <w:rFonts w:ascii="Century" w:hAnsi="Century"/>
          <w:rtl/>
        </w:rPr>
        <w:t xml:space="preserve">, </w:t>
      </w:r>
      <w:r w:rsidRPr="00B84DC8">
        <w:rPr>
          <w:rFonts w:ascii="Century" w:hAnsi="Century" w:hint="eastAsia"/>
          <w:rtl/>
        </w:rPr>
        <w:t>שנעשתה</w:t>
      </w:r>
      <w:r w:rsidRPr="00B84DC8">
        <w:rPr>
          <w:rFonts w:ascii="Century" w:hAnsi="Century"/>
          <w:rtl/>
        </w:rPr>
        <w:t xml:space="preserve"> </w:t>
      </w:r>
      <w:r w:rsidRPr="00B84DC8">
        <w:rPr>
          <w:rFonts w:ascii="Century" w:hAnsi="Century" w:hint="eastAsia"/>
          <w:rtl/>
        </w:rPr>
        <w:t>על</w:t>
      </w:r>
      <w:r w:rsidRPr="00B84DC8">
        <w:rPr>
          <w:rFonts w:ascii="Century" w:hAnsi="Century"/>
          <w:rtl/>
        </w:rPr>
        <w:t xml:space="preserve"> </w:t>
      </w:r>
      <w:r w:rsidRPr="00B84DC8">
        <w:rPr>
          <w:rFonts w:ascii="Century" w:hAnsi="Century" w:hint="eastAsia"/>
          <w:rtl/>
        </w:rPr>
        <w:t>ידי</w:t>
      </w:r>
      <w:r w:rsidRPr="00B84DC8">
        <w:rPr>
          <w:rFonts w:ascii="Century" w:hAnsi="Century"/>
          <w:rtl/>
        </w:rPr>
        <w:t xml:space="preserve"> </w:t>
      </w:r>
      <w:r w:rsidRPr="00B84DC8">
        <w:rPr>
          <w:rFonts w:ascii="Century" w:hAnsi="Century" w:hint="eastAsia"/>
          <w:rtl/>
        </w:rPr>
        <w:t>הכנסת</w:t>
      </w:r>
      <w:r w:rsidRPr="00B84DC8">
        <w:rPr>
          <w:rFonts w:ascii="Century" w:hAnsi="Century"/>
          <w:rtl/>
        </w:rPr>
        <w:t xml:space="preserve"> </w:t>
      </w:r>
      <w:r w:rsidRPr="00B84DC8">
        <w:rPr>
          <w:rFonts w:ascii="Century" w:hAnsi="Century" w:hint="eastAsia"/>
          <w:rtl/>
        </w:rPr>
        <w:t>כחומר</w:t>
      </w:r>
      <w:r w:rsidRPr="00B84DC8">
        <w:rPr>
          <w:rFonts w:ascii="Century" w:hAnsi="Century"/>
          <w:rtl/>
        </w:rPr>
        <w:t xml:space="preserve"> </w:t>
      </w:r>
      <w:r w:rsidRPr="00B84DC8">
        <w:rPr>
          <w:rFonts w:ascii="Century" w:hAnsi="Century" w:hint="eastAsia"/>
          <w:rtl/>
        </w:rPr>
        <w:t>ביד</w:t>
      </w:r>
      <w:r w:rsidRPr="00B84DC8">
        <w:rPr>
          <w:rFonts w:ascii="Century" w:hAnsi="Century"/>
          <w:rtl/>
        </w:rPr>
        <w:t xml:space="preserve"> </w:t>
      </w:r>
      <w:r w:rsidRPr="00B84DC8">
        <w:rPr>
          <w:rFonts w:ascii="Century" w:hAnsi="Century" w:hint="eastAsia"/>
          <w:rtl/>
        </w:rPr>
        <w:t>היוצר</w:t>
      </w:r>
      <w:r w:rsidRPr="00B84DC8">
        <w:rPr>
          <w:rFonts w:ascii="Century" w:hAnsi="Century"/>
          <w:rtl/>
        </w:rPr>
        <w:t xml:space="preserve"> – </w:t>
      </w:r>
      <w:r w:rsidRPr="00B84DC8">
        <w:rPr>
          <w:rFonts w:ascii="Century" w:hAnsi="Century" w:hint="eastAsia"/>
          <w:rtl/>
        </w:rPr>
        <w:t>לא</w:t>
      </w:r>
      <w:r w:rsidRPr="00B84DC8">
        <w:rPr>
          <w:rFonts w:ascii="Century" w:hAnsi="Century"/>
          <w:rtl/>
        </w:rPr>
        <w:t xml:space="preserve"> </w:t>
      </w:r>
      <w:r w:rsidRPr="00B84DC8">
        <w:rPr>
          <w:rFonts w:ascii="Century" w:hAnsi="Century" w:hint="eastAsia"/>
          <w:rtl/>
        </w:rPr>
        <w:t>כאבן</w:t>
      </w:r>
      <w:r w:rsidRPr="00B84DC8">
        <w:rPr>
          <w:rFonts w:ascii="Century" w:hAnsi="Century"/>
          <w:rtl/>
        </w:rPr>
        <w:t xml:space="preserve"> </w:t>
      </w:r>
      <w:r w:rsidRPr="00B84DC8">
        <w:rPr>
          <w:rFonts w:ascii="Century" w:hAnsi="Century" w:hint="eastAsia"/>
          <w:rtl/>
        </w:rPr>
        <w:t>בידי</w:t>
      </w:r>
      <w:r w:rsidRPr="00B84DC8">
        <w:rPr>
          <w:rFonts w:ascii="Century" w:hAnsi="Century"/>
          <w:rtl/>
        </w:rPr>
        <w:t xml:space="preserve"> </w:t>
      </w:r>
      <w:r w:rsidRPr="00B84DC8">
        <w:rPr>
          <w:rFonts w:ascii="Century" w:hAnsi="Century" w:hint="eastAsia"/>
          <w:rtl/>
        </w:rPr>
        <w:t>המסתת</w:t>
      </w:r>
      <w:r w:rsidRPr="00B84DC8">
        <w:rPr>
          <w:rFonts w:ascii="Century" w:hAnsi="Century"/>
          <w:rtl/>
        </w:rPr>
        <w:t xml:space="preserve"> </w:t>
      </w:r>
      <w:r w:rsidRPr="00B84DC8">
        <w:rPr>
          <w:rFonts w:ascii="Century" w:hAnsi="Century" w:hint="eastAsia"/>
          <w:rtl/>
        </w:rPr>
        <w:t>ולא</w:t>
      </w:r>
      <w:r w:rsidRPr="00B84DC8">
        <w:rPr>
          <w:rFonts w:ascii="Century" w:hAnsi="Century"/>
          <w:rtl/>
        </w:rPr>
        <w:t xml:space="preserve"> </w:t>
      </w:r>
      <w:r w:rsidRPr="00B84DC8">
        <w:rPr>
          <w:rFonts w:ascii="Century" w:hAnsi="Century" w:hint="eastAsia"/>
          <w:rtl/>
        </w:rPr>
        <w:t>כיריעה</w:t>
      </w:r>
      <w:r w:rsidRPr="00B84DC8">
        <w:rPr>
          <w:rFonts w:ascii="Century" w:hAnsi="Century"/>
          <w:rtl/>
        </w:rPr>
        <w:t xml:space="preserve"> </w:t>
      </w:r>
      <w:r w:rsidRPr="00B84DC8">
        <w:rPr>
          <w:rFonts w:ascii="Century" w:hAnsi="Century" w:hint="eastAsia"/>
          <w:rtl/>
        </w:rPr>
        <w:t>ביד</w:t>
      </w:r>
      <w:r w:rsidRPr="00B84DC8">
        <w:rPr>
          <w:rFonts w:ascii="Century" w:hAnsi="Century"/>
          <w:rtl/>
        </w:rPr>
        <w:t xml:space="preserve"> </w:t>
      </w:r>
      <w:r w:rsidRPr="00B84DC8">
        <w:rPr>
          <w:rFonts w:ascii="Century" w:hAnsi="Century" w:hint="eastAsia"/>
          <w:rtl/>
        </w:rPr>
        <w:t>הרוקם</w:t>
      </w:r>
      <w:r w:rsidRPr="00B84DC8">
        <w:rPr>
          <w:rFonts w:ascii="Century" w:hAnsi="Century"/>
          <w:rtl/>
        </w:rPr>
        <w:t xml:space="preserve">, </w:t>
      </w:r>
      <w:r w:rsidRPr="00B84DC8">
        <w:rPr>
          <w:rFonts w:ascii="Century" w:hAnsi="Century" w:hint="eastAsia"/>
          <w:rtl/>
        </w:rPr>
        <w:t>אלא</w:t>
      </w:r>
      <w:r w:rsidRPr="00B84DC8">
        <w:rPr>
          <w:rFonts w:ascii="Century" w:hAnsi="Century"/>
          <w:rtl/>
        </w:rPr>
        <w:t xml:space="preserve"> </w:t>
      </w:r>
      <w:r w:rsidRPr="00B84DC8">
        <w:rPr>
          <w:rFonts w:ascii="Century" w:hAnsi="Century" w:hint="eastAsia"/>
          <w:rtl/>
        </w:rPr>
        <w:t>כפלסטלינה</w:t>
      </w:r>
      <w:r w:rsidRPr="00B84DC8">
        <w:rPr>
          <w:rFonts w:ascii="Century" w:hAnsi="Century"/>
          <w:rtl/>
        </w:rPr>
        <w:t xml:space="preserve"> </w:t>
      </w:r>
      <w:r w:rsidRPr="00B84DC8">
        <w:rPr>
          <w:rFonts w:ascii="Century" w:hAnsi="Century" w:hint="eastAsia"/>
          <w:rtl/>
        </w:rPr>
        <w:t>בידי</w:t>
      </w:r>
      <w:r w:rsidRPr="00B84DC8">
        <w:rPr>
          <w:rFonts w:ascii="Century" w:hAnsi="Century"/>
          <w:rtl/>
        </w:rPr>
        <w:t xml:space="preserve"> </w:t>
      </w:r>
      <w:r w:rsidRPr="00B84DC8">
        <w:rPr>
          <w:rFonts w:ascii="Century" w:hAnsi="Century" w:hint="eastAsia"/>
          <w:rtl/>
        </w:rPr>
        <w:t>המכונן</w:t>
      </w:r>
      <w:r w:rsidRPr="00B84DC8">
        <w:rPr>
          <w:rFonts w:ascii="Century" w:hAnsi="Century"/>
          <w:rtl/>
        </w:rPr>
        <w:t xml:space="preserve">. </w:t>
      </w:r>
      <w:r w:rsidRPr="00B84DC8">
        <w:rPr>
          <w:rFonts w:ascii="Century" w:hAnsi="Century" w:hint="eastAsia"/>
          <w:rtl/>
        </w:rPr>
        <w:t>יציבות</w:t>
      </w:r>
      <w:r w:rsidRPr="00B84DC8">
        <w:rPr>
          <w:rFonts w:ascii="Century" w:hAnsi="Century"/>
          <w:rtl/>
        </w:rPr>
        <w:t xml:space="preserve"> </w:t>
      </w:r>
      <w:r w:rsidRPr="00B84DC8">
        <w:rPr>
          <w:rFonts w:ascii="Century" w:hAnsi="Century" w:hint="eastAsia"/>
          <w:rtl/>
        </w:rPr>
        <w:t>חוקתית</w:t>
      </w:r>
      <w:r w:rsidRPr="00B84DC8">
        <w:rPr>
          <w:rFonts w:ascii="Century" w:hAnsi="Century"/>
          <w:rtl/>
        </w:rPr>
        <w:t xml:space="preserve">? </w:t>
      </w:r>
      <w:r w:rsidRPr="00B84DC8">
        <w:rPr>
          <w:rFonts w:ascii="Century" w:hAnsi="Century" w:hint="eastAsia"/>
          <w:rtl/>
        </w:rPr>
        <w:t>תרבות</w:t>
      </w:r>
      <w:r w:rsidRPr="00B84DC8">
        <w:rPr>
          <w:rFonts w:ascii="Century" w:hAnsi="Century"/>
          <w:rtl/>
        </w:rPr>
        <w:t xml:space="preserve"> </w:t>
      </w:r>
      <w:r w:rsidRPr="00B84DC8">
        <w:rPr>
          <w:rFonts w:ascii="Century" w:hAnsi="Century" w:hint="eastAsia"/>
          <w:rtl/>
        </w:rPr>
        <w:t>תיקון</w:t>
      </w:r>
      <w:r w:rsidRPr="00B84DC8">
        <w:rPr>
          <w:rFonts w:ascii="Century" w:hAnsi="Century"/>
          <w:rtl/>
        </w:rPr>
        <w:t xml:space="preserve"> </w:t>
      </w:r>
      <w:r w:rsidRPr="00B84DC8">
        <w:rPr>
          <w:rFonts w:ascii="Century" w:hAnsi="Century" w:hint="eastAsia"/>
          <w:rtl/>
        </w:rPr>
        <w:t>חוקתית</w:t>
      </w:r>
      <w:r w:rsidRPr="00B84DC8">
        <w:rPr>
          <w:rFonts w:ascii="Century" w:hAnsi="Century"/>
          <w:rtl/>
        </w:rPr>
        <w:t xml:space="preserve"> (</w:t>
      </w:r>
      <w:r w:rsidRPr="00B84DC8">
        <w:rPr>
          <w:rFonts w:ascii="Century" w:hAnsi="Century"/>
        </w:rPr>
        <w:t>amendment culture</w:t>
      </w:r>
      <w:r w:rsidRPr="00B84DC8">
        <w:rPr>
          <w:rFonts w:ascii="Century" w:hAnsi="Century"/>
          <w:rtl/>
        </w:rPr>
        <w:t xml:space="preserve">)? </w:t>
      </w:r>
      <w:r w:rsidRPr="00B84DC8">
        <w:rPr>
          <w:rFonts w:ascii="Century" w:hAnsi="Century" w:hint="eastAsia"/>
          <w:rtl/>
        </w:rPr>
        <w:t>מן</w:t>
      </w:r>
      <w:r w:rsidRPr="00B84DC8">
        <w:rPr>
          <w:rFonts w:ascii="Century" w:hAnsi="Century"/>
          <w:rtl/>
        </w:rPr>
        <w:t xml:space="preserve"> </w:t>
      </w:r>
      <w:r w:rsidRPr="00B84DC8">
        <w:rPr>
          <w:rFonts w:ascii="Century" w:hAnsi="Century" w:hint="eastAsia"/>
          <w:rtl/>
        </w:rPr>
        <w:t>הסתם</w:t>
      </w:r>
      <w:r w:rsidRPr="00B84DC8">
        <w:rPr>
          <w:rFonts w:ascii="Century" w:hAnsi="Century"/>
          <w:rtl/>
        </w:rPr>
        <w:t xml:space="preserve"> </w:t>
      </w:r>
      <w:r w:rsidRPr="00B84DC8">
        <w:rPr>
          <w:rFonts w:ascii="Century" w:hAnsi="Century" w:hint="eastAsia"/>
          <w:rtl/>
        </w:rPr>
        <w:t>מונחים</w:t>
      </w:r>
      <w:r w:rsidRPr="00B84DC8">
        <w:rPr>
          <w:rFonts w:ascii="Century" w:hAnsi="Century"/>
          <w:rtl/>
        </w:rPr>
        <w:t xml:space="preserve"> </w:t>
      </w:r>
      <w:r w:rsidRPr="00B84DC8">
        <w:rPr>
          <w:rFonts w:ascii="Century" w:hAnsi="Century" w:hint="eastAsia"/>
          <w:rtl/>
        </w:rPr>
        <w:t>שאינם</w:t>
      </w:r>
      <w:r w:rsidRPr="00B84DC8">
        <w:rPr>
          <w:rFonts w:ascii="Century" w:hAnsi="Century"/>
          <w:rtl/>
        </w:rPr>
        <w:t xml:space="preserve"> </w:t>
      </w:r>
      <w:r w:rsidRPr="00B84DC8">
        <w:rPr>
          <w:rFonts w:ascii="Century" w:hAnsi="Century" w:hint="eastAsia"/>
          <w:rtl/>
        </w:rPr>
        <w:t>הולמים</w:t>
      </w:r>
      <w:r w:rsidRPr="00B84DC8">
        <w:rPr>
          <w:rFonts w:ascii="Century" w:hAnsi="Century"/>
          <w:rtl/>
        </w:rPr>
        <w:t xml:space="preserve"> </w:t>
      </w:r>
      <w:r w:rsidRPr="00B84DC8">
        <w:rPr>
          <w:rFonts w:ascii="Century" w:hAnsi="Century" w:hint="eastAsia"/>
          <w:rtl/>
        </w:rPr>
        <w:t>את</w:t>
      </w:r>
      <w:r w:rsidRPr="00B84DC8">
        <w:rPr>
          <w:rFonts w:ascii="Century" w:hAnsi="Century"/>
          <w:rtl/>
        </w:rPr>
        <w:t xml:space="preserve"> </w:t>
      </w:r>
      <w:r w:rsidRPr="00B84DC8">
        <w:rPr>
          <w:rFonts w:ascii="Century" w:hAnsi="Century" w:hint="eastAsia"/>
          <w:rtl/>
        </w:rPr>
        <w:t>תנאי</w:t>
      </w:r>
      <w:r w:rsidRPr="00B84DC8">
        <w:rPr>
          <w:rFonts w:ascii="Century" w:hAnsi="Century"/>
          <w:rtl/>
        </w:rPr>
        <w:t xml:space="preserve"> </w:t>
      </w:r>
      <w:r w:rsidRPr="00B84DC8">
        <w:rPr>
          <w:rFonts w:ascii="Century" w:hAnsi="Century" w:hint="eastAsia"/>
          <w:rtl/>
        </w:rPr>
        <w:t>הארץ</w:t>
      </w:r>
      <w:r w:rsidRPr="00B84DC8">
        <w:rPr>
          <w:rFonts w:ascii="Century" w:hAnsi="Century"/>
          <w:rtl/>
        </w:rPr>
        <w:t xml:space="preserve"> </w:t>
      </w:r>
      <w:r w:rsidRPr="00B84DC8">
        <w:rPr>
          <w:rFonts w:ascii="Century" w:hAnsi="Century" w:hint="eastAsia"/>
          <w:rtl/>
        </w:rPr>
        <w:t>ותושביה</w:t>
      </w:r>
      <w:r>
        <w:rPr>
          <w:rFonts w:ascii="Century" w:hAnsi="Century" w:hint="cs"/>
          <w:rtl/>
        </w:rPr>
        <w:t>:</w:t>
      </w:r>
    </w:p>
    <w:p w14:paraId="1026CA07" w14:textId="77777777" w:rsidR="00D316ED" w:rsidRDefault="00D316ED" w:rsidP="00D316ED">
      <w:pPr>
        <w:pStyle w:val="Ruller5"/>
        <w:rPr>
          <w:rtl/>
        </w:rPr>
      </w:pPr>
    </w:p>
    <w:p w14:paraId="3B213B92" w14:textId="77777777" w:rsidR="00D316ED" w:rsidRDefault="00D316ED" w:rsidP="00D316ED">
      <w:pPr>
        <w:pStyle w:val="Ruller5"/>
        <w:rPr>
          <w:rFonts w:ascii="Century" w:hAnsi="Century"/>
          <w:b/>
          <w:bCs/>
          <w:rtl/>
        </w:rPr>
      </w:pPr>
      <w:r>
        <w:rPr>
          <w:rFonts w:hint="cs"/>
          <w:rtl/>
        </w:rPr>
        <w:t>"</w:t>
      </w:r>
      <w:r>
        <w:rPr>
          <w:rtl/>
        </w:rPr>
        <w:t>קצרים היו ימי שני חייה של הכנסת ה-23, משך כתשעה חודשים בלבד, אך במהלך תקופה קצרה זו תוקנו חוקי היסוד 13 פעמים (!!!) בהוראת שעה, בגדר שיא אולימפי בתיקוני חוקה למרחקים קצרים (לשם השוואה, החוקה בארצות הברית התקבלה בשנת 1787 ומאז, בחלוף למעלה ממאתיים ושלושים שנה, התקבלו 27 תיקונים לחוקה)</w:t>
      </w:r>
      <w:r>
        <w:rPr>
          <w:rFonts w:ascii="Century" w:hAnsi="Century" w:hint="cs"/>
          <w:rtl/>
        </w:rPr>
        <w:t>" (שם).</w:t>
      </w:r>
    </w:p>
    <w:p w14:paraId="04F71F64" w14:textId="77777777" w:rsidR="00D316ED" w:rsidRDefault="00D316ED" w:rsidP="00D316ED">
      <w:pPr>
        <w:pStyle w:val="Ruller5"/>
        <w:rPr>
          <w:rFonts w:ascii="Century" w:hAnsi="Century"/>
          <w:b/>
          <w:bCs/>
          <w:rtl/>
        </w:rPr>
      </w:pPr>
    </w:p>
    <w:p w14:paraId="177C0085" w14:textId="77777777" w:rsidR="00D316ED" w:rsidRDefault="00D316ED" w:rsidP="00D316ED">
      <w:pPr>
        <w:pStyle w:val="Ruller5"/>
        <w:rPr>
          <w:rFonts w:ascii="Century" w:hAnsi="Century"/>
          <w:b/>
          <w:bCs/>
          <w:rtl/>
        </w:rPr>
      </w:pPr>
    </w:p>
    <w:p w14:paraId="0B2CA2D8"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כאמור, הדברים נאמרו ביחס לכנסת ה-23, אך דומה כי לנוכח התיקון הנוכחי לחוק יסוד: הממשלה, כוחם יפה גם כעת. </w:t>
      </w:r>
    </w:p>
    <w:p w14:paraId="4A6FF89B" w14:textId="77777777" w:rsidR="00D316ED" w:rsidRDefault="00D316ED" w:rsidP="00D316ED">
      <w:pPr>
        <w:pStyle w:val="Ruller41"/>
        <w:rPr>
          <w:rFonts w:ascii="Century" w:hAnsi="Century"/>
          <w:rtl/>
        </w:rPr>
      </w:pPr>
    </w:p>
    <w:p w14:paraId="44A13EBB" w14:textId="77777777" w:rsidR="00D316ED" w:rsidRPr="009604B5" w:rsidRDefault="00D316ED" w:rsidP="00D316ED">
      <w:pPr>
        <w:pStyle w:val="Ruller41"/>
        <w:rPr>
          <w:rFonts w:ascii="Century" w:hAnsi="Century" w:cs="Miriam"/>
          <w:b/>
          <w:spacing w:val="0"/>
          <w:szCs w:val="24"/>
          <w:rtl/>
        </w:rPr>
      </w:pPr>
      <w:r w:rsidRPr="009604B5">
        <w:rPr>
          <w:rFonts w:ascii="Century" w:hAnsi="Century" w:cs="Miriam" w:hint="cs"/>
          <w:b/>
          <w:spacing w:val="0"/>
          <w:szCs w:val="24"/>
          <w:rtl/>
        </w:rPr>
        <w:lastRenderedPageBreak/>
        <w:t>מינוי שר לאחר הרשעה בפלילי</w:t>
      </w:r>
      <w:r>
        <w:rPr>
          <w:rFonts w:ascii="Century" w:hAnsi="Century" w:cs="Miriam" w:hint="cs"/>
          <w:b/>
          <w:spacing w:val="0"/>
          <w:szCs w:val="24"/>
          <w:rtl/>
        </w:rPr>
        <w:t>ם</w:t>
      </w:r>
    </w:p>
    <w:p w14:paraId="78F05F67" w14:textId="77777777" w:rsidR="00D316ED" w:rsidRDefault="00D316ED" w:rsidP="00D316ED">
      <w:pPr>
        <w:pStyle w:val="Ruller41"/>
        <w:rPr>
          <w:rFonts w:ascii="Century" w:hAnsi="Century"/>
          <w:rtl/>
        </w:rPr>
      </w:pPr>
    </w:p>
    <w:p w14:paraId="3888D998" w14:textId="77777777" w:rsidR="00D316ED" w:rsidRDefault="00D316ED" w:rsidP="00D316ED">
      <w:pPr>
        <w:pStyle w:val="Ruller41"/>
        <w:rPr>
          <w:rFonts w:ascii="Century" w:hAnsi="Century"/>
          <w:rtl/>
        </w:rPr>
      </w:pPr>
      <w:r>
        <w:rPr>
          <w:rFonts w:ascii="Century" w:hAnsi="Century" w:hint="cs"/>
          <w:rtl/>
        </w:rPr>
        <w:t>4.</w:t>
      </w:r>
      <w:r>
        <w:rPr>
          <w:rFonts w:ascii="Century" w:hAnsi="Century"/>
          <w:rtl/>
        </w:rPr>
        <w:tab/>
      </w:r>
      <w:r>
        <w:rPr>
          <w:rFonts w:ascii="Century" w:hAnsi="Century" w:hint="cs"/>
          <w:rtl/>
        </w:rPr>
        <w:t xml:space="preserve">עודנו באים לעיצומם של דברים, ולנוכח העושר הפסיקתי בכל הקשור בנושא מינוי בכירים, אבקש לנצל את ההזדמנות ולסווג ולמיין את הנושאים השונים הכרוכים באותו משולש של טוהר מידות </w:t>
      </w:r>
      <w:r>
        <w:rPr>
          <w:rFonts w:ascii="Century" w:hAnsi="Century"/>
          <w:rtl/>
        </w:rPr>
        <w:t>–</w:t>
      </w:r>
      <w:r>
        <w:rPr>
          <w:rFonts w:ascii="Century" w:hAnsi="Century" w:hint="cs"/>
          <w:rtl/>
        </w:rPr>
        <w:t xml:space="preserve"> מינהל תקין </w:t>
      </w:r>
      <w:r>
        <w:rPr>
          <w:rFonts w:ascii="Century" w:hAnsi="Century"/>
          <w:rtl/>
        </w:rPr>
        <w:t>–</w:t>
      </w:r>
      <w:r>
        <w:rPr>
          <w:rFonts w:ascii="Century" w:hAnsi="Century" w:hint="cs"/>
          <w:rtl/>
        </w:rPr>
        <w:t xml:space="preserve"> אמון הציבור, שילוש שהפסיקה חזרה וציינה בהקשר של נושא הכשירות והסבירות במינוי בכירים ("כשירות לחוד ושיקול דעת לחוד"). </w:t>
      </w:r>
    </w:p>
    <w:p w14:paraId="75107AB3" w14:textId="77777777" w:rsidR="00D316ED" w:rsidRDefault="00D316ED" w:rsidP="00D316ED">
      <w:pPr>
        <w:pStyle w:val="Ruller41"/>
        <w:rPr>
          <w:rFonts w:ascii="Century" w:hAnsi="Century"/>
          <w:rtl/>
        </w:rPr>
      </w:pPr>
    </w:p>
    <w:p w14:paraId="1440271B" w14:textId="77777777" w:rsidR="00D316ED" w:rsidRDefault="00D316ED" w:rsidP="00D316ED">
      <w:pPr>
        <w:pStyle w:val="Ruller41"/>
        <w:rPr>
          <w:rFonts w:ascii="Century" w:hAnsi="Century"/>
          <w:rtl/>
        </w:rPr>
      </w:pPr>
      <w:r>
        <w:rPr>
          <w:rFonts w:ascii="Century" w:hAnsi="Century"/>
          <w:rtl/>
        </w:rPr>
        <w:tab/>
      </w:r>
      <w:r>
        <w:rPr>
          <w:rFonts w:ascii="Century" w:hAnsi="Century" w:hint="cs"/>
          <w:rtl/>
        </w:rPr>
        <w:t>ניתן להצביע על שלושה מצבים שאליהם התייחסו החקיקה והפסיקה:</w:t>
      </w:r>
    </w:p>
    <w:p w14:paraId="7C28F6DE" w14:textId="77777777" w:rsidR="00D316ED" w:rsidRDefault="00D316ED" w:rsidP="00D316ED">
      <w:pPr>
        <w:pStyle w:val="Ruller41"/>
        <w:rPr>
          <w:rFonts w:ascii="Century" w:hAnsi="Century"/>
          <w:rtl/>
        </w:rPr>
      </w:pPr>
    </w:p>
    <w:p w14:paraId="4A93AE77" w14:textId="77777777" w:rsidR="00D316ED" w:rsidRDefault="00D316ED" w:rsidP="00D316ED">
      <w:pPr>
        <w:pStyle w:val="Ruller41"/>
        <w:rPr>
          <w:rFonts w:ascii="Century" w:hAnsi="Century"/>
          <w:rtl/>
        </w:rPr>
      </w:pPr>
      <w:r>
        <w:rPr>
          <w:rFonts w:ascii="Century" w:hAnsi="Century"/>
          <w:rtl/>
        </w:rPr>
        <w:tab/>
      </w:r>
      <w:r w:rsidRPr="00066E93">
        <w:rPr>
          <w:rFonts w:ascii="Century" w:hAnsi="Century" w:cs="Miriam" w:hint="cs"/>
          <w:b/>
          <w:spacing w:val="0"/>
          <w:szCs w:val="24"/>
          <w:rtl/>
        </w:rPr>
        <w:t>מצב א'</w:t>
      </w:r>
      <w:r>
        <w:rPr>
          <w:rFonts w:ascii="Century" w:hAnsi="Century" w:hint="cs"/>
          <w:rtl/>
        </w:rPr>
        <w:t xml:space="preserve">: בעקבות חקירה פלילית שאמנם לא הסתיימה בהגשת כתב אישום, אך הניבה המלצה משטרתית להעמדה לדין (כמו פרשת "דרך צלחה" שנדונה בעניין </w:t>
      </w:r>
      <w:r w:rsidRPr="00436747">
        <w:rPr>
          <w:rFonts w:ascii="Century" w:hAnsi="Century" w:cs="Miriam" w:hint="cs"/>
          <w:b/>
          <w:spacing w:val="0"/>
          <w:szCs w:val="24"/>
          <w:rtl/>
        </w:rPr>
        <w:t>הנגבי הראשון</w:t>
      </w:r>
      <w:r w:rsidRPr="00066E93">
        <w:rPr>
          <w:rFonts w:ascii="Century" w:hAnsi="Century" w:hint="cs"/>
          <w:rtl/>
        </w:rPr>
        <w:t>)</w:t>
      </w:r>
      <w:r>
        <w:rPr>
          <w:rFonts w:ascii="Century" w:hAnsi="Century" w:hint="cs"/>
          <w:rtl/>
        </w:rPr>
        <w:t xml:space="preserve"> או הניבה המלצת פרקליטות להעמדה לדין (כמו פרשת בר-און-חברון, שם אימץ היועץ המשפטי לממשלה את המלצת הפרקליטות להעמיד לדין את דרעי, אך בהמשך נמלך בדעתו והורה על סגירת התיק נוכח הרשעתו של דרעי ב"תיק האישי" וההליכים שננקטו נגדו ב"תיק הציבורי"). </w:t>
      </w:r>
    </w:p>
    <w:p w14:paraId="1E98E2F9" w14:textId="77777777" w:rsidR="00D316ED" w:rsidRDefault="00D316ED" w:rsidP="00D316ED">
      <w:pPr>
        <w:pStyle w:val="Ruller41"/>
        <w:rPr>
          <w:rFonts w:ascii="Century" w:hAnsi="Century"/>
          <w:rtl/>
        </w:rPr>
      </w:pPr>
    </w:p>
    <w:p w14:paraId="6A4838D4" w14:textId="77777777" w:rsidR="00D316ED" w:rsidRDefault="00D316ED" w:rsidP="00D316ED">
      <w:pPr>
        <w:pStyle w:val="Ruller41"/>
        <w:rPr>
          <w:rFonts w:ascii="Century" w:hAnsi="Century"/>
          <w:rtl/>
        </w:rPr>
      </w:pPr>
      <w:r>
        <w:rPr>
          <w:rFonts w:ascii="Century" w:hAnsi="Century"/>
          <w:rtl/>
        </w:rPr>
        <w:tab/>
      </w:r>
      <w:r w:rsidRPr="00066E93">
        <w:rPr>
          <w:rFonts w:ascii="Century" w:hAnsi="Century" w:cs="Miriam" w:hint="cs"/>
          <w:b/>
          <w:spacing w:val="0"/>
          <w:szCs w:val="24"/>
          <w:rtl/>
        </w:rPr>
        <w:t>מצב ב'</w:t>
      </w:r>
      <w:r>
        <w:rPr>
          <w:rFonts w:ascii="Century" w:hAnsi="Century" w:hint="cs"/>
          <w:rtl/>
        </w:rPr>
        <w:t xml:space="preserve">: בעקבות הגשת כתב אישום (לדוגמה, פרשות דרעי-פנחסי בעניינם של השניים </w:t>
      </w:r>
      <w:r>
        <w:rPr>
          <w:rFonts w:ascii="Century" w:hAnsi="Century"/>
          <w:rtl/>
        </w:rPr>
        <w:t>–</w:t>
      </w:r>
      <w:r>
        <w:rPr>
          <w:rFonts w:ascii="Century" w:hAnsi="Century" w:hint="cs"/>
          <w:rtl/>
        </w:rPr>
        <w:t xml:space="preserve"> </w:t>
      </w:r>
      <w:r w:rsidRPr="0094124F">
        <w:rPr>
          <w:rFonts w:ascii="Century" w:hAnsi="Century" w:hint="eastAsia"/>
          <w:rtl/>
        </w:rPr>
        <w:t>בג</w:t>
      </w:r>
      <w:r w:rsidRPr="0094124F">
        <w:rPr>
          <w:rFonts w:ascii="Century" w:hAnsi="Century"/>
          <w:rtl/>
        </w:rPr>
        <w:t>"</w:t>
      </w:r>
      <w:r w:rsidRPr="0094124F">
        <w:rPr>
          <w:rFonts w:ascii="Century" w:hAnsi="Century" w:hint="eastAsia"/>
          <w:rtl/>
        </w:rPr>
        <w:t>ץ</w:t>
      </w:r>
      <w:r w:rsidRPr="0094124F">
        <w:rPr>
          <w:rFonts w:ascii="Century" w:hAnsi="Century"/>
          <w:rtl/>
        </w:rPr>
        <w:t xml:space="preserve"> 3094/93 </w:t>
      </w:r>
      <w:r w:rsidRPr="0094124F">
        <w:rPr>
          <w:rFonts w:ascii="Century" w:hAnsi="Century" w:cs="Miriam" w:hint="eastAsia"/>
          <w:b/>
          <w:spacing w:val="0"/>
          <w:szCs w:val="24"/>
          <w:rtl/>
        </w:rPr>
        <w:t>התנועה</w:t>
      </w:r>
      <w:r w:rsidRPr="0094124F">
        <w:rPr>
          <w:rFonts w:ascii="Century" w:hAnsi="Century" w:cs="Miriam"/>
          <w:b/>
          <w:spacing w:val="0"/>
          <w:szCs w:val="24"/>
          <w:rtl/>
        </w:rPr>
        <w:t xml:space="preserve"> </w:t>
      </w:r>
      <w:r w:rsidRPr="0094124F">
        <w:rPr>
          <w:rFonts w:ascii="Century" w:hAnsi="Century" w:cs="Miriam" w:hint="eastAsia"/>
          <w:b/>
          <w:spacing w:val="0"/>
          <w:szCs w:val="24"/>
          <w:rtl/>
        </w:rPr>
        <w:t>למען</w:t>
      </w:r>
      <w:r w:rsidRPr="0094124F">
        <w:rPr>
          <w:rFonts w:ascii="Century" w:hAnsi="Century" w:cs="Miriam"/>
          <w:b/>
          <w:spacing w:val="0"/>
          <w:szCs w:val="24"/>
          <w:rtl/>
        </w:rPr>
        <w:t xml:space="preserve"> </w:t>
      </w:r>
      <w:r w:rsidRPr="0094124F">
        <w:rPr>
          <w:rFonts w:ascii="Century" w:hAnsi="Century" w:cs="Miriam" w:hint="eastAsia"/>
          <w:b/>
          <w:spacing w:val="0"/>
          <w:szCs w:val="24"/>
          <w:rtl/>
        </w:rPr>
        <w:t>איכות</w:t>
      </w:r>
      <w:r w:rsidRPr="0094124F">
        <w:rPr>
          <w:rFonts w:ascii="Century" w:hAnsi="Century" w:cs="Miriam"/>
          <w:b/>
          <w:spacing w:val="0"/>
          <w:szCs w:val="24"/>
          <w:rtl/>
        </w:rPr>
        <w:t xml:space="preserve"> </w:t>
      </w:r>
      <w:r w:rsidRPr="0094124F">
        <w:rPr>
          <w:rFonts w:ascii="Century" w:hAnsi="Century" w:cs="Miriam" w:hint="eastAsia"/>
          <w:b/>
          <w:spacing w:val="0"/>
          <w:szCs w:val="24"/>
          <w:rtl/>
        </w:rPr>
        <w:t>השלטון</w:t>
      </w:r>
      <w:r w:rsidRPr="0094124F">
        <w:rPr>
          <w:rFonts w:ascii="Century" w:hAnsi="Century" w:cs="Miriam"/>
          <w:b/>
          <w:spacing w:val="0"/>
          <w:szCs w:val="24"/>
          <w:rtl/>
        </w:rPr>
        <w:t xml:space="preserve"> </w:t>
      </w:r>
      <w:r w:rsidRPr="0094124F">
        <w:rPr>
          <w:rFonts w:ascii="Century" w:hAnsi="Century" w:cs="Miriam" w:hint="eastAsia"/>
          <w:b/>
          <w:spacing w:val="0"/>
          <w:szCs w:val="24"/>
          <w:rtl/>
        </w:rPr>
        <w:t>בישראל</w:t>
      </w:r>
      <w:r w:rsidRPr="0094124F">
        <w:rPr>
          <w:rFonts w:ascii="Century" w:hAnsi="Century" w:cs="Miriam"/>
          <w:b/>
          <w:spacing w:val="0"/>
          <w:szCs w:val="24"/>
          <w:rtl/>
        </w:rPr>
        <w:t xml:space="preserve"> </w:t>
      </w:r>
      <w:r w:rsidRPr="0094124F">
        <w:rPr>
          <w:rFonts w:ascii="Century" w:hAnsi="Century" w:cs="Miriam" w:hint="eastAsia"/>
          <w:b/>
          <w:spacing w:val="0"/>
          <w:szCs w:val="24"/>
          <w:rtl/>
        </w:rPr>
        <w:t>נ</w:t>
      </w:r>
      <w:r w:rsidRPr="0094124F">
        <w:rPr>
          <w:rFonts w:ascii="Century" w:hAnsi="Century" w:cs="Miriam"/>
          <w:b/>
          <w:spacing w:val="0"/>
          <w:szCs w:val="24"/>
          <w:rtl/>
        </w:rPr>
        <w:t xml:space="preserve">' </w:t>
      </w:r>
      <w:r w:rsidRPr="0094124F">
        <w:rPr>
          <w:rFonts w:ascii="Century" w:hAnsi="Century" w:cs="Miriam" w:hint="eastAsia"/>
          <w:b/>
          <w:spacing w:val="0"/>
          <w:szCs w:val="24"/>
          <w:rtl/>
        </w:rPr>
        <w:t>ממשלת</w:t>
      </w:r>
      <w:r w:rsidRPr="0094124F">
        <w:rPr>
          <w:rFonts w:ascii="Century" w:hAnsi="Century" w:cs="Miriam"/>
          <w:b/>
          <w:spacing w:val="0"/>
          <w:szCs w:val="24"/>
          <w:rtl/>
        </w:rPr>
        <w:t xml:space="preserve"> </w:t>
      </w:r>
      <w:r w:rsidRPr="0094124F">
        <w:rPr>
          <w:rFonts w:ascii="Century" w:hAnsi="Century" w:cs="Miriam" w:hint="eastAsia"/>
          <w:b/>
          <w:spacing w:val="0"/>
          <w:szCs w:val="24"/>
          <w:rtl/>
        </w:rPr>
        <w:t>ישראל</w:t>
      </w:r>
      <w:r w:rsidRPr="0094124F">
        <w:rPr>
          <w:rFonts w:ascii="Century" w:hAnsi="Century"/>
          <w:rtl/>
        </w:rPr>
        <w:t xml:space="preserve">, </w:t>
      </w:r>
      <w:r w:rsidRPr="0094124F">
        <w:rPr>
          <w:rFonts w:ascii="Century" w:hAnsi="Century" w:hint="eastAsia"/>
          <w:rtl/>
        </w:rPr>
        <w:t>פ</w:t>
      </w:r>
      <w:r w:rsidRPr="0094124F">
        <w:rPr>
          <w:rFonts w:ascii="Century" w:hAnsi="Century"/>
          <w:rtl/>
        </w:rPr>
        <w:t>"</w:t>
      </w:r>
      <w:r w:rsidRPr="0094124F">
        <w:rPr>
          <w:rFonts w:ascii="Century" w:hAnsi="Century" w:hint="eastAsia"/>
          <w:rtl/>
        </w:rPr>
        <w:t>ד</w:t>
      </w:r>
      <w:r w:rsidRPr="0094124F">
        <w:rPr>
          <w:rFonts w:ascii="Century" w:hAnsi="Century"/>
          <w:rtl/>
        </w:rPr>
        <w:t xml:space="preserve"> </w:t>
      </w:r>
      <w:r w:rsidRPr="0094124F">
        <w:rPr>
          <w:rFonts w:ascii="Century" w:hAnsi="Century" w:hint="eastAsia"/>
          <w:rtl/>
        </w:rPr>
        <w:t>מז</w:t>
      </w:r>
      <w:r w:rsidRPr="0094124F">
        <w:rPr>
          <w:rFonts w:ascii="Century" w:hAnsi="Century"/>
          <w:rtl/>
        </w:rPr>
        <w:t>(5</w:t>
      </w:r>
      <w:r w:rsidRPr="005749D2">
        <w:rPr>
          <w:rFonts w:ascii="Century" w:hAnsi="Century"/>
          <w:rtl/>
        </w:rPr>
        <w:t>) 404</w:t>
      </w:r>
      <w:r w:rsidRPr="005749D2">
        <w:rPr>
          <w:rFonts w:ascii="Century" w:hAnsi="Century" w:hint="cs"/>
          <w:rtl/>
        </w:rPr>
        <w:t xml:space="preserve"> (1993); </w:t>
      </w:r>
      <w:r w:rsidRPr="0094124F">
        <w:rPr>
          <w:rFonts w:ascii="Century" w:hAnsi="Century" w:hint="cs"/>
          <w:rtl/>
        </w:rPr>
        <w:t>ו</w:t>
      </w:r>
      <w:r w:rsidRPr="0094124F">
        <w:rPr>
          <w:rFonts w:ascii="Century" w:hAnsi="Century" w:hint="eastAsia"/>
          <w:rtl/>
        </w:rPr>
        <w:t>בג</w:t>
      </w:r>
      <w:r w:rsidRPr="0094124F">
        <w:rPr>
          <w:rFonts w:ascii="Century" w:hAnsi="Century"/>
          <w:rtl/>
        </w:rPr>
        <w:t>"</w:t>
      </w:r>
      <w:r w:rsidRPr="0094124F">
        <w:rPr>
          <w:rFonts w:ascii="Century" w:hAnsi="Century" w:hint="eastAsia"/>
          <w:rtl/>
        </w:rPr>
        <w:t>ץ</w:t>
      </w:r>
      <w:r w:rsidRPr="0094124F">
        <w:rPr>
          <w:rFonts w:ascii="Century" w:hAnsi="Century"/>
          <w:rtl/>
        </w:rPr>
        <w:t xml:space="preserve"> 4267/93 </w:t>
      </w:r>
      <w:r w:rsidRPr="005749D2">
        <w:rPr>
          <w:rFonts w:ascii="Century" w:hAnsi="Century" w:cs="Miriam" w:hint="eastAsia"/>
          <w:b/>
          <w:spacing w:val="0"/>
          <w:szCs w:val="24"/>
          <w:rtl/>
        </w:rPr>
        <w:t>אמיתי</w:t>
      </w:r>
      <w:r w:rsidRPr="005749D2">
        <w:rPr>
          <w:rFonts w:ascii="Century" w:hAnsi="Century" w:cs="Miriam"/>
          <w:b/>
          <w:spacing w:val="0"/>
          <w:szCs w:val="24"/>
          <w:rtl/>
        </w:rPr>
        <w:t xml:space="preserve"> </w:t>
      </w:r>
      <w:r w:rsidRPr="00942010">
        <w:rPr>
          <w:rFonts w:ascii="Century" w:hAnsi="Century"/>
          <w:rtl/>
        </w:rPr>
        <w:t>–</w:t>
      </w:r>
      <w:r w:rsidRPr="005749D2">
        <w:rPr>
          <w:rFonts w:ascii="Century" w:hAnsi="Century" w:cs="Miriam"/>
          <w:b/>
          <w:spacing w:val="0"/>
          <w:szCs w:val="24"/>
          <w:rtl/>
        </w:rPr>
        <w:t xml:space="preserve"> </w:t>
      </w:r>
      <w:r w:rsidRPr="005749D2">
        <w:rPr>
          <w:rFonts w:ascii="Century" w:hAnsi="Century" w:cs="Miriam" w:hint="eastAsia"/>
          <w:b/>
          <w:spacing w:val="0"/>
          <w:szCs w:val="24"/>
          <w:rtl/>
        </w:rPr>
        <w:t>אזרחים</w:t>
      </w:r>
      <w:r w:rsidRPr="005749D2">
        <w:rPr>
          <w:rFonts w:ascii="Century" w:hAnsi="Century" w:cs="Miriam"/>
          <w:b/>
          <w:spacing w:val="0"/>
          <w:szCs w:val="24"/>
          <w:rtl/>
        </w:rPr>
        <w:t xml:space="preserve"> </w:t>
      </w:r>
      <w:r w:rsidRPr="005749D2">
        <w:rPr>
          <w:rFonts w:ascii="Century" w:hAnsi="Century" w:cs="Miriam" w:hint="eastAsia"/>
          <w:b/>
          <w:spacing w:val="0"/>
          <w:szCs w:val="24"/>
          <w:rtl/>
        </w:rPr>
        <w:t>למען</w:t>
      </w:r>
      <w:r w:rsidRPr="005749D2">
        <w:rPr>
          <w:rFonts w:ascii="Century" w:hAnsi="Century" w:cs="Miriam"/>
          <w:b/>
          <w:spacing w:val="0"/>
          <w:szCs w:val="24"/>
          <w:rtl/>
        </w:rPr>
        <w:t xml:space="preserve"> </w:t>
      </w:r>
      <w:r w:rsidRPr="005749D2">
        <w:rPr>
          <w:rFonts w:ascii="Century" w:hAnsi="Century" w:cs="Miriam" w:hint="eastAsia"/>
          <w:b/>
          <w:spacing w:val="0"/>
          <w:szCs w:val="24"/>
          <w:rtl/>
        </w:rPr>
        <w:t>מינהל</w:t>
      </w:r>
      <w:r w:rsidRPr="005749D2">
        <w:rPr>
          <w:rFonts w:ascii="Century" w:hAnsi="Century" w:cs="Miriam"/>
          <w:b/>
          <w:spacing w:val="0"/>
          <w:szCs w:val="24"/>
          <w:rtl/>
        </w:rPr>
        <w:t xml:space="preserve"> </w:t>
      </w:r>
      <w:r w:rsidRPr="005749D2">
        <w:rPr>
          <w:rFonts w:ascii="Century" w:hAnsi="Century" w:cs="Miriam" w:hint="eastAsia"/>
          <w:b/>
          <w:spacing w:val="0"/>
          <w:szCs w:val="24"/>
          <w:rtl/>
        </w:rPr>
        <w:t>תקין</w:t>
      </w:r>
      <w:r w:rsidRPr="005749D2">
        <w:rPr>
          <w:rFonts w:ascii="Century" w:hAnsi="Century" w:cs="Miriam"/>
          <w:b/>
          <w:spacing w:val="0"/>
          <w:szCs w:val="24"/>
          <w:rtl/>
        </w:rPr>
        <w:t xml:space="preserve"> </w:t>
      </w:r>
      <w:r w:rsidRPr="005749D2">
        <w:rPr>
          <w:rFonts w:ascii="Century" w:hAnsi="Century" w:cs="Miriam" w:hint="eastAsia"/>
          <w:b/>
          <w:spacing w:val="0"/>
          <w:szCs w:val="24"/>
          <w:rtl/>
        </w:rPr>
        <w:t>וטוהר</w:t>
      </w:r>
      <w:r w:rsidRPr="005749D2">
        <w:rPr>
          <w:rFonts w:ascii="Century" w:hAnsi="Century" w:cs="Miriam"/>
          <w:b/>
          <w:spacing w:val="0"/>
          <w:szCs w:val="24"/>
          <w:rtl/>
        </w:rPr>
        <w:t xml:space="preserve"> </w:t>
      </w:r>
      <w:r w:rsidRPr="005749D2">
        <w:rPr>
          <w:rFonts w:ascii="Century" w:hAnsi="Century" w:cs="Miriam" w:hint="eastAsia"/>
          <w:b/>
          <w:spacing w:val="0"/>
          <w:szCs w:val="24"/>
          <w:rtl/>
        </w:rPr>
        <w:t>המידות</w:t>
      </w:r>
      <w:r w:rsidRPr="005749D2">
        <w:rPr>
          <w:rFonts w:ascii="Century" w:hAnsi="Century" w:cs="Miriam"/>
          <w:b/>
          <w:spacing w:val="0"/>
          <w:szCs w:val="24"/>
          <w:rtl/>
        </w:rPr>
        <w:t xml:space="preserve"> </w:t>
      </w:r>
      <w:r w:rsidRPr="005749D2">
        <w:rPr>
          <w:rFonts w:ascii="Century" w:hAnsi="Century" w:cs="Miriam" w:hint="eastAsia"/>
          <w:b/>
          <w:spacing w:val="0"/>
          <w:szCs w:val="24"/>
          <w:rtl/>
        </w:rPr>
        <w:t>נ</w:t>
      </w:r>
      <w:r w:rsidRPr="005749D2">
        <w:rPr>
          <w:rFonts w:ascii="Century" w:hAnsi="Century" w:cs="Miriam"/>
          <w:b/>
          <w:spacing w:val="0"/>
          <w:szCs w:val="24"/>
          <w:rtl/>
        </w:rPr>
        <w:t xml:space="preserve">' </w:t>
      </w:r>
      <w:r w:rsidRPr="005749D2">
        <w:rPr>
          <w:rFonts w:ascii="Century" w:hAnsi="Century" w:cs="Miriam" w:hint="eastAsia"/>
          <w:b/>
          <w:spacing w:val="0"/>
          <w:szCs w:val="24"/>
          <w:rtl/>
        </w:rPr>
        <w:t>יצחק</w:t>
      </w:r>
      <w:r w:rsidRPr="005749D2">
        <w:rPr>
          <w:rFonts w:ascii="Century" w:hAnsi="Century" w:cs="Miriam"/>
          <w:b/>
          <w:spacing w:val="0"/>
          <w:szCs w:val="24"/>
          <w:rtl/>
        </w:rPr>
        <w:t xml:space="preserve"> </w:t>
      </w:r>
      <w:r w:rsidRPr="005749D2">
        <w:rPr>
          <w:rFonts w:ascii="Century" w:hAnsi="Century" w:cs="Miriam" w:hint="eastAsia"/>
          <w:b/>
          <w:spacing w:val="0"/>
          <w:szCs w:val="24"/>
          <w:rtl/>
        </w:rPr>
        <w:t>רבין</w:t>
      </w:r>
      <w:r w:rsidRPr="005749D2">
        <w:rPr>
          <w:rFonts w:ascii="Century" w:hAnsi="Century" w:cs="Miriam"/>
          <w:b/>
          <w:spacing w:val="0"/>
          <w:szCs w:val="24"/>
          <w:rtl/>
        </w:rPr>
        <w:t xml:space="preserve">, </w:t>
      </w:r>
      <w:r w:rsidRPr="005749D2">
        <w:rPr>
          <w:rFonts w:ascii="Century" w:hAnsi="Century" w:cs="Miriam" w:hint="eastAsia"/>
          <w:b/>
          <w:spacing w:val="0"/>
          <w:szCs w:val="24"/>
          <w:rtl/>
        </w:rPr>
        <w:t>ראש</w:t>
      </w:r>
      <w:r w:rsidRPr="005749D2">
        <w:rPr>
          <w:rFonts w:ascii="Century" w:hAnsi="Century" w:cs="Miriam"/>
          <w:b/>
          <w:spacing w:val="0"/>
          <w:szCs w:val="24"/>
          <w:rtl/>
        </w:rPr>
        <w:t xml:space="preserve"> </w:t>
      </w:r>
      <w:r w:rsidRPr="005749D2">
        <w:rPr>
          <w:rFonts w:ascii="Century" w:hAnsi="Century" w:cs="Miriam" w:hint="eastAsia"/>
          <w:b/>
          <w:spacing w:val="0"/>
          <w:szCs w:val="24"/>
          <w:rtl/>
        </w:rPr>
        <w:t>ממשלת</w:t>
      </w:r>
      <w:r w:rsidRPr="005749D2">
        <w:rPr>
          <w:rFonts w:ascii="Century" w:hAnsi="Century" w:cs="Miriam"/>
          <w:b/>
          <w:spacing w:val="0"/>
          <w:szCs w:val="24"/>
          <w:rtl/>
        </w:rPr>
        <w:t xml:space="preserve"> </w:t>
      </w:r>
      <w:r w:rsidRPr="005749D2">
        <w:rPr>
          <w:rFonts w:ascii="Century" w:hAnsi="Century" w:cs="Miriam" w:hint="eastAsia"/>
          <w:b/>
          <w:spacing w:val="0"/>
          <w:szCs w:val="24"/>
          <w:rtl/>
        </w:rPr>
        <w:t>ישראל</w:t>
      </w:r>
      <w:r w:rsidRPr="005749D2">
        <w:rPr>
          <w:rFonts w:ascii="Century" w:hAnsi="Century"/>
          <w:rtl/>
        </w:rPr>
        <w:t xml:space="preserve">, </w:t>
      </w:r>
      <w:r w:rsidRPr="005749D2">
        <w:rPr>
          <w:rFonts w:ascii="Century" w:hAnsi="Century" w:hint="eastAsia"/>
          <w:rtl/>
        </w:rPr>
        <w:t>פ</w:t>
      </w:r>
      <w:r w:rsidRPr="005749D2">
        <w:rPr>
          <w:rFonts w:ascii="Century" w:hAnsi="Century"/>
          <w:rtl/>
        </w:rPr>
        <w:t>"</w:t>
      </w:r>
      <w:r w:rsidRPr="005749D2">
        <w:rPr>
          <w:rFonts w:ascii="Century" w:hAnsi="Century" w:hint="eastAsia"/>
          <w:rtl/>
        </w:rPr>
        <w:t>ד</w:t>
      </w:r>
      <w:r w:rsidRPr="005749D2">
        <w:rPr>
          <w:rFonts w:ascii="Century" w:hAnsi="Century"/>
          <w:rtl/>
        </w:rPr>
        <w:t xml:space="preserve"> </w:t>
      </w:r>
      <w:r w:rsidRPr="005749D2">
        <w:rPr>
          <w:rFonts w:ascii="Century" w:hAnsi="Century" w:hint="eastAsia"/>
          <w:rtl/>
        </w:rPr>
        <w:t>מז</w:t>
      </w:r>
      <w:r w:rsidRPr="000A1340">
        <w:rPr>
          <w:rtl/>
        </w:rPr>
        <w:t>(5) 441 (1993)</w:t>
      </w:r>
      <w:r>
        <w:rPr>
          <w:rFonts w:hint="cs"/>
          <w:rtl/>
        </w:rPr>
        <w:t xml:space="preserve"> </w:t>
      </w:r>
      <w:r>
        <w:rPr>
          <w:rtl/>
        </w:rPr>
        <w:t xml:space="preserve">(להלן: </w:t>
      </w:r>
      <w:r w:rsidRPr="00B3053F">
        <w:rPr>
          <w:rFonts w:ascii="Century" w:hAnsi="Century" w:hint="eastAsia"/>
          <w:rtl/>
        </w:rPr>
        <w:t>עניין</w:t>
      </w:r>
      <w:r w:rsidRPr="00A017BE">
        <w:rPr>
          <w:rFonts w:ascii="Century" w:hAnsi="Century" w:cs="Miriam" w:hint="cs"/>
          <w:b/>
          <w:spacing w:val="0"/>
          <w:szCs w:val="24"/>
          <w:rtl/>
        </w:rPr>
        <w:t xml:space="preserve"> </w:t>
      </w:r>
      <w:r>
        <w:rPr>
          <w:rFonts w:ascii="Century" w:hAnsi="Century" w:cs="Miriam" w:hint="cs"/>
          <w:b/>
          <w:spacing w:val="0"/>
          <w:szCs w:val="24"/>
          <w:rtl/>
        </w:rPr>
        <w:t>פנחסי</w:t>
      </w:r>
      <w:r>
        <w:rPr>
          <w:rFonts w:ascii="Century" w:hAnsi="Century" w:hint="cs"/>
          <w:rtl/>
        </w:rPr>
        <w:t xml:space="preserve">); ופרשת הטלת המנדט בעניינו של ח"כ נתניהו </w:t>
      </w:r>
      <w:r>
        <w:rPr>
          <w:rFonts w:ascii="Century" w:hAnsi="Century"/>
          <w:rtl/>
        </w:rPr>
        <w:t>–</w:t>
      </w:r>
      <w:r>
        <w:rPr>
          <w:rFonts w:ascii="Century" w:hAnsi="Century" w:hint="cs"/>
          <w:rtl/>
        </w:rPr>
        <w:t xml:space="preserve"> </w:t>
      </w:r>
      <w:r w:rsidRPr="0094124F">
        <w:rPr>
          <w:rFonts w:ascii="Century" w:hAnsi="Century"/>
          <w:rtl/>
        </w:rPr>
        <w:t>בג"ץ 2592/20</w:t>
      </w:r>
      <w:r>
        <w:rPr>
          <w:rFonts w:ascii="Century" w:hAnsi="Century" w:hint="cs"/>
          <w:rtl/>
        </w:rPr>
        <w:t xml:space="preserve"> </w:t>
      </w:r>
      <w:r w:rsidRPr="0094124F">
        <w:rPr>
          <w:rFonts w:ascii="Century" w:hAnsi="Century" w:cs="Miriam" w:hint="cs"/>
          <w:b/>
          <w:spacing w:val="0"/>
          <w:szCs w:val="24"/>
          <w:rtl/>
        </w:rPr>
        <w:t xml:space="preserve">התנועה </w:t>
      </w:r>
      <w:r w:rsidRPr="0094124F">
        <w:rPr>
          <w:rFonts w:ascii="Century" w:hAnsi="Century" w:cs="Miriam" w:hint="eastAsia"/>
          <w:b/>
          <w:spacing w:val="0"/>
          <w:szCs w:val="24"/>
          <w:rtl/>
        </w:rPr>
        <w:t>למען</w:t>
      </w:r>
      <w:r w:rsidRPr="0094124F">
        <w:rPr>
          <w:rFonts w:ascii="Century" w:hAnsi="Century" w:cs="Miriam"/>
          <w:b/>
          <w:spacing w:val="0"/>
          <w:szCs w:val="24"/>
          <w:rtl/>
        </w:rPr>
        <w:t xml:space="preserve"> </w:t>
      </w:r>
      <w:r w:rsidRPr="0094124F">
        <w:rPr>
          <w:rFonts w:ascii="Century" w:hAnsi="Century" w:cs="Miriam" w:hint="eastAsia"/>
          <w:b/>
          <w:spacing w:val="0"/>
          <w:szCs w:val="24"/>
          <w:rtl/>
        </w:rPr>
        <w:t>איכות</w:t>
      </w:r>
      <w:r w:rsidRPr="0094124F">
        <w:rPr>
          <w:rFonts w:ascii="Century" w:hAnsi="Century" w:cs="Miriam"/>
          <w:b/>
          <w:spacing w:val="0"/>
          <w:szCs w:val="24"/>
          <w:rtl/>
        </w:rPr>
        <w:t xml:space="preserve"> </w:t>
      </w:r>
      <w:r w:rsidRPr="0094124F">
        <w:rPr>
          <w:rFonts w:ascii="Century" w:hAnsi="Century" w:cs="Miriam" w:hint="eastAsia"/>
          <w:b/>
          <w:spacing w:val="0"/>
          <w:szCs w:val="24"/>
          <w:rtl/>
        </w:rPr>
        <w:t>השלטון</w:t>
      </w:r>
      <w:r w:rsidRPr="0094124F">
        <w:rPr>
          <w:rFonts w:ascii="Century" w:hAnsi="Century" w:cs="Miriam"/>
          <w:b/>
          <w:spacing w:val="0"/>
          <w:szCs w:val="24"/>
          <w:rtl/>
        </w:rPr>
        <w:t xml:space="preserve"> </w:t>
      </w:r>
      <w:r w:rsidRPr="0094124F">
        <w:rPr>
          <w:rFonts w:ascii="Century" w:hAnsi="Century" w:cs="Miriam" w:hint="eastAsia"/>
          <w:b/>
          <w:spacing w:val="0"/>
          <w:szCs w:val="24"/>
          <w:rtl/>
        </w:rPr>
        <w:t>בישראל</w:t>
      </w:r>
      <w:r w:rsidRPr="0094124F">
        <w:rPr>
          <w:rFonts w:ascii="Century" w:hAnsi="Century" w:cs="Miriam"/>
          <w:b/>
          <w:spacing w:val="0"/>
          <w:szCs w:val="24"/>
          <w:rtl/>
        </w:rPr>
        <w:t xml:space="preserve"> </w:t>
      </w:r>
      <w:r w:rsidRPr="0094124F">
        <w:rPr>
          <w:rFonts w:ascii="Century" w:hAnsi="Century" w:cs="Miriam" w:hint="eastAsia"/>
          <w:b/>
          <w:spacing w:val="0"/>
          <w:szCs w:val="24"/>
          <w:rtl/>
        </w:rPr>
        <w:t>נ</w:t>
      </w:r>
      <w:r w:rsidRPr="0094124F">
        <w:rPr>
          <w:rFonts w:ascii="Century" w:hAnsi="Century" w:cs="Miriam"/>
          <w:b/>
          <w:spacing w:val="0"/>
          <w:szCs w:val="24"/>
          <w:rtl/>
        </w:rPr>
        <w:t xml:space="preserve">' </w:t>
      </w:r>
      <w:r w:rsidRPr="0094124F">
        <w:rPr>
          <w:rFonts w:ascii="Century" w:hAnsi="Century" w:cs="Miriam" w:hint="cs"/>
          <w:b/>
          <w:spacing w:val="0"/>
          <w:szCs w:val="24"/>
          <w:rtl/>
        </w:rPr>
        <w:t xml:space="preserve">היועץ המשפטי לממשלה </w:t>
      </w:r>
      <w:r>
        <w:rPr>
          <w:rFonts w:ascii="Century" w:hAnsi="Century" w:hint="cs"/>
          <w:rtl/>
        </w:rPr>
        <w:t xml:space="preserve">(6.5.2020, 20.5.2020) (להלן: </w:t>
      </w:r>
      <w:r w:rsidRPr="006E29B6">
        <w:rPr>
          <w:rFonts w:ascii="Century" w:hAnsi="Century" w:hint="eastAsia"/>
          <w:rtl/>
        </w:rPr>
        <w:t>עניין</w:t>
      </w:r>
      <w:r w:rsidRPr="006E29B6">
        <w:rPr>
          <w:rFonts w:ascii="Century" w:hAnsi="Century"/>
          <w:rtl/>
        </w:rPr>
        <w:t xml:space="preserve"> </w:t>
      </w:r>
      <w:r w:rsidRPr="00971330">
        <w:rPr>
          <w:rFonts w:ascii="Century" w:hAnsi="Century" w:cs="Miriam" w:hint="cs"/>
          <w:b/>
          <w:spacing w:val="0"/>
          <w:szCs w:val="24"/>
          <w:rtl/>
        </w:rPr>
        <w:t>הטלת המנדט</w:t>
      </w:r>
      <w:r>
        <w:rPr>
          <w:rFonts w:ascii="Century" w:hAnsi="Century" w:hint="cs"/>
          <w:rtl/>
        </w:rPr>
        <w:t xml:space="preserve">)). </w:t>
      </w:r>
    </w:p>
    <w:p w14:paraId="6FB91D11" w14:textId="77777777" w:rsidR="00D316ED" w:rsidRDefault="00D316ED" w:rsidP="00D316ED">
      <w:pPr>
        <w:pStyle w:val="Ruller41"/>
        <w:rPr>
          <w:rFonts w:ascii="Century" w:hAnsi="Century"/>
          <w:rtl/>
        </w:rPr>
      </w:pPr>
    </w:p>
    <w:p w14:paraId="2B9CFF47" w14:textId="77777777" w:rsidR="00D316ED" w:rsidRPr="00436747" w:rsidRDefault="00D316ED" w:rsidP="00D316ED">
      <w:pPr>
        <w:pStyle w:val="Ruller41"/>
        <w:rPr>
          <w:rFonts w:ascii="Century" w:hAnsi="Century"/>
          <w:rtl/>
        </w:rPr>
      </w:pPr>
      <w:r>
        <w:rPr>
          <w:rFonts w:ascii="Century" w:hAnsi="Century"/>
          <w:rtl/>
        </w:rPr>
        <w:tab/>
      </w:r>
      <w:r w:rsidRPr="00971330">
        <w:rPr>
          <w:rFonts w:ascii="Century" w:hAnsi="Century" w:cs="Miriam" w:hint="cs"/>
          <w:b/>
          <w:spacing w:val="0"/>
          <w:szCs w:val="24"/>
          <w:rtl/>
        </w:rPr>
        <w:t>מצב ג'</w:t>
      </w:r>
      <w:r>
        <w:rPr>
          <w:rFonts w:ascii="Century" w:hAnsi="Century" w:hint="cs"/>
          <w:rtl/>
        </w:rPr>
        <w:t xml:space="preserve">: בעקבות הרשעה (כמו המצב בעתירה דנן; כמו בעניינו של דרעי בבג"ץ 3095/15 </w:t>
      </w:r>
      <w:r w:rsidRPr="006E29B6">
        <w:rPr>
          <w:rFonts w:ascii="Century" w:hAnsi="Century" w:cs="Miriam" w:hint="eastAsia"/>
          <w:b/>
          <w:spacing w:val="0"/>
          <w:szCs w:val="24"/>
          <w:rtl/>
        </w:rPr>
        <w:t>התנועה</w:t>
      </w:r>
      <w:r w:rsidRPr="006E29B6">
        <w:rPr>
          <w:rFonts w:ascii="Century" w:hAnsi="Century" w:cs="Miriam"/>
          <w:b/>
          <w:spacing w:val="0"/>
          <w:szCs w:val="24"/>
          <w:rtl/>
        </w:rPr>
        <w:t xml:space="preserve"> </w:t>
      </w:r>
      <w:r w:rsidRPr="006E29B6">
        <w:rPr>
          <w:rFonts w:ascii="Century" w:hAnsi="Century" w:cs="Miriam" w:hint="eastAsia"/>
          <w:b/>
          <w:spacing w:val="0"/>
          <w:szCs w:val="24"/>
          <w:rtl/>
        </w:rPr>
        <w:t>למען</w:t>
      </w:r>
      <w:r w:rsidRPr="006E29B6">
        <w:rPr>
          <w:rFonts w:ascii="Century" w:hAnsi="Century" w:cs="Miriam"/>
          <w:b/>
          <w:spacing w:val="0"/>
          <w:szCs w:val="24"/>
          <w:rtl/>
        </w:rPr>
        <w:t xml:space="preserve"> </w:t>
      </w:r>
      <w:r w:rsidRPr="006E29B6">
        <w:rPr>
          <w:rFonts w:ascii="Century" w:hAnsi="Century" w:cs="Miriam" w:hint="eastAsia"/>
          <w:b/>
          <w:spacing w:val="0"/>
          <w:szCs w:val="24"/>
          <w:rtl/>
        </w:rPr>
        <w:t>איכות</w:t>
      </w:r>
      <w:r w:rsidRPr="006E29B6">
        <w:rPr>
          <w:rFonts w:ascii="Century" w:hAnsi="Century" w:cs="Miriam"/>
          <w:b/>
          <w:spacing w:val="0"/>
          <w:szCs w:val="24"/>
          <w:rtl/>
        </w:rPr>
        <w:t xml:space="preserve"> </w:t>
      </w:r>
      <w:r w:rsidRPr="006E29B6">
        <w:rPr>
          <w:rFonts w:ascii="Century" w:hAnsi="Century" w:cs="Miriam" w:hint="eastAsia"/>
          <w:b/>
          <w:spacing w:val="0"/>
          <w:szCs w:val="24"/>
          <w:rtl/>
        </w:rPr>
        <w:t>השלטון</w:t>
      </w:r>
      <w:r w:rsidRPr="006E29B6">
        <w:rPr>
          <w:rFonts w:ascii="Century" w:hAnsi="Century" w:cs="Miriam"/>
          <w:b/>
          <w:spacing w:val="0"/>
          <w:szCs w:val="24"/>
          <w:rtl/>
        </w:rPr>
        <w:t xml:space="preserve"> </w:t>
      </w:r>
      <w:r w:rsidRPr="006E29B6">
        <w:rPr>
          <w:rFonts w:ascii="Century" w:hAnsi="Century" w:cs="Miriam" w:hint="eastAsia"/>
          <w:b/>
          <w:spacing w:val="0"/>
          <w:szCs w:val="24"/>
          <w:rtl/>
        </w:rPr>
        <w:t>בישראל</w:t>
      </w:r>
      <w:r w:rsidRPr="006E29B6">
        <w:rPr>
          <w:rFonts w:ascii="Century" w:hAnsi="Century" w:cs="Miriam"/>
          <w:b/>
          <w:spacing w:val="0"/>
          <w:szCs w:val="24"/>
          <w:rtl/>
        </w:rPr>
        <w:t xml:space="preserve"> </w:t>
      </w:r>
      <w:r w:rsidRPr="006E29B6">
        <w:rPr>
          <w:rFonts w:ascii="Century" w:hAnsi="Century" w:cs="Miriam" w:hint="eastAsia"/>
          <w:b/>
          <w:spacing w:val="0"/>
          <w:szCs w:val="24"/>
          <w:rtl/>
        </w:rPr>
        <w:t>נ</w:t>
      </w:r>
      <w:r w:rsidRPr="006E29B6">
        <w:rPr>
          <w:rFonts w:ascii="Century" w:hAnsi="Century" w:cs="Miriam"/>
          <w:b/>
          <w:spacing w:val="0"/>
          <w:szCs w:val="24"/>
          <w:rtl/>
        </w:rPr>
        <w:t xml:space="preserve">' </w:t>
      </w:r>
      <w:r w:rsidRPr="006E29B6">
        <w:rPr>
          <w:rFonts w:ascii="Century" w:hAnsi="Century" w:cs="Miriam" w:hint="eastAsia"/>
          <w:b/>
          <w:spacing w:val="0"/>
          <w:szCs w:val="24"/>
          <w:rtl/>
        </w:rPr>
        <w:t>ראש</w:t>
      </w:r>
      <w:r w:rsidRPr="006E29B6">
        <w:rPr>
          <w:rFonts w:ascii="Century" w:hAnsi="Century" w:cs="Miriam"/>
          <w:b/>
          <w:spacing w:val="0"/>
          <w:szCs w:val="24"/>
          <w:rtl/>
        </w:rPr>
        <w:t xml:space="preserve"> </w:t>
      </w:r>
      <w:r w:rsidRPr="006E29B6">
        <w:rPr>
          <w:rFonts w:ascii="Century" w:hAnsi="Century" w:cs="Miriam" w:hint="eastAsia"/>
          <w:b/>
          <w:spacing w:val="0"/>
          <w:szCs w:val="24"/>
          <w:rtl/>
        </w:rPr>
        <w:t>ממשלת</w:t>
      </w:r>
      <w:r w:rsidRPr="006E29B6">
        <w:rPr>
          <w:rFonts w:ascii="Century" w:hAnsi="Century" w:cs="Miriam"/>
          <w:b/>
          <w:spacing w:val="0"/>
          <w:szCs w:val="24"/>
          <w:rtl/>
        </w:rPr>
        <w:t xml:space="preserve"> </w:t>
      </w:r>
      <w:r w:rsidRPr="006E29B6">
        <w:rPr>
          <w:rFonts w:ascii="Century" w:hAnsi="Century" w:cs="Miriam" w:hint="eastAsia"/>
          <w:b/>
          <w:spacing w:val="0"/>
          <w:szCs w:val="24"/>
          <w:rtl/>
        </w:rPr>
        <w:t>ישראל</w:t>
      </w:r>
      <w:r>
        <w:rPr>
          <w:rFonts w:ascii="Century" w:hAnsi="Century" w:hint="cs"/>
          <w:rtl/>
        </w:rPr>
        <w:t xml:space="preserve"> (13.8.2015) </w:t>
      </w:r>
      <w:r>
        <w:rPr>
          <w:rFonts w:ascii="Century" w:hAnsi="Century"/>
          <w:rtl/>
        </w:rPr>
        <w:t>(</w:t>
      </w:r>
      <w:r>
        <w:rPr>
          <w:rFonts w:ascii="Century" w:hAnsi="Century" w:hint="eastAsia"/>
          <w:rtl/>
        </w:rPr>
        <w:t>להלן</w:t>
      </w:r>
      <w:r>
        <w:rPr>
          <w:rFonts w:ascii="Century" w:hAnsi="Century"/>
          <w:rtl/>
        </w:rPr>
        <w:t xml:space="preserve">: </w:t>
      </w:r>
      <w:r w:rsidRPr="00B3053F">
        <w:rPr>
          <w:rFonts w:ascii="Century" w:hAnsi="Century" w:hint="eastAsia"/>
          <w:rtl/>
        </w:rPr>
        <w:t>עניין</w:t>
      </w:r>
      <w:r w:rsidRPr="00A017BE">
        <w:rPr>
          <w:rFonts w:ascii="Century" w:hAnsi="Century" w:cs="Miriam" w:hint="cs"/>
          <w:b/>
          <w:spacing w:val="0"/>
          <w:szCs w:val="24"/>
          <w:rtl/>
        </w:rPr>
        <w:t xml:space="preserve"> </w:t>
      </w:r>
      <w:r>
        <w:rPr>
          <w:rFonts w:ascii="Century" w:hAnsi="Century" w:cs="Miriam" w:hint="cs"/>
          <w:b/>
          <w:spacing w:val="0"/>
          <w:szCs w:val="24"/>
          <w:rtl/>
        </w:rPr>
        <w:t>דרעי השני</w:t>
      </w:r>
      <w:r>
        <w:rPr>
          <w:rFonts w:ascii="Century" w:hAnsi="Century" w:hint="cs"/>
          <w:rtl/>
        </w:rPr>
        <w:t xml:space="preserve">); כמו המצב שנדון </w:t>
      </w:r>
      <w:r w:rsidRPr="00436747">
        <w:rPr>
          <w:rFonts w:ascii="Century" w:hAnsi="Century" w:hint="cs"/>
          <w:rtl/>
        </w:rPr>
        <w:t>ב</w:t>
      </w:r>
      <w:r w:rsidRPr="00436747">
        <w:rPr>
          <w:rFonts w:ascii="Century" w:hAnsi="Century" w:hint="eastAsia"/>
          <w:rtl/>
        </w:rPr>
        <w:t>בג</w:t>
      </w:r>
      <w:r w:rsidRPr="00436747">
        <w:rPr>
          <w:rFonts w:ascii="Century" w:hAnsi="Century"/>
          <w:rtl/>
        </w:rPr>
        <w:t>"</w:t>
      </w:r>
      <w:r w:rsidRPr="00436747">
        <w:rPr>
          <w:rFonts w:ascii="Century" w:hAnsi="Century" w:hint="eastAsia"/>
          <w:rtl/>
        </w:rPr>
        <w:t>ץ</w:t>
      </w:r>
      <w:r w:rsidRPr="00436747">
        <w:rPr>
          <w:rFonts w:ascii="Century" w:hAnsi="Century"/>
          <w:rtl/>
        </w:rPr>
        <w:t xml:space="preserve"> 3997/14</w:t>
      </w:r>
      <w:r w:rsidRPr="00436747">
        <w:rPr>
          <w:rFonts w:ascii="Century" w:hAnsi="Century" w:hint="cs"/>
          <w:rtl/>
        </w:rPr>
        <w:t xml:space="preserve"> </w:t>
      </w:r>
      <w:r w:rsidRPr="0094124F">
        <w:rPr>
          <w:rFonts w:ascii="Century" w:hAnsi="Century" w:cs="Miriam" w:hint="cs"/>
          <w:b/>
          <w:spacing w:val="0"/>
          <w:szCs w:val="24"/>
          <w:rtl/>
        </w:rPr>
        <w:t>התנועה למען איכות השלטון בישראל נ' שר החוץ</w:t>
      </w:r>
      <w:r w:rsidRPr="0094124F">
        <w:rPr>
          <w:rFonts w:ascii="Century" w:hAnsi="Century" w:hint="cs"/>
          <w:rtl/>
        </w:rPr>
        <w:t xml:space="preserve"> </w:t>
      </w:r>
      <w:r w:rsidRPr="00436747">
        <w:rPr>
          <w:rFonts w:ascii="Century" w:hAnsi="Century" w:hint="cs"/>
          <w:rtl/>
        </w:rPr>
        <w:t xml:space="preserve">(12.2.2015) (להלן: </w:t>
      </w:r>
      <w:r w:rsidRPr="006E29B6">
        <w:rPr>
          <w:rFonts w:ascii="Century" w:hAnsi="Century" w:hint="eastAsia"/>
          <w:rtl/>
        </w:rPr>
        <w:t>עניין</w:t>
      </w:r>
      <w:r w:rsidRPr="00F9043E">
        <w:rPr>
          <w:rFonts w:ascii="Century" w:hAnsi="Century" w:cs="Miriam" w:hint="cs"/>
          <w:b/>
          <w:spacing w:val="0"/>
          <w:szCs w:val="24"/>
          <w:rtl/>
        </w:rPr>
        <w:t xml:space="preserve"> הנגבי השני</w:t>
      </w:r>
      <w:r w:rsidRPr="00F9043E">
        <w:rPr>
          <w:rFonts w:ascii="Century" w:hAnsi="Century" w:hint="cs"/>
          <w:rtl/>
        </w:rPr>
        <w:t xml:space="preserve"> </w:t>
      </w:r>
      <w:r>
        <w:rPr>
          <w:rFonts w:ascii="Century" w:hAnsi="Century" w:hint="cs"/>
          <w:rtl/>
        </w:rPr>
        <w:t>אגב מינויו לתפקיד סגן שר החוץ</w:t>
      </w:r>
      <w:r w:rsidRPr="00436747">
        <w:rPr>
          <w:rFonts w:ascii="Century" w:hAnsi="Century" w:hint="cs"/>
          <w:rtl/>
        </w:rPr>
        <w:t>)</w:t>
      </w:r>
      <w:r>
        <w:rPr>
          <w:rFonts w:ascii="Century" w:hAnsi="Century" w:hint="cs"/>
          <w:rtl/>
        </w:rPr>
        <w:t>).</w:t>
      </w:r>
    </w:p>
    <w:p w14:paraId="40FA0210" w14:textId="77777777" w:rsidR="00D316ED" w:rsidRDefault="00D316ED" w:rsidP="00D316ED">
      <w:pPr>
        <w:pStyle w:val="Ruller41"/>
        <w:rPr>
          <w:rFonts w:ascii="Century" w:hAnsi="Century"/>
          <w:rtl/>
        </w:rPr>
      </w:pPr>
    </w:p>
    <w:p w14:paraId="522DED4A" w14:textId="77777777" w:rsidR="00D316ED" w:rsidRDefault="00D316ED" w:rsidP="00D316ED">
      <w:pPr>
        <w:pStyle w:val="Ruller41"/>
        <w:rPr>
          <w:rFonts w:ascii="Century" w:hAnsi="Century"/>
          <w:rtl/>
        </w:rPr>
      </w:pPr>
      <w:r>
        <w:rPr>
          <w:rFonts w:ascii="Century" w:hAnsi="Century" w:hint="cs"/>
          <w:rtl/>
        </w:rPr>
        <w:t>5.</w:t>
      </w:r>
      <w:r>
        <w:rPr>
          <w:rFonts w:ascii="Century" w:hAnsi="Century" w:hint="cs"/>
          <w:rtl/>
        </w:rPr>
        <w:tab/>
        <w:t xml:space="preserve">שלושה מצבים אלה </w:t>
      </w:r>
      <w:r>
        <w:rPr>
          <w:rFonts w:ascii="Century" w:hAnsi="Century"/>
          <w:rtl/>
        </w:rPr>
        <w:t>–</w:t>
      </w:r>
      <w:r>
        <w:rPr>
          <w:rFonts w:ascii="Century" w:hAnsi="Century" w:hint="cs"/>
          <w:rtl/>
        </w:rPr>
        <w:t xml:space="preserve"> לאחר המלצה להעמדה לדין או לאחר הגשת כתב אישום או לאחר הרשעה </w:t>
      </w:r>
      <w:r>
        <w:rPr>
          <w:rFonts w:ascii="Century" w:hAnsi="Century"/>
          <w:rtl/>
        </w:rPr>
        <w:t>–</w:t>
      </w:r>
      <w:r>
        <w:rPr>
          <w:rFonts w:ascii="Century" w:hAnsi="Century" w:hint="cs"/>
          <w:rtl/>
        </w:rPr>
        <w:t xml:space="preserve"> הוסדרו בחקיקה ונבחנו בפסיקה אל מול עובדי ציבור ונבחרי ציבור כלהלן:</w:t>
      </w:r>
    </w:p>
    <w:p w14:paraId="46F502AE" w14:textId="77777777" w:rsidR="00D316ED" w:rsidRDefault="00D316ED" w:rsidP="00D316ED">
      <w:pPr>
        <w:pStyle w:val="Ruller41"/>
        <w:rPr>
          <w:rFonts w:ascii="Century" w:hAnsi="Century"/>
          <w:rtl/>
        </w:rPr>
      </w:pPr>
    </w:p>
    <w:p w14:paraId="40749C09" w14:textId="77777777" w:rsidR="00D316ED" w:rsidRDefault="00D316ED" w:rsidP="00D316ED">
      <w:pPr>
        <w:pStyle w:val="Ruller41"/>
        <w:rPr>
          <w:rFonts w:ascii="Century" w:hAnsi="Century"/>
          <w:rtl/>
        </w:rPr>
      </w:pPr>
      <w:r>
        <w:rPr>
          <w:rFonts w:ascii="Century" w:hAnsi="Century"/>
          <w:rtl/>
        </w:rPr>
        <w:lastRenderedPageBreak/>
        <w:tab/>
      </w:r>
      <w:r>
        <w:rPr>
          <w:rFonts w:ascii="Century" w:hAnsi="Century" w:hint="cs"/>
          <w:rtl/>
        </w:rPr>
        <w:t xml:space="preserve">(-) עובד ציבור ובעל משרה ציבורית (לדוגמה, מינויו של גינוסר, שקיבל חנינה ולא הורשע, לתפקיד מנכ"ל משרד השיכון </w:t>
      </w:r>
      <w:r>
        <w:rPr>
          <w:rFonts w:ascii="Century" w:hAnsi="Century"/>
          <w:rtl/>
        </w:rPr>
        <w:t>–</w:t>
      </w:r>
      <w:r>
        <w:rPr>
          <w:rFonts w:ascii="Century" w:hAnsi="Century" w:hint="cs"/>
          <w:rtl/>
        </w:rPr>
        <w:t xml:space="preserve"> </w:t>
      </w:r>
      <w:r w:rsidRPr="000831D3">
        <w:rPr>
          <w:rFonts w:ascii="Century" w:hAnsi="Century"/>
          <w:rtl/>
        </w:rPr>
        <w:t>בג"ץ 6163/92</w:t>
      </w:r>
      <w:r w:rsidRPr="000831D3">
        <w:rPr>
          <w:rFonts w:ascii="Century" w:hAnsi="Century" w:hint="cs"/>
          <w:rtl/>
        </w:rPr>
        <w:t xml:space="preserve"> </w:t>
      </w:r>
      <w:r w:rsidRPr="0094124F">
        <w:rPr>
          <w:rFonts w:ascii="Century" w:hAnsi="Century" w:cs="Miriam"/>
          <w:b/>
          <w:spacing w:val="0"/>
          <w:szCs w:val="24"/>
          <w:rtl/>
        </w:rPr>
        <w:t>אייזנברג נ' שר הבינוי והשיכון</w:t>
      </w:r>
      <w:r w:rsidRPr="00544FDE">
        <w:rPr>
          <w:rFonts w:ascii="Century" w:hAnsi="Century" w:hint="cs"/>
          <w:rtl/>
        </w:rPr>
        <w:t>,</w:t>
      </w:r>
      <w:r w:rsidRPr="000831D3">
        <w:rPr>
          <w:rFonts w:ascii="Century" w:hAnsi="Century" w:hint="cs"/>
          <w:rtl/>
        </w:rPr>
        <w:t xml:space="preserve"> </w:t>
      </w:r>
      <w:r>
        <w:rPr>
          <w:rFonts w:ascii="Century" w:hAnsi="Century" w:hint="cs"/>
          <w:rtl/>
        </w:rPr>
        <w:t xml:space="preserve">פ"ד מז(2) 229 (1993) </w:t>
      </w:r>
      <w:r w:rsidRPr="000831D3">
        <w:rPr>
          <w:rFonts w:ascii="Century" w:hAnsi="Century" w:hint="cs"/>
          <w:rtl/>
        </w:rPr>
        <w:t>(להלן</w:t>
      </w:r>
      <w:r>
        <w:rPr>
          <w:rFonts w:ascii="Century" w:hAnsi="Century" w:hint="cs"/>
          <w:rtl/>
        </w:rPr>
        <w:t xml:space="preserve">: </w:t>
      </w:r>
      <w:r w:rsidRPr="006E29B6">
        <w:rPr>
          <w:rFonts w:ascii="Century" w:hAnsi="Century" w:hint="eastAsia"/>
          <w:rtl/>
        </w:rPr>
        <w:t>עניין</w:t>
      </w:r>
      <w:r w:rsidRPr="006E29B6">
        <w:rPr>
          <w:rFonts w:ascii="Century" w:hAnsi="Century"/>
          <w:rtl/>
        </w:rPr>
        <w:t xml:space="preserve"> </w:t>
      </w:r>
      <w:r w:rsidRPr="004C733F">
        <w:rPr>
          <w:rFonts w:ascii="Century" w:hAnsi="Century" w:cs="Miriam"/>
          <w:b/>
          <w:spacing w:val="0"/>
          <w:szCs w:val="24"/>
          <w:rtl/>
        </w:rPr>
        <w:t>אייזנברג</w:t>
      </w:r>
      <w:r>
        <w:rPr>
          <w:rFonts w:ascii="Century" w:hAnsi="Century" w:hint="cs"/>
          <w:rtl/>
        </w:rPr>
        <w:t xml:space="preserve">); מינויו של איתמר רבינוביץ לשגריר ישראל בארצות הברית לאחר תשלום כופר בגין עבירות מס ומטבע </w:t>
      </w:r>
      <w:r>
        <w:rPr>
          <w:rFonts w:ascii="Century" w:hAnsi="Century"/>
          <w:rtl/>
        </w:rPr>
        <w:t>–</w:t>
      </w:r>
      <w:r>
        <w:rPr>
          <w:rFonts w:ascii="Century" w:hAnsi="Century" w:hint="cs"/>
          <w:rtl/>
        </w:rPr>
        <w:t xml:space="preserve"> בג"ץ 194/13 </w:t>
      </w:r>
      <w:r w:rsidRPr="0094124F">
        <w:rPr>
          <w:rFonts w:ascii="Century" w:hAnsi="Century" w:cs="Miriam" w:hint="cs"/>
          <w:b/>
          <w:spacing w:val="0"/>
          <w:szCs w:val="24"/>
          <w:rtl/>
        </w:rPr>
        <w:t>שגב נ' שר החוץ</w:t>
      </w:r>
      <w:r>
        <w:rPr>
          <w:rFonts w:ascii="Century" w:hAnsi="Century" w:hint="cs"/>
          <w:rtl/>
        </w:rPr>
        <w:t>, פ"ד מט(5) 57 (1995)).</w:t>
      </w:r>
    </w:p>
    <w:p w14:paraId="5492E268" w14:textId="77777777" w:rsidR="00D316ED" w:rsidRDefault="00D316ED" w:rsidP="00D316ED">
      <w:pPr>
        <w:pStyle w:val="Ruller41"/>
        <w:rPr>
          <w:rFonts w:ascii="Century" w:hAnsi="Century"/>
          <w:rtl/>
        </w:rPr>
      </w:pPr>
    </w:p>
    <w:p w14:paraId="22048128" w14:textId="77777777" w:rsidR="00D316ED" w:rsidRPr="00C23E0B" w:rsidRDefault="00D316ED" w:rsidP="00D316ED">
      <w:pPr>
        <w:pStyle w:val="Ruller41"/>
        <w:rPr>
          <w:rFonts w:ascii="Century" w:hAnsi="Century"/>
          <w:rtl/>
        </w:rPr>
      </w:pPr>
      <w:r>
        <w:rPr>
          <w:rFonts w:ascii="Century" w:hAnsi="Century"/>
          <w:rtl/>
        </w:rPr>
        <w:tab/>
      </w:r>
      <w:r>
        <w:rPr>
          <w:rFonts w:ascii="Century" w:hAnsi="Century" w:hint="cs"/>
          <w:rtl/>
        </w:rPr>
        <w:t xml:space="preserve">(-) חבר מועצה ברשות מקומית (לדוגמה, </w:t>
      </w:r>
      <w:r w:rsidRPr="004C733F">
        <w:rPr>
          <w:rFonts w:ascii="Century" w:hAnsi="Century" w:hint="eastAsia"/>
          <w:rtl/>
        </w:rPr>
        <w:t>בג</w:t>
      </w:r>
      <w:r w:rsidRPr="004C733F">
        <w:rPr>
          <w:rFonts w:ascii="Century" w:hAnsi="Century"/>
          <w:rtl/>
        </w:rPr>
        <w:t>"</w:t>
      </w:r>
      <w:r w:rsidRPr="004C733F">
        <w:rPr>
          <w:rFonts w:ascii="Century" w:hAnsi="Century" w:hint="eastAsia"/>
          <w:rtl/>
        </w:rPr>
        <w:t>ץ</w:t>
      </w:r>
      <w:r w:rsidRPr="004C733F">
        <w:rPr>
          <w:rFonts w:ascii="Century" w:hAnsi="Century"/>
          <w:rtl/>
        </w:rPr>
        <w:t xml:space="preserve"> 4921/13</w:t>
      </w:r>
      <w:r w:rsidRPr="00B42272">
        <w:rPr>
          <w:rFonts w:ascii="Century" w:hAnsi="Century"/>
          <w:rtl/>
        </w:rPr>
        <w:t xml:space="preserve"> </w:t>
      </w:r>
      <w:r w:rsidRPr="00B42272">
        <w:rPr>
          <w:rFonts w:ascii="Century" w:hAnsi="Century" w:cs="Miriam" w:hint="eastAsia"/>
          <w:b/>
          <w:spacing w:val="0"/>
          <w:szCs w:val="24"/>
          <w:rtl/>
        </w:rPr>
        <w:t>אומ</w:t>
      </w:r>
      <w:r w:rsidRPr="00B42272">
        <w:rPr>
          <w:rFonts w:ascii="Century" w:hAnsi="Century" w:cs="Miriam"/>
          <w:b/>
          <w:spacing w:val="0"/>
          <w:szCs w:val="24"/>
          <w:rtl/>
        </w:rPr>
        <w:t>"</w:t>
      </w:r>
      <w:r w:rsidRPr="00B42272">
        <w:rPr>
          <w:rFonts w:ascii="Century" w:hAnsi="Century" w:cs="Miriam" w:hint="eastAsia"/>
          <w:b/>
          <w:spacing w:val="0"/>
          <w:szCs w:val="24"/>
          <w:rtl/>
        </w:rPr>
        <w:t>ץ</w:t>
      </w:r>
      <w:r w:rsidRPr="00B42272">
        <w:rPr>
          <w:rFonts w:ascii="Century" w:hAnsi="Century" w:cs="Miriam"/>
          <w:b/>
          <w:spacing w:val="0"/>
          <w:szCs w:val="24"/>
          <w:rtl/>
        </w:rPr>
        <w:t xml:space="preserve"> </w:t>
      </w:r>
      <w:r w:rsidRPr="00B42272">
        <w:rPr>
          <w:rFonts w:ascii="Century" w:hAnsi="Century" w:cs="Miriam" w:hint="eastAsia"/>
          <w:b/>
          <w:spacing w:val="0"/>
          <w:szCs w:val="24"/>
          <w:rtl/>
        </w:rPr>
        <w:t>אזרחים</w:t>
      </w:r>
      <w:r w:rsidRPr="00B42272">
        <w:rPr>
          <w:rFonts w:ascii="Century" w:hAnsi="Century" w:cs="Miriam"/>
          <w:b/>
          <w:spacing w:val="0"/>
          <w:szCs w:val="24"/>
          <w:rtl/>
        </w:rPr>
        <w:t xml:space="preserve"> </w:t>
      </w:r>
      <w:r w:rsidRPr="00B42272">
        <w:rPr>
          <w:rFonts w:ascii="Century" w:hAnsi="Century" w:cs="Miriam" w:hint="eastAsia"/>
          <w:b/>
          <w:spacing w:val="0"/>
          <w:szCs w:val="24"/>
          <w:rtl/>
        </w:rPr>
        <w:t>למען</w:t>
      </w:r>
      <w:r w:rsidRPr="00B42272">
        <w:rPr>
          <w:rFonts w:ascii="Century" w:hAnsi="Century" w:cs="Miriam"/>
          <w:b/>
          <w:spacing w:val="0"/>
          <w:szCs w:val="24"/>
          <w:rtl/>
        </w:rPr>
        <w:t xml:space="preserve"> </w:t>
      </w:r>
      <w:r w:rsidRPr="00B42272">
        <w:rPr>
          <w:rFonts w:ascii="Century" w:hAnsi="Century" w:cs="Miriam" w:hint="eastAsia"/>
          <w:b/>
          <w:spacing w:val="0"/>
          <w:szCs w:val="24"/>
          <w:rtl/>
        </w:rPr>
        <w:t>מנהל</w:t>
      </w:r>
      <w:r w:rsidRPr="00B42272">
        <w:rPr>
          <w:rFonts w:ascii="Century" w:hAnsi="Century" w:cs="Miriam"/>
          <w:b/>
          <w:spacing w:val="0"/>
          <w:szCs w:val="24"/>
          <w:rtl/>
        </w:rPr>
        <w:t xml:space="preserve"> </w:t>
      </w:r>
      <w:r w:rsidRPr="00B42272">
        <w:rPr>
          <w:rFonts w:ascii="Century" w:hAnsi="Century" w:cs="Miriam" w:hint="eastAsia"/>
          <w:b/>
          <w:spacing w:val="0"/>
          <w:szCs w:val="24"/>
          <w:rtl/>
        </w:rPr>
        <w:t>תקין</w:t>
      </w:r>
      <w:r w:rsidRPr="00B42272">
        <w:rPr>
          <w:rFonts w:ascii="Century" w:hAnsi="Century" w:cs="Miriam"/>
          <w:b/>
          <w:spacing w:val="0"/>
          <w:szCs w:val="24"/>
          <w:rtl/>
        </w:rPr>
        <w:t xml:space="preserve"> </w:t>
      </w:r>
      <w:r w:rsidRPr="00B42272">
        <w:rPr>
          <w:rFonts w:ascii="Century" w:hAnsi="Century" w:cs="Miriam" w:hint="eastAsia"/>
          <w:b/>
          <w:spacing w:val="0"/>
          <w:szCs w:val="24"/>
          <w:rtl/>
        </w:rPr>
        <w:t>וצדק</w:t>
      </w:r>
      <w:r w:rsidRPr="00B42272">
        <w:rPr>
          <w:rFonts w:ascii="Century" w:hAnsi="Century" w:cs="Miriam"/>
          <w:b/>
          <w:spacing w:val="0"/>
          <w:szCs w:val="24"/>
          <w:rtl/>
        </w:rPr>
        <w:t xml:space="preserve"> </w:t>
      </w:r>
      <w:r w:rsidRPr="00B42272">
        <w:rPr>
          <w:rFonts w:ascii="Century" w:hAnsi="Century" w:cs="Miriam" w:hint="eastAsia"/>
          <w:b/>
          <w:spacing w:val="0"/>
          <w:szCs w:val="24"/>
          <w:rtl/>
        </w:rPr>
        <w:t>חברתי</w:t>
      </w:r>
      <w:r w:rsidRPr="00B42272">
        <w:rPr>
          <w:rFonts w:ascii="Century" w:hAnsi="Century" w:cs="Miriam"/>
          <w:b/>
          <w:spacing w:val="0"/>
          <w:szCs w:val="24"/>
          <w:rtl/>
        </w:rPr>
        <w:t xml:space="preserve"> </w:t>
      </w:r>
      <w:r w:rsidRPr="00B42272">
        <w:rPr>
          <w:rFonts w:ascii="Century" w:hAnsi="Century" w:cs="Miriam" w:hint="eastAsia"/>
          <w:b/>
          <w:spacing w:val="0"/>
          <w:szCs w:val="24"/>
          <w:rtl/>
        </w:rPr>
        <w:t>נ</w:t>
      </w:r>
      <w:r w:rsidRPr="00B42272">
        <w:rPr>
          <w:rFonts w:ascii="Century" w:hAnsi="Century" w:cs="Miriam"/>
          <w:b/>
          <w:spacing w:val="0"/>
          <w:szCs w:val="24"/>
          <w:rtl/>
        </w:rPr>
        <w:t xml:space="preserve">' </w:t>
      </w:r>
      <w:r w:rsidRPr="00B42272">
        <w:rPr>
          <w:rFonts w:ascii="Century" w:hAnsi="Century" w:cs="Miriam" w:hint="eastAsia"/>
          <w:b/>
          <w:spacing w:val="0"/>
          <w:szCs w:val="24"/>
          <w:rtl/>
        </w:rPr>
        <w:t>ראש</w:t>
      </w:r>
      <w:r w:rsidRPr="00B42272">
        <w:rPr>
          <w:rFonts w:ascii="Century" w:hAnsi="Century" w:cs="Miriam"/>
          <w:b/>
          <w:spacing w:val="0"/>
          <w:szCs w:val="24"/>
          <w:rtl/>
        </w:rPr>
        <w:t xml:space="preserve"> </w:t>
      </w:r>
      <w:r w:rsidRPr="00B42272">
        <w:rPr>
          <w:rFonts w:ascii="Century" w:hAnsi="Century" w:cs="Miriam" w:hint="eastAsia"/>
          <w:b/>
          <w:spacing w:val="0"/>
          <w:szCs w:val="24"/>
          <w:rtl/>
        </w:rPr>
        <w:t>עיריית</w:t>
      </w:r>
      <w:r w:rsidRPr="00B42272">
        <w:rPr>
          <w:rFonts w:ascii="Century" w:hAnsi="Century" w:cs="Miriam"/>
          <w:b/>
          <w:spacing w:val="0"/>
          <w:szCs w:val="24"/>
          <w:rtl/>
        </w:rPr>
        <w:t xml:space="preserve"> </w:t>
      </w:r>
      <w:r w:rsidRPr="00B42272">
        <w:rPr>
          <w:rFonts w:ascii="Century" w:hAnsi="Century" w:cs="Miriam" w:hint="eastAsia"/>
          <w:b/>
          <w:spacing w:val="0"/>
          <w:szCs w:val="24"/>
          <w:rtl/>
        </w:rPr>
        <w:t>רמת</w:t>
      </w:r>
      <w:r w:rsidRPr="00B42272">
        <w:rPr>
          <w:rFonts w:ascii="Century" w:hAnsi="Century" w:cs="Miriam"/>
          <w:b/>
          <w:spacing w:val="0"/>
          <w:szCs w:val="24"/>
          <w:rtl/>
        </w:rPr>
        <w:t xml:space="preserve"> </w:t>
      </w:r>
      <w:r w:rsidRPr="00B42272">
        <w:rPr>
          <w:rFonts w:ascii="Century" w:hAnsi="Century" w:cs="Miriam" w:hint="eastAsia"/>
          <w:b/>
          <w:spacing w:val="0"/>
          <w:szCs w:val="24"/>
          <w:rtl/>
        </w:rPr>
        <w:t>השרון</w:t>
      </w:r>
      <w:r w:rsidRPr="00B42272">
        <w:rPr>
          <w:rFonts w:ascii="Century" w:hAnsi="Century" w:cs="Miriam"/>
          <w:b/>
          <w:spacing w:val="0"/>
          <w:szCs w:val="24"/>
          <w:rtl/>
        </w:rPr>
        <w:t xml:space="preserve">, </w:t>
      </w:r>
      <w:r w:rsidRPr="00B42272">
        <w:rPr>
          <w:rFonts w:ascii="Century" w:hAnsi="Century" w:cs="Miriam" w:hint="eastAsia"/>
          <w:b/>
          <w:spacing w:val="0"/>
          <w:szCs w:val="24"/>
          <w:rtl/>
        </w:rPr>
        <w:t>יצחק</w:t>
      </w:r>
      <w:r w:rsidRPr="00B42272">
        <w:rPr>
          <w:rFonts w:ascii="Century" w:hAnsi="Century" w:cs="Miriam"/>
          <w:b/>
          <w:spacing w:val="0"/>
          <w:szCs w:val="24"/>
          <w:rtl/>
        </w:rPr>
        <w:t xml:space="preserve"> </w:t>
      </w:r>
      <w:proofErr w:type="spellStart"/>
      <w:r w:rsidRPr="00B42272">
        <w:rPr>
          <w:rFonts w:ascii="Century" w:hAnsi="Century" w:cs="Miriam" w:hint="eastAsia"/>
          <w:b/>
          <w:spacing w:val="0"/>
          <w:szCs w:val="24"/>
          <w:rtl/>
        </w:rPr>
        <w:t>רוכברגר</w:t>
      </w:r>
      <w:proofErr w:type="spellEnd"/>
      <w:r w:rsidRPr="00B42272">
        <w:rPr>
          <w:rFonts w:ascii="Century" w:hAnsi="Century"/>
          <w:rtl/>
        </w:rPr>
        <w:t xml:space="preserve">, </w:t>
      </w:r>
      <w:r w:rsidRPr="00B42272">
        <w:rPr>
          <w:rFonts w:ascii="Century" w:hAnsi="Century" w:hint="eastAsia"/>
          <w:rtl/>
        </w:rPr>
        <w:t>פ</w:t>
      </w:r>
      <w:r>
        <w:rPr>
          <w:rFonts w:ascii="Century" w:hAnsi="Century" w:hint="cs"/>
          <w:rtl/>
        </w:rPr>
        <w:t>"</w:t>
      </w:r>
      <w:r w:rsidRPr="00B42272">
        <w:rPr>
          <w:rFonts w:ascii="Century" w:hAnsi="Century" w:hint="eastAsia"/>
          <w:rtl/>
        </w:rPr>
        <w:t>ד</w:t>
      </w:r>
      <w:r w:rsidRPr="00B42272">
        <w:rPr>
          <w:rFonts w:ascii="Century" w:hAnsi="Century"/>
          <w:rtl/>
        </w:rPr>
        <w:t xml:space="preserve"> </w:t>
      </w:r>
      <w:proofErr w:type="spellStart"/>
      <w:r w:rsidRPr="00B42272">
        <w:rPr>
          <w:rFonts w:ascii="Century" w:hAnsi="Century" w:hint="eastAsia"/>
          <w:rtl/>
        </w:rPr>
        <w:t>סו</w:t>
      </w:r>
      <w:proofErr w:type="spellEnd"/>
      <w:r w:rsidRPr="000A1340">
        <w:rPr>
          <w:rtl/>
        </w:rPr>
        <w:t>(3) 135</w:t>
      </w:r>
      <w:r>
        <w:rPr>
          <w:rFonts w:hint="cs"/>
          <w:rtl/>
        </w:rPr>
        <w:t xml:space="preserve"> (2013) </w:t>
      </w:r>
      <w:r>
        <w:rPr>
          <w:rtl/>
        </w:rPr>
        <w:t xml:space="preserve">(להלן: </w:t>
      </w:r>
      <w:r w:rsidRPr="00B3053F">
        <w:rPr>
          <w:rFonts w:ascii="Century" w:hAnsi="Century" w:hint="eastAsia"/>
          <w:rtl/>
        </w:rPr>
        <w:t>עניין</w:t>
      </w:r>
      <w:r w:rsidRPr="00A017BE">
        <w:rPr>
          <w:rFonts w:ascii="Century" w:hAnsi="Century" w:cs="Miriam" w:hint="cs"/>
          <w:b/>
          <w:spacing w:val="0"/>
          <w:szCs w:val="24"/>
          <w:rtl/>
        </w:rPr>
        <w:t xml:space="preserve"> </w:t>
      </w:r>
      <w:r>
        <w:rPr>
          <w:rFonts w:ascii="Century" w:hAnsi="Century" w:cs="Miriam" w:hint="cs"/>
          <w:b/>
          <w:spacing w:val="0"/>
          <w:szCs w:val="24"/>
          <w:rtl/>
        </w:rPr>
        <w:t>ראשי הערים</w:t>
      </w:r>
      <w:r>
        <w:rPr>
          <w:rFonts w:ascii="Century" w:hAnsi="Century" w:hint="cs"/>
          <w:rtl/>
        </w:rPr>
        <w:t>)</w:t>
      </w:r>
      <w:r>
        <w:rPr>
          <w:rFonts w:hint="cs"/>
          <w:rtl/>
        </w:rPr>
        <w:t xml:space="preserve"> </w:t>
      </w:r>
      <w:r>
        <w:rPr>
          <w:rtl/>
        </w:rPr>
        <w:t>–</w:t>
      </w:r>
      <w:r>
        <w:rPr>
          <w:rFonts w:hint="cs"/>
          <w:rtl/>
        </w:rPr>
        <w:t xml:space="preserve"> בשלב הגשת כתב אישום; ובעניינו של צבי בר </w:t>
      </w:r>
      <w:r>
        <w:rPr>
          <w:rtl/>
        </w:rPr>
        <w:t>–</w:t>
      </w:r>
      <w:r>
        <w:rPr>
          <w:rFonts w:hint="cs"/>
          <w:rtl/>
        </w:rPr>
        <w:t xml:space="preserve"> </w:t>
      </w:r>
      <w:r w:rsidRPr="00B84DC8">
        <w:rPr>
          <w:rFonts w:ascii="Century" w:hAnsi="Century"/>
          <w:rtl/>
        </w:rPr>
        <w:t xml:space="preserve">בג"ץ 4888/10 </w:t>
      </w:r>
      <w:r w:rsidRPr="00B84DC8">
        <w:rPr>
          <w:rFonts w:ascii="Century" w:hAnsi="Century" w:cs="Miriam" w:hint="eastAsia"/>
          <w:b/>
          <w:spacing w:val="0"/>
          <w:szCs w:val="24"/>
          <w:rtl/>
        </w:rPr>
        <w:t>ליליאן</w:t>
      </w:r>
      <w:r w:rsidRPr="00B84DC8">
        <w:rPr>
          <w:rFonts w:ascii="Century" w:hAnsi="Century" w:cs="Miriam"/>
          <w:b/>
          <w:spacing w:val="0"/>
          <w:szCs w:val="24"/>
          <w:rtl/>
        </w:rPr>
        <w:t xml:space="preserve"> </w:t>
      </w:r>
      <w:r w:rsidRPr="00B84DC8">
        <w:rPr>
          <w:rFonts w:ascii="Century" w:hAnsi="Century" w:cs="Miriam" w:hint="eastAsia"/>
          <w:b/>
          <w:spacing w:val="0"/>
          <w:szCs w:val="24"/>
          <w:rtl/>
        </w:rPr>
        <w:t>נ</w:t>
      </w:r>
      <w:r w:rsidRPr="00B84DC8">
        <w:rPr>
          <w:rFonts w:ascii="Century" w:hAnsi="Century" w:cs="Miriam"/>
          <w:b/>
          <w:spacing w:val="0"/>
          <w:szCs w:val="24"/>
          <w:rtl/>
        </w:rPr>
        <w:t xml:space="preserve">' </w:t>
      </w:r>
      <w:r w:rsidRPr="00B84DC8">
        <w:rPr>
          <w:rFonts w:ascii="Century" w:hAnsi="Century" w:cs="Miriam" w:hint="eastAsia"/>
          <w:b/>
          <w:spacing w:val="0"/>
          <w:szCs w:val="24"/>
          <w:rtl/>
        </w:rPr>
        <w:t>ראש</w:t>
      </w:r>
      <w:r w:rsidRPr="00B84DC8">
        <w:rPr>
          <w:rFonts w:ascii="Century" w:hAnsi="Century" w:cs="Miriam"/>
          <w:b/>
          <w:spacing w:val="0"/>
          <w:szCs w:val="24"/>
          <w:rtl/>
        </w:rPr>
        <w:t xml:space="preserve"> </w:t>
      </w:r>
      <w:r w:rsidRPr="00B84DC8">
        <w:rPr>
          <w:rFonts w:ascii="Century" w:hAnsi="Century" w:cs="Miriam" w:hint="eastAsia"/>
          <w:b/>
          <w:spacing w:val="0"/>
          <w:szCs w:val="24"/>
          <w:rtl/>
        </w:rPr>
        <w:t>עירית</w:t>
      </w:r>
      <w:r w:rsidRPr="00B84DC8">
        <w:rPr>
          <w:rFonts w:ascii="Century" w:hAnsi="Century" w:cs="Miriam"/>
          <w:b/>
          <w:spacing w:val="0"/>
          <w:szCs w:val="24"/>
          <w:rtl/>
        </w:rPr>
        <w:t xml:space="preserve"> </w:t>
      </w:r>
      <w:r w:rsidRPr="00B84DC8">
        <w:rPr>
          <w:rFonts w:ascii="Century" w:hAnsi="Century" w:cs="Miriam" w:hint="eastAsia"/>
          <w:b/>
          <w:spacing w:val="0"/>
          <w:szCs w:val="24"/>
          <w:rtl/>
        </w:rPr>
        <w:t>רמת</w:t>
      </w:r>
      <w:r w:rsidRPr="00B84DC8">
        <w:rPr>
          <w:rFonts w:ascii="Century" w:hAnsi="Century" w:cs="Miriam"/>
          <w:b/>
          <w:spacing w:val="0"/>
          <w:szCs w:val="24"/>
          <w:rtl/>
        </w:rPr>
        <w:t xml:space="preserve"> </w:t>
      </w:r>
      <w:r w:rsidRPr="00B84DC8">
        <w:rPr>
          <w:rFonts w:ascii="Century" w:hAnsi="Century" w:cs="Miriam" w:hint="eastAsia"/>
          <w:b/>
          <w:spacing w:val="0"/>
          <w:szCs w:val="24"/>
          <w:rtl/>
        </w:rPr>
        <w:t>גן</w:t>
      </w:r>
      <w:r w:rsidRPr="00B84DC8">
        <w:rPr>
          <w:rFonts w:ascii="Century" w:hAnsi="Century" w:cs="Miriam"/>
          <w:b/>
          <w:spacing w:val="0"/>
          <w:szCs w:val="24"/>
          <w:rtl/>
        </w:rPr>
        <w:t xml:space="preserve"> </w:t>
      </w:r>
      <w:r w:rsidRPr="00B84DC8">
        <w:rPr>
          <w:rFonts w:ascii="Century" w:hAnsi="Century" w:cs="Miriam" w:hint="eastAsia"/>
          <w:b/>
          <w:spacing w:val="0"/>
          <w:szCs w:val="24"/>
          <w:rtl/>
        </w:rPr>
        <w:t>ויו</w:t>
      </w:r>
      <w:r w:rsidRPr="00B84DC8">
        <w:rPr>
          <w:rFonts w:ascii="Century" w:hAnsi="Century" w:cs="Miriam"/>
          <w:b/>
          <w:spacing w:val="0"/>
          <w:szCs w:val="24"/>
          <w:rtl/>
        </w:rPr>
        <w:t xml:space="preserve">"ר </w:t>
      </w:r>
      <w:r w:rsidRPr="00B84DC8">
        <w:rPr>
          <w:rFonts w:ascii="Century" w:hAnsi="Century" w:cs="Miriam" w:hint="eastAsia"/>
          <w:b/>
          <w:spacing w:val="0"/>
          <w:szCs w:val="24"/>
          <w:rtl/>
        </w:rPr>
        <w:t>הוועדה</w:t>
      </w:r>
      <w:r w:rsidRPr="00B84DC8">
        <w:rPr>
          <w:rFonts w:ascii="Century" w:hAnsi="Century" w:cs="Miriam"/>
          <w:b/>
          <w:spacing w:val="0"/>
          <w:szCs w:val="24"/>
          <w:rtl/>
        </w:rPr>
        <w:t xml:space="preserve"> </w:t>
      </w:r>
      <w:r w:rsidRPr="00B84DC8">
        <w:rPr>
          <w:rFonts w:ascii="Century" w:hAnsi="Century" w:cs="Miriam" w:hint="eastAsia"/>
          <w:b/>
          <w:spacing w:val="0"/>
          <w:szCs w:val="24"/>
          <w:rtl/>
        </w:rPr>
        <w:t>המקומית</w:t>
      </w:r>
      <w:r w:rsidRPr="00B84DC8">
        <w:rPr>
          <w:rFonts w:ascii="Century" w:hAnsi="Century" w:cs="Miriam"/>
          <w:b/>
          <w:spacing w:val="0"/>
          <w:szCs w:val="24"/>
          <w:rtl/>
        </w:rPr>
        <w:t xml:space="preserve"> </w:t>
      </w:r>
      <w:r w:rsidRPr="00B84DC8">
        <w:rPr>
          <w:rFonts w:ascii="Century" w:hAnsi="Century" w:cs="Miriam" w:hint="eastAsia"/>
          <w:b/>
          <w:spacing w:val="0"/>
          <w:szCs w:val="24"/>
          <w:rtl/>
        </w:rPr>
        <w:t>לתכנון</w:t>
      </w:r>
      <w:r w:rsidRPr="00B84DC8">
        <w:rPr>
          <w:rFonts w:ascii="Century" w:hAnsi="Century" w:cs="Miriam"/>
          <w:b/>
          <w:spacing w:val="0"/>
          <w:szCs w:val="24"/>
          <w:rtl/>
        </w:rPr>
        <w:t xml:space="preserve"> </w:t>
      </w:r>
      <w:r w:rsidRPr="00B84DC8">
        <w:rPr>
          <w:rFonts w:ascii="Century" w:hAnsi="Century" w:cs="Miriam" w:hint="eastAsia"/>
          <w:b/>
          <w:spacing w:val="0"/>
          <w:szCs w:val="24"/>
          <w:rtl/>
        </w:rPr>
        <w:t>ובניה</w:t>
      </w:r>
      <w:r w:rsidRPr="00B84DC8">
        <w:rPr>
          <w:rFonts w:ascii="Century" w:hAnsi="Century" w:cs="Miriam"/>
          <w:b/>
          <w:spacing w:val="0"/>
          <w:szCs w:val="24"/>
          <w:rtl/>
        </w:rPr>
        <w:t xml:space="preserve"> </w:t>
      </w:r>
      <w:r w:rsidRPr="00B84DC8">
        <w:rPr>
          <w:rFonts w:ascii="Century" w:hAnsi="Century"/>
          <w:rtl/>
        </w:rPr>
        <w:t>(27.12.2010)</w:t>
      </w:r>
      <w:r>
        <w:rPr>
          <w:rFonts w:ascii="Century" w:hAnsi="Century" w:hint="cs"/>
          <w:rtl/>
        </w:rPr>
        <w:t xml:space="preserve"> </w:t>
      </w:r>
      <w:r>
        <w:rPr>
          <w:rFonts w:ascii="Century" w:hAnsi="Century"/>
          <w:rtl/>
        </w:rPr>
        <w:t>–</w:t>
      </w:r>
      <w:r>
        <w:rPr>
          <w:rFonts w:ascii="Century" w:hAnsi="Century" w:hint="cs"/>
          <w:rtl/>
        </w:rPr>
        <w:t xml:space="preserve"> בשלב החקירה, ו</w:t>
      </w:r>
      <w:r w:rsidRPr="00B84DC8">
        <w:rPr>
          <w:rFonts w:ascii="Century" w:hAnsi="Century"/>
          <w:rtl/>
        </w:rPr>
        <w:t xml:space="preserve">בג"ץ 5141/11 </w:t>
      </w:r>
      <w:r w:rsidRPr="00B84DC8">
        <w:rPr>
          <w:rFonts w:ascii="Century" w:hAnsi="Century" w:cs="Miriam" w:hint="eastAsia"/>
          <w:b/>
          <w:spacing w:val="0"/>
          <w:szCs w:val="24"/>
          <w:rtl/>
        </w:rPr>
        <w:t>ליליאן</w:t>
      </w:r>
      <w:r w:rsidRPr="00B84DC8">
        <w:rPr>
          <w:rFonts w:ascii="Century" w:hAnsi="Century" w:cs="Miriam"/>
          <w:b/>
          <w:spacing w:val="0"/>
          <w:szCs w:val="24"/>
          <w:rtl/>
        </w:rPr>
        <w:t xml:space="preserve"> </w:t>
      </w:r>
      <w:r w:rsidRPr="00B84DC8">
        <w:rPr>
          <w:rFonts w:ascii="Century" w:hAnsi="Century" w:cs="Miriam" w:hint="eastAsia"/>
          <w:b/>
          <w:spacing w:val="0"/>
          <w:szCs w:val="24"/>
          <w:rtl/>
        </w:rPr>
        <w:t>נ</w:t>
      </w:r>
      <w:r w:rsidRPr="00B84DC8">
        <w:rPr>
          <w:rFonts w:ascii="Century" w:hAnsi="Century" w:cs="Miriam"/>
          <w:b/>
          <w:spacing w:val="0"/>
          <w:szCs w:val="24"/>
          <w:rtl/>
        </w:rPr>
        <w:t xml:space="preserve">' </w:t>
      </w:r>
      <w:r w:rsidRPr="00B84DC8">
        <w:rPr>
          <w:rFonts w:ascii="Century" w:hAnsi="Century" w:cs="Miriam" w:hint="eastAsia"/>
          <w:b/>
          <w:spacing w:val="0"/>
          <w:szCs w:val="24"/>
          <w:rtl/>
        </w:rPr>
        <w:t>ראש</w:t>
      </w:r>
      <w:r w:rsidRPr="00B84DC8">
        <w:rPr>
          <w:rFonts w:ascii="Century" w:hAnsi="Century" w:cs="Miriam"/>
          <w:b/>
          <w:spacing w:val="0"/>
          <w:szCs w:val="24"/>
          <w:rtl/>
        </w:rPr>
        <w:t xml:space="preserve"> </w:t>
      </w:r>
      <w:r w:rsidRPr="00B84DC8">
        <w:rPr>
          <w:rFonts w:ascii="Century" w:hAnsi="Century" w:cs="Miriam" w:hint="eastAsia"/>
          <w:b/>
          <w:spacing w:val="0"/>
          <w:szCs w:val="24"/>
          <w:rtl/>
        </w:rPr>
        <w:t>עיריית</w:t>
      </w:r>
      <w:r w:rsidRPr="00B84DC8">
        <w:rPr>
          <w:rFonts w:ascii="Century" w:hAnsi="Century" w:cs="Miriam"/>
          <w:b/>
          <w:spacing w:val="0"/>
          <w:szCs w:val="24"/>
          <w:rtl/>
        </w:rPr>
        <w:t xml:space="preserve"> </w:t>
      </w:r>
      <w:r w:rsidRPr="00B84DC8">
        <w:rPr>
          <w:rFonts w:ascii="Century" w:hAnsi="Century" w:cs="Miriam" w:hint="eastAsia"/>
          <w:b/>
          <w:spacing w:val="0"/>
          <w:szCs w:val="24"/>
          <w:rtl/>
        </w:rPr>
        <w:t>רמת</w:t>
      </w:r>
      <w:r w:rsidRPr="00B84DC8">
        <w:rPr>
          <w:rFonts w:ascii="Century" w:hAnsi="Century" w:cs="Miriam"/>
          <w:b/>
          <w:spacing w:val="0"/>
          <w:szCs w:val="24"/>
          <w:rtl/>
        </w:rPr>
        <w:t xml:space="preserve"> </w:t>
      </w:r>
      <w:r w:rsidRPr="00B84DC8">
        <w:rPr>
          <w:rFonts w:ascii="Century" w:hAnsi="Century" w:cs="Miriam" w:hint="eastAsia"/>
          <w:b/>
          <w:spacing w:val="0"/>
          <w:szCs w:val="24"/>
          <w:rtl/>
        </w:rPr>
        <w:t>גן</w:t>
      </w:r>
      <w:r w:rsidRPr="00B84DC8">
        <w:rPr>
          <w:rFonts w:ascii="Century" w:hAnsi="Century" w:cs="Miriam"/>
          <w:b/>
          <w:spacing w:val="0"/>
          <w:szCs w:val="24"/>
          <w:rtl/>
        </w:rPr>
        <w:t xml:space="preserve"> </w:t>
      </w:r>
      <w:r w:rsidRPr="00B84DC8">
        <w:rPr>
          <w:rFonts w:ascii="Century" w:hAnsi="Century" w:cs="Miriam" w:hint="eastAsia"/>
          <w:b/>
          <w:spacing w:val="0"/>
          <w:szCs w:val="24"/>
          <w:rtl/>
        </w:rPr>
        <w:t>ויו</w:t>
      </w:r>
      <w:r w:rsidRPr="00B84DC8">
        <w:rPr>
          <w:rFonts w:ascii="Century" w:hAnsi="Century" w:cs="Miriam"/>
          <w:b/>
          <w:spacing w:val="0"/>
          <w:szCs w:val="24"/>
          <w:rtl/>
        </w:rPr>
        <w:t xml:space="preserve">"ר </w:t>
      </w:r>
      <w:r w:rsidRPr="00B84DC8">
        <w:rPr>
          <w:rFonts w:ascii="Century" w:hAnsi="Century" w:cs="Miriam" w:hint="eastAsia"/>
          <w:b/>
          <w:spacing w:val="0"/>
          <w:szCs w:val="24"/>
          <w:rtl/>
        </w:rPr>
        <w:t>החברה</w:t>
      </w:r>
      <w:r w:rsidRPr="00B84DC8">
        <w:rPr>
          <w:rFonts w:ascii="Century" w:hAnsi="Century" w:cs="Miriam"/>
          <w:b/>
          <w:spacing w:val="0"/>
          <w:szCs w:val="24"/>
          <w:rtl/>
        </w:rPr>
        <w:t xml:space="preserve"> </w:t>
      </w:r>
      <w:r w:rsidRPr="00B84DC8">
        <w:rPr>
          <w:rFonts w:ascii="Century" w:hAnsi="Century" w:cs="Miriam" w:hint="eastAsia"/>
          <w:b/>
          <w:spacing w:val="0"/>
          <w:szCs w:val="24"/>
          <w:rtl/>
        </w:rPr>
        <w:t>הכלכלית</w:t>
      </w:r>
      <w:r w:rsidRPr="00B84DC8">
        <w:rPr>
          <w:rFonts w:ascii="Century" w:hAnsi="Century" w:cs="Miriam"/>
          <w:b/>
          <w:spacing w:val="0"/>
          <w:szCs w:val="24"/>
          <w:rtl/>
        </w:rPr>
        <w:t xml:space="preserve"> </w:t>
      </w:r>
      <w:r w:rsidRPr="00B84DC8">
        <w:rPr>
          <w:rFonts w:ascii="Century" w:hAnsi="Century" w:cs="Miriam" w:hint="eastAsia"/>
          <w:b/>
          <w:spacing w:val="0"/>
          <w:szCs w:val="24"/>
          <w:rtl/>
        </w:rPr>
        <w:t>לרמת</w:t>
      </w:r>
      <w:r w:rsidRPr="00B84DC8">
        <w:rPr>
          <w:rFonts w:ascii="Century" w:hAnsi="Century" w:cs="Miriam"/>
          <w:b/>
          <w:spacing w:val="0"/>
          <w:szCs w:val="24"/>
          <w:rtl/>
        </w:rPr>
        <w:t xml:space="preserve"> </w:t>
      </w:r>
      <w:r w:rsidRPr="00B84DC8">
        <w:rPr>
          <w:rFonts w:ascii="Century" w:hAnsi="Century" w:cs="Miriam" w:hint="eastAsia"/>
          <w:b/>
          <w:spacing w:val="0"/>
          <w:szCs w:val="24"/>
          <w:rtl/>
        </w:rPr>
        <w:t>גן</w:t>
      </w:r>
      <w:r w:rsidRPr="00B84DC8">
        <w:rPr>
          <w:rFonts w:ascii="Century" w:hAnsi="Century"/>
          <w:rtl/>
        </w:rPr>
        <w:t xml:space="preserve"> (14.7.2013</w:t>
      </w:r>
      <w:r>
        <w:rPr>
          <w:rFonts w:ascii="Century" w:hAnsi="Century" w:hint="cs"/>
          <w:rtl/>
        </w:rPr>
        <w:t xml:space="preserve">) </w:t>
      </w:r>
      <w:r>
        <w:rPr>
          <w:rFonts w:ascii="Century" w:hAnsi="Century"/>
          <w:rtl/>
        </w:rPr>
        <w:t>–</w:t>
      </w:r>
      <w:r>
        <w:rPr>
          <w:rFonts w:ascii="Century" w:hAnsi="Century" w:hint="cs"/>
          <w:rtl/>
        </w:rPr>
        <w:t xml:space="preserve"> בשלב הגשת כתב אישום</w:t>
      </w:r>
      <w:r>
        <w:rPr>
          <w:rFonts w:hint="cs"/>
          <w:rtl/>
        </w:rPr>
        <w:t xml:space="preserve">; ולאחר הרשעה </w:t>
      </w:r>
      <w:r>
        <w:rPr>
          <w:rtl/>
        </w:rPr>
        <w:t>–</w:t>
      </w:r>
      <w:r>
        <w:rPr>
          <w:rFonts w:hint="cs"/>
          <w:rtl/>
        </w:rPr>
        <w:t xml:space="preserve"> </w:t>
      </w:r>
      <w:r>
        <w:rPr>
          <w:rFonts w:ascii="Century" w:hAnsi="Century" w:hint="cs"/>
          <w:rtl/>
        </w:rPr>
        <w:t xml:space="preserve">סעיף 7(ב) לחוק הרשויות המקומיות (בחירות), התשכ"ה-1965; </w:t>
      </w:r>
      <w:r>
        <w:rPr>
          <w:rFonts w:hint="cs"/>
          <w:rtl/>
        </w:rPr>
        <w:t xml:space="preserve">סעיף 20 לחוק </w:t>
      </w:r>
      <w:r w:rsidRPr="00CF773D">
        <w:rPr>
          <w:rFonts w:ascii="Century" w:hAnsi="Century"/>
          <w:rtl/>
        </w:rPr>
        <w:t xml:space="preserve">הרשויות </w:t>
      </w:r>
      <w:r>
        <w:rPr>
          <w:rFonts w:ascii="Century" w:hAnsi="Century" w:hint="cs"/>
          <w:rtl/>
        </w:rPr>
        <w:t>המ</w:t>
      </w:r>
      <w:r w:rsidRPr="00CF773D">
        <w:rPr>
          <w:rFonts w:ascii="Century" w:hAnsi="Century"/>
          <w:rtl/>
        </w:rPr>
        <w:t>קומיות (בחירת ראש הרשות וסגניו וכהונתם)</w:t>
      </w:r>
      <w:r w:rsidRPr="00CF773D">
        <w:rPr>
          <w:rFonts w:ascii="Century" w:hAnsi="Century" w:hint="cs"/>
          <w:rtl/>
        </w:rPr>
        <w:t xml:space="preserve">, </w:t>
      </w:r>
      <w:r w:rsidRPr="00C23E0B">
        <w:rPr>
          <w:rFonts w:ascii="Century" w:hAnsi="Century" w:hint="cs"/>
          <w:rtl/>
        </w:rPr>
        <w:t>התשל"</w:t>
      </w:r>
      <w:r>
        <w:rPr>
          <w:rFonts w:ascii="Century" w:hAnsi="Century" w:hint="cs"/>
          <w:rtl/>
        </w:rPr>
        <w:t>ה</w:t>
      </w:r>
      <w:r w:rsidRPr="00C23E0B">
        <w:rPr>
          <w:rFonts w:ascii="Century" w:hAnsi="Century" w:hint="cs"/>
          <w:rtl/>
        </w:rPr>
        <w:t xml:space="preserve">-1975; </w:t>
      </w:r>
      <w:r w:rsidRPr="00B84DC8">
        <w:rPr>
          <w:rFonts w:ascii="Century" w:hAnsi="Century" w:hint="eastAsia"/>
          <w:rtl/>
        </w:rPr>
        <w:t>סעיף</w:t>
      </w:r>
      <w:r w:rsidRPr="00B84DC8">
        <w:rPr>
          <w:rFonts w:ascii="Century" w:hAnsi="Century"/>
          <w:rtl/>
        </w:rPr>
        <w:t xml:space="preserve"> 6ב </w:t>
      </w:r>
      <w:r w:rsidRPr="00B84DC8">
        <w:rPr>
          <w:rFonts w:ascii="Century" w:hAnsi="Century" w:hint="eastAsia"/>
          <w:rtl/>
        </w:rPr>
        <w:t>לחוק</w:t>
      </w:r>
      <w:r w:rsidRPr="00B84DC8">
        <w:rPr>
          <w:rFonts w:ascii="Century" w:hAnsi="Century"/>
          <w:rtl/>
        </w:rPr>
        <w:t xml:space="preserve"> </w:t>
      </w:r>
      <w:r w:rsidRPr="00B84DC8">
        <w:rPr>
          <w:rFonts w:ascii="Century" w:hAnsi="Century" w:hint="eastAsia"/>
          <w:rtl/>
        </w:rPr>
        <w:t>המועצות</w:t>
      </w:r>
      <w:r w:rsidRPr="00B84DC8">
        <w:rPr>
          <w:rFonts w:ascii="Century" w:hAnsi="Century"/>
          <w:rtl/>
        </w:rPr>
        <w:t xml:space="preserve"> </w:t>
      </w:r>
      <w:r w:rsidRPr="00B84DC8">
        <w:rPr>
          <w:rFonts w:ascii="Century" w:hAnsi="Century" w:hint="eastAsia"/>
          <w:rtl/>
        </w:rPr>
        <w:t>האזוריות</w:t>
      </w:r>
      <w:r w:rsidRPr="00B84DC8">
        <w:rPr>
          <w:rFonts w:ascii="Century" w:hAnsi="Century"/>
          <w:rtl/>
        </w:rPr>
        <w:t xml:space="preserve"> (</w:t>
      </w:r>
      <w:r w:rsidRPr="00B84DC8">
        <w:rPr>
          <w:rFonts w:ascii="Century" w:hAnsi="Century" w:hint="eastAsia"/>
          <w:rtl/>
        </w:rPr>
        <w:t>בחירת</w:t>
      </w:r>
      <w:r w:rsidRPr="00B84DC8">
        <w:rPr>
          <w:rFonts w:ascii="Century" w:hAnsi="Century"/>
          <w:rtl/>
        </w:rPr>
        <w:t xml:space="preserve"> </w:t>
      </w:r>
      <w:r w:rsidRPr="00B84DC8">
        <w:rPr>
          <w:rFonts w:ascii="Century" w:hAnsi="Century" w:hint="eastAsia"/>
          <w:rtl/>
        </w:rPr>
        <w:t>ראש</w:t>
      </w:r>
      <w:r w:rsidRPr="00B84DC8">
        <w:rPr>
          <w:rFonts w:ascii="Century" w:hAnsi="Century"/>
          <w:rtl/>
        </w:rPr>
        <w:t xml:space="preserve"> </w:t>
      </w:r>
      <w:r w:rsidRPr="00B84DC8">
        <w:rPr>
          <w:rFonts w:ascii="Century" w:hAnsi="Century" w:hint="eastAsia"/>
          <w:rtl/>
        </w:rPr>
        <w:t>המועצה</w:t>
      </w:r>
      <w:r w:rsidRPr="00B84DC8">
        <w:rPr>
          <w:rFonts w:ascii="Century" w:hAnsi="Century"/>
          <w:rtl/>
        </w:rPr>
        <w:t xml:space="preserve">), </w:t>
      </w:r>
      <w:r w:rsidRPr="00B84DC8">
        <w:rPr>
          <w:rFonts w:ascii="Century" w:hAnsi="Century" w:hint="eastAsia"/>
          <w:rtl/>
        </w:rPr>
        <w:t>התשמ</w:t>
      </w:r>
      <w:r w:rsidRPr="00B84DC8">
        <w:rPr>
          <w:rFonts w:ascii="Century" w:hAnsi="Century"/>
          <w:rtl/>
        </w:rPr>
        <w:t xml:space="preserve">"ח-1988; </w:t>
      </w:r>
      <w:r w:rsidRPr="00B84DC8">
        <w:rPr>
          <w:rFonts w:ascii="Century" w:hAnsi="Century" w:hint="eastAsia"/>
          <w:rtl/>
        </w:rPr>
        <w:t>סעיף</w:t>
      </w:r>
      <w:r w:rsidRPr="00B84DC8">
        <w:rPr>
          <w:rFonts w:ascii="Century" w:hAnsi="Century"/>
          <w:rtl/>
        </w:rPr>
        <w:t xml:space="preserve"> 120(8) </w:t>
      </w:r>
      <w:r w:rsidRPr="00B84DC8">
        <w:rPr>
          <w:rFonts w:ascii="Century" w:hAnsi="Century" w:hint="eastAsia"/>
          <w:rtl/>
        </w:rPr>
        <w:t>לפקודת</w:t>
      </w:r>
      <w:r w:rsidRPr="00B84DC8">
        <w:rPr>
          <w:rFonts w:ascii="Century" w:hAnsi="Century"/>
          <w:rtl/>
        </w:rPr>
        <w:t xml:space="preserve"> </w:t>
      </w:r>
      <w:r w:rsidRPr="00B84DC8">
        <w:rPr>
          <w:rFonts w:ascii="Century" w:hAnsi="Century" w:hint="eastAsia"/>
          <w:rtl/>
        </w:rPr>
        <w:t>העיריות</w:t>
      </w:r>
      <w:r w:rsidRPr="00B84DC8">
        <w:rPr>
          <w:rFonts w:ascii="Century" w:hAnsi="Century" w:hint="cs"/>
          <w:rtl/>
        </w:rPr>
        <w:t xml:space="preserve"> [נוסח חדש]</w:t>
      </w:r>
      <w:r w:rsidRPr="00B84DC8">
        <w:rPr>
          <w:rFonts w:ascii="Century" w:hAnsi="Century"/>
          <w:rtl/>
        </w:rPr>
        <w:t xml:space="preserve">; </w:t>
      </w:r>
      <w:r w:rsidRPr="00B84DC8">
        <w:rPr>
          <w:rFonts w:ascii="Century" w:hAnsi="Century" w:hint="eastAsia"/>
          <w:rtl/>
        </w:rPr>
        <w:t>סעיף</w:t>
      </w:r>
      <w:r w:rsidRPr="00B84DC8">
        <w:rPr>
          <w:rFonts w:ascii="Century" w:hAnsi="Century"/>
          <w:rtl/>
        </w:rPr>
        <w:t xml:space="preserve"> 101(7) </w:t>
      </w:r>
      <w:r w:rsidRPr="00B84DC8">
        <w:rPr>
          <w:rFonts w:ascii="Century" w:hAnsi="Century" w:hint="eastAsia"/>
          <w:rtl/>
        </w:rPr>
        <w:t>לצו</w:t>
      </w:r>
      <w:r w:rsidRPr="00B84DC8">
        <w:rPr>
          <w:rFonts w:ascii="Century" w:hAnsi="Century"/>
          <w:rtl/>
        </w:rPr>
        <w:t xml:space="preserve"> </w:t>
      </w:r>
      <w:r w:rsidRPr="00B84DC8">
        <w:rPr>
          <w:rFonts w:ascii="Century" w:hAnsi="Century" w:hint="eastAsia"/>
          <w:rtl/>
        </w:rPr>
        <w:t>המועצות</w:t>
      </w:r>
      <w:r w:rsidRPr="00B84DC8">
        <w:rPr>
          <w:rFonts w:ascii="Century" w:hAnsi="Century"/>
          <w:rtl/>
        </w:rPr>
        <w:t xml:space="preserve"> </w:t>
      </w:r>
      <w:r w:rsidRPr="00B84DC8">
        <w:rPr>
          <w:rFonts w:ascii="Century" w:hAnsi="Century" w:hint="eastAsia"/>
          <w:rtl/>
        </w:rPr>
        <w:t>המקומיות</w:t>
      </w:r>
      <w:r w:rsidRPr="00B84DC8">
        <w:rPr>
          <w:rFonts w:ascii="Century" w:hAnsi="Century"/>
          <w:rtl/>
        </w:rPr>
        <w:t xml:space="preserve">, </w:t>
      </w:r>
      <w:r w:rsidRPr="00B84DC8">
        <w:rPr>
          <w:rFonts w:ascii="Century" w:hAnsi="Century" w:hint="eastAsia"/>
          <w:rtl/>
        </w:rPr>
        <w:t>התשי</w:t>
      </w:r>
      <w:r w:rsidRPr="00B84DC8">
        <w:rPr>
          <w:rFonts w:ascii="Century" w:hAnsi="Century"/>
          <w:rtl/>
        </w:rPr>
        <w:t xml:space="preserve">"א-1950; </w:t>
      </w:r>
      <w:r w:rsidRPr="00B84DC8">
        <w:rPr>
          <w:rStyle w:val="Ruller42"/>
          <w:rFonts w:ascii="Century" w:hAnsi="Century" w:hint="eastAsia"/>
          <w:rtl/>
        </w:rPr>
        <w:t>סעיף</w:t>
      </w:r>
      <w:r w:rsidRPr="00B84DC8">
        <w:rPr>
          <w:rStyle w:val="Ruller42"/>
          <w:rFonts w:ascii="Century" w:hAnsi="Century"/>
          <w:rtl/>
        </w:rPr>
        <w:t xml:space="preserve"> 19(ב) </w:t>
      </w:r>
      <w:r w:rsidRPr="00B84DC8">
        <w:rPr>
          <w:rStyle w:val="Ruller42"/>
          <w:rFonts w:ascii="Century" w:hAnsi="Century" w:hint="eastAsia"/>
          <w:rtl/>
        </w:rPr>
        <w:t>ל</w:t>
      </w:r>
      <w:r w:rsidRPr="00B84DC8">
        <w:rPr>
          <w:rStyle w:val="Ruller42"/>
          <w:rFonts w:ascii="Century" w:hAnsi="Century"/>
          <w:rtl/>
        </w:rPr>
        <w:t xml:space="preserve">צו המועצות המקומיות (מועצות אזוריות), </w:t>
      </w:r>
      <w:r w:rsidRPr="00B84DC8">
        <w:rPr>
          <w:rStyle w:val="Ruller42"/>
          <w:rFonts w:ascii="Century" w:hAnsi="Century" w:hint="eastAsia"/>
          <w:rtl/>
        </w:rPr>
        <w:t>התשי</w:t>
      </w:r>
      <w:r w:rsidRPr="00B84DC8">
        <w:rPr>
          <w:rStyle w:val="Ruller42"/>
          <w:rFonts w:ascii="Century" w:hAnsi="Century"/>
          <w:rtl/>
        </w:rPr>
        <w:t>"ח-1958</w:t>
      </w:r>
      <w:r w:rsidRPr="00C23E0B">
        <w:rPr>
          <w:rFonts w:ascii="Century" w:hAnsi="Century"/>
          <w:rtl/>
        </w:rPr>
        <w:t>).</w:t>
      </w:r>
      <w:r w:rsidRPr="00C23E0B">
        <w:rPr>
          <w:rFonts w:ascii="Century" w:hAnsi="Century" w:hint="cs"/>
          <w:rtl/>
        </w:rPr>
        <w:t xml:space="preserve"> </w:t>
      </w:r>
    </w:p>
    <w:p w14:paraId="21DB990D" w14:textId="77777777" w:rsidR="00D316ED" w:rsidRDefault="00D316ED" w:rsidP="00D316ED">
      <w:pPr>
        <w:pStyle w:val="Ruller41"/>
        <w:rPr>
          <w:rFonts w:ascii="Century" w:hAnsi="Century"/>
          <w:rtl/>
        </w:rPr>
      </w:pPr>
    </w:p>
    <w:p w14:paraId="008B4013"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 חבר כנסת (סעיף 6(א) לחוק יסוד: הכנסת </w:t>
      </w:r>
      <w:r>
        <w:rPr>
          <w:rFonts w:ascii="Century" w:hAnsi="Century"/>
          <w:rtl/>
        </w:rPr>
        <w:t>–</w:t>
      </w:r>
      <w:r>
        <w:rPr>
          <w:rFonts w:ascii="Century" w:hAnsi="Century" w:hint="cs"/>
          <w:rtl/>
        </w:rPr>
        <w:t xml:space="preserve"> לאחר הרשעה). </w:t>
      </w:r>
    </w:p>
    <w:p w14:paraId="7925BCCA" w14:textId="77777777" w:rsidR="00D316ED" w:rsidRDefault="00D316ED" w:rsidP="00D316ED">
      <w:pPr>
        <w:pStyle w:val="Ruller41"/>
        <w:rPr>
          <w:rFonts w:ascii="Century" w:hAnsi="Century"/>
          <w:rtl/>
        </w:rPr>
      </w:pPr>
    </w:p>
    <w:p w14:paraId="37C891D0"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 שר בממשלה (סעיף 6(ג) לחוק יסוד: הממשלה </w:t>
      </w:r>
      <w:r>
        <w:rPr>
          <w:rFonts w:ascii="Century" w:hAnsi="Century"/>
          <w:rtl/>
        </w:rPr>
        <w:t>–</w:t>
      </w:r>
      <w:r>
        <w:rPr>
          <w:rFonts w:ascii="Century" w:hAnsi="Century" w:hint="cs"/>
          <w:rtl/>
        </w:rPr>
        <w:t xml:space="preserve"> לאחר הרשעה). </w:t>
      </w:r>
    </w:p>
    <w:p w14:paraId="248EA451" w14:textId="77777777" w:rsidR="00D316ED" w:rsidRDefault="00D316ED" w:rsidP="00D316ED">
      <w:pPr>
        <w:pStyle w:val="Ruller41"/>
        <w:rPr>
          <w:rFonts w:ascii="Century" w:hAnsi="Century"/>
          <w:rtl/>
        </w:rPr>
      </w:pPr>
    </w:p>
    <w:p w14:paraId="0F428368" w14:textId="77777777" w:rsidR="00D316ED" w:rsidRDefault="00D316ED" w:rsidP="00D316ED">
      <w:pPr>
        <w:pStyle w:val="Ruller41"/>
        <w:ind w:left="720"/>
        <w:rPr>
          <w:rFonts w:ascii="Century" w:hAnsi="Century"/>
          <w:rtl/>
        </w:rPr>
      </w:pPr>
      <w:r>
        <w:rPr>
          <w:rFonts w:ascii="Century" w:hAnsi="Century"/>
          <w:rtl/>
        </w:rPr>
        <w:tab/>
      </w:r>
      <w:r>
        <w:rPr>
          <w:rFonts w:ascii="Century" w:hAnsi="Century" w:hint="cs"/>
          <w:rtl/>
        </w:rPr>
        <w:t xml:space="preserve">(-) ראש ממשלה (סעיף 18 </w:t>
      </w:r>
      <w:r w:rsidRPr="00B84DC8">
        <w:rPr>
          <w:rFonts w:ascii="Century" w:hAnsi="Century" w:hint="cs"/>
          <w:rtl/>
        </w:rPr>
        <w:t xml:space="preserve">לחוק יסוד: </w:t>
      </w:r>
      <w:r w:rsidRPr="00B84DC8">
        <w:rPr>
          <w:rFonts w:ascii="Century" w:hAnsi="Century" w:hint="eastAsia"/>
          <w:rtl/>
        </w:rPr>
        <w:t>הממשלה</w:t>
      </w:r>
      <w:r w:rsidRPr="00B84DC8">
        <w:rPr>
          <w:rFonts w:ascii="Century" w:hAnsi="Century" w:hint="cs"/>
          <w:rtl/>
        </w:rPr>
        <w:t xml:space="preserve"> </w:t>
      </w:r>
      <w:r w:rsidRPr="00B84DC8">
        <w:rPr>
          <w:rFonts w:ascii="Century" w:hAnsi="Century"/>
          <w:rtl/>
        </w:rPr>
        <w:t>–</w:t>
      </w:r>
      <w:r w:rsidRPr="00B84DC8">
        <w:rPr>
          <w:rFonts w:ascii="Century" w:hAnsi="Century" w:hint="cs"/>
          <w:rtl/>
        </w:rPr>
        <w:t xml:space="preserve"> לאחר הרשעה</w:t>
      </w:r>
      <w:r w:rsidRPr="00C23E0B">
        <w:rPr>
          <w:rFonts w:ascii="Century" w:hAnsi="Century"/>
          <w:rtl/>
        </w:rPr>
        <w:t>).</w:t>
      </w:r>
      <w:r>
        <w:rPr>
          <w:rFonts w:ascii="Century" w:hAnsi="Century" w:hint="cs"/>
          <w:rtl/>
        </w:rPr>
        <w:t xml:space="preserve">  </w:t>
      </w:r>
    </w:p>
    <w:p w14:paraId="05B7E74E" w14:textId="77777777" w:rsidR="00D316ED" w:rsidRDefault="00D316ED" w:rsidP="00D316ED">
      <w:pPr>
        <w:pStyle w:val="Ruller41"/>
        <w:rPr>
          <w:rFonts w:ascii="Century" w:hAnsi="Century"/>
          <w:rtl/>
        </w:rPr>
      </w:pPr>
    </w:p>
    <w:p w14:paraId="7B31497D"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בתיקון הנוכחי של חוק היסוד, ביקשה הכנסת </w:t>
      </w:r>
      <w:r w:rsidRPr="00971330">
        <w:rPr>
          <w:rFonts w:ascii="Century" w:hAnsi="Century" w:cs="Miriam" w:hint="cs"/>
          <w:b/>
          <w:spacing w:val="0"/>
          <w:szCs w:val="24"/>
          <w:rtl/>
        </w:rPr>
        <w:t>להוריד</w:t>
      </w:r>
      <w:r>
        <w:rPr>
          <w:rFonts w:ascii="Century" w:hAnsi="Century" w:hint="cs"/>
          <w:rtl/>
        </w:rPr>
        <w:t xml:space="preserve"> את רף הכשירות של שר והשוותה אותו לרף הכשירות של חבר כנסת (בהבדל אחד </w:t>
      </w:r>
      <w:r>
        <w:rPr>
          <w:rFonts w:ascii="Century" w:hAnsi="Century"/>
          <w:rtl/>
        </w:rPr>
        <w:t>–</w:t>
      </w:r>
      <w:r>
        <w:rPr>
          <w:rFonts w:ascii="Century" w:hAnsi="Century" w:hint="cs"/>
          <w:rtl/>
        </w:rPr>
        <w:t xml:space="preserve"> בעניינו של חבר כנסת המאסר בפועל צריך להיות של שלושה חודשים לפחות, תנאי שממילא מתקיים כמעט תמיד, שעה שבית המשפט מורה על מאסר בפועל). בעקבות התיקון הנוכחי לסעיף 6(ג) לחוק יסוד: הממשלה, רק עונש מאסר </w:t>
      </w:r>
      <w:r w:rsidRPr="009E7D87">
        <w:rPr>
          <w:rFonts w:ascii="Century" w:hAnsi="Century" w:cs="Miriam" w:hint="cs"/>
          <w:b/>
          <w:spacing w:val="0"/>
          <w:szCs w:val="24"/>
          <w:rtl/>
        </w:rPr>
        <w:t>בפועל</w:t>
      </w:r>
      <w:r>
        <w:rPr>
          <w:rFonts w:ascii="Century" w:hAnsi="Century" w:hint="cs"/>
          <w:rtl/>
        </w:rPr>
        <w:t xml:space="preserve"> מפעיל את "חזקת הקלון" שאותה יכול להסיר יו"ר ועדת הבחירות המרכזית, וזאת, על אף שאחריותו וסמכויותיו של שר מצדיקות מבחן כשירות מחמיר יותר משל חבר כנסת. </w:t>
      </w:r>
    </w:p>
    <w:p w14:paraId="2CDD3C6B" w14:textId="77777777" w:rsidR="00D316ED" w:rsidRDefault="00D316ED" w:rsidP="00D316ED">
      <w:pPr>
        <w:pStyle w:val="Ruller41"/>
        <w:rPr>
          <w:rFonts w:ascii="Century" w:hAnsi="Century"/>
          <w:rtl/>
        </w:rPr>
      </w:pPr>
    </w:p>
    <w:p w14:paraId="3E63A006"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ענייננו שלנו בהצלבה כלהלן: מינוי לתפקיד </w:t>
      </w:r>
      <w:r w:rsidRPr="009E7D87">
        <w:rPr>
          <w:rFonts w:ascii="Century" w:hAnsi="Century" w:cs="Miriam" w:hint="cs"/>
          <w:b/>
          <w:spacing w:val="0"/>
          <w:szCs w:val="24"/>
          <w:rtl/>
        </w:rPr>
        <w:t>שר</w:t>
      </w:r>
      <w:r>
        <w:rPr>
          <w:rFonts w:ascii="Century" w:hAnsi="Century" w:hint="cs"/>
          <w:rtl/>
        </w:rPr>
        <w:t xml:space="preserve"> במצב </w:t>
      </w:r>
      <w:r w:rsidRPr="009E7D87">
        <w:rPr>
          <w:rFonts w:ascii="Century" w:hAnsi="Century" w:cs="Miriam" w:hint="cs"/>
          <w:b/>
          <w:spacing w:val="0"/>
          <w:szCs w:val="24"/>
          <w:rtl/>
        </w:rPr>
        <w:t>שלאחר הרשעה</w:t>
      </w:r>
      <w:r>
        <w:rPr>
          <w:rFonts w:ascii="Century" w:hAnsi="Century" w:hint="cs"/>
          <w:rtl/>
        </w:rPr>
        <w:t xml:space="preserve">. </w:t>
      </w:r>
    </w:p>
    <w:p w14:paraId="0EFEE724" w14:textId="77777777" w:rsidR="00D316ED" w:rsidRDefault="00D316ED" w:rsidP="00D316ED">
      <w:pPr>
        <w:pStyle w:val="Ruller41"/>
        <w:rPr>
          <w:rFonts w:ascii="Century" w:hAnsi="Century"/>
          <w:rtl/>
        </w:rPr>
      </w:pPr>
    </w:p>
    <w:p w14:paraId="63F60533" w14:textId="77777777" w:rsidR="00D316ED" w:rsidRDefault="00D316ED" w:rsidP="00D316ED">
      <w:pPr>
        <w:pStyle w:val="Ruller41"/>
        <w:rPr>
          <w:rFonts w:ascii="Century" w:hAnsi="Century"/>
          <w:rtl/>
        </w:rPr>
      </w:pPr>
      <w:r>
        <w:rPr>
          <w:rFonts w:ascii="Century" w:hAnsi="Century" w:hint="cs"/>
          <w:rtl/>
        </w:rPr>
        <w:lastRenderedPageBreak/>
        <w:t>6.</w:t>
      </w:r>
      <w:r>
        <w:rPr>
          <w:rFonts w:ascii="Century" w:hAnsi="Century" w:hint="cs"/>
          <w:rtl/>
        </w:rPr>
        <w:tab/>
        <w:t xml:space="preserve">כאמור, מצטרף אני לדעתה של הנשיאה כי יש לפסול את מינויו של דרעי בשל אי סבירות קיצונית שנפלה במינוי ומשכך איננו נדרשים לעילה החוקתית, הגם שהדברים אינם נקיים מקשיים. אני מסכים גם כי דרעי יצר מצג שווא בפני בית משפט השלום. לכל אלה אתייחס בהמשך, אך תחילה אומר מילים מספר על התנהלותו של דרעי בפרשה שלפנינו. </w:t>
      </w:r>
    </w:p>
    <w:p w14:paraId="70326D69" w14:textId="77777777" w:rsidR="00D316ED" w:rsidRDefault="00D316ED" w:rsidP="00D316ED">
      <w:pPr>
        <w:pStyle w:val="Ruller41"/>
        <w:rPr>
          <w:rFonts w:ascii="Century" w:hAnsi="Century"/>
          <w:rtl/>
        </w:rPr>
      </w:pPr>
    </w:p>
    <w:p w14:paraId="599C46F6" w14:textId="77777777" w:rsidR="00D316ED" w:rsidRDefault="00D316ED" w:rsidP="00D316ED">
      <w:pPr>
        <w:pStyle w:val="Ruller41"/>
        <w:rPr>
          <w:rFonts w:ascii="Century" w:hAnsi="Century" w:cs="Miriam"/>
          <w:b/>
          <w:spacing w:val="0"/>
          <w:szCs w:val="24"/>
          <w:rtl/>
        </w:rPr>
      </w:pPr>
      <w:r w:rsidRPr="009604B5">
        <w:rPr>
          <w:rFonts w:ascii="Century" w:hAnsi="Century" w:cs="Miriam" w:hint="cs"/>
          <w:b/>
          <w:spacing w:val="0"/>
          <w:szCs w:val="24"/>
          <w:rtl/>
        </w:rPr>
        <w:t>התפטרות מהכנסת לפני גזר הדין ושינוי החוק לאחר הבחירות</w:t>
      </w:r>
    </w:p>
    <w:p w14:paraId="5B5B21E8" w14:textId="77777777" w:rsidR="00D316ED" w:rsidRPr="009604B5" w:rsidRDefault="00D316ED" w:rsidP="00D316ED">
      <w:pPr>
        <w:pStyle w:val="Ruller41"/>
        <w:rPr>
          <w:rFonts w:ascii="Century" w:hAnsi="Century" w:cs="Miriam"/>
          <w:b/>
          <w:spacing w:val="0"/>
          <w:szCs w:val="24"/>
          <w:rtl/>
        </w:rPr>
      </w:pPr>
      <w:r w:rsidRPr="009604B5">
        <w:rPr>
          <w:rFonts w:ascii="Century" w:hAnsi="Century" w:cs="Miriam" w:hint="cs"/>
          <w:b/>
          <w:spacing w:val="0"/>
          <w:szCs w:val="24"/>
          <w:rtl/>
        </w:rPr>
        <w:t xml:space="preserve">  </w:t>
      </w:r>
    </w:p>
    <w:p w14:paraId="5230B99E" w14:textId="77777777" w:rsidR="00D316ED" w:rsidRDefault="00D316ED" w:rsidP="00D316ED">
      <w:pPr>
        <w:pStyle w:val="Ruller41"/>
        <w:rPr>
          <w:rFonts w:ascii="Century" w:hAnsi="Century"/>
          <w:rtl/>
        </w:rPr>
      </w:pPr>
      <w:r>
        <w:rPr>
          <w:rFonts w:ascii="Century" w:hAnsi="Century" w:hint="cs"/>
          <w:rtl/>
        </w:rPr>
        <w:t>7.</w:t>
      </w:r>
      <w:r>
        <w:rPr>
          <w:rFonts w:ascii="Century" w:hAnsi="Century" w:hint="cs"/>
          <w:rtl/>
        </w:rPr>
        <w:tab/>
        <w:t xml:space="preserve">דרעי הועמד לדין בגין עבירות מס, כמפורט בפסק דינה של הנשיאה. עובר להצגת הסדר הטיעון ומתן גזר הדין בעניינו, הצהיר דרעי כי בדעתו להתפטר מהכנסת. לנוכח הצהרה זו, נכתב </w:t>
      </w:r>
      <w:r>
        <w:rPr>
          <w:rFonts w:hint="cs"/>
          <w:rtl/>
        </w:rPr>
        <w:t xml:space="preserve">בסעיף 4 להסדר הטיעון כלהלן: </w:t>
      </w:r>
      <w:r w:rsidRPr="006B34AC">
        <w:rPr>
          <w:rFonts w:ascii="Century" w:hAnsi="Century" w:hint="cs"/>
          <w:rtl/>
        </w:rPr>
        <w:t>"רשמנו בפנינו את הודעת הנאשם בדבר החלטתו להתפטר מהכנסת ועל כן היועץ המשפטי לממשלה</w:t>
      </w:r>
      <w:r w:rsidRPr="006B34AC">
        <w:rPr>
          <w:rFonts w:ascii="Century" w:hAnsi="Century" w:cs="Miriam" w:hint="cs"/>
          <w:b/>
          <w:spacing w:val="0"/>
          <w:szCs w:val="24"/>
          <w:rtl/>
        </w:rPr>
        <w:t xml:space="preserve"> </w:t>
      </w:r>
      <w:r w:rsidRPr="00EB41BE">
        <w:rPr>
          <w:rFonts w:ascii="Century" w:hAnsi="Century" w:cs="Miriam" w:hint="cs"/>
          <w:b/>
          <w:spacing w:val="0"/>
          <w:szCs w:val="24"/>
          <w:rtl/>
        </w:rPr>
        <w:t>לא טוען בעניין הקלו</w:t>
      </w:r>
      <w:r>
        <w:rPr>
          <w:rFonts w:ascii="Century" w:hAnsi="Century" w:cs="Miriam" w:hint="cs"/>
          <w:b/>
          <w:spacing w:val="0"/>
          <w:szCs w:val="24"/>
          <w:rtl/>
        </w:rPr>
        <w:t>ן</w:t>
      </w:r>
      <w:r w:rsidRPr="00EB41BE">
        <w:rPr>
          <w:rFonts w:ascii="Century" w:hAnsi="Century" w:cs="Miriam" w:hint="cs"/>
          <w:b/>
          <w:spacing w:val="0"/>
          <w:szCs w:val="24"/>
          <w:rtl/>
        </w:rPr>
        <w:t xml:space="preserve"> בפני הערכאה הדיונית"</w:t>
      </w:r>
      <w:r>
        <w:rPr>
          <w:rFonts w:hint="cs"/>
          <w:rtl/>
        </w:rPr>
        <w:t>.</w:t>
      </w:r>
      <w:r>
        <w:rPr>
          <w:rFonts w:ascii="Century" w:hAnsi="Century" w:hint="cs"/>
          <w:rtl/>
        </w:rPr>
        <w:t xml:space="preserve"> מסעיף זה משתמע בבירור כי אילולא הצהרתו של דרעי, היה היועץ המשפטי טוען לקלון. ככל שהיו ספקות למאן דהוא, הרי שבתשובת היועצת המשפטית לממשלה הובהר כי היועץ המשפטי לממשלה דאז סבר כי בעבירות שבהן הואשם דרעי על פי הסדר הטיעון דבק קלון, ועמדה זו עוגנה בתרשומת פנימית.</w:t>
      </w:r>
    </w:p>
    <w:p w14:paraId="324DB14D" w14:textId="77777777" w:rsidR="00D316ED" w:rsidRDefault="00D316ED" w:rsidP="00D316ED">
      <w:pPr>
        <w:pStyle w:val="Ruller41"/>
        <w:rPr>
          <w:rFonts w:ascii="Century" w:hAnsi="Century"/>
          <w:rtl/>
        </w:rPr>
      </w:pPr>
    </w:p>
    <w:p w14:paraId="699794B6" w14:textId="77777777" w:rsidR="00D316ED" w:rsidRDefault="00D316ED" w:rsidP="00D316ED">
      <w:pPr>
        <w:pStyle w:val="Ruller41"/>
        <w:rPr>
          <w:rFonts w:ascii="Century" w:hAnsi="Century"/>
          <w:rtl/>
        </w:rPr>
      </w:pPr>
      <w:r>
        <w:rPr>
          <w:rtl/>
        </w:rPr>
        <w:tab/>
      </w:r>
      <w:r>
        <w:rPr>
          <w:rFonts w:hint="cs"/>
          <w:rtl/>
        </w:rPr>
        <w:t xml:space="preserve">עובר להצגת הסדר הטיעון בבית משפט השלום, הגישה העותרת דכאן עתירה שבה נתבקש היועץ המשפטי לממשלה להודיע כי בדעתו לבקש מבית משפט השלום להטיל קלון על ח"כ דרעי. העתירה הוגשה </w:t>
      </w:r>
      <w:r>
        <w:rPr>
          <w:rFonts w:ascii="Century" w:hAnsi="Century" w:hint="cs"/>
          <w:rtl/>
        </w:rPr>
        <w:t xml:space="preserve">מתוך חשש כי </w:t>
      </w:r>
      <w:r>
        <w:rPr>
          <w:rFonts w:hint="cs"/>
          <w:rtl/>
        </w:rPr>
        <w:t>"התפטרותו של ח"כ דרעי היא בבחינת 'קונץ-פטנט' שנועד לסלול את דרכו חזרה לכנסת, כשר או כחבר כנסת, לבחירות הבאות"</w:t>
      </w:r>
      <w:r>
        <w:rPr>
          <w:rFonts w:ascii="Century" w:hAnsi="Century" w:hint="cs"/>
          <w:rtl/>
        </w:rPr>
        <w:t xml:space="preserve"> (בג"ץ 8954/21 </w:t>
      </w:r>
      <w:r w:rsidRPr="0094124F">
        <w:rPr>
          <w:rFonts w:ascii="Century" w:hAnsi="Century" w:cs="Miriam" w:hint="cs"/>
          <w:b/>
          <w:spacing w:val="0"/>
          <w:szCs w:val="24"/>
          <w:rtl/>
        </w:rPr>
        <w:t xml:space="preserve">התנועה </w:t>
      </w:r>
      <w:r w:rsidRPr="0094124F">
        <w:rPr>
          <w:rFonts w:ascii="Century" w:hAnsi="Century" w:cs="Miriam" w:hint="eastAsia"/>
          <w:b/>
          <w:spacing w:val="0"/>
          <w:szCs w:val="24"/>
          <w:rtl/>
        </w:rPr>
        <w:t>למען</w:t>
      </w:r>
      <w:r w:rsidRPr="0094124F">
        <w:rPr>
          <w:rFonts w:ascii="Century" w:hAnsi="Century" w:cs="Miriam"/>
          <w:b/>
          <w:spacing w:val="0"/>
          <w:szCs w:val="24"/>
          <w:rtl/>
        </w:rPr>
        <w:t xml:space="preserve"> </w:t>
      </w:r>
      <w:r w:rsidRPr="0094124F">
        <w:rPr>
          <w:rFonts w:ascii="Century" w:hAnsi="Century" w:cs="Miriam" w:hint="eastAsia"/>
          <w:b/>
          <w:spacing w:val="0"/>
          <w:szCs w:val="24"/>
          <w:rtl/>
        </w:rPr>
        <w:t>איכות</w:t>
      </w:r>
      <w:r w:rsidRPr="0094124F">
        <w:rPr>
          <w:rFonts w:ascii="Century" w:hAnsi="Century" w:cs="Miriam"/>
          <w:b/>
          <w:spacing w:val="0"/>
          <w:szCs w:val="24"/>
          <w:rtl/>
        </w:rPr>
        <w:t xml:space="preserve"> </w:t>
      </w:r>
      <w:r w:rsidRPr="0094124F">
        <w:rPr>
          <w:rFonts w:ascii="Century" w:hAnsi="Century" w:cs="Miriam" w:hint="eastAsia"/>
          <w:b/>
          <w:spacing w:val="0"/>
          <w:szCs w:val="24"/>
          <w:rtl/>
        </w:rPr>
        <w:t>השלטון</w:t>
      </w:r>
      <w:r w:rsidRPr="0094124F">
        <w:rPr>
          <w:rFonts w:ascii="Century" w:hAnsi="Century" w:cs="Miriam"/>
          <w:b/>
          <w:spacing w:val="0"/>
          <w:szCs w:val="24"/>
          <w:rtl/>
        </w:rPr>
        <w:t xml:space="preserve"> </w:t>
      </w:r>
      <w:r w:rsidRPr="0094124F">
        <w:rPr>
          <w:rFonts w:ascii="Century" w:hAnsi="Century" w:cs="Miriam" w:hint="eastAsia"/>
          <w:b/>
          <w:spacing w:val="0"/>
          <w:szCs w:val="24"/>
          <w:rtl/>
        </w:rPr>
        <w:t>בישראל</w:t>
      </w:r>
      <w:r w:rsidRPr="0094124F">
        <w:rPr>
          <w:rFonts w:ascii="Century" w:hAnsi="Century" w:cs="Miriam"/>
          <w:b/>
          <w:spacing w:val="0"/>
          <w:szCs w:val="24"/>
          <w:rtl/>
        </w:rPr>
        <w:t xml:space="preserve"> </w:t>
      </w:r>
      <w:r w:rsidRPr="0094124F">
        <w:rPr>
          <w:rFonts w:ascii="Century" w:hAnsi="Century" w:cs="Miriam" w:hint="eastAsia"/>
          <w:b/>
          <w:spacing w:val="0"/>
          <w:szCs w:val="24"/>
          <w:rtl/>
        </w:rPr>
        <w:t>נ</w:t>
      </w:r>
      <w:r w:rsidRPr="0094124F">
        <w:rPr>
          <w:rFonts w:ascii="Century" w:hAnsi="Century" w:cs="Miriam"/>
          <w:b/>
          <w:spacing w:val="0"/>
          <w:szCs w:val="24"/>
          <w:rtl/>
        </w:rPr>
        <w:t xml:space="preserve">' </w:t>
      </w:r>
      <w:r w:rsidRPr="0094124F">
        <w:rPr>
          <w:rFonts w:ascii="Century" w:hAnsi="Century" w:cs="Miriam" w:hint="cs"/>
          <w:b/>
          <w:spacing w:val="0"/>
          <w:szCs w:val="24"/>
          <w:rtl/>
        </w:rPr>
        <w:t>היועץ המשפטי לממשלה</w:t>
      </w:r>
      <w:r>
        <w:rPr>
          <w:rFonts w:ascii="Century" w:hAnsi="Century" w:hint="cs"/>
          <w:rtl/>
        </w:rPr>
        <w:t xml:space="preserve"> (17.1.2022) (להלן: </w:t>
      </w:r>
      <w:r w:rsidRPr="008C2B2A">
        <w:rPr>
          <w:rFonts w:ascii="Century" w:hAnsi="Century" w:cs="Miriam" w:hint="cs"/>
          <w:b/>
          <w:spacing w:val="0"/>
          <w:szCs w:val="24"/>
          <w:rtl/>
        </w:rPr>
        <w:t>בג"ץ 8954/21</w:t>
      </w:r>
      <w:r>
        <w:rPr>
          <w:rFonts w:ascii="Century" w:hAnsi="Century" w:hint="cs"/>
          <w:rtl/>
        </w:rPr>
        <w:t>)). העתירה נדחתה לנוכח הוראת סעיף 42א לחוק יסוד: הכנסת, הקובע כלהלן:</w:t>
      </w:r>
    </w:p>
    <w:p w14:paraId="7730FDBA" w14:textId="77777777" w:rsidR="00D316ED" w:rsidRDefault="00D316ED" w:rsidP="00D316ED">
      <w:pPr>
        <w:pStyle w:val="Ruller41"/>
        <w:rPr>
          <w:rtl/>
        </w:rPr>
      </w:pPr>
      <w:r>
        <w:rPr>
          <w:rFonts w:hint="cs"/>
          <w:rtl/>
        </w:rPr>
        <w:t xml:space="preserve"> </w:t>
      </w:r>
    </w:p>
    <w:p w14:paraId="2D82D330" w14:textId="77777777" w:rsidR="00D316ED" w:rsidRPr="00C64869" w:rsidRDefault="00D316ED" w:rsidP="00D316ED">
      <w:pPr>
        <w:pStyle w:val="Ruller5"/>
        <w:rPr>
          <w:rFonts w:cs="Miriam"/>
          <w:b/>
          <w:spacing w:val="0"/>
          <w:szCs w:val="24"/>
          <w:rtl/>
        </w:rPr>
      </w:pPr>
      <w:r w:rsidRPr="00883075">
        <w:rPr>
          <w:rStyle w:val="big-number"/>
          <w:rFonts w:ascii="Century" w:hAnsi="Century" w:cs="Miriam"/>
          <w:b/>
          <w:spacing w:val="0"/>
          <w:szCs w:val="24"/>
          <w:rtl/>
        </w:rPr>
        <w:t>הפסקת חברות של חבר הכנסת</w:t>
      </w:r>
    </w:p>
    <w:p w14:paraId="0EECB3C7" w14:textId="77777777" w:rsidR="00D316ED" w:rsidRPr="00577039" w:rsidRDefault="00D316ED" w:rsidP="00D316ED">
      <w:pPr>
        <w:pStyle w:val="Ruller5"/>
        <w:rPr>
          <w:rFonts w:ascii="Century" w:hAnsi="Century"/>
          <w:rtl/>
        </w:rPr>
      </w:pPr>
      <w:r w:rsidRPr="00544FDE">
        <w:rPr>
          <w:rStyle w:val="default"/>
          <w:rFonts w:ascii="Century" w:hAnsi="Century"/>
          <w:rtl/>
        </w:rPr>
        <w:t>42</w:t>
      </w:r>
      <w:r w:rsidRPr="00544FDE">
        <w:rPr>
          <w:rStyle w:val="default"/>
          <w:rFonts w:ascii="Century" w:hAnsi="Century" w:hint="eastAsia"/>
          <w:rtl/>
        </w:rPr>
        <w:t>א</w:t>
      </w:r>
      <w:r w:rsidRPr="00544FDE">
        <w:rPr>
          <w:rStyle w:val="default"/>
          <w:rFonts w:ascii="Century" w:hAnsi="Century"/>
          <w:rtl/>
        </w:rPr>
        <w:t>. (</w:t>
      </w:r>
      <w:r w:rsidRPr="00544FDE">
        <w:rPr>
          <w:rStyle w:val="default"/>
          <w:rFonts w:ascii="Century" w:hAnsi="Century" w:hint="eastAsia"/>
          <w:rtl/>
        </w:rPr>
        <w:t>א</w:t>
      </w:r>
      <w:r w:rsidRPr="00544FDE">
        <w:rPr>
          <w:rStyle w:val="default"/>
          <w:rFonts w:ascii="Century" w:hAnsi="Century"/>
          <w:rtl/>
        </w:rPr>
        <w:t>)</w:t>
      </w:r>
      <w:r w:rsidRPr="00577039">
        <w:rPr>
          <w:rStyle w:val="default"/>
          <w:rFonts w:ascii="Century" w:hAnsi="Century"/>
          <w:rtl/>
        </w:rPr>
        <w:t xml:space="preserve"> </w:t>
      </w:r>
      <w:r w:rsidRPr="00577039">
        <w:rPr>
          <w:rStyle w:val="default"/>
          <w:rFonts w:ascii="Century" w:hAnsi="Century" w:cs="Miriam"/>
          <w:b/>
          <w:spacing w:val="0"/>
          <w:szCs w:val="24"/>
          <w:rtl/>
        </w:rPr>
        <w:t>חבר הכנסת שהורשע</w:t>
      </w:r>
      <w:r w:rsidRPr="00577039">
        <w:rPr>
          <w:rStyle w:val="default"/>
          <w:rFonts w:ascii="Century" w:hAnsi="Century"/>
          <w:rtl/>
        </w:rPr>
        <w:t xml:space="preserve"> </w:t>
      </w:r>
      <w:r w:rsidRPr="00544FDE">
        <w:rPr>
          <w:rStyle w:val="default"/>
          <w:rFonts w:ascii="Century" w:hAnsi="Century" w:hint="eastAsia"/>
          <w:rtl/>
        </w:rPr>
        <w:t>בפסק</w:t>
      </w:r>
      <w:r w:rsidRPr="00544FDE">
        <w:rPr>
          <w:rStyle w:val="default"/>
          <w:rFonts w:ascii="Century" w:hAnsi="Century"/>
          <w:rtl/>
        </w:rPr>
        <w:t xml:space="preserve"> </w:t>
      </w:r>
      <w:r w:rsidRPr="00544FDE">
        <w:rPr>
          <w:rStyle w:val="default"/>
          <w:rFonts w:ascii="Century" w:hAnsi="Century" w:hint="eastAsia"/>
          <w:rtl/>
        </w:rPr>
        <w:t>דין</w:t>
      </w:r>
      <w:r w:rsidRPr="00544FDE">
        <w:rPr>
          <w:rStyle w:val="default"/>
          <w:rFonts w:ascii="Century" w:hAnsi="Century"/>
          <w:rtl/>
        </w:rPr>
        <w:t xml:space="preserve"> </w:t>
      </w:r>
      <w:r w:rsidRPr="00544FDE">
        <w:rPr>
          <w:rStyle w:val="default"/>
          <w:rFonts w:ascii="Century" w:hAnsi="Century" w:hint="eastAsia"/>
          <w:rtl/>
        </w:rPr>
        <w:t>סופי</w:t>
      </w:r>
      <w:r w:rsidRPr="00544FDE">
        <w:rPr>
          <w:rStyle w:val="default"/>
          <w:rFonts w:ascii="Century" w:hAnsi="Century"/>
          <w:rtl/>
        </w:rPr>
        <w:t xml:space="preserve"> </w:t>
      </w:r>
      <w:r w:rsidRPr="00544FDE">
        <w:rPr>
          <w:rStyle w:val="default"/>
          <w:rFonts w:ascii="Century" w:hAnsi="Century" w:hint="eastAsia"/>
          <w:rtl/>
        </w:rPr>
        <w:t>בעבירה</w:t>
      </w:r>
      <w:r w:rsidRPr="00544FDE">
        <w:rPr>
          <w:rStyle w:val="default"/>
          <w:rFonts w:ascii="Century" w:hAnsi="Century"/>
          <w:rtl/>
        </w:rPr>
        <w:t xml:space="preserve"> </w:t>
      </w:r>
      <w:r w:rsidRPr="00544FDE">
        <w:rPr>
          <w:rStyle w:val="default"/>
          <w:rFonts w:ascii="Century" w:hAnsi="Century" w:hint="eastAsia"/>
          <w:rtl/>
        </w:rPr>
        <w:t>פלילית</w:t>
      </w:r>
      <w:r w:rsidRPr="00544FDE">
        <w:rPr>
          <w:rStyle w:val="default"/>
          <w:rFonts w:ascii="Century" w:hAnsi="Century"/>
          <w:rtl/>
        </w:rPr>
        <w:t xml:space="preserve">, </w:t>
      </w:r>
      <w:r w:rsidRPr="00544FDE">
        <w:rPr>
          <w:rStyle w:val="default"/>
          <w:rFonts w:ascii="Century" w:hAnsi="Century" w:hint="eastAsia"/>
          <w:rtl/>
        </w:rPr>
        <w:t>וקבע</w:t>
      </w:r>
      <w:r w:rsidRPr="00544FDE">
        <w:rPr>
          <w:rStyle w:val="default"/>
          <w:rFonts w:ascii="Century" w:hAnsi="Century"/>
          <w:rtl/>
        </w:rPr>
        <w:t xml:space="preserve"> </w:t>
      </w:r>
      <w:r w:rsidRPr="00544FDE">
        <w:rPr>
          <w:rStyle w:val="default"/>
          <w:rFonts w:ascii="Century" w:hAnsi="Century" w:hint="eastAsia"/>
          <w:rtl/>
        </w:rPr>
        <w:t>בית</w:t>
      </w:r>
      <w:r w:rsidRPr="00544FDE">
        <w:rPr>
          <w:rStyle w:val="default"/>
          <w:rFonts w:ascii="Century" w:hAnsi="Century"/>
          <w:rtl/>
        </w:rPr>
        <w:t xml:space="preserve"> </w:t>
      </w:r>
      <w:r w:rsidRPr="00544FDE">
        <w:rPr>
          <w:rStyle w:val="default"/>
          <w:rFonts w:ascii="Century" w:hAnsi="Century" w:hint="eastAsia"/>
          <w:rtl/>
        </w:rPr>
        <w:t>המשפט</w:t>
      </w:r>
      <w:r w:rsidRPr="00544FDE">
        <w:rPr>
          <w:rStyle w:val="default"/>
          <w:rFonts w:ascii="Century" w:hAnsi="Century"/>
          <w:rtl/>
        </w:rPr>
        <w:t xml:space="preserve">, </w:t>
      </w:r>
      <w:r w:rsidRPr="00544FDE">
        <w:rPr>
          <w:rStyle w:val="default"/>
          <w:rFonts w:ascii="Century" w:hAnsi="Century" w:hint="eastAsia"/>
          <w:rtl/>
        </w:rPr>
        <w:t>ביוזמתו</w:t>
      </w:r>
      <w:r w:rsidRPr="00544FDE">
        <w:rPr>
          <w:rStyle w:val="default"/>
          <w:rFonts w:ascii="Century" w:hAnsi="Century"/>
          <w:rtl/>
        </w:rPr>
        <w:t xml:space="preserve"> </w:t>
      </w:r>
      <w:r w:rsidRPr="00544FDE">
        <w:rPr>
          <w:rStyle w:val="default"/>
          <w:rFonts w:ascii="Century" w:hAnsi="Century" w:hint="eastAsia"/>
          <w:rtl/>
        </w:rPr>
        <w:t>או</w:t>
      </w:r>
      <w:r w:rsidRPr="00544FDE">
        <w:rPr>
          <w:rStyle w:val="default"/>
          <w:rFonts w:ascii="Century" w:hAnsi="Century"/>
          <w:rtl/>
        </w:rPr>
        <w:t xml:space="preserve"> </w:t>
      </w:r>
      <w:r w:rsidRPr="00544FDE">
        <w:rPr>
          <w:rStyle w:val="default"/>
          <w:rFonts w:ascii="Century" w:hAnsi="Century" w:hint="eastAsia"/>
          <w:rtl/>
        </w:rPr>
        <w:t>לבקשת</w:t>
      </w:r>
      <w:r w:rsidRPr="00544FDE">
        <w:rPr>
          <w:rStyle w:val="default"/>
          <w:rFonts w:ascii="Century" w:hAnsi="Century"/>
          <w:rtl/>
        </w:rPr>
        <w:t xml:space="preserve"> </w:t>
      </w:r>
      <w:r w:rsidRPr="00544FDE">
        <w:rPr>
          <w:rStyle w:val="default"/>
          <w:rFonts w:ascii="Century" w:hAnsi="Century" w:hint="eastAsia"/>
          <w:rtl/>
        </w:rPr>
        <w:t>היועץ</w:t>
      </w:r>
      <w:r w:rsidRPr="00544FDE">
        <w:rPr>
          <w:rStyle w:val="default"/>
          <w:rFonts w:ascii="Century" w:hAnsi="Century"/>
          <w:rtl/>
        </w:rPr>
        <w:t xml:space="preserve"> </w:t>
      </w:r>
      <w:r w:rsidRPr="00544FDE">
        <w:rPr>
          <w:rStyle w:val="default"/>
          <w:rFonts w:ascii="Century" w:hAnsi="Century" w:hint="eastAsia"/>
          <w:rtl/>
        </w:rPr>
        <w:t>המשפטי</w:t>
      </w:r>
      <w:r w:rsidRPr="00544FDE">
        <w:rPr>
          <w:rStyle w:val="default"/>
          <w:rFonts w:ascii="Century" w:hAnsi="Century"/>
          <w:rtl/>
        </w:rPr>
        <w:t xml:space="preserve"> </w:t>
      </w:r>
      <w:r w:rsidRPr="00544FDE">
        <w:rPr>
          <w:rStyle w:val="default"/>
          <w:rFonts w:ascii="Century" w:hAnsi="Century" w:hint="eastAsia"/>
          <w:rtl/>
        </w:rPr>
        <w:t>לממשלה</w:t>
      </w:r>
      <w:r w:rsidRPr="00544FDE">
        <w:rPr>
          <w:rStyle w:val="default"/>
          <w:rFonts w:ascii="Century" w:hAnsi="Century"/>
          <w:rtl/>
        </w:rPr>
        <w:t xml:space="preserve">, </w:t>
      </w:r>
      <w:r w:rsidRPr="00544FDE">
        <w:rPr>
          <w:rStyle w:val="default"/>
          <w:rFonts w:ascii="Century" w:hAnsi="Century" w:hint="eastAsia"/>
          <w:rtl/>
        </w:rPr>
        <w:t>שיש</w:t>
      </w:r>
      <w:r w:rsidRPr="00544FDE">
        <w:rPr>
          <w:rStyle w:val="default"/>
          <w:rFonts w:ascii="Century" w:hAnsi="Century"/>
          <w:rtl/>
        </w:rPr>
        <w:t xml:space="preserve"> </w:t>
      </w:r>
      <w:r w:rsidRPr="00544FDE">
        <w:rPr>
          <w:rStyle w:val="default"/>
          <w:rFonts w:ascii="Century" w:hAnsi="Century" w:hint="eastAsia"/>
          <w:rtl/>
        </w:rPr>
        <w:t>עם</w:t>
      </w:r>
      <w:r w:rsidRPr="00544FDE">
        <w:rPr>
          <w:rStyle w:val="default"/>
          <w:rFonts w:ascii="Century" w:hAnsi="Century"/>
          <w:rtl/>
        </w:rPr>
        <w:t xml:space="preserve"> </w:t>
      </w:r>
      <w:r w:rsidRPr="00544FDE">
        <w:rPr>
          <w:rStyle w:val="default"/>
          <w:rFonts w:ascii="Century" w:hAnsi="Century" w:hint="eastAsia"/>
          <w:rtl/>
        </w:rPr>
        <w:t>העבירה</w:t>
      </w:r>
      <w:r w:rsidRPr="00544FDE">
        <w:rPr>
          <w:rStyle w:val="default"/>
          <w:rFonts w:ascii="Century" w:hAnsi="Century"/>
          <w:rtl/>
        </w:rPr>
        <w:t xml:space="preserve"> </w:t>
      </w:r>
      <w:r w:rsidRPr="00544FDE">
        <w:rPr>
          <w:rStyle w:val="default"/>
          <w:rFonts w:ascii="Century" w:hAnsi="Century" w:hint="eastAsia"/>
          <w:rtl/>
        </w:rPr>
        <w:t>קלון</w:t>
      </w:r>
      <w:r w:rsidRPr="00544FDE">
        <w:rPr>
          <w:rStyle w:val="default"/>
          <w:rFonts w:ascii="Century" w:hAnsi="Century"/>
          <w:rtl/>
        </w:rPr>
        <w:t>,</w:t>
      </w:r>
      <w:r w:rsidRPr="00577039">
        <w:rPr>
          <w:rStyle w:val="default"/>
          <w:rFonts w:ascii="Century" w:hAnsi="Century"/>
          <w:rtl/>
        </w:rPr>
        <w:t xml:space="preserve"> </w:t>
      </w:r>
      <w:r w:rsidRPr="00C64869">
        <w:rPr>
          <w:rStyle w:val="default"/>
          <w:rFonts w:ascii="Century" w:hAnsi="Century" w:cs="Miriam"/>
          <w:b/>
          <w:spacing w:val="0"/>
          <w:szCs w:val="24"/>
          <w:rtl/>
        </w:rPr>
        <w:t xml:space="preserve">תיפסק חברותו בכנסת </w:t>
      </w:r>
      <w:r w:rsidRPr="00544FDE">
        <w:rPr>
          <w:rStyle w:val="default"/>
          <w:rFonts w:ascii="Century" w:hAnsi="Century" w:hint="eastAsia"/>
          <w:rtl/>
        </w:rPr>
        <w:t>ביום</w:t>
      </w:r>
      <w:r w:rsidRPr="00544FDE">
        <w:rPr>
          <w:rStyle w:val="default"/>
          <w:rFonts w:ascii="Century" w:hAnsi="Century"/>
          <w:rtl/>
        </w:rPr>
        <w:t xml:space="preserve"> </w:t>
      </w:r>
      <w:r w:rsidRPr="00544FDE">
        <w:rPr>
          <w:rStyle w:val="default"/>
          <w:rFonts w:ascii="Century" w:hAnsi="Century" w:hint="eastAsia"/>
          <w:rtl/>
        </w:rPr>
        <w:t>שפסק</w:t>
      </w:r>
      <w:r w:rsidRPr="00544FDE">
        <w:rPr>
          <w:rStyle w:val="default"/>
          <w:rFonts w:ascii="Century" w:hAnsi="Century"/>
          <w:rtl/>
        </w:rPr>
        <w:t xml:space="preserve"> </w:t>
      </w:r>
      <w:r w:rsidRPr="00544FDE">
        <w:rPr>
          <w:rStyle w:val="default"/>
          <w:rFonts w:ascii="Century" w:hAnsi="Century" w:hint="eastAsia"/>
          <w:rtl/>
        </w:rPr>
        <w:t>הדין</w:t>
      </w:r>
      <w:r w:rsidRPr="00544FDE">
        <w:rPr>
          <w:rStyle w:val="default"/>
          <w:rFonts w:ascii="Century" w:hAnsi="Century"/>
          <w:rtl/>
        </w:rPr>
        <w:t xml:space="preserve"> </w:t>
      </w:r>
      <w:r w:rsidRPr="00544FDE">
        <w:rPr>
          <w:rStyle w:val="default"/>
          <w:rFonts w:ascii="Century" w:hAnsi="Century" w:hint="eastAsia"/>
          <w:rtl/>
        </w:rPr>
        <w:t>נעשה</w:t>
      </w:r>
      <w:r w:rsidRPr="00544FDE">
        <w:rPr>
          <w:rStyle w:val="default"/>
          <w:rFonts w:ascii="Century" w:hAnsi="Century"/>
          <w:rtl/>
        </w:rPr>
        <w:t xml:space="preserve"> </w:t>
      </w:r>
      <w:r w:rsidRPr="00544FDE">
        <w:rPr>
          <w:rStyle w:val="default"/>
          <w:rFonts w:ascii="Century" w:hAnsi="Century" w:hint="eastAsia"/>
          <w:rtl/>
        </w:rPr>
        <w:t>סופי</w:t>
      </w:r>
      <w:r w:rsidRPr="00544FDE">
        <w:rPr>
          <w:rStyle w:val="default"/>
          <w:rFonts w:ascii="Century" w:hAnsi="Century"/>
          <w:rtl/>
        </w:rPr>
        <w:t xml:space="preserve">, </w:t>
      </w:r>
      <w:r w:rsidRPr="00544FDE">
        <w:rPr>
          <w:rStyle w:val="default"/>
          <w:rFonts w:ascii="Century" w:hAnsi="Century" w:hint="eastAsia"/>
          <w:rtl/>
        </w:rPr>
        <w:t>ואין</w:t>
      </w:r>
      <w:r w:rsidRPr="00544FDE">
        <w:rPr>
          <w:rStyle w:val="default"/>
          <w:rFonts w:ascii="Century" w:hAnsi="Century"/>
          <w:rtl/>
        </w:rPr>
        <w:t xml:space="preserve"> </w:t>
      </w:r>
      <w:r w:rsidRPr="00544FDE">
        <w:rPr>
          <w:rStyle w:val="default"/>
          <w:rFonts w:ascii="Century" w:hAnsi="Century" w:hint="eastAsia"/>
          <w:rtl/>
        </w:rPr>
        <w:t>נפקא</w:t>
      </w:r>
      <w:r w:rsidRPr="00544FDE">
        <w:rPr>
          <w:rStyle w:val="default"/>
          <w:rFonts w:ascii="Century" w:hAnsi="Century"/>
          <w:rtl/>
        </w:rPr>
        <w:t xml:space="preserve"> </w:t>
      </w:r>
      <w:r w:rsidRPr="00544FDE">
        <w:rPr>
          <w:rStyle w:val="default"/>
          <w:rFonts w:ascii="Century" w:hAnsi="Century" w:hint="eastAsia"/>
          <w:rtl/>
        </w:rPr>
        <w:t>מינה</w:t>
      </w:r>
      <w:r w:rsidRPr="00544FDE">
        <w:rPr>
          <w:rStyle w:val="default"/>
          <w:rFonts w:ascii="Century" w:hAnsi="Century"/>
          <w:rtl/>
        </w:rPr>
        <w:t xml:space="preserve"> </w:t>
      </w:r>
      <w:r w:rsidRPr="00544FDE">
        <w:rPr>
          <w:rStyle w:val="default"/>
          <w:rFonts w:ascii="Century" w:hAnsi="Century" w:hint="eastAsia"/>
          <w:rtl/>
        </w:rPr>
        <w:t>אם</w:t>
      </w:r>
      <w:r w:rsidRPr="00544FDE">
        <w:rPr>
          <w:rStyle w:val="default"/>
          <w:rFonts w:ascii="Century" w:hAnsi="Century"/>
          <w:rtl/>
        </w:rPr>
        <w:t xml:space="preserve"> </w:t>
      </w:r>
      <w:r w:rsidRPr="00544FDE">
        <w:rPr>
          <w:rStyle w:val="default"/>
          <w:rFonts w:ascii="Century" w:hAnsi="Century" w:hint="eastAsia"/>
          <w:rtl/>
        </w:rPr>
        <w:t>העבירה</w:t>
      </w:r>
      <w:r w:rsidRPr="00544FDE">
        <w:rPr>
          <w:rStyle w:val="default"/>
          <w:rFonts w:ascii="Century" w:hAnsi="Century"/>
          <w:rtl/>
        </w:rPr>
        <w:t xml:space="preserve"> </w:t>
      </w:r>
      <w:r w:rsidRPr="00544FDE">
        <w:rPr>
          <w:rStyle w:val="default"/>
          <w:rFonts w:ascii="Century" w:hAnsi="Century" w:hint="eastAsia"/>
          <w:rtl/>
        </w:rPr>
        <w:t>נעברה</w:t>
      </w:r>
      <w:r w:rsidRPr="00544FDE">
        <w:rPr>
          <w:rStyle w:val="default"/>
          <w:rFonts w:ascii="Century" w:hAnsi="Century"/>
          <w:rtl/>
        </w:rPr>
        <w:t xml:space="preserve"> </w:t>
      </w:r>
      <w:r w:rsidRPr="00544FDE">
        <w:rPr>
          <w:rStyle w:val="default"/>
          <w:rFonts w:ascii="Century" w:hAnsi="Century" w:hint="eastAsia"/>
          <w:rtl/>
        </w:rPr>
        <w:t>בזמן</w:t>
      </w:r>
      <w:r w:rsidRPr="00544FDE">
        <w:rPr>
          <w:rStyle w:val="default"/>
          <w:rFonts w:ascii="Century" w:hAnsi="Century"/>
          <w:rtl/>
        </w:rPr>
        <w:t xml:space="preserve"> </w:t>
      </w:r>
      <w:r w:rsidRPr="00544FDE">
        <w:rPr>
          <w:rStyle w:val="default"/>
          <w:rFonts w:ascii="Century" w:hAnsi="Century" w:hint="eastAsia"/>
          <w:rtl/>
        </w:rPr>
        <w:t>שהיה</w:t>
      </w:r>
      <w:r w:rsidRPr="00544FDE">
        <w:rPr>
          <w:rStyle w:val="default"/>
          <w:rFonts w:ascii="Century" w:hAnsi="Century"/>
          <w:rtl/>
        </w:rPr>
        <w:t xml:space="preserve"> </w:t>
      </w:r>
      <w:r w:rsidRPr="00544FDE">
        <w:rPr>
          <w:rStyle w:val="default"/>
          <w:rFonts w:ascii="Century" w:hAnsi="Century" w:hint="eastAsia"/>
          <w:rtl/>
        </w:rPr>
        <w:t>חבר</w:t>
      </w:r>
      <w:r w:rsidRPr="00544FDE">
        <w:rPr>
          <w:rStyle w:val="default"/>
          <w:rFonts w:ascii="Century" w:hAnsi="Century"/>
          <w:rtl/>
        </w:rPr>
        <w:t xml:space="preserve"> </w:t>
      </w:r>
      <w:r w:rsidRPr="00544FDE">
        <w:rPr>
          <w:rStyle w:val="default"/>
          <w:rFonts w:ascii="Century" w:hAnsi="Century" w:hint="eastAsia"/>
          <w:rtl/>
        </w:rPr>
        <w:t>אותה</w:t>
      </w:r>
      <w:r w:rsidRPr="00544FDE">
        <w:rPr>
          <w:rStyle w:val="default"/>
          <w:rFonts w:ascii="Century" w:hAnsi="Century"/>
          <w:rtl/>
        </w:rPr>
        <w:t xml:space="preserve"> </w:t>
      </w:r>
      <w:r w:rsidRPr="00544FDE">
        <w:rPr>
          <w:rStyle w:val="default"/>
          <w:rFonts w:ascii="Century" w:hAnsi="Century" w:hint="eastAsia"/>
          <w:rtl/>
        </w:rPr>
        <w:t>הכנסת</w:t>
      </w:r>
      <w:r w:rsidRPr="00544FDE">
        <w:rPr>
          <w:rStyle w:val="default"/>
          <w:rFonts w:ascii="Century" w:hAnsi="Century"/>
          <w:rtl/>
        </w:rPr>
        <w:t xml:space="preserve">, </w:t>
      </w:r>
      <w:r w:rsidRPr="00544FDE">
        <w:rPr>
          <w:rStyle w:val="default"/>
          <w:rFonts w:ascii="Century" w:hAnsi="Century" w:hint="eastAsia"/>
          <w:rtl/>
        </w:rPr>
        <w:t>חבר</w:t>
      </w:r>
      <w:r w:rsidRPr="00544FDE">
        <w:rPr>
          <w:rStyle w:val="default"/>
          <w:rFonts w:ascii="Century" w:hAnsi="Century"/>
          <w:rtl/>
        </w:rPr>
        <w:t xml:space="preserve"> </w:t>
      </w:r>
      <w:r w:rsidRPr="00544FDE">
        <w:rPr>
          <w:rStyle w:val="default"/>
          <w:rFonts w:ascii="Century" w:hAnsi="Century" w:hint="eastAsia"/>
          <w:rtl/>
        </w:rPr>
        <w:t>כנסת</w:t>
      </w:r>
      <w:r w:rsidRPr="00544FDE">
        <w:rPr>
          <w:rStyle w:val="default"/>
          <w:rFonts w:ascii="Century" w:hAnsi="Century"/>
          <w:rtl/>
        </w:rPr>
        <w:t xml:space="preserve"> </w:t>
      </w:r>
      <w:r w:rsidRPr="00544FDE">
        <w:rPr>
          <w:rStyle w:val="default"/>
          <w:rFonts w:ascii="Century" w:hAnsi="Century" w:hint="eastAsia"/>
          <w:rtl/>
        </w:rPr>
        <w:t>קודמת</w:t>
      </w:r>
      <w:r w:rsidRPr="00544FDE">
        <w:rPr>
          <w:rStyle w:val="default"/>
          <w:rFonts w:ascii="Century" w:hAnsi="Century"/>
          <w:rtl/>
        </w:rPr>
        <w:t xml:space="preserve"> </w:t>
      </w:r>
      <w:r w:rsidRPr="00544FDE">
        <w:rPr>
          <w:rStyle w:val="default"/>
          <w:rFonts w:ascii="Century" w:hAnsi="Century" w:hint="eastAsia"/>
          <w:rtl/>
        </w:rPr>
        <w:t>או</w:t>
      </w:r>
      <w:r w:rsidRPr="00544FDE">
        <w:rPr>
          <w:rStyle w:val="default"/>
          <w:rFonts w:ascii="Century" w:hAnsi="Century"/>
          <w:rtl/>
        </w:rPr>
        <w:t xml:space="preserve"> </w:t>
      </w:r>
      <w:r w:rsidRPr="00544FDE">
        <w:rPr>
          <w:rStyle w:val="default"/>
          <w:rFonts w:ascii="Century" w:hAnsi="Century" w:hint="eastAsia"/>
          <w:rtl/>
        </w:rPr>
        <w:t>לפני</w:t>
      </w:r>
      <w:r w:rsidRPr="00544FDE">
        <w:rPr>
          <w:rStyle w:val="default"/>
          <w:rFonts w:ascii="Century" w:hAnsi="Century"/>
          <w:rtl/>
        </w:rPr>
        <w:t xml:space="preserve"> </w:t>
      </w:r>
      <w:r w:rsidRPr="00544FDE">
        <w:rPr>
          <w:rStyle w:val="default"/>
          <w:rFonts w:ascii="Century" w:hAnsi="Century" w:hint="eastAsia"/>
          <w:rtl/>
        </w:rPr>
        <w:t>שהיה</w:t>
      </w:r>
      <w:r w:rsidRPr="00544FDE">
        <w:rPr>
          <w:rStyle w:val="default"/>
          <w:rFonts w:ascii="Century" w:hAnsi="Century"/>
          <w:rtl/>
        </w:rPr>
        <w:t xml:space="preserve"> </w:t>
      </w:r>
      <w:r w:rsidRPr="00544FDE">
        <w:rPr>
          <w:rStyle w:val="default"/>
          <w:rFonts w:ascii="Century" w:hAnsi="Century" w:hint="eastAsia"/>
          <w:rtl/>
        </w:rPr>
        <w:t>לחבר</w:t>
      </w:r>
      <w:r w:rsidRPr="00544FDE">
        <w:rPr>
          <w:rStyle w:val="default"/>
          <w:rFonts w:ascii="Century" w:hAnsi="Century"/>
          <w:rtl/>
        </w:rPr>
        <w:t xml:space="preserve"> </w:t>
      </w:r>
      <w:r w:rsidRPr="00544FDE">
        <w:rPr>
          <w:rStyle w:val="default"/>
          <w:rFonts w:ascii="Century" w:hAnsi="Century" w:hint="eastAsia"/>
          <w:rtl/>
        </w:rPr>
        <w:t>הכנסת</w:t>
      </w:r>
      <w:r w:rsidRPr="00544FDE">
        <w:rPr>
          <w:rStyle w:val="default"/>
          <w:rFonts w:ascii="Century" w:hAnsi="Century"/>
          <w:rtl/>
        </w:rPr>
        <w:t>.</w:t>
      </w:r>
    </w:p>
    <w:p w14:paraId="29B99CE1" w14:textId="77777777" w:rsidR="00D316ED" w:rsidRDefault="00D316ED" w:rsidP="00D316ED">
      <w:pPr>
        <w:pStyle w:val="Ruller5"/>
        <w:rPr>
          <w:rFonts w:ascii="Century" w:hAnsi="Century"/>
          <w:rtl/>
        </w:rPr>
      </w:pPr>
    </w:p>
    <w:p w14:paraId="50C4376F" w14:textId="77777777" w:rsidR="00D316ED" w:rsidRDefault="00D316ED" w:rsidP="00D316ED">
      <w:pPr>
        <w:pStyle w:val="Ruller5"/>
        <w:rPr>
          <w:rFonts w:ascii="Century" w:hAnsi="Century"/>
          <w:rtl/>
        </w:rPr>
      </w:pPr>
    </w:p>
    <w:p w14:paraId="128F730C"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התפטרותו של דרעי מהכנסת, באה בבירור על מנת לחמוק מהאפשרות שבית המשפט יקבע כי יש עם העבירה קלון ועל מנת לחמוק מכוונתו של היועץ המשפטי לממשלה לדרוש קביעת קלון אם דרעי לא יתפטר מהכנסת. כפי שאמרנו בפסקה 5 סיפא </w:t>
      </w:r>
      <w:r>
        <w:rPr>
          <w:rFonts w:ascii="Century" w:hAnsi="Century" w:hint="cs"/>
          <w:rtl/>
        </w:rPr>
        <w:lastRenderedPageBreak/>
        <w:t xml:space="preserve">לפסק הדין בבג"ץ 8954/21 הנ"ל: </w:t>
      </w:r>
      <w:r>
        <w:rPr>
          <w:rFonts w:hint="cs"/>
          <w:rtl/>
        </w:rPr>
        <w:t>"</w:t>
      </w:r>
      <w:r w:rsidRPr="008C2B2A">
        <w:rPr>
          <w:rFonts w:ascii="Century" w:hAnsi="Century" w:cs="Miriam" w:hint="cs"/>
          <w:b/>
          <w:spacing w:val="0"/>
          <w:szCs w:val="24"/>
          <w:rtl/>
        </w:rPr>
        <w:t>רשמנו לפנינו כי במקרה כאמור, היועמ"ש יביע את עמדתו לעניין הקלון</w:t>
      </w:r>
      <w:r>
        <w:rPr>
          <w:rFonts w:hint="cs"/>
          <w:rtl/>
        </w:rPr>
        <w:t xml:space="preserve">". </w:t>
      </w:r>
    </w:p>
    <w:p w14:paraId="243D3F0B" w14:textId="77777777" w:rsidR="00D316ED" w:rsidRDefault="00D316ED" w:rsidP="00D316ED">
      <w:pPr>
        <w:pStyle w:val="Ruller41"/>
        <w:rPr>
          <w:rFonts w:ascii="Century" w:hAnsi="Century"/>
          <w:rtl/>
        </w:rPr>
      </w:pPr>
    </w:p>
    <w:p w14:paraId="5CA85EDD" w14:textId="77777777" w:rsidR="00D316ED" w:rsidRDefault="00D316ED" w:rsidP="00D316ED">
      <w:pPr>
        <w:pStyle w:val="Ruller41"/>
        <w:rPr>
          <w:rFonts w:ascii="Century" w:hAnsi="Century"/>
          <w:rtl/>
        </w:rPr>
      </w:pPr>
      <w:r>
        <w:rPr>
          <w:rFonts w:ascii="Century" w:hAnsi="Century" w:hint="cs"/>
          <w:rtl/>
        </w:rPr>
        <w:t>8.</w:t>
      </w:r>
      <w:r>
        <w:rPr>
          <w:rFonts w:ascii="Century" w:hAnsi="Century"/>
          <w:rtl/>
        </w:rPr>
        <w:tab/>
      </w:r>
      <w:r>
        <w:rPr>
          <w:rFonts w:ascii="Century" w:hAnsi="Century" w:hint="cs"/>
          <w:rtl/>
        </w:rPr>
        <w:t>ויהי אחר הדברים האלה, לאחר הבחירות לכנסת ה-25, ביקש דרעי לכהן כשר וראש הממשלה ביקש למנותו כשר. ברם, בנקודת זמן זו, היה על ראש הממשלה לפנות אל יו"ר ועדת הבחירות המרכזית לשם קביעת היעדר קלון, על פי הוראת סעיף 6(ג) לחוק יסוד: הממשלה בנוסחו דאז. אלא שבמקום לילך בדרך המלך, תוקן חוק היסוד, והכל כמפורט בפסק דינה של הנשיאה. בכך, שימש התיקון לחוק היסוד כ"דלת אחורית" להכנסתו של דרעי לממשלה, מבלי שיידרש לעבור תחילה בדרך המלך המחייבת קביעה של יו"ר ועדת הבחירות אם בהרשעה "</w:t>
      </w:r>
      <w:proofErr w:type="spellStart"/>
      <w:r>
        <w:rPr>
          <w:rFonts w:ascii="Century" w:hAnsi="Century" w:hint="cs"/>
          <w:rtl/>
        </w:rPr>
        <w:t>קלונית</w:t>
      </w:r>
      <w:proofErr w:type="spellEnd"/>
      <w:r>
        <w:rPr>
          <w:rFonts w:ascii="Century" w:hAnsi="Century" w:hint="cs"/>
          <w:rtl/>
        </w:rPr>
        <w:t xml:space="preserve">" עסקינן אם לאו. </w:t>
      </w:r>
    </w:p>
    <w:p w14:paraId="424C2445" w14:textId="77777777" w:rsidR="00D316ED" w:rsidRDefault="00D316ED" w:rsidP="00D316ED">
      <w:pPr>
        <w:pStyle w:val="Ruller41"/>
        <w:rPr>
          <w:rFonts w:ascii="Century" w:hAnsi="Century"/>
          <w:rtl/>
        </w:rPr>
      </w:pPr>
    </w:p>
    <w:p w14:paraId="7E1838B0" w14:textId="77777777" w:rsidR="00D316ED" w:rsidRDefault="00D316ED" w:rsidP="00D316ED">
      <w:pPr>
        <w:pStyle w:val="Ruller41"/>
        <w:rPr>
          <w:rtl/>
        </w:rPr>
      </w:pPr>
      <w:r>
        <w:rPr>
          <w:rFonts w:ascii="Century" w:hAnsi="Century"/>
          <w:rtl/>
        </w:rPr>
        <w:tab/>
      </w:r>
      <w:r>
        <w:rPr>
          <w:rFonts w:ascii="Century" w:hAnsi="Century" w:hint="cs"/>
          <w:rtl/>
        </w:rPr>
        <w:t xml:space="preserve">שני צעדים אלה </w:t>
      </w:r>
      <w:r>
        <w:rPr>
          <w:rFonts w:ascii="Century" w:hAnsi="Century"/>
          <w:rtl/>
        </w:rPr>
        <w:t>–</w:t>
      </w:r>
      <w:r>
        <w:rPr>
          <w:rFonts w:ascii="Century" w:hAnsi="Century" w:hint="cs"/>
          <w:rtl/>
        </w:rPr>
        <w:t xml:space="preserve"> תחילה התפטרות מהכנסת ובהמשך תיקון חוק היסוד </w:t>
      </w:r>
      <w:r>
        <w:rPr>
          <w:rFonts w:ascii="Century" w:hAnsi="Century"/>
          <w:rtl/>
        </w:rPr>
        <w:t>–</w:t>
      </w:r>
      <w:r>
        <w:rPr>
          <w:rFonts w:ascii="Century" w:hAnsi="Century" w:hint="cs"/>
          <w:rtl/>
        </w:rPr>
        <w:t xml:space="preserve"> נועדו אפוא להרחיק את דרעי מהחשש שיוטל עליו קלון. בהליך שלפנינו שלפה היועצת המשפטית לממשלה את חץ הקלון שטמן באשפתו היועץ המשפטי הקודם (לנוכח התפטרותו של דרעי מהכנסת עובר למתן גזר הדין בתיק עבירות המס), ושיגרה את החץ אל דרעי בציינה כי גם לדעתה יש קלון בהרשעתו. לא עצם ההרשעה בפלילים יוצרת את הקלון, "</w:t>
      </w:r>
      <w:r>
        <w:rPr>
          <w:rtl/>
        </w:rPr>
        <w:t>הקלון שבהתנהגות מסוימת אינו נובע מן העובדה שההתנהגות הזו מהווה עבירה פלילית. הקלון נובע מכך, שהתנהגות זו נראית כבל</w:t>
      </w:r>
      <w:r>
        <w:rPr>
          <w:rFonts w:hint="cs"/>
          <w:rtl/>
        </w:rPr>
        <w:t xml:space="preserve">תי מוסרית" (רות גביזון "עבירה שיש עמה קלון כפסול לכהונה </w:t>
      </w:r>
      <w:proofErr w:type="spellStart"/>
      <w:r>
        <w:rPr>
          <w:rFonts w:hint="cs"/>
          <w:rtl/>
        </w:rPr>
        <w:t>צבורית</w:t>
      </w:r>
      <w:proofErr w:type="spellEnd"/>
      <w:r>
        <w:rPr>
          <w:rFonts w:hint="cs"/>
          <w:rtl/>
        </w:rPr>
        <w:t xml:space="preserve">" </w:t>
      </w:r>
      <w:r w:rsidRPr="009420AE">
        <w:rPr>
          <w:rFonts w:ascii="Century" w:hAnsi="Century" w:cs="Miriam" w:hint="cs"/>
          <w:b/>
          <w:spacing w:val="0"/>
          <w:szCs w:val="24"/>
          <w:rtl/>
        </w:rPr>
        <w:t>משפטים</w:t>
      </w:r>
      <w:r>
        <w:rPr>
          <w:rFonts w:hint="cs"/>
          <w:rtl/>
        </w:rPr>
        <w:t xml:space="preserve"> א 176, 180 (1968)). </w:t>
      </w:r>
    </w:p>
    <w:p w14:paraId="0243BF0A" w14:textId="77777777" w:rsidR="00D316ED" w:rsidRDefault="00D316ED" w:rsidP="00D316ED">
      <w:pPr>
        <w:pStyle w:val="Ruller41"/>
        <w:rPr>
          <w:rtl/>
        </w:rPr>
      </w:pPr>
    </w:p>
    <w:p w14:paraId="7C0482EC" w14:textId="77777777" w:rsidR="00D316ED" w:rsidRDefault="00D316ED" w:rsidP="00D316ED">
      <w:pPr>
        <w:pStyle w:val="Ruller41"/>
        <w:rPr>
          <w:rFonts w:ascii="Century" w:hAnsi="Century"/>
          <w:rtl/>
        </w:rPr>
      </w:pPr>
      <w:r>
        <w:rPr>
          <w:rFonts w:hint="cs"/>
          <w:rtl/>
        </w:rPr>
        <w:t>9.</w:t>
      </w:r>
      <w:r>
        <w:rPr>
          <w:rFonts w:hint="cs"/>
          <w:rtl/>
        </w:rPr>
        <w:tab/>
        <w:t xml:space="preserve">בנקודה זו אסתייג מאמירתו של חברי, השופט </w:t>
      </w:r>
      <w:r w:rsidRPr="006E29B6">
        <w:rPr>
          <w:rFonts w:ascii="Century" w:hAnsi="Century" w:cs="Miriam" w:hint="eastAsia"/>
          <w:b/>
          <w:spacing w:val="0"/>
          <w:szCs w:val="24"/>
          <w:rtl/>
        </w:rPr>
        <w:t>א</w:t>
      </w:r>
      <w:r w:rsidRPr="006E29B6">
        <w:rPr>
          <w:rFonts w:ascii="Century" w:hAnsi="Century" w:cs="Miriam"/>
          <w:b/>
          <w:spacing w:val="0"/>
          <w:szCs w:val="24"/>
          <w:rtl/>
        </w:rPr>
        <w:t xml:space="preserve">' </w:t>
      </w:r>
      <w:r w:rsidRPr="006E29B6">
        <w:rPr>
          <w:rFonts w:ascii="Century" w:hAnsi="Century" w:cs="Miriam" w:hint="eastAsia"/>
          <w:b/>
          <w:spacing w:val="0"/>
          <w:szCs w:val="24"/>
          <w:rtl/>
        </w:rPr>
        <w:t>שטיין</w:t>
      </w:r>
      <w:r>
        <w:rPr>
          <w:rFonts w:hint="cs"/>
          <w:rtl/>
        </w:rPr>
        <w:t xml:space="preserve">, שממנה משתמע כי בעקבות תיקון סעיף 6(ג) לחוק היסוד, המחוקק קבע את הכלל "אין כלא </w:t>
      </w:r>
      <w:r>
        <w:rPr>
          <w:rtl/>
        </w:rPr>
        <w:t>–</w:t>
      </w:r>
      <w:r>
        <w:rPr>
          <w:rFonts w:hint="cs"/>
          <w:rtl/>
        </w:rPr>
        <w:t xml:space="preserve"> אין קלון". המחוקק אכן הוריד את תנאי הכשירות בכך שקבע כי חזקת הקלון לא תחול מקום שבו לא נפסק מאסר בפועל, אך אין משמעות הדבר קביעה שאין קלון בכל הרשעה ובכל גזר דין שאינו כולל מאסר בפועל. ברי כי כל בית משפט אשר דן בעניינו של נבחר ציבור רשאי לקבוע כי יש בעבירה קלון, גם אם אינו מטיל מאסר בפועל. </w:t>
      </w:r>
    </w:p>
    <w:p w14:paraId="541FA2F4" w14:textId="77777777" w:rsidR="00D316ED" w:rsidRDefault="00D316ED" w:rsidP="00D316ED">
      <w:pPr>
        <w:pStyle w:val="Ruller41"/>
        <w:rPr>
          <w:rFonts w:ascii="Century" w:hAnsi="Century"/>
          <w:rtl/>
        </w:rPr>
      </w:pPr>
    </w:p>
    <w:p w14:paraId="5CBB47ED" w14:textId="77777777" w:rsidR="00D316ED" w:rsidRPr="00544FDE" w:rsidRDefault="00D316ED" w:rsidP="00D316ED">
      <w:pPr>
        <w:pStyle w:val="Ruller41"/>
        <w:rPr>
          <w:rFonts w:ascii="Century" w:hAnsi="Century" w:cs="Miriam"/>
          <w:b/>
          <w:spacing w:val="0"/>
          <w:szCs w:val="24"/>
          <w:rtl/>
        </w:rPr>
      </w:pPr>
      <w:r w:rsidRPr="00544FDE">
        <w:rPr>
          <w:rFonts w:ascii="Century" w:hAnsi="Century" w:cs="Miriam" w:hint="cs"/>
          <w:b/>
          <w:spacing w:val="0"/>
          <w:szCs w:val="24"/>
          <w:rtl/>
        </w:rPr>
        <w:t>אופי העבירות שבהן הורשע דרעי</w:t>
      </w:r>
    </w:p>
    <w:p w14:paraId="17C32E69" w14:textId="77777777" w:rsidR="00D316ED" w:rsidRDefault="00D316ED" w:rsidP="00D316ED">
      <w:pPr>
        <w:pStyle w:val="Ruller41"/>
        <w:rPr>
          <w:rFonts w:ascii="Century" w:hAnsi="Century"/>
          <w:rtl/>
        </w:rPr>
      </w:pPr>
    </w:p>
    <w:p w14:paraId="35D8276B" w14:textId="77777777" w:rsidR="00D316ED" w:rsidRDefault="00D316ED" w:rsidP="00D316ED">
      <w:pPr>
        <w:pStyle w:val="Ruller41"/>
        <w:rPr>
          <w:rFonts w:ascii="Century" w:hAnsi="Century"/>
          <w:rtl/>
        </w:rPr>
      </w:pPr>
      <w:r>
        <w:rPr>
          <w:rFonts w:ascii="Century" w:hAnsi="Century" w:hint="cs"/>
          <w:rtl/>
        </w:rPr>
        <w:t>10.</w:t>
      </w:r>
      <w:r>
        <w:rPr>
          <w:rFonts w:ascii="Century" w:hAnsi="Century"/>
          <w:rtl/>
        </w:rPr>
        <w:tab/>
      </w:r>
      <w:r>
        <w:rPr>
          <w:rFonts w:ascii="Century" w:hAnsi="Century" w:hint="cs"/>
          <w:rtl/>
        </w:rPr>
        <w:t xml:space="preserve">הנשיאה עמדה בפסק דינה על העבירות שבהן הורשע דרעי, ולא אחזור על הדברים. סעיף </w:t>
      </w:r>
      <w:r w:rsidRPr="006B34AC">
        <w:rPr>
          <w:rFonts w:ascii="Century" w:hAnsi="Century"/>
          <w:rtl/>
        </w:rPr>
        <w:t>98(ג1)</w:t>
      </w:r>
      <w:r w:rsidRPr="006B34AC">
        <w:rPr>
          <w:rFonts w:ascii="Century" w:hAnsi="Century" w:hint="cs"/>
          <w:rtl/>
        </w:rPr>
        <w:t xml:space="preserve"> ל</w:t>
      </w:r>
      <w:r w:rsidRPr="006B34AC">
        <w:rPr>
          <w:rFonts w:ascii="Century" w:hAnsi="Century"/>
          <w:rtl/>
        </w:rPr>
        <w:t>חוק מיסוי מקרקעין (שבח ורכישה)</w:t>
      </w:r>
      <w:r w:rsidRPr="006B34AC">
        <w:rPr>
          <w:rFonts w:ascii="Century" w:hAnsi="Century" w:hint="cs"/>
          <w:rtl/>
        </w:rPr>
        <w:t>,</w:t>
      </w:r>
      <w:r w:rsidRPr="006B34AC">
        <w:rPr>
          <w:rFonts w:hint="cs"/>
          <w:rtl/>
        </w:rPr>
        <w:t xml:space="preserve"> </w:t>
      </w:r>
      <w:r>
        <w:rPr>
          <w:rFonts w:hint="cs"/>
          <w:rtl/>
        </w:rPr>
        <w:t xml:space="preserve">התשכ"ג-1963 </w:t>
      </w:r>
      <w:r>
        <w:rPr>
          <w:rFonts w:ascii="Century" w:hAnsi="Century" w:hint="cs"/>
          <w:rtl/>
        </w:rPr>
        <w:t>קובע כלהלן:</w:t>
      </w:r>
    </w:p>
    <w:p w14:paraId="406D1354" w14:textId="77777777" w:rsidR="00D316ED" w:rsidRDefault="00D316ED" w:rsidP="00D316ED">
      <w:pPr>
        <w:pStyle w:val="Ruller5"/>
        <w:rPr>
          <w:rtl/>
        </w:rPr>
      </w:pPr>
    </w:p>
    <w:p w14:paraId="338B6717" w14:textId="77777777" w:rsidR="00D316ED" w:rsidRDefault="00D316ED" w:rsidP="00D316ED">
      <w:pPr>
        <w:pStyle w:val="Ruller5"/>
        <w:rPr>
          <w:rFonts w:ascii="Century" w:hAnsi="Century"/>
          <w:rtl/>
        </w:rPr>
      </w:pPr>
      <w:r>
        <w:rPr>
          <w:rtl/>
        </w:rPr>
        <w:t xml:space="preserve">מי שסייע לאחר לערוך הצהרה, ידיעה או הודעה לצורך חוק זה, </w:t>
      </w:r>
      <w:r w:rsidRPr="006B34AC">
        <w:rPr>
          <w:rFonts w:ascii="Century" w:hAnsi="Century" w:cs="Miriam"/>
          <w:b/>
          <w:spacing w:val="0"/>
          <w:szCs w:val="24"/>
          <w:rtl/>
        </w:rPr>
        <w:t>ביודעו שאינן נכונות</w:t>
      </w:r>
      <w:r>
        <w:rPr>
          <w:rtl/>
        </w:rPr>
        <w:t xml:space="preserve">, או שהתייצב כמיופה כוח </w:t>
      </w:r>
      <w:r>
        <w:rPr>
          <w:rtl/>
        </w:rPr>
        <w:lastRenderedPageBreak/>
        <w:t>של אחד ומסר הצהרה, ידיעה או הודעה כאמור, ביודעו שאינן נכו</w:t>
      </w:r>
      <w:r>
        <w:rPr>
          <w:rFonts w:hint="cs"/>
          <w:rtl/>
        </w:rPr>
        <w:t>נ</w:t>
      </w:r>
      <w:r>
        <w:rPr>
          <w:rtl/>
        </w:rPr>
        <w:t>ות, דינו – כמי שמסר את ההצהרה, הידיעה או ההודעה בניגוד לסעיף קטן (ג)</w:t>
      </w:r>
      <w:r>
        <w:rPr>
          <w:rFonts w:ascii="Century" w:hAnsi="Century" w:hint="cs"/>
          <w:rtl/>
        </w:rPr>
        <w:t>.</w:t>
      </w:r>
    </w:p>
    <w:p w14:paraId="05FEB493" w14:textId="77777777" w:rsidR="00D316ED" w:rsidRDefault="00D316ED" w:rsidP="00D316ED">
      <w:pPr>
        <w:pStyle w:val="Ruller5"/>
        <w:rPr>
          <w:rFonts w:ascii="Century" w:hAnsi="Century"/>
          <w:rtl/>
        </w:rPr>
      </w:pPr>
    </w:p>
    <w:p w14:paraId="17622F5D" w14:textId="77777777" w:rsidR="00D316ED" w:rsidRDefault="00D316ED" w:rsidP="00D316ED">
      <w:pPr>
        <w:pStyle w:val="Ruller5"/>
        <w:rPr>
          <w:rFonts w:ascii="Century" w:hAnsi="Century"/>
          <w:rtl/>
        </w:rPr>
      </w:pPr>
    </w:p>
    <w:p w14:paraId="2CBFD2F6"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ודוק: אין מדובר בכשל טכני, אלא בעבירה שבוצעה </w:t>
      </w:r>
      <w:r w:rsidRPr="00992E83">
        <w:rPr>
          <w:rFonts w:ascii="Century" w:hAnsi="Century" w:cs="Miriam" w:hint="cs"/>
          <w:b/>
          <w:spacing w:val="0"/>
          <w:szCs w:val="24"/>
          <w:rtl/>
        </w:rPr>
        <w:t>ביודעין</w:t>
      </w:r>
      <w:r>
        <w:rPr>
          <w:rFonts w:ascii="Century" w:hAnsi="Century" w:hint="cs"/>
          <w:rtl/>
        </w:rPr>
        <w:t xml:space="preserve">. בתי הדין המשמעתיים של לשכת עורכי הדין, עוסקים לא אחת בעניינם של עורכי דין שנתנו ידם למסירת הצהרה כוזבת ביודעין לרשויות המס. כך, נאמר </w:t>
      </w:r>
      <w:proofErr w:type="spellStart"/>
      <w:r>
        <w:rPr>
          <w:rFonts w:ascii="Century" w:hAnsi="Century" w:hint="cs"/>
          <w:rtl/>
        </w:rPr>
        <w:t>בעל"ע</w:t>
      </w:r>
      <w:proofErr w:type="spellEnd"/>
      <w:r>
        <w:rPr>
          <w:rFonts w:ascii="Century" w:hAnsi="Century" w:hint="cs"/>
          <w:rtl/>
        </w:rPr>
        <w:t xml:space="preserve"> 8280/05 </w:t>
      </w:r>
      <w:r w:rsidRPr="00071B6C">
        <w:rPr>
          <w:rFonts w:ascii="Century" w:hAnsi="Century" w:cs="Miriam" w:hint="cs"/>
          <w:b/>
          <w:spacing w:val="0"/>
          <w:szCs w:val="24"/>
          <w:rtl/>
        </w:rPr>
        <w:t>הועד המחוזי של לשכת עורכי הדין נ' שלם</w:t>
      </w:r>
      <w:r>
        <w:rPr>
          <w:rFonts w:ascii="Century" w:hAnsi="Century" w:hint="cs"/>
          <w:rtl/>
        </w:rPr>
        <w:t xml:space="preserve"> (7.12.2005), שם נדון עניינה של עורכת דין שהושעתה לפרק זמן של מספר חודשים בשל עבירה על סעיף 98(ג1) לחוק מיסוי מקרקעין:</w:t>
      </w:r>
    </w:p>
    <w:p w14:paraId="560CE87B" w14:textId="77777777" w:rsidR="00D316ED" w:rsidRDefault="00D316ED" w:rsidP="00D316ED">
      <w:pPr>
        <w:pStyle w:val="Ruller41"/>
        <w:rPr>
          <w:rFonts w:ascii="Century" w:hAnsi="Century"/>
          <w:rtl/>
        </w:rPr>
      </w:pPr>
    </w:p>
    <w:p w14:paraId="483F8A9A" w14:textId="77777777" w:rsidR="00D316ED" w:rsidRDefault="00D316ED" w:rsidP="00D316ED">
      <w:pPr>
        <w:pStyle w:val="Ruller5"/>
        <w:rPr>
          <w:rFonts w:ascii="Century" w:hAnsi="Century"/>
          <w:rtl/>
        </w:rPr>
      </w:pPr>
      <w:r>
        <w:rPr>
          <w:rFonts w:hint="cs"/>
          <w:rtl/>
        </w:rPr>
        <w:t xml:space="preserve">"עבירות על חוקי מס בישראל, כאשר הן מתבצעות על ידי עורכי דין וכרוכות במצגי כזב והצגת נתונים פיקטיביים בפני רשויות המס, מצדיקות, כשלעצמן, ענישה משמעתית מחמירה. על הטעמים להחמרה זו עמדנו בפירוט </w:t>
      </w:r>
      <w:r>
        <w:rPr>
          <w:rFonts w:ascii="Times New Roman" w:hAnsi="Times New Roman" w:cs="Miriam" w:hint="cs"/>
          <w:spacing w:val="0"/>
          <w:sz w:val="28"/>
          <w:szCs w:val="24"/>
          <w:rtl/>
        </w:rPr>
        <w:t xml:space="preserve">בפרשת </w:t>
      </w:r>
      <w:proofErr w:type="spellStart"/>
      <w:r>
        <w:rPr>
          <w:rFonts w:ascii="Times New Roman" w:hAnsi="Times New Roman" w:cs="Miriam" w:hint="cs"/>
          <w:spacing w:val="0"/>
          <w:sz w:val="28"/>
          <w:szCs w:val="24"/>
          <w:rtl/>
        </w:rPr>
        <w:t>צלטנר</w:t>
      </w:r>
      <w:proofErr w:type="spellEnd"/>
      <w:r>
        <w:rPr>
          <w:rFonts w:hint="cs"/>
          <w:rtl/>
        </w:rPr>
        <w:t xml:space="preserve"> (שם, פסקה 8). עבירות מס על פי אופיין מהוות פגיעה בקופה הציבורית, אשר נועדה להתקיים ממאמץ משותף של האזרחים כולם, ואמורה לשרת את צרכי החברה כולה; הן פוגעות גם בעקרון השוויון המחייב נשיאה שוויונית של כל בני הציבור בנטל הכלכלי המשותף הנדרש לקיומה של החברה. אלמנט הכזב בעבירות מס, הקשורות במצג פיקטיבי כלפי רשויות המס, משווה מישנה חומרה לעבירות המס, וחומרה זו מתעצמת כאשר העבירות מבוצעות בידי עורך דין, הנדרש לשמש דוגמא ומופת להקפדה על שמירת החוק וטוהר מידות" (שם, פסקה 8).</w:t>
      </w:r>
    </w:p>
    <w:p w14:paraId="48B52091" w14:textId="77777777" w:rsidR="00D316ED" w:rsidRDefault="00D316ED" w:rsidP="00D316ED">
      <w:pPr>
        <w:pStyle w:val="Ruller5"/>
        <w:rPr>
          <w:rFonts w:ascii="Century" w:hAnsi="Century"/>
          <w:rtl/>
        </w:rPr>
      </w:pPr>
    </w:p>
    <w:p w14:paraId="67AF46B8" w14:textId="77777777" w:rsidR="00D316ED" w:rsidRDefault="00D316ED" w:rsidP="00D316ED">
      <w:pPr>
        <w:pStyle w:val="Ruller5"/>
        <w:rPr>
          <w:rFonts w:ascii="Century" w:hAnsi="Century"/>
          <w:rtl/>
        </w:rPr>
      </w:pPr>
    </w:p>
    <w:p w14:paraId="4A38FE33"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הדברים נכונים לגבי עורכי דין מן השורה, ונכונים גם, שמא על דרך של קל וחומר, על שר בממשלת ישראל. </w:t>
      </w:r>
    </w:p>
    <w:p w14:paraId="077CBFF3" w14:textId="77777777" w:rsidR="00D316ED" w:rsidRDefault="00D316ED" w:rsidP="00D316ED">
      <w:pPr>
        <w:pStyle w:val="Ruller41"/>
        <w:rPr>
          <w:rFonts w:ascii="Century" w:hAnsi="Century"/>
          <w:rtl/>
        </w:rPr>
      </w:pPr>
    </w:p>
    <w:p w14:paraId="57DC8373" w14:textId="77777777" w:rsidR="00D316ED" w:rsidRDefault="00D316ED" w:rsidP="00D316ED">
      <w:pPr>
        <w:pStyle w:val="Ruller41"/>
        <w:rPr>
          <w:rFonts w:ascii="Century" w:hAnsi="Century"/>
          <w:rtl/>
        </w:rPr>
      </w:pPr>
      <w:r>
        <w:rPr>
          <w:rFonts w:ascii="Century" w:hAnsi="Century" w:hint="cs"/>
          <w:rtl/>
        </w:rPr>
        <w:t>11.</w:t>
      </w:r>
      <w:r>
        <w:rPr>
          <w:rFonts w:ascii="Century" w:hAnsi="Century"/>
          <w:rtl/>
        </w:rPr>
        <w:tab/>
      </w:r>
      <w:r>
        <w:rPr>
          <w:rFonts w:ascii="Century" w:hAnsi="Century" w:hint="cs"/>
          <w:rtl/>
        </w:rPr>
        <w:t xml:space="preserve">מאלף להשוות את המקרה שלפנינו למקרה שנדון בבג"ץ 8290/03 </w:t>
      </w:r>
      <w:proofErr w:type="spellStart"/>
      <w:r w:rsidRPr="001B7652">
        <w:rPr>
          <w:rFonts w:ascii="Century" w:hAnsi="Century" w:cs="Miriam" w:hint="cs"/>
          <w:b/>
          <w:spacing w:val="0"/>
          <w:szCs w:val="24"/>
          <w:rtl/>
        </w:rPr>
        <w:t>אלחלים</w:t>
      </w:r>
      <w:proofErr w:type="spellEnd"/>
      <w:r w:rsidRPr="001B7652">
        <w:rPr>
          <w:rFonts w:ascii="Century" w:hAnsi="Century" w:cs="Miriam" w:hint="cs"/>
          <w:b/>
          <w:spacing w:val="0"/>
          <w:szCs w:val="24"/>
          <w:rtl/>
        </w:rPr>
        <w:t xml:space="preserve"> נ' יו"ר ועדת הבחירות</w:t>
      </w:r>
      <w:r w:rsidRPr="001B7652">
        <w:rPr>
          <w:rFonts w:ascii="Century" w:hAnsi="Century" w:hint="cs"/>
          <w:rtl/>
        </w:rPr>
        <w:t xml:space="preserve"> </w:t>
      </w:r>
      <w:r>
        <w:rPr>
          <w:rFonts w:ascii="Century" w:hAnsi="Century" w:hint="cs"/>
          <w:rtl/>
        </w:rPr>
        <w:t xml:space="preserve">(24.9.2003). שם ביקש העותר, בשנת 2003, להתמודד </w:t>
      </w:r>
      <w:r>
        <w:rPr>
          <w:rtl/>
        </w:rPr>
        <w:t xml:space="preserve">בבחירות לרשויות </w:t>
      </w:r>
      <w:r>
        <w:rPr>
          <w:rFonts w:hint="eastAsia"/>
          <w:rtl/>
        </w:rPr>
        <w:t>המקומיות</w:t>
      </w:r>
      <w:r>
        <w:rPr>
          <w:rtl/>
        </w:rPr>
        <w:t xml:space="preserve"> כמועמד לראשות מועצה מקומית או לחלופין כחבר במועצה המקומית</w:t>
      </w:r>
      <w:r>
        <w:rPr>
          <w:rFonts w:ascii="Century" w:hAnsi="Century" w:hint="cs"/>
          <w:rtl/>
        </w:rPr>
        <w:t xml:space="preserve">. העותר הורשע בשנת 1997 בעבירה של ניכוי </w:t>
      </w:r>
      <w:r>
        <w:rPr>
          <w:rtl/>
        </w:rPr>
        <w:t xml:space="preserve">ביודעין </w:t>
      </w:r>
      <w:r>
        <w:rPr>
          <w:rFonts w:hint="cs"/>
          <w:rtl/>
        </w:rPr>
        <w:t xml:space="preserve">של </w:t>
      </w:r>
      <w:r>
        <w:rPr>
          <w:rtl/>
        </w:rPr>
        <w:t xml:space="preserve">מס תשומות </w:t>
      </w:r>
      <w:r>
        <w:rPr>
          <w:rFonts w:hint="eastAsia"/>
          <w:rtl/>
        </w:rPr>
        <w:t>שלא</w:t>
      </w:r>
      <w:r>
        <w:rPr>
          <w:rtl/>
        </w:rPr>
        <w:t xml:space="preserve"> על פי חשבונית מס </w:t>
      </w:r>
      <w:r>
        <w:rPr>
          <w:rFonts w:ascii="Century" w:hAnsi="Century" w:hint="cs"/>
          <w:rtl/>
        </w:rPr>
        <w:t>שהוצאה כדין, עבירה שבוצעה בשנים 1992-1991, שבגינה הושת עליו מאסר בפועל של חמישה חודשים אותם ריצה בעבודות שירות. משכך, נקבע כי לא נסתרה חזקת הקלון והוא אינו כשיר להתמודד בבחירות וכי "</w:t>
      </w:r>
      <w:r>
        <w:rPr>
          <w:rtl/>
        </w:rPr>
        <w:t xml:space="preserve">מינויו של העותר לתפקיד עליו </w:t>
      </w:r>
      <w:r>
        <w:rPr>
          <w:rFonts w:hint="eastAsia"/>
          <w:rtl/>
        </w:rPr>
        <w:t>מבקש</w:t>
      </w:r>
      <w:r>
        <w:rPr>
          <w:rtl/>
        </w:rPr>
        <w:t xml:space="preserve"> הוא להתמודד יפגע באמון הציבור הרחב בנבחרים, באינטרסים החיוניים של השרות </w:t>
      </w:r>
      <w:r>
        <w:rPr>
          <w:rFonts w:hint="eastAsia"/>
          <w:rtl/>
        </w:rPr>
        <w:t>הציבורי</w:t>
      </w:r>
      <w:r>
        <w:rPr>
          <w:rtl/>
        </w:rPr>
        <w:t xml:space="preserve"> ויתווה נורמות פסולות של </w:t>
      </w:r>
      <w:proofErr w:type="spellStart"/>
      <w:r>
        <w:rPr>
          <w:rtl/>
        </w:rPr>
        <w:t>הגיינה</w:t>
      </w:r>
      <w:proofErr w:type="spellEnd"/>
      <w:r>
        <w:rPr>
          <w:rtl/>
        </w:rPr>
        <w:t xml:space="preserve"> ציבורית</w:t>
      </w:r>
      <w:r>
        <w:rPr>
          <w:rFonts w:ascii="Century" w:hAnsi="Century" w:hint="cs"/>
          <w:rtl/>
        </w:rPr>
        <w:t xml:space="preserve">". אכן, העבירה שבה הורשע המערער באותו מקרה חמורה מזו שבה הורשע דרעי, אך מנגד, באותו מקרה חלף </w:t>
      </w:r>
      <w:r>
        <w:rPr>
          <w:rFonts w:ascii="Century" w:hAnsi="Century" w:hint="cs"/>
          <w:rtl/>
        </w:rPr>
        <w:lastRenderedPageBreak/>
        <w:t xml:space="preserve">זמן רב מעת ביצוע העבירות, בעוד שבענייננו המדובר בעבירות שבהן הורשע דרעי אך לאחרונה. </w:t>
      </w:r>
    </w:p>
    <w:p w14:paraId="41ABB921" w14:textId="77777777" w:rsidR="00D316ED" w:rsidRDefault="00D316ED" w:rsidP="00D316ED">
      <w:pPr>
        <w:pStyle w:val="Ruller41"/>
        <w:rPr>
          <w:rFonts w:ascii="Century" w:hAnsi="Century"/>
          <w:rtl/>
        </w:rPr>
      </w:pPr>
    </w:p>
    <w:p w14:paraId="73EA0578" w14:textId="77777777" w:rsidR="00D316ED" w:rsidRPr="002A694A" w:rsidRDefault="00D316ED" w:rsidP="00D316ED">
      <w:pPr>
        <w:pStyle w:val="Ruller41"/>
        <w:rPr>
          <w:rFonts w:ascii="Century" w:hAnsi="Century" w:cs="Miriam"/>
          <w:b/>
          <w:spacing w:val="0"/>
          <w:szCs w:val="24"/>
          <w:rtl/>
        </w:rPr>
      </w:pPr>
      <w:r w:rsidRPr="002A694A">
        <w:rPr>
          <w:rFonts w:ascii="Century" w:hAnsi="Century" w:cs="Miriam" w:hint="cs"/>
          <w:b/>
          <w:spacing w:val="0"/>
          <w:szCs w:val="24"/>
          <w:rtl/>
        </w:rPr>
        <w:t>התיקון לחוק היסוד</w:t>
      </w:r>
    </w:p>
    <w:p w14:paraId="73E0CEAB" w14:textId="77777777" w:rsidR="00D316ED" w:rsidRDefault="00D316ED" w:rsidP="00D316ED">
      <w:pPr>
        <w:pStyle w:val="Ruller41"/>
        <w:rPr>
          <w:rFonts w:ascii="Century" w:hAnsi="Century"/>
          <w:rtl/>
        </w:rPr>
      </w:pPr>
    </w:p>
    <w:p w14:paraId="12655C8D" w14:textId="77777777" w:rsidR="00D316ED" w:rsidRDefault="00D316ED" w:rsidP="00D316ED">
      <w:pPr>
        <w:pStyle w:val="Ruller41"/>
        <w:rPr>
          <w:rFonts w:ascii="Century" w:hAnsi="Century"/>
          <w:rtl/>
        </w:rPr>
      </w:pPr>
      <w:r>
        <w:rPr>
          <w:rFonts w:ascii="Century" w:hAnsi="Century" w:hint="cs"/>
          <w:rtl/>
        </w:rPr>
        <w:t>12.</w:t>
      </w:r>
      <w:r>
        <w:rPr>
          <w:rFonts w:ascii="Century" w:hAnsi="Century" w:hint="cs"/>
          <w:rtl/>
        </w:rPr>
        <w:tab/>
        <w:t xml:space="preserve">איני רואה להוסיף על דברי הנשיאה ודברי חבריי, המשנה לנשיאה </w:t>
      </w:r>
      <w:r w:rsidRPr="006E29B6">
        <w:rPr>
          <w:rFonts w:ascii="Century" w:hAnsi="Century" w:cs="Miriam" w:hint="eastAsia"/>
          <w:b/>
          <w:spacing w:val="0"/>
          <w:szCs w:val="24"/>
          <w:rtl/>
        </w:rPr>
        <w:t>ע</w:t>
      </w:r>
      <w:r w:rsidRPr="006E29B6">
        <w:rPr>
          <w:rFonts w:ascii="Century" w:hAnsi="Century" w:cs="Miriam"/>
          <w:b/>
          <w:spacing w:val="0"/>
          <w:szCs w:val="24"/>
          <w:rtl/>
        </w:rPr>
        <w:t xml:space="preserve">' </w:t>
      </w:r>
      <w:r w:rsidRPr="006E29B6">
        <w:rPr>
          <w:rFonts w:ascii="Century" w:hAnsi="Century" w:cs="Miriam" w:hint="eastAsia"/>
          <w:b/>
          <w:spacing w:val="0"/>
          <w:szCs w:val="24"/>
          <w:rtl/>
        </w:rPr>
        <w:t>פוגלמן</w:t>
      </w:r>
      <w:r>
        <w:rPr>
          <w:rFonts w:ascii="Century" w:hAnsi="Century" w:hint="cs"/>
          <w:rtl/>
        </w:rPr>
        <w:t xml:space="preserve"> והשופטת </w:t>
      </w:r>
      <w:r>
        <w:rPr>
          <w:rFonts w:ascii="Century" w:hAnsi="Century" w:cs="Miriam" w:hint="cs"/>
          <w:b/>
          <w:spacing w:val="0"/>
          <w:szCs w:val="24"/>
          <w:rtl/>
        </w:rPr>
        <w:t xml:space="preserve">ד' </w:t>
      </w:r>
      <w:r w:rsidRPr="009604B5">
        <w:rPr>
          <w:rFonts w:ascii="Century" w:hAnsi="Century" w:cs="Miriam" w:hint="cs"/>
          <w:b/>
          <w:spacing w:val="0"/>
          <w:szCs w:val="24"/>
          <w:rtl/>
        </w:rPr>
        <w:t>ברק-ארז</w:t>
      </w:r>
      <w:r>
        <w:rPr>
          <w:rFonts w:ascii="Century" w:hAnsi="Century" w:hint="cs"/>
          <w:rtl/>
        </w:rPr>
        <w:t>,</w:t>
      </w:r>
      <w:r w:rsidRPr="009604B5">
        <w:rPr>
          <w:rFonts w:ascii="Century" w:hAnsi="Century" w:hint="cs"/>
          <w:rtl/>
        </w:rPr>
        <w:t xml:space="preserve"> </w:t>
      </w:r>
      <w:r>
        <w:rPr>
          <w:rFonts w:ascii="Century" w:hAnsi="Century" w:hint="cs"/>
          <w:rtl/>
        </w:rPr>
        <w:t xml:space="preserve">בנושא זה ואסתפק בשתי הערות. </w:t>
      </w:r>
    </w:p>
    <w:p w14:paraId="559C4C63" w14:textId="77777777" w:rsidR="00D316ED" w:rsidRDefault="00D316ED" w:rsidP="00D316ED">
      <w:pPr>
        <w:pStyle w:val="Ruller41"/>
        <w:rPr>
          <w:rFonts w:ascii="Century" w:hAnsi="Century"/>
          <w:rtl/>
        </w:rPr>
      </w:pPr>
    </w:p>
    <w:p w14:paraId="682B5086" w14:textId="77777777" w:rsidR="00D316ED" w:rsidRDefault="00D316ED" w:rsidP="00D316ED">
      <w:pPr>
        <w:pStyle w:val="Ruller41"/>
        <w:rPr>
          <w:rFonts w:ascii="Century" w:hAnsi="Century"/>
          <w:rtl/>
        </w:rPr>
      </w:pPr>
      <w:r>
        <w:rPr>
          <w:rFonts w:ascii="Century" w:hAnsi="Century"/>
          <w:rtl/>
        </w:rPr>
        <w:tab/>
      </w:r>
      <w:r w:rsidRPr="009604B5">
        <w:rPr>
          <w:rFonts w:ascii="Century" w:hAnsi="Century" w:cs="Miriam" w:hint="cs"/>
          <w:b/>
          <w:spacing w:val="0"/>
          <w:szCs w:val="24"/>
          <w:rtl/>
        </w:rPr>
        <w:t>א</w:t>
      </w:r>
      <w:r>
        <w:rPr>
          <w:rFonts w:ascii="Century" w:hAnsi="Century" w:hint="cs"/>
          <w:rtl/>
        </w:rPr>
        <w:t>. אף אני סבור כי התיקון לחוק היסוד הוא בגדר תיקון משנה ולא תיקון מבהיר, כפי שהוסבר על ידי הנשיאה בפסקאות 42-38 לפסק דינה. כך כאמור סברו גם הכנסת והיועצת המשפטית לממשלה. מצב דברים זה היה ידוע לעוסקים במלאכה. לא בכדי, נמנע בית משפט השלום מלכתחילה מלהטיל על צחי הנגבי עונש של מאסר על תנאי, על מנת שלא למנוע בעדו לחזור ולכהן כשר:</w:t>
      </w:r>
    </w:p>
    <w:p w14:paraId="60BD075C" w14:textId="77777777" w:rsidR="00D316ED" w:rsidRDefault="00D316ED" w:rsidP="00D316ED">
      <w:pPr>
        <w:pStyle w:val="Ruller41"/>
        <w:rPr>
          <w:rFonts w:ascii="Century" w:hAnsi="Century"/>
          <w:rtl/>
        </w:rPr>
      </w:pPr>
    </w:p>
    <w:p w14:paraId="4ED036BA" w14:textId="77777777" w:rsidR="00D316ED" w:rsidRDefault="00D316ED" w:rsidP="00D316ED">
      <w:pPr>
        <w:pStyle w:val="Ruller5"/>
        <w:rPr>
          <w:rFonts w:ascii="Century" w:hAnsi="Century"/>
          <w:rtl/>
        </w:rPr>
      </w:pPr>
      <w:r>
        <w:rPr>
          <w:rFonts w:ascii="Century" w:hAnsi="Century" w:hint="cs"/>
          <w:rtl/>
        </w:rPr>
        <w:t>"</w:t>
      </w:r>
      <w:r>
        <w:rPr>
          <w:rFonts w:hint="cs"/>
          <w:rtl/>
        </w:rPr>
        <w:t xml:space="preserve">כיוון שלא הטלנו על הנגבי עונש מאסר, </w:t>
      </w:r>
      <w:r w:rsidRPr="00A672CA">
        <w:rPr>
          <w:rFonts w:ascii="Century" w:hAnsi="Century" w:cs="Miriam" w:hint="cs"/>
          <w:b/>
          <w:spacing w:val="0"/>
          <w:szCs w:val="24"/>
          <w:rtl/>
        </w:rPr>
        <w:t>אפילו על תנאי</w:t>
      </w:r>
      <w:r>
        <w:rPr>
          <w:rFonts w:hint="cs"/>
          <w:rtl/>
        </w:rPr>
        <w:t xml:space="preserve">, הרי שמבחינת תנאי הכשירות הקבועים בסעיף 6 </w:t>
      </w:r>
      <w:r w:rsidRPr="00A672CA">
        <w:rPr>
          <w:rFonts w:ascii="Century" w:hAnsi="Century" w:hint="cs"/>
          <w:rtl/>
        </w:rPr>
        <w:t>ל</w:t>
      </w:r>
      <w:r w:rsidRPr="00A672CA">
        <w:rPr>
          <w:rFonts w:ascii="Century" w:hAnsi="Century"/>
          <w:rtl/>
        </w:rPr>
        <w:t>חוק יסוד: הממשלה</w:t>
      </w:r>
      <w:r w:rsidRPr="00A672CA">
        <w:rPr>
          <w:rFonts w:ascii="Century" w:hAnsi="Century" w:hint="cs"/>
          <w:rtl/>
        </w:rPr>
        <w:t>,</w:t>
      </w:r>
      <w:r>
        <w:rPr>
          <w:rFonts w:hint="cs"/>
          <w:rtl/>
        </w:rPr>
        <w:t xml:space="preserve"> אין גם מניעה חוקית לכך שהנגבי ישוב וישמש כשר" (כפי שצוטט בעניין </w:t>
      </w:r>
      <w:r w:rsidRPr="00A672CA">
        <w:rPr>
          <w:rFonts w:ascii="Century" w:hAnsi="Century" w:cs="Miriam" w:hint="cs"/>
          <w:b/>
          <w:spacing w:val="0"/>
          <w:szCs w:val="24"/>
          <w:rtl/>
        </w:rPr>
        <w:t>הנגבי השני</w:t>
      </w:r>
      <w:r w:rsidRPr="00A672CA">
        <w:rPr>
          <w:rFonts w:hint="cs"/>
          <w:rtl/>
        </w:rPr>
        <w:t xml:space="preserve"> </w:t>
      </w:r>
      <w:r>
        <w:rPr>
          <w:rFonts w:hint="cs"/>
          <w:rtl/>
        </w:rPr>
        <w:t>בפסקה 4).</w:t>
      </w:r>
    </w:p>
    <w:p w14:paraId="24D06366" w14:textId="77777777" w:rsidR="00D316ED" w:rsidRDefault="00D316ED" w:rsidP="00D316ED">
      <w:pPr>
        <w:pStyle w:val="Ruller5"/>
        <w:rPr>
          <w:rFonts w:ascii="Century" w:hAnsi="Century"/>
          <w:rtl/>
        </w:rPr>
      </w:pPr>
    </w:p>
    <w:p w14:paraId="6982141F" w14:textId="77777777" w:rsidR="00D316ED" w:rsidRDefault="00D316ED" w:rsidP="00D316ED">
      <w:pPr>
        <w:pStyle w:val="Ruller5"/>
        <w:rPr>
          <w:rFonts w:ascii="Century" w:hAnsi="Century"/>
          <w:rtl/>
        </w:rPr>
      </w:pPr>
    </w:p>
    <w:p w14:paraId="3E4AE1D2" w14:textId="77777777" w:rsidR="00D316ED" w:rsidRDefault="00D316ED" w:rsidP="00D316ED">
      <w:pPr>
        <w:pStyle w:val="Ruller41"/>
        <w:rPr>
          <w:rFonts w:ascii="Century" w:hAnsi="Century"/>
          <w:rtl/>
        </w:rPr>
      </w:pPr>
      <w:r>
        <w:rPr>
          <w:rFonts w:ascii="Century" w:hAnsi="Century"/>
          <w:rtl/>
        </w:rPr>
        <w:tab/>
      </w:r>
      <w:r w:rsidRPr="009604B5">
        <w:rPr>
          <w:rFonts w:ascii="Century" w:hAnsi="Century" w:cs="Miriam" w:hint="cs"/>
          <w:b/>
          <w:spacing w:val="0"/>
          <w:szCs w:val="24"/>
          <w:rtl/>
        </w:rPr>
        <w:t>ב</w:t>
      </w:r>
      <w:r>
        <w:rPr>
          <w:rFonts w:ascii="Century" w:hAnsi="Century" w:hint="cs"/>
          <w:rtl/>
        </w:rPr>
        <w:t>. תוכנו של התיקון הוא בגדר נורמה כללית וקבועה, אשר כשלעצמה אין בה פסול, הגם שניתן להצר על הורדת רף הכשירות שהנורמה החדשה מבטאת. ברם, דומה כי זו הפעם הראשונה של חקיקה פרסונלית בתחום הרגיש של טוהר המידות, על מנת לתפור את חוק היסוד למידותיו של דרעי עוד טרם הקמת הממשלה. אף דומה כי זו הפעם הראשונה שחקיקה פרסונלית בתחום הרגיש של טוהר מידות נעשית בבהילות כה רבה, כדי כך שנקבע באופן כמעט חסר תקדים, כי תחולתו של התיקון היא מיום קבלת התיקון בכנסת, חלף המועד של פרסום החוק ברשומות.</w:t>
      </w:r>
    </w:p>
    <w:p w14:paraId="59C61918" w14:textId="77777777" w:rsidR="00D316ED" w:rsidRDefault="00D316ED" w:rsidP="00D316ED">
      <w:pPr>
        <w:pStyle w:val="Ruller41"/>
        <w:rPr>
          <w:rFonts w:ascii="Century" w:hAnsi="Century"/>
          <w:rtl/>
        </w:rPr>
      </w:pPr>
    </w:p>
    <w:p w14:paraId="1FBD8576" w14:textId="77777777" w:rsidR="00D316ED" w:rsidRPr="006D21EF" w:rsidRDefault="00D316ED" w:rsidP="00D316ED">
      <w:pPr>
        <w:pStyle w:val="Ruller41"/>
        <w:rPr>
          <w:rFonts w:ascii="Century" w:hAnsi="Century" w:cs="Miriam"/>
          <w:b/>
          <w:spacing w:val="0"/>
          <w:szCs w:val="24"/>
          <w:rtl/>
        </w:rPr>
      </w:pPr>
      <w:r w:rsidRPr="006D21EF">
        <w:rPr>
          <w:rFonts w:ascii="Century" w:hAnsi="Century" w:cs="Miriam" w:hint="cs"/>
          <w:b/>
          <w:spacing w:val="0"/>
          <w:szCs w:val="24"/>
          <w:rtl/>
        </w:rPr>
        <w:t>סבירות המינוי</w:t>
      </w:r>
    </w:p>
    <w:p w14:paraId="44B5CE3E" w14:textId="77777777" w:rsidR="00D316ED" w:rsidRDefault="00D316ED" w:rsidP="00D316ED">
      <w:pPr>
        <w:pStyle w:val="Ruller41"/>
        <w:rPr>
          <w:rFonts w:ascii="Century" w:hAnsi="Century"/>
          <w:rtl/>
        </w:rPr>
      </w:pPr>
    </w:p>
    <w:p w14:paraId="0DB5FA37" w14:textId="77777777" w:rsidR="00D316ED" w:rsidRDefault="00D316ED" w:rsidP="00D316ED">
      <w:pPr>
        <w:pStyle w:val="Ruller41"/>
        <w:rPr>
          <w:rFonts w:ascii="Century" w:hAnsi="Century"/>
          <w:color w:val="FF0000"/>
          <w:rtl/>
        </w:rPr>
      </w:pPr>
      <w:r>
        <w:rPr>
          <w:rFonts w:ascii="Century" w:hAnsi="Century" w:hint="cs"/>
          <w:rtl/>
        </w:rPr>
        <w:t>13.</w:t>
      </w:r>
      <w:r>
        <w:rPr>
          <w:rFonts w:ascii="Century" w:hAnsi="Century" w:hint="cs"/>
          <w:rtl/>
        </w:rPr>
        <w:tab/>
      </w:r>
      <w:r w:rsidRPr="00260E9B">
        <w:rPr>
          <w:rFonts w:ascii="Century" w:hAnsi="Century" w:hint="cs"/>
          <w:rtl/>
        </w:rPr>
        <w:t xml:space="preserve">נעמיד עצמנו בנעלי היועץ המשפטי לממשלה, </w:t>
      </w:r>
      <w:r w:rsidRPr="000C05A5">
        <w:rPr>
          <w:rFonts w:ascii="Century" w:hAnsi="Century" w:hint="cs"/>
          <w:rtl/>
        </w:rPr>
        <w:t xml:space="preserve">בנעלי דרעי ובנעלי הנשיא </w:t>
      </w:r>
      <w:r>
        <w:rPr>
          <w:rFonts w:ascii="Century" w:hAnsi="Century" w:cs="Miriam" w:hint="cs"/>
          <w:b/>
          <w:spacing w:val="0"/>
          <w:szCs w:val="24"/>
          <w:rtl/>
        </w:rPr>
        <w:t xml:space="preserve">ש' </w:t>
      </w:r>
      <w:r w:rsidRPr="006E29B6">
        <w:rPr>
          <w:rFonts w:ascii="Century" w:hAnsi="Century" w:cs="Miriam" w:hint="eastAsia"/>
          <w:b/>
          <w:spacing w:val="0"/>
          <w:szCs w:val="24"/>
          <w:rtl/>
        </w:rPr>
        <w:t>הרבסט</w:t>
      </w:r>
      <w:r w:rsidRPr="000C05A5">
        <w:rPr>
          <w:rFonts w:ascii="Century" w:hAnsi="Century" w:hint="cs"/>
          <w:rtl/>
        </w:rPr>
        <w:t xml:space="preserve"> בבית משפט השלום, בעת שגזר את הדין. נגד עיני הצדדים ונגד עיני בית המשפט </w:t>
      </w:r>
      <w:r w:rsidRPr="00B75CD7">
        <w:rPr>
          <w:rFonts w:ascii="Century" w:hAnsi="Century" w:hint="cs"/>
          <w:rtl/>
        </w:rPr>
        <w:t xml:space="preserve">עמד הנוסח הקודם של סעיף 6(ג) לחוק היסוד, והם ידעו בידיעה שאין ברורה הימנה, כי הטלת עונש מאסר על תנאי, </w:t>
      </w:r>
      <w:r>
        <w:rPr>
          <w:rFonts w:ascii="Century" w:hAnsi="Century" w:hint="cs"/>
          <w:rtl/>
        </w:rPr>
        <w:t>ת</w:t>
      </w:r>
      <w:r w:rsidRPr="00B75CD7">
        <w:rPr>
          <w:rFonts w:ascii="Century" w:hAnsi="Century" w:hint="cs"/>
          <w:rtl/>
        </w:rPr>
        <w:t xml:space="preserve">חייב את ראש הממשלה, ככל שיבקש למנות את דרעי לשר, לפנות אל יו"ר ועדת הבחירות המרכזית, על מנת שידון בנושא הקלון. הדבר היה ברור </w:t>
      </w:r>
      <w:r w:rsidRPr="00B75CD7">
        <w:rPr>
          <w:rFonts w:ascii="Century" w:hAnsi="Century" w:hint="cs"/>
          <w:rtl/>
        </w:rPr>
        <w:lastRenderedPageBreak/>
        <w:t xml:space="preserve">לכל הצדדים, גם למדינה וגם לדרעי בעת שחתמו על הסדר הטיעון. </w:t>
      </w:r>
      <w:r w:rsidRPr="00B75CD7">
        <w:rPr>
          <w:rFonts w:hint="cs"/>
          <w:rtl/>
        </w:rPr>
        <w:t xml:space="preserve">בית משפט השלום הטיל </w:t>
      </w:r>
      <w:r w:rsidRPr="00B75CD7">
        <w:rPr>
          <w:rFonts w:ascii="Century" w:hAnsi="Century" w:hint="cs"/>
          <w:rtl/>
        </w:rPr>
        <w:t xml:space="preserve">עונש "מכובד" של מאסר על תנאי </w:t>
      </w:r>
      <w:r>
        <w:rPr>
          <w:rFonts w:ascii="Century" w:hAnsi="Century" w:hint="cs"/>
          <w:rtl/>
        </w:rPr>
        <w:t xml:space="preserve">של </w:t>
      </w:r>
      <w:r w:rsidRPr="00B75CD7">
        <w:rPr>
          <w:rFonts w:ascii="Century" w:hAnsi="Century" w:hint="cs"/>
          <w:rtl/>
        </w:rPr>
        <w:t xml:space="preserve">שנה ולתקופה המכסימלית של שלוש שנים. </w:t>
      </w:r>
    </w:p>
    <w:p w14:paraId="194CD3B8" w14:textId="77777777" w:rsidR="00D316ED" w:rsidRDefault="00D316ED" w:rsidP="00D316ED">
      <w:pPr>
        <w:pStyle w:val="Ruller41"/>
        <w:rPr>
          <w:rFonts w:ascii="Century" w:hAnsi="Century"/>
          <w:color w:val="FF0000"/>
          <w:rtl/>
        </w:rPr>
      </w:pPr>
    </w:p>
    <w:p w14:paraId="3362F51D" w14:textId="77777777" w:rsidR="00D316ED" w:rsidRDefault="00D316ED" w:rsidP="00D316ED">
      <w:pPr>
        <w:pStyle w:val="Ruller41"/>
        <w:rPr>
          <w:rFonts w:ascii="Century" w:hAnsi="Century"/>
          <w:rtl/>
        </w:rPr>
      </w:pPr>
      <w:r>
        <w:rPr>
          <w:rFonts w:ascii="Century" w:hAnsi="Century"/>
          <w:rtl/>
        </w:rPr>
        <w:tab/>
      </w:r>
      <w:r>
        <w:rPr>
          <w:rFonts w:ascii="Century" w:hAnsi="Century" w:hint="cs"/>
          <w:rtl/>
        </w:rPr>
        <w:t xml:space="preserve">נקודת המוצא של המחוקק היא שהרשעתו של שר </w:t>
      </w:r>
      <w:r>
        <w:rPr>
          <w:rFonts w:hint="cs"/>
          <w:rtl/>
        </w:rPr>
        <w:t>בעבירה שיש עמה קלון מחייבת את הפסקת כהונתו</w:t>
      </w:r>
      <w:r>
        <w:rPr>
          <w:rFonts w:ascii="Century" w:hAnsi="Century" w:hint="cs"/>
          <w:rtl/>
        </w:rPr>
        <w:t xml:space="preserve"> (סעיף 23(ב) לחוק יסוד: הממשלה). במקרה דנן, דרעי חמק משאלת הקלון בפני בית משפט השלום בהתפטרותו מהכנסת, וחמק משאלת הקלון בפני יו"ר ועדת הבחירות המרכזית על ידי שינוי חוק היסוד, </w:t>
      </w:r>
      <w:r w:rsidRPr="00B84DC8">
        <w:rPr>
          <w:rFonts w:ascii="Century" w:hAnsi="Century" w:hint="eastAsia"/>
          <w:rtl/>
        </w:rPr>
        <w:t>ביודעו</w:t>
      </w:r>
      <w:r>
        <w:rPr>
          <w:rFonts w:ascii="Century" w:hAnsi="Century" w:hint="cs"/>
          <w:rtl/>
        </w:rPr>
        <w:t xml:space="preserve"> כי לעמדת היועץ המשפטי לממשלה דאז, יש בעבירות שבהן הורשע משום קלון.  </w:t>
      </w:r>
    </w:p>
    <w:p w14:paraId="76622702" w14:textId="77777777" w:rsidR="00E65820" w:rsidRDefault="00E65820" w:rsidP="00D316ED">
      <w:pPr>
        <w:pStyle w:val="Ruller41"/>
        <w:rPr>
          <w:rFonts w:ascii="Century" w:hAnsi="Century"/>
          <w:rtl/>
        </w:rPr>
      </w:pPr>
    </w:p>
    <w:p w14:paraId="2E7F70E3" w14:textId="77777777" w:rsidR="00D316ED" w:rsidRDefault="00D316ED" w:rsidP="00D316ED">
      <w:pPr>
        <w:pStyle w:val="Ruller41"/>
        <w:rPr>
          <w:rFonts w:ascii="Century" w:hAnsi="Century"/>
          <w:rtl/>
        </w:rPr>
      </w:pPr>
      <w:r>
        <w:rPr>
          <w:rFonts w:ascii="Century" w:hAnsi="Century" w:hint="cs"/>
          <w:rtl/>
        </w:rPr>
        <w:t>14.</w:t>
      </w:r>
      <w:r>
        <w:rPr>
          <w:rFonts w:ascii="Century" w:hAnsi="Century" w:hint="cs"/>
          <w:rtl/>
        </w:rPr>
        <w:tab/>
        <w:t>תנאי הכשירות מקרינים מטבע הדברים על סבירות המינוי: "</w:t>
      </w:r>
      <w:r>
        <w:rPr>
          <w:rFonts w:hint="cs"/>
          <w:rtl/>
        </w:rPr>
        <w:t xml:space="preserve">למגבלות הסטטוטוריות למינוי ישנה הקרנה על אמות המידה הערכיות הנדרשות בעיני המחוקק לצורך מינוי" </w:t>
      </w:r>
      <w:r>
        <w:rPr>
          <w:rFonts w:ascii="Century" w:hAnsi="Century" w:hint="cs"/>
          <w:rtl/>
        </w:rPr>
        <w:t>(</w:t>
      </w:r>
      <w:r w:rsidRPr="006D21EF">
        <w:rPr>
          <w:rFonts w:ascii="Century" w:hAnsi="Century" w:hint="cs"/>
          <w:rtl/>
        </w:rPr>
        <w:t>ב</w:t>
      </w:r>
      <w:r w:rsidRPr="006D21EF">
        <w:rPr>
          <w:rFonts w:ascii="Century" w:hAnsi="Century" w:hint="eastAsia"/>
          <w:rtl/>
        </w:rPr>
        <w:t>ג</w:t>
      </w:r>
      <w:r w:rsidRPr="006D21EF">
        <w:rPr>
          <w:rFonts w:ascii="Century" w:hAnsi="Century"/>
          <w:rtl/>
        </w:rPr>
        <w:t>"</w:t>
      </w:r>
      <w:r w:rsidRPr="006D21EF">
        <w:rPr>
          <w:rFonts w:ascii="Century" w:hAnsi="Century" w:hint="eastAsia"/>
          <w:rtl/>
        </w:rPr>
        <w:t>ץ</w:t>
      </w:r>
      <w:r w:rsidRPr="006D21EF">
        <w:rPr>
          <w:rFonts w:ascii="Century" w:hAnsi="Century"/>
          <w:rtl/>
        </w:rPr>
        <w:t xml:space="preserve"> 5853/07</w:t>
      </w:r>
      <w:r w:rsidRPr="006D21EF">
        <w:rPr>
          <w:rFonts w:hint="cs"/>
          <w:rtl/>
        </w:rPr>
        <w:t xml:space="preserve"> </w:t>
      </w:r>
      <w:r>
        <w:rPr>
          <w:rFonts w:ascii="Century" w:hAnsi="Century" w:cs="Miriam" w:hint="cs"/>
          <w:b/>
          <w:spacing w:val="0"/>
          <w:szCs w:val="24"/>
          <w:rtl/>
        </w:rPr>
        <w:t xml:space="preserve">אמונה </w:t>
      </w:r>
      <w:r>
        <w:rPr>
          <w:rFonts w:ascii="Century" w:hAnsi="Century" w:cs="Miriam" w:hint="eastAsia"/>
          <w:b/>
          <w:spacing w:val="0"/>
          <w:szCs w:val="24"/>
          <w:rtl/>
        </w:rPr>
        <w:t>–</w:t>
      </w:r>
      <w:r>
        <w:rPr>
          <w:rFonts w:ascii="Century" w:hAnsi="Century" w:cs="Miriam" w:hint="cs"/>
          <w:b/>
          <w:spacing w:val="0"/>
          <w:szCs w:val="24"/>
          <w:rtl/>
        </w:rPr>
        <w:t xml:space="preserve"> תנועת האישה הדתית לאומית נ' ראש הממשלה</w:t>
      </w:r>
      <w:r>
        <w:rPr>
          <w:rFonts w:hint="cs"/>
          <w:rtl/>
        </w:rPr>
        <w:t xml:space="preserve">, </w:t>
      </w:r>
      <w:r w:rsidRPr="006D21EF">
        <w:rPr>
          <w:rFonts w:ascii="Century" w:hAnsi="Century" w:hint="cs"/>
          <w:rtl/>
        </w:rPr>
        <w:t>בפסקה 24</w:t>
      </w:r>
      <w:r w:rsidRPr="006D21EF">
        <w:rPr>
          <w:rFonts w:ascii="Times New Roman" w:hAnsi="Times New Roman" w:cs="David" w:hint="cs"/>
          <w:spacing w:val="0"/>
          <w:szCs w:val="24"/>
          <w:rtl/>
        </w:rPr>
        <w:t xml:space="preserve"> </w:t>
      </w:r>
      <w:r>
        <w:rPr>
          <w:rFonts w:hint="cs"/>
          <w:rtl/>
        </w:rPr>
        <w:t xml:space="preserve">(6.12.2007) (להלן: עניין </w:t>
      </w:r>
      <w:r>
        <w:rPr>
          <w:rFonts w:ascii="Century" w:hAnsi="Century" w:cs="Miriam" w:hint="cs"/>
          <w:b/>
          <w:spacing w:val="0"/>
          <w:szCs w:val="24"/>
          <w:rtl/>
        </w:rPr>
        <w:t>אמונה</w:t>
      </w:r>
      <w:r>
        <w:rPr>
          <w:rFonts w:hint="cs"/>
          <w:rtl/>
        </w:rPr>
        <w:t xml:space="preserve">); "על ההקרנה של מגבלת הכשירות הקבועה בחוק על מתחם שיקול הדעת של הגורם הממנה, עמד בית משפט זה בעניין </w:t>
      </w:r>
      <w:r>
        <w:rPr>
          <w:rFonts w:ascii="Times New Roman" w:hAnsi="Times New Roman" w:cs="Miriam" w:hint="cs"/>
          <w:spacing w:val="0"/>
          <w:sz w:val="28"/>
          <w:szCs w:val="24"/>
          <w:rtl/>
        </w:rPr>
        <w:t>אמונה</w:t>
      </w:r>
      <w:r>
        <w:rPr>
          <w:rFonts w:hint="cs"/>
          <w:rtl/>
        </w:rPr>
        <w:t>" (</w:t>
      </w:r>
      <w:r>
        <w:rPr>
          <w:rFonts w:ascii="Century" w:hAnsi="Century" w:hint="cs"/>
          <w:rtl/>
        </w:rPr>
        <w:t xml:space="preserve">דברי השופטת </w:t>
      </w:r>
      <w:r>
        <w:rPr>
          <w:rFonts w:ascii="Century" w:hAnsi="Century" w:cs="Miriam" w:hint="cs"/>
          <w:b/>
          <w:spacing w:val="0"/>
          <w:szCs w:val="24"/>
          <w:rtl/>
        </w:rPr>
        <w:t xml:space="preserve">א' </w:t>
      </w:r>
      <w:r w:rsidRPr="006E29B6">
        <w:rPr>
          <w:rFonts w:ascii="Century" w:hAnsi="Century" w:cs="Miriam" w:hint="eastAsia"/>
          <w:b/>
          <w:spacing w:val="0"/>
          <w:szCs w:val="24"/>
          <w:rtl/>
        </w:rPr>
        <w:t>חיות</w:t>
      </w:r>
      <w:r>
        <w:rPr>
          <w:rFonts w:ascii="Century" w:hAnsi="Century" w:hint="cs"/>
          <w:rtl/>
        </w:rPr>
        <w:t xml:space="preserve"> ב</w:t>
      </w:r>
      <w:r w:rsidRPr="006E29B6">
        <w:rPr>
          <w:rFonts w:ascii="Century" w:hAnsi="Century" w:hint="eastAsia"/>
          <w:rtl/>
        </w:rPr>
        <w:t>עניין</w:t>
      </w:r>
      <w:r w:rsidRPr="006E29B6">
        <w:rPr>
          <w:rFonts w:ascii="Century" w:hAnsi="Century"/>
          <w:rtl/>
        </w:rPr>
        <w:t xml:space="preserve"> </w:t>
      </w:r>
      <w:r w:rsidRPr="00066E93">
        <w:rPr>
          <w:rFonts w:ascii="Century" w:hAnsi="Century" w:cs="Miriam" w:hint="cs"/>
          <w:b/>
          <w:spacing w:val="0"/>
          <w:szCs w:val="24"/>
          <w:rtl/>
        </w:rPr>
        <w:t>דרעי ה</w:t>
      </w:r>
      <w:r>
        <w:rPr>
          <w:rFonts w:ascii="Century" w:hAnsi="Century" w:cs="Miriam" w:hint="cs"/>
          <w:b/>
          <w:spacing w:val="0"/>
          <w:szCs w:val="24"/>
          <w:rtl/>
        </w:rPr>
        <w:t>שני</w:t>
      </w:r>
      <w:r w:rsidRPr="00544FDE">
        <w:rPr>
          <w:rFonts w:ascii="Century" w:hAnsi="Century" w:hint="cs"/>
          <w:rtl/>
        </w:rPr>
        <w:t xml:space="preserve">, </w:t>
      </w:r>
      <w:r w:rsidRPr="009604B5">
        <w:rPr>
          <w:rFonts w:ascii="Century" w:hAnsi="Century" w:hint="cs"/>
          <w:rtl/>
        </w:rPr>
        <w:t>פסקה 19</w:t>
      </w:r>
      <w:r>
        <w:rPr>
          <w:rFonts w:ascii="Century" w:hAnsi="Century" w:hint="cs"/>
          <w:rtl/>
        </w:rPr>
        <w:t xml:space="preserve">). </w:t>
      </w:r>
    </w:p>
    <w:p w14:paraId="6A1A835D" w14:textId="77777777" w:rsidR="00D316ED" w:rsidRDefault="00D316ED" w:rsidP="00D316ED">
      <w:pPr>
        <w:pStyle w:val="Ruller41"/>
        <w:rPr>
          <w:rFonts w:ascii="Century" w:hAnsi="Century"/>
          <w:rtl/>
        </w:rPr>
      </w:pPr>
      <w:r>
        <w:rPr>
          <w:rFonts w:ascii="Century" w:hAnsi="Century"/>
          <w:rtl/>
        </w:rPr>
        <w:tab/>
      </w:r>
    </w:p>
    <w:p w14:paraId="162E6AE4" w14:textId="77777777" w:rsidR="00D316ED" w:rsidRDefault="00D316ED" w:rsidP="00D316ED">
      <w:pPr>
        <w:pStyle w:val="Ruller41"/>
        <w:rPr>
          <w:rtl/>
        </w:rPr>
      </w:pPr>
      <w:r>
        <w:rPr>
          <w:rFonts w:ascii="Century" w:hAnsi="Century"/>
          <w:rtl/>
        </w:rPr>
        <w:tab/>
      </w:r>
      <w:r>
        <w:rPr>
          <w:rFonts w:ascii="Century" w:hAnsi="Century" w:hint="cs"/>
          <w:rtl/>
        </w:rPr>
        <w:t>ככלל, "</w:t>
      </w:r>
      <w:r>
        <w:rPr>
          <w:rtl/>
        </w:rPr>
        <w:t>עברו הפלילי של מועמד למשרה ציבורית הינו שיקול רלוו</w:t>
      </w:r>
      <w:r>
        <w:rPr>
          <w:rFonts w:hint="cs"/>
          <w:rtl/>
        </w:rPr>
        <w:t>א</w:t>
      </w:r>
      <w:r>
        <w:rPr>
          <w:rtl/>
        </w:rPr>
        <w:t>נטי</w:t>
      </w:r>
      <w:r>
        <w:rPr>
          <w:rFonts w:hint="cs"/>
          <w:rtl/>
        </w:rPr>
        <w:t>,</w:t>
      </w:r>
      <w:r>
        <w:rPr>
          <w:rtl/>
        </w:rPr>
        <w:t xml:space="preserve"> אשר הרשות הממנה רשאית וחייבת לקחתו בחשבון שיקוליה בטרם ייעשה המינוי</w:t>
      </w:r>
      <w:r>
        <w:rPr>
          <w:rFonts w:hint="cs"/>
          <w:rtl/>
        </w:rPr>
        <w:t xml:space="preserve"> [...] </w:t>
      </w:r>
      <w:r w:rsidRPr="00013773">
        <w:rPr>
          <w:rFonts w:ascii="Century" w:hAnsi="Century" w:cs="Miriam"/>
          <w:b/>
          <w:spacing w:val="0"/>
          <w:szCs w:val="24"/>
          <w:rtl/>
        </w:rPr>
        <w:t>מינויו של בעל עבר פלילי – ובעיקר בעל עבר פלילי מכביד כגון מי שעבר עבירה שיש עמה קלון – פוגע באינטרסים החיוניים של השירות הציבורי</w:t>
      </w:r>
      <w:r>
        <w:rPr>
          <w:rtl/>
        </w:rPr>
        <w:t>. הוא פוגע בביצוע הראוי של התפקיד. הוא פוגע בסמכותו המוסרית והאישית של בעל התפקיד ובכוחו לשכנע ולהנהיג. הוא פוגע באמון שהציבור הרחב רוחש לרשויות השלטון</w:t>
      </w:r>
      <w:r>
        <w:rPr>
          <w:rFonts w:hint="cs"/>
          <w:rtl/>
        </w:rPr>
        <w:t xml:space="preserve">" (עניין </w:t>
      </w:r>
      <w:r w:rsidRPr="00013773">
        <w:rPr>
          <w:rFonts w:ascii="Century" w:hAnsi="Century" w:cs="Miriam" w:hint="cs"/>
          <w:b/>
          <w:spacing w:val="0"/>
          <w:szCs w:val="24"/>
          <w:rtl/>
        </w:rPr>
        <w:t>אייזנברג</w:t>
      </w:r>
      <w:r>
        <w:rPr>
          <w:rFonts w:hint="cs"/>
          <w:rtl/>
        </w:rPr>
        <w:t xml:space="preserve">, עמ' 257-256, 262; ההדגשה הוספה </w:t>
      </w:r>
      <w:r>
        <w:rPr>
          <w:rFonts w:hint="eastAsia"/>
          <w:rtl/>
        </w:rPr>
        <w:t>–</w:t>
      </w:r>
      <w:r>
        <w:rPr>
          <w:rFonts w:hint="cs"/>
          <w:rtl/>
        </w:rPr>
        <w:t xml:space="preserve"> </w:t>
      </w:r>
      <w:proofErr w:type="spellStart"/>
      <w:r>
        <w:rPr>
          <w:rFonts w:hint="cs"/>
          <w:rtl/>
        </w:rPr>
        <w:t>י"ע</w:t>
      </w:r>
      <w:proofErr w:type="spellEnd"/>
      <w:r>
        <w:rPr>
          <w:rFonts w:hint="cs"/>
          <w:rtl/>
        </w:rPr>
        <w:t xml:space="preserve">). </w:t>
      </w:r>
    </w:p>
    <w:p w14:paraId="0DC77A15" w14:textId="77777777" w:rsidR="00D316ED" w:rsidRDefault="00D316ED" w:rsidP="00D316ED">
      <w:pPr>
        <w:pStyle w:val="Ruller41"/>
        <w:rPr>
          <w:rtl/>
        </w:rPr>
      </w:pPr>
    </w:p>
    <w:p w14:paraId="38A33585" w14:textId="77777777" w:rsidR="00D316ED" w:rsidRDefault="00D316ED" w:rsidP="00D316ED">
      <w:pPr>
        <w:pStyle w:val="Ruller41"/>
        <w:rPr>
          <w:rtl/>
        </w:rPr>
      </w:pPr>
      <w:r>
        <w:rPr>
          <w:rFonts w:hint="cs"/>
          <w:rtl/>
        </w:rPr>
        <w:t>15.</w:t>
      </w:r>
      <w:r>
        <w:rPr>
          <w:rtl/>
        </w:rPr>
        <w:tab/>
      </w:r>
      <w:r>
        <w:rPr>
          <w:rFonts w:hint="cs"/>
          <w:rtl/>
        </w:rPr>
        <w:t>אכן, כ-400,000 איש בחרו ברשימת ש"ס בבחירות לכנסת ה-25 אך "</w:t>
      </w:r>
      <w:r w:rsidRPr="00013773">
        <w:rPr>
          <w:rFonts w:ascii="Century" w:hAnsi="Century" w:cs="Miriam" w:hint="cs"/>
          <w:b/>
          <w:spacing w:val="0"/>
          <w:szCs w:val="24"/>
          <w:rtl/>
        </w:rPr>
        <w:t xml:space="preserve">דין </w:t>
      </w:r>
      <w:r w:rsidRPr="00013773">
        <w:rPr>
          <w:rFonts w:ascii="Century" w:hAnsi="Century" w:cs="Miriam"/>
          <w:b/>
          <w:spacing w:val="0"/>
          <w:szCs w:val="24"/>
          <w:rtl/>
        </w:rPr>
        <w:t xml:space="preserve">הבוחר </w:t>
      </w:r>
      <w:r w:rsidRPr="00013773">
        <w:rPr>
          <w:rFonts w:ascii="Century" w:hAnsi="Century" w:cs="Miriam" w:hint="cs"/>
          <w:b/>
          <w:spacing w:val="0"/>
          <w:szCs w:val="24"/>
          <w:rtl/>
        </w:rPr>
        <w:t>אינו</w:t>
      </w:r>
      <w:r w:rsidRPr="00013773">
        <w:rPr>
          <w:rFonts w:ascii="Century" w:hAnsi="Century" w:cs="Miriam"/>
          <w:b/>
          <w:spacing w:val="0"/>
          <w:szCs w:val="24"/>
          <w:rtl/>
        </w:rPr>
        <w:t xml:space="preserve"> בא במקום דין המשפט</w:t>
      </w:r>
      <w:r>
        <w:rPr>
          <w:rtl/>
        </w:rPr>
        <w:t xml:space="preserve"> ואין הוא יכול להחליפו. </w:t>
      </w:r>
      <w:r>
        <w:rPr>
          <w:rFonts w:hint="cs"/>
          <w:rtl/>
        </w:rPr>
        <w:t xml:space="preserve">אכן, </w:t>
      </w:r>
      <w:r>
        <w:rPr>
          <w:rtl/>
        </w:rPr>
        <w:t xml:space="preserve">דווקא </w:t>
      </w:r>
      <w:r>
        <w:rPr>
          <w:rFonts w:hint="cs"/>
          <w:rtl/>
        </w:rPr>
        <w:t xml:space="preserve">עובדת </w:t>
      </w:r>
      <w:r>
        <w:rPr>
          <w:rtl/>
        </w:rPr>
        <w:t>היותו של אדם נבחר ציבור מחייב</w:t>
      </w:r>
      <w:r>
        <w:rPr>
          <w:rFonts w:hint="cs"/>
          <w:rtl/>
        </w:rPr>
        <w:t>ת</w:t>
      </w:r>
      <w:r>
        <w:rPr>
          <w:rtl/>
        </w:rPr>
        <w:t xml:space="preserve"> אותו ברמת התנהגות קפדנית יותר, אתית יותר, מעובד ציבור </w:t>
      </w:r>
      <w:r>
        <w:rPr>
          <w:rFonts w:hint="cs"/>
          <w:rtl/>
        </w:rPr>
        <w:t>'</w:t>
      </w:r>
      <w:r>
        <w:rPr>
          <w:rtl/>
        </w:rPr>
        <w:t>רגיל</w:t>
      </w:r>
      <w:r>
        <w:rPr>
          <w:rFonts w:hint="cs"/>
          <w:rtl/>
        </w:rPr>
        <w:t xml:space="preserve">'" (עניין </w:t>
      </w:r>
      <w:r w:rsidRPr="00013773">
        <w:rPr>
          <w:rFonts w:ascii="Century" w:hAnsi="Century" w:cs="Miriam" w:hint="cs"/>
          <w:b/>
          <w:spacing w:val="0"/>
          <w:szCs w:val="24"/>
          <w:rtl/>
        </w:rPr>
        <w:t>פנחסי</w:t>
      </w:r>
      <w:r>
        <w:rPr>
          <w:rFonts w:hint="cs"/>
          <w:rtl/>
        </w:rPr>
        <w:t xml:space="preserve">, עמ' 470; ההדגשה הוספה </w:t>
      </w:r>
      <w:r>
        <w:rPr>
          <w:rFonts w:hint="eastAsia"/>
          <w:rtl/>
        </w:rPr>
        <w:t>–</w:t>
      </w:r>
      <w:r>
        <w:rPr>
          <w:rFonts w:hint="cs"/>
          <w:rtl/>
        </w:rPr>
        <w:t xml:space="preserve"> </w:t>
      </w:r>
      <w:proofErr w:type="spellStart"/>
      <w:r>
        <w:rPr>
          <w:rFonts w:hint="cs"/>
          <w:rtl/>
        </w:rPr>
        <w:t>י"ע</w:t>
      </w:r>
      <w:proofErr w:type="spellEnd"/>
      <w:r>
        <w:rPr>
          <w:rFonts w:hint="cs"/>
          <w:rtl/>
        </w:rPr>
        <w:t xml:space="preserve">); "דין הבוחר הוא אחד מן השיקולים [...] ובכל מקרה אין בכוחו של אינטרס זה להאפיל על עקרון שלטון החוק וטוהר המידות [...] דין הבוחר, שעל חשיבותו אין חולק, אינו חלופי לדין המשפט ולביקורת השיפוטית בנושא, והמשימה המוטלת על כתפו של כל אחד מאלה – הבוחר ובית המשפט – שונה באופן מהותי" (עניין </w:t>
      </w:r>
      <w:r w:rsidRPr="00B84DC8">
        <w:rPr>
          <w:rFonts w:ascii="Century" w:hAnsi="Century" w:cs="Miriam" w:hint="eastAsia"/>
          <w:b/>
          <w:spacing w:val="0"/>
          <w:szCs w:val="24"/>
          <w:rtl/>
        </w:rPr>
        <w:t>ראשי</w:t>
      </w:r>
      <w:r w:rsidRPr="00B84DC8">
        <w:rPr>
          <w:rFonts w:ascii="Century" w:hAnsi="Century" w:cs="Miriam"/>
          <w:b/>
          <w:spacing w:val="0"/>
          <w:szCs w:val="24"/>
          <w:rtl/>
        </w:rPr>
        <w:t xml:space="preserve"> </w:t>
      </w:r>
      <w:r w:rsidRPr="00B84DC8">
        <w:rPr>
          <w:rFonts w:ascii="Century" w:hAnsi="Century" w:cs="Miriam" w:hint="eastAsia"/>
          <w:b/>
          <w:spacing w:val="0"/>
          <w:szCs w:val="24"/>
          <w:rtl/>
        </w:rPr>
        <w:t>הערים</w:t>
      </w:r>
      <w:r>
        <w:rPr>
          <w:rFonts w:hint="cs"/>
          <w:rtl/>
        </w:rPr>
        <w:t xml:space="preserve">, פסקה 10 לפסק דינה של השופטת </w:t>
      </w:r>
      <w:r w:rsidRPr="00B84DC8">
        <w:rPr>
          <w:rFonts w:ascii="Century" w:hAnsi="Century" w:cs="Miriam" w:hint="eastAsia"/>
          <w:b/>
          <w:spacing w:val="0"/>
          <w:szCs w:val="24"/>
          <w:rtl/>
        </w:rPr>
        <w:t>ע</w:t>
      </w:r>
      <w:r w:rsidRPr="00B84DC8">
        <w:rPr>
          <w:rFonts w:ascii="Century" w:hAnsi="Century" w:cs="Miriam"/>
          <w:b/>
          <w:spacing w:val="0"/>
          <w:szCs w:val="24"/>
          <w:rtl/>
        </w:rPr>
        <w:t xml:space="preserve">' </w:t>
      </w:r>
      <w:r w:rsidRPr="00B84DC8">
        <w:rPr>
          <w:rFonts w:ascii="Century" w:hAnsi="Century" w:cs="Miriam" w:hint="eastAsia"/>
          <w:b/>
          <w:spacing w:val="0"/>
          <w:szCs w:val="24"/>
          <w:rtl/>
        </w:rPr>
        <w:t>ארבל</w:t>
      </w:r>
      <w:r>
        <w:rPr>
          <w:rFonts w:hint="cs"/>
          <w:rtl/>
        </w:rPr>
        <w:t xml:space="preserve">). </w:t>
      </w:r>
    </w:p>
    <w:p w14:paraId="68490A81" w14:textId="77777777" w:rsidR="00D316ED" w:rsidRDefault="00D316ED" w:rsidP="00D316ED">
      <w:pPr>
        <w:pStyle w:val="Ruller41"/>
        <w:rPr>
          <w:rtl/>
        </w:rPr>
      </w:pPr>
    </w:p>
    <w:p w14:paraId="5524D2E0" w14:textId="77777777" w:rsidR="00D316ED" w:rsidRDefault="00D316ED" w:rsidP="00D316ED">
      <w:pPr>
        <w:pStyle w:val="Ruller41"/>
        <w:rPr>
          <w:rtl/>
        </w:rPr>
      </w:pPr>
      <w:r>
        <w:rPr>
          <w:rtl/>
        </w:rPr>
        <w:lastRenderedPageBreak/>
        <w:tab/>
      </w:r>
      <w:r>
        <w:rPr>
          <w:rFonts w:hint="cs"/>
          <w:rtl/>
        </w:rPr>
        <w:t>לאישור הכנסת את הממשלה הנבחרת יש ליתן משקל, אך "</w:t>
      </w:r>
      <w:r w:rsidRPr="006E29B6">
        <w:rPr>
          <w:rFonts w:hint="cs"/>
          <w:sz w:val="28"/>
          <w:rtl/>
        </w:rPr>
        <w:t xml:space="preserve">אין דין אישור הניתן על ידי הכנסת במסגרת מתן אמון בממשלה, שעניינו של השר הפרטני </w:t>
      </w:r>
      <w:r>
        <w:rPr>
          <w:rFonts w:hint="cs"/>
          <w:sz w:val="28"/>
          <w:rtl/>
        </w:rPr>
        <w:t>'</w:t>
      </w:r>
      <w:r w:rsidRPr="006E29B6">
        <w:rPr>
          <w:rFonts w:hint="cs"/>
          <w:sz w:val="28"/>
          <w:rtl/>
        </w:rPr>
        <w:t>נבלע בו</w:t>
      </w:r>
      <w:r>
        <w:rPr>
          <w:rFonts w:hint="cs"/>
          <w:sz w:val="28"/>
          <w:rtl/>
        </w:rPr>
        <w:t>'</w:t>
      </w:r>
      <w:r w:rsidRPr="006E29B6">
        <w:rPr>
          <w:rFonts w:hint="cs"/>
          <w:sz w:val="28"/>
          <w:rtl/>
        </w:rPr>
        <w:t>, כדין אישור למינויו של השר באופן ספציפי, שניתן לאחר דיון בהיבטיה השונים של הסוגיה</w:t>
      </w:r>
      <w:r>
        <w:rPr>
          <w:rFonts w:hint="cs"/>
          <w:sz w:val="28"/>
          <w:rtl/>
        </w:rPr>
        <w:t>"</w:t>
      </w:r>
      <w:r w:rsidRPr="006E29B6">
        <w:rPr>
          <w:rFonts w:hint="cs"/>
          <w:sz w:val="28"/>
          <w:rtl/>
        </w:rPr>
        <w:t xml:space="preserve"> (</w:t>
      </w:r>
      <w:r>
        <w:rPr>
          <w:rFonts w:hint="cs"/>
          <w:rtl/>
        </w:rPr>
        <w:t xml:space="preserve">בג"ץ 232/16 </w:t>
      </w:r>
      <w:r w:rsidRPr="006E29B6">
        <w:rPr>
          <w:rFonts w:ascii="Century" w:hAnsi="Century" w:cs="Miriam" w:hint="eastAsia"/>
          <w:b/>
          <w:spacing w:val="0"/>
          <w:szCs w:val="24"/>
          <w:rtl/>
        </w:rPr>
        <w:t>התנועה</w:t>
      </w:r>
      <w:r w:rsidRPr="006E29B6">
        <w:rPr>
          <w:rFonts w:ascii="Century" w:hAnsi="Century" w:cs="Miriam"/>
          <w:b/>
          <w:spacing w:val="0"/>
          <w:szCs w:val="24"/>
          <w:rtl/>
        </w:rPr>
        <w:t xml:space="preserve"> </w:t>
      </w:r>
      <w:r w:rsidRPr="006E29B6">
        <w:rPr>
          <w:rFonts w:ascii="Century" w:hAnsi="Century" w:cs="Miriam" w:hint="eastAsia"/>
          <w:b/>
          <w:spacing w:val="0"/>
          <w:szCs w:val="24"/>
          <w:rtl/>
        </w:rPr>
        <w:t>למען</w:t>
      </w:r>
      <w:r w:rsidRPr="006E29B6">
        <w:rPr>
          <w:rFonts w:ascii="Century" w:hAnsi="Century" w:cs="Miriam"/>
          <w:b/>
          <w:spacing w:val="0"/>
          <w:szCs w:val="24"/>
          <w:rtl/>
        </w:rPr>
        <w:t xml:space="preserve"> </w:t>
      </w:r>
      <w:r w:rsidRPr="006E29B6">
        <w:rPr>
          <w:rFonts w:ascii="Century" w:hAnsi="Century" w:cs="Miriam" w:hint="eastAsia"/>
          <w:b/>
          <w:spacing w:val="0"/>
          <w:szCs w:val="24"/>
          <w:rtl/>
        </w:rPr>
        <w:t>איכות</w:t>
      </w:r>
      <w:r w:rsidRPr="006E29B6">
        <w:rPr>
          <w:rFonts w:ascii="Century" w:hAnsi="Century" w:cs="Miriam"/>
          <w:b/>
          <w:spacing w:val="0"/>
          <w:szCs w:val="24"/>
          <w:rtl/>
        </w:rPr>
        <w:t xml:space="preserve"> </w:t>
      </w:r>
      <w:r w:rsidRPr="006E29B6">
        <w:rPr>
          <w:rFonts w:ascii="Century" w:hAnsi="Century" w:cs="Miriam" w:hint="eastAsia"/>
          <w:b/>
          <w:spacing w:val="0"/>
          <w:szCs w:val="24"/>
          <w:rtl/>
        </w:rPr>
        <w:t>השלטון</w:t>
      </w:r>
      <w:r w:rsidRPr="006E29B6">
        <w:rPr>
          <w:rFonts w:ascii="Century" w:hAnsi="Century" w:cs="Miriam"/>
          <w:b/>
          <w:spacing w:val="0"/>
          <w:szCs w:val="24"/>
          <w:rtl/>
        </w:rPr>
        <w:t xml:space="preserve"> </w:t>
      </w:r>
      <w:r w:rsidRPr="006E29B6">
        <w:rPr>
          <w:rFonts w:ascii="Century" w:hAnsi="Century" w:cs="Miriam" w:hint="eastAsia"/>
          <w:b/>
          <w:spacing w:val="0"/>
          <w:szCs w:val="24"/>
          <w:rtl/>
        </w:rPr>
        <w:t>בישראל</w:t>
      </w:r>
      <w:r w:rsidRPr="006E29B6">
        <w:rPr>
          <w:rFonts w:ascii="Century" w:hAnsi="Century" w:cs="Miriam"/>
          <w:b/>
          <w:spacing w:val="0"/>
          <w:szCs w:val="24"/>
          <w:rtl/>
        </w:rPr>
        <w:t xml:space="preserve"> </w:t>
      </w:r>
      <w:r w:rsidRPr="006E29B6">
        <w:rPr>
          <w:rFonts w:ascii="Century" w:hAnsi="Century" w:cs="Miriam" w:hint="eastAsia"/>
          <w:b/>
          <w:spacing w:val="0"/>
          <w:szCs w:val="24"/>
          <w:rtl/>
        </w:rPr>
        <w:t>נ</w:t>
      </w:r>
      <w:r w:rsidRPr="006E29B6">
        <w:rPr>
          <w:rFonts w:ascii="Century" w:hAnsi="Century" w:cs="Miriam"/>
          <w:b/>
          <w:spacing w:val="0"/>
          <w:szCs w:val="24"/>
          <w:rtl/>
        </w:rPr>
        <w:t xml:space="preserve">' </w:t>
      </w:r>
      <w:r w:rsidRPr="006E29B6">
        <w:rPr>
          <w:rFonts w:ascii="Century" w:hAnsi="Century" w:cs="Miriam" w:hint="eastAsia"/>
          <w:b/>
          <w:spacing w:val="0"/>
          <w:szCs w:val="24"/>
          <w:rtl/>
        </w:rPr>
        <w:t>ראש</w:t>
      </w:r>
      <w:r w:rsidRPr="006E29B6">
        <w:rPr>
          <w:rFonts w:ascii="Century" w:hAnsi="Century" w:cs="Miriam"/>
          <w:b/>
          <w:spacing w:val="0"/>
          <w:szCs w:val="24"/>
          <w:rtl/>
        </w:rPr>
        <w:t xml:space="preserve"> </w:t>
      </w:r>
      <w:r w:rsidRPr="006E29B6">
        <w:rPr>
          <w:rFonts w:ascii="Century" w:hAnsi="Century" w:cs="Miriam" w:hint="eastAsia"/>
          <w:b/>
          <w:spacing w:val="0"/>
          <w:szCs w:val="24"/>
          <w:rtl/>
        </w:rPr>
        <w:t>ממשלת</w:t>
      </w:r>
      <w:r w:rsidRPr="006E29B6">
        <w:rPr>
          <w:rFonts w:ascii="Century" w:hAnsi="Century" w:cs="Miriam"/>
          <w:b/>
          <w:spacing w:val="0"/>
          <w:szCs w:val="24"/>
          <w:rtl/>
        </w:rPr>
        <w:t xml:space="preserve"> </w:t>
      </w:r>
      <w:r w:rsidRPr="006E29B6">
        <w:rPr>
          <w:rFonts w:ascii="Century" w:hAnsi="Century" w:cs="Miriam" w:hint="eastAsia"/>
          <w:b/>
          <w:spacing w:val="0"/>
          <w:szCs w:val="24"/>
          <w:rtl/>
        </w:rPr>
        <w:t>ישראל</w:t>
      </w:r>
      <w:r>
        <w:rPr>
          <w:rFonts w:hint="cs"/>
          <w:sz w:val="28"/>
          <w:rtl/>
        </w:rPr>
        <w:t xml:space="preserve">, פסקה 45 לפסק דינו של השופט </w:t>
      </w:r>
      <w:r w:rsidRPr="00544FDE">
        <w:rPr>
          <w:rFonts w:ascii="Century" w:hAnsi="Century" w:cs="Miriam" w:hint="cs"/>
          <w:b/>
          <w:spacing w:val="0"/>
          <w:szCs w:val="24"/>
          <w:rtl/>
        </w:rPr>
        <w:t>ס'</w:t>
      </w:r>
      <w:r>
        <w:rPr>
          <w:rFonts w:hint="cs"/>
          <w:sz w:val="28"/>
          <w:rtl/>
        </w:rPr>
        <w:t xml:space="preserve"> </w:t>
      </w:r>
      <w:r w:rsidRPr="00B84DC8">
        <w:rPr>
          <w:rFonts w:ascii="Century" w:hAnsi="Century" w:cs="Miriam" w:hint="eastAsia"/>
          <w:b/>
          <w:spacing w:val="0"/>
          <w:szCs w:val="24"/>
          <w:rtl/>
        </w:rPr>
        <w:t>ג</w:t>
      </w:r>
      <w:r w:rsidRPr="00B84DC8">
        <w:rPr>
          <w:rFonts w:ascii="Century" w:hAnsi="Century" w:cs="Miriam"/>
          <w:b/>
          <w:spacing w:val="0"/>
          <w:szCs w:val="24"/>
          <w:rtl/>
        </w:rPr>
        <w:t>'ובראן</w:t>
      </w:r>
      <w:r>
        <w:rPr>
          <w:rFonts w:hint="cs"/>
          <w:rtl/>
        </w:rPr>
        <w:t xml:space="preserve"> (8.5.2016)</w:t>
      </w:r>
      <w:r>
        <w:rPr>
          <w:rFonts w:hint="cs"/>
          <w:sz w:val="28"/>
          <w:rtl/>
        </w:rPr>
        <w:t xml:space="preserve"> (להלן: </w:t>
      </w:r>
      <w:r w:rsidRPr="006E29B6">
        <w:rPr>
          <w:rFonts w:hint="cs"/>
          <w:sz w:val="28"/>
          <w:rtl/>
        </w:rPr>
        <w:t>עניין</w:t>
      </w:r>
      <w:r>
        <w:rPr>
          <w:rFonts w:hint="cs"/>
          <w:sz w:val="28"/>
          <w:rtl/>
        </w:rPr>
        <w:t xml:space="preserve"> </w:t>
      </w:r>
      <w:r w:rsidRPr="00B84DC8">
        <w:rPr>
          <w:rFonts w:ascii="Century" w:hAnsi="Century" w:cs="Miriam" w:hint="eastAsia"/>
          <w:b/>
          <w:spacing w:val="0"/>
          <w:szCs w:val="24"/>
          <w:rtl/>
        </w:rPr>
        <w:t>דרעי</w:t>
      </w:r>
      <w:r w:rsidRPr="00B84DC8">
        <w:rPr>
          <w:rFonts w:ascii="Century" w:hAnsi="Century" w:cs="Miriam"/>
          <w:b/>
          <w:spacing w:val="0"/>
          <w:szCs w:val="24"/>
          <w:rtl/>
        </w:rPr>
        <w:t xml:space="preserve"> </w:t>
      </w:r>
      <w:r w:rsidRPr="00B84DC8">
        <w:rPr>
          <w:rFonts w:ascii="Century" w:hAnsi="Century" w:cs="Miriam" w:hint="eastAsia"/>
          <w:b/>
          <w:spacing w:val="0"/>
          <w:szCs w:val="24"/>
          <w:rtl/>
        </w:rPr>
        <w:t>השלישי</w:t>
      </w:r>
      <w:r>
        <w:rPr>
          <w:rFonts w:hint="cs"/>
          <w:sz w:val="28"/>
          <w:rtl/>
        </w:rPr>
        <w:t xml:space="preserve">); וראו עניין </w:t>
      </w:r>
      <w:r w:rsidRPr="00B84DC8">
        <w:rPr>
          <w:rFonts w:ascii="Century" w:hAnsi="Century" w:cs="Miriam" w:hint="eastAsia"/>
          <w:b/>
          <w:spacing w:val="0"/>
          <w:szCs w:val="24"/>
          <w:rtl/>
        </w:rPr>
        <w:t>הנגבי</w:t>
      </w:r>
      <w:r w:rsidRPr="00B84DC8">
        <w:rPr>
          <w:rFonts w:ascii="Century" w:hAnsi="Century" w:cs="Miriam"/>
          <w:b/>
          <w:spacing w:val="0"/>
          <w:szCs w:val="24"/>
          <w:rtl/>
        </w:rPr>
        <w:t xml:space="preserve"> </w:t>
      </w:r>
      <w:r w:rsidRPr="00B84DC8">
        <w:rPr>
          <w:rFonts w:ascii="Century" w:hAnsi="Century" w:cs="Miriam" w:hint="eastAsia"/>
          <w:b/>
          <w:spacing w:val="0"/>
          <w:szCs w:val="24"/>
          <w:rtl/>
        </w:rPr>
        <w:t>הראשון</w:t>
      </w:r>
      <w:r w:rsidRPr="006E29B6">
        <w:rPr>
          <w:rFonts w:hint="cs"/>
          <w:sz w:val="28"/>
          <w:rtl/>
        </w:rPr>
        <w:t xml:space="preserve"> </w:t>
      </w:r>
      <w:r>
        <w:rPr>
          <w:rFonts w:hint="cs"/>
          <w:sz w:val="28"/>
          <w:rtl/>
        </w:rPr>
        <w:t>בעמ' 933 ב</w:t>
      </w:r>
      <w:r w:rsidRPr="006E29B6">
        <w:rPr>
          <w:rFonts w:hint="cs"/>
          <w:sz w:val="28"/>
          <w:rtl/>
        </w:rPr>
        <w:t xml:space="preserve">פסקה 67 לפסק דינו של השופט </w:t>
      </w:r>
      <w:r w:rsidRPr="00B84DC8">
        <w:rPr>
          <w:rFonts w:ascii="Century" w:hAnsi="Century" w:cs="Miriam" w:hint="eastAsia"/>
          <w:b/>
          <w:spacing w:val="0"/>
          <w:szCs w:val="24"/>
          <w:rtl/>
        </w:rPr>
        <w:t>מ</w:t>
      </w:r>
      <w:r w:rsidRPr="00B84DC8">
        <w:rPr>
          <w:rFonts w:ascii="Century" w:hAnsi="Century" w:cs="Miriam"/>
          <w:b/>
          <w:spacing w:val="0"/>
          <w:szCs w:val="24"/>
          <w:rtl/>
        </w:rPr>
        <w:t xml:space="preserve">' </w:t>
      </w:r>
      <w:r w:rsidRPr="00B84DC8">
        <w:rPr>
          <w:rFonts w:ascii="Century" w:hAnsi="Century" w:cs="Miriam" w:hint="eastAsia"/>
          <w:b/>
          <w:spacing w:val="0"/>
          <w:szCs w:val="24"/>
          <w:rtl/>
        </w:rPr>
        <w:t>חשין</w:t>
      </w:r>
      <w:r w:rsidRPr="006E29B6">
        <w:rPr>
          <w:rFonts w:hint="cs"/>
          <w:sz w:val="28"/>
          <w:rtl/>
        </w:rPr>
        <w:t>).</w:t>
      </w:r>
    </w:p>
    <w:p w14:paraId="00BAB751" w14:textId="77777777" w:rsidR="00D316ED" w:rsidRDefault="00D316ED" w:rsidP="00D316ED">
      <w:pPr>
        <w:pStyle w:val="Ruller41"/>
        <w:rPr>
          <w:rtl/>
        </w:rPr>
      </w:pPr>
    </w:p>
    <w:p w14:paraId="16174D09" w14:textId="77777777" w:rsidR="00D316ED" w:rsidRDefault="00D316ED" w:rsidP="00D316ED">
      <w:pPr>
        <w:pStyle w:val="Ruller41"/>
        <w:rPr>
          <w:rtl/>
        </w:rPr>
      </w:pPr>
      <w:r>
        <w:rPr>
          <w:rFonts w:hint="cs"/>
          <w:rtl/>
        </w:rPr>
        <w:t>16.</w:t>
      </w:r>
      <w:r>
        <w:rPr>
          <w:rFonts w:ascii="Century" w:hAnsi="Century"/>
          <w:rtl/>
        </w:rPr>
        <w:tab/>
      </w:r>
      <w:r>
        <w:rPr>
          <w:rFonts w:ascii="Century" w:hAnsi="Century" w:hint="cs"/>
          <w:rtl/>
        </w:rPr>
        <w:t xml:space="preserve">בעניין </w:t>
      </w:r>
      <w:r w:rsidRPr="006D21EF">
        <w:rPr>
          <w:rFonts w:ascii="Century" w:hAnsi="Century" w:cs="Miriam" w:hint="cs"/>
          <w:b/>
          <w:spacing w:val="0"/>
          <w:szCs w:val="24"/>
          <w:rtl/>
        </w:rPr>
        <w:t>דרעי ה</w:t>
      </w:r>
      <w:r>
        <w:rPr>
          <w:rFonts w:ascii="Century" w:hAnsi="Century" w:cs="Miriam" w:hint="cs"/>
          <w:b/>
          <w:spacing w:val="0"/>
          <w:szCs w:val="24"/>
          <w:rtl/>
        </w:rPr>
        <w:t>שני</w:t>
      </w:r>
      <w:r w:rsidRPr="006D21EF">
        <w:rPr>
          <w:rFonts w:ascii="Century" w:hAnsi="Century" w:hint="cs"/>
          <w:rtl/>
        </w:rPr>
        <w:t xml:space="preserve"> </w:t>
      </w:r>
      <w:r>
        <w:rPr>
          <w:rFonts w:ascii="Century" w:hAnsi="Century" w:hint="cs"/>
          <w:rtl/>
        </w:rPr>
        <w:t>נאמר: "</w:t>
      </w:r>
      <w:r>
        <w:rPr>
          <w:rFonts w:hint="cs"/>
          <w:rtl/>
        </w:rPr>
        <w:t xml:space="preserve">האמת צריכה להיאמר, האיזון הנדרש במקרה דנן בין השיקולים הנוגדים הינו מורכב ואיננו נטול קשיים. </w:t>
      </w:r>
      <w:r w:rsidRPr="0034540F">
        <w:rPr>
          <w:rFonts w:hint="cs"/>
          <w:rtl/>
        </w:rPr>
        <w:t xml:space="preserve">ניתן אף לומר כי מינויו של דרעי לתפקיד שר מצוי </w:t>
      </w:r>
      <w:r w:rsidRPr="006D21EF">
        <w:rPr>
          <w:rFonts w:ascii="Century" w:hAnsi="Century" w:cs="Miriam" w:hint="cs"/>
          <w:b/>
          <w:spacing w:val="0"/>
          <w:szCs w:val="24"/>
          <w:rtl/>
        </w:rPr>
        <w:t>על גבול מתחם הסבירות</w:t>
      </w:r>
      <w:r>
        <w:rPr>
          <w:rFonts w:hint="cs"/>
          <w:rtl/>
        </w:rPr>
        <w:t xml:space="preserve">" (שם, פסקה 23; ההדגשה הוספה </w:t>
      </w:r>
      <w:r>
        <w:rPr>
          <w:rFonts w:hint="eastAsia"/>
          <w:rtl/>
        </w:rPr>
        <w:t>–</w:t>
      </w:r>
      <w:r>
        <w:rPr>
          <w:rFonts w:hint="cs"/>
          <w:rtl/>
        </w:rPr>
        <w:t xml:space="preserve"> </w:t>
      </w:r>
      <w:proofErr w:type="spellStart"/>
      <w:r>
        <w:rPr>
          <w:rFonts w:hint="cs"/>
          <w:rtl/>
        </w:rPr>
        <w:t>י"ע</w:t>
      </w:r>
      <w:proofErr w:type="spellEnd"/>
      <w:r>
        <w:rPr>
          <w:rFonts w:hint="cs"/>
          <w:rtl/>
        </w:rPr>
        <w:t xml:space="preserve">).  </w:t>
      </w:r>
    </w:p>
    <w:p w14:paraId="16F30500" w14:textId="77777777" w:rsidR="00D316ED" w:rsidRDefault="00D316ED" w:rsidP="00D316ED">
      <w:pPr>
        <w:pStyle w:val="Ruller41"/>
        <w:rPr>
          <w:rtl/>
        </w:rPr>
      </w:pPr>
    </w:p>
    <w:p w14:paraId="04138EDB" w14:textId="77777777" w:rsidR="00D316ED" w:rsidRDefault="00D316ED" w:rsidP="00D316ED">
      <w:pPr>
        <w:pStyle w:val="Ruller41"/>
        <w:rPr>
          <w:rtl/>
        </w:rPr>
      </w:pPr>
      <w:r>
        <w:rPr>
          <w:rtl/>
        </w:rPr>
        <w:tab/>
      </w:r>
      <w:r>
        <w:rPr>
          <w:rFonts w:hint="cs"/>
          <w:rtl/>
        </w:rPr>
        <w:t xml:space="preserve">בעניין </w:t>
      </w:r>
      <w:r w:rsidRPr="00841A34">
        <w:rPr>
          <w:rFonts w:ascii="Century" w:hAnsi="Century" w:cs="Miriam" w:hint="cs"/>
          <w:b/>
          <w:spacing w:val="0"/>
          <w:szCs w:val="24"/>
          <w:rtl/>
        </w:rPr>
        <w:t>דרעי הש</w:t>
      </w:r>
      <w:r>
        <w:rPr>
          <w:rFonts w:ascii="Century" w:hAnsi="Century" w:cs="Miriam" w:hint="cs"/>
          <w:b/>
          <w:spacing w:val="0"/>
          <w:szCs w:val="24"/>
          <w:rtl/>
        </w:rPr>
        <w:t xml:space="preserve">לישי </w:t>
      </w:r>
      <w:r>
        <w:rPr>
          <w:rFonts w:hint="cs"/>
          <w:rtl/>
        </w:rPr>
        <w:t xml:space="preserve">סבר השופט </w:t>
      </w:r>
      <w:r>
        <w:rPr>
          <w:rFonts w:ascii="Century" w:hAnsi="Century" w:cs="Miriam" w:hint="cs"/>
          <w:b/>
          <w:spacing w:val="0"/>
          <w:szCs w:val="24"/>
          <w:rtl/>
        </w:rPr>
        <w:t xml:space="preserve">נ' </w:t>
      </w:r>
      <w:r w:rsidRPr="006E29B6">
        <w:rPr>
          <w:rFonts w:ascii="Century" w:hAnsi="Century" w:cs="Miriam" w:hint="eastAsia"/>
          <w:b/>
          <w:spacing w:val="0"/>
          <w:szCs w:val="24"/>
          <w:rtl/>
        </w:rPr>
        <w:t>הנדל</w:t>
      </w:r>
      <w:r>
        <w:rPr>
          <w:rFonts w:hint="cs"/>
          <w:rtl/>
        </w:rPr>
        <w:t xml:space="preserve"> (בדעת מיעוט) כי הגם שמינויו של דרעי לשר אושר בעניין </w:t>
      </w:r>
      <w:r w:rsidRPr="006D21EF">
        <w:rPr>
          <w:rFonts w:ascii="Century" w:hAnsi="Century" w:cs="Miriam" w:hint="cs"/>
          <w:b/>
          <w:spacing w:val="0"/>
          <w:szCs w:val="24"/>
          <w:rtl/>
        </w:rPr>
        <w:t>דרעי ה</w:t>
      </w:r>
      <w:r>
        <w:rPr>
          <w:rFonts w:ascii="Century" w:hAnsi="Century" w:cs="Miriam" w:hint="cs"/>
          <w:b/>
          <w:spacing w:val="0"/>
          <w:szCs w:val="24"/>
          <w:rtl/>
        </w:rPr>
        <w:t>שני</w:t>
      </w:r>
      <w:r>
        <w:rPr>
          <w:rFonts w:hint="cs"/>
          <w:rtl/>
        </w:rPr>
        <w:t>, הרי שמינויו לתפקיד שר הפנים חורג ממתחם הסבירות.</w:t>
      </w:r>
    </w:p>
    <w:p w14:paraId="7D5C2C14" w14:textId="77777777" w:rsidR="00D316ED" w:rsidRDefault="00D316ED" w:rsidP="00D316ED">
      <w:pPr>
        <w:pStyle w:val="Ruller41"/>
        <w:rPr>
          <w:rtl/>
        </w:rPr>
      </w:pPr>
    </w:p>
    <w:p w14:paraId="5413EC85" w14:textId="77777777" w:rsidR="00D316ED" w:rsidRPr="006E29B6" w:rsidRDefault="00D316ED" w:rsidP="00D316ED">
      <w:pPr>
        <w:pStyle w:val="Ruller41"/>
        <w:rPr>
          <w:rFonts w:ascii="Century" w:hAnsi="Century"/>
          <w:rtl/>
        </w:rPr>
      </w:pPr>
      <w:r>
        <w:rPr>
          <w:rtl/>
        </w:rPr>
        <w:tab/>
      </w:r>
      <w:r>
        <w:rPr>
          <w:rFonts w:hint="cs"/>
          <w:rtl/>
        </w:rPr>
        <w:t xml:space="preserve">הנה כי כן, עוד לפני ההרשעה החדשה, הייתה </w:t>
      </w:r>
      <w:r w:rsidRPr="00841A34">
        <w:rPr>
          <w:rFonts w:ascii="Century" w:hAnsi="Century"/>
          <w:shd w:val="clear" w:color="auto" w:fill="FFFFFF"/>
          <w:rtl/>
        </w:rPr>
        <w:t xml:space="preserve">הווה </w:t>
      </w:r>
      <w:proofErr w:type="spellStart"/>
      <w:r w:rsidRPr="00841A34">
        <w:rPr>
          <w:rFonts w:ascii="Century" w:hAnsi="Century"/>
          <w:shd w:val="clear" w:color="auto" w:fill="FFFFFF"/>
          <w:rtl/>
        </w:rPr>
        <w:t>אמינא</w:t>
      </w:r>
      <w:proofErr w:type="spellEnd"/>
      <w:r w:rsidRPr="00841A34">
        <w:rPr>
          <w:rFonts w:ascii="Arial" w:hAnsi="Arial" w:cs="Arial"/>
          <w:color w:val="202122"/>
          <w:sz w:val="21"/>
          <w:szCs w:val="21"/>
          <w:shd w:val="clear" w:color="auto" w:fill="FFFFFF"/>
          <w:rtl/>
        </w:rPr>
        <w:t> </w:t>
      </w:r>
      <w:r>
        <w:rPr>
          <w:rFonts w:hint="cs"/>
          <w:rtl/>
        </w:rPr>
        <w:t>של ממש אם ראוי דרעי לשמש כשר הפנים. כיום, לאחר ההרשעה החדשה בעבירות מס, דומה כי הוסרו הספקות לעניין אי סבירות מינויו לשר הפנים ושר הבריאות, ובהמשך, לשר האוצר, הממונה על רשות המיסים והכנסות המדינה ממיסים. ההרשעה הנוספת של דרעי היא השלב הנוסף בסולם, אשר מעביר אותנו מ"גבול מתחם הסבירות" אל מחוץ למתחם. כבר אין מדובר אך ברבב שדבק בשר, אלא בהצטברות: "</w:t>
      </w:r>
      <w:r w:rsidRPr="006E29B6">
        <w:rPr>
          <w:rFonts w:ascii="Century" w:hAnsi="Century" w:hint="cs"/>
          <w:rtl/>
        </w:rPr>
        <w:t>תלמיד חכם שנמצא רבב על בגדו – חייב מיתה (</w:t>
      </w:r>
      <w:r w:rsidRPr="00A53CCA">
        <w:rPr>
          <w:rFonts w:ascii="Century" w:hAnsi="Century" w:cs="Miriam" w:hint="cs"/>
          <w:b/>
          <w:spacing w:val="0"/>
          <w:szCs w:val="24"/>
          <w:rtl/>
        </w:rPr>
        <w:t>שבת</w:t>
      </w:r>
      <w:r w:rsidRPr="006E29B6">
        <w:rPr>
          <w:rFonts w:ascii="Century" w:hAnsi="Century" w:hint="cs"/>
          <w:rtl/>
        </w:rPr>
        <w:t>, קיד, א). פלוני שנמצא רבב על בגדו – שר וקצין יהיה לנו?</w:t>
      </w:r>
      <w:r>
        <w:rPr>
          <w:rFonts w:ascii="Century" w:hAnsi="Century" w:hint="cs"/>
          <w:rtl/>
        </w:rPr>
        <w:t xml:space="preserve">" (דברי השופט </w:t>
      </w:r>
      <w:r w:rsidRPr="00544FDE">
        <w:rPr>
          <w:rFonts w:ascii="Century" w:hAnsi="Century" w:cs="Miriam" w:hint="cs"/>
          <w:b/>
          <w:spacing w:val="0"/>
          <w:szCs w:val="24"/>
          <w:rtl/>
        </w:rPr>
        <w:t xml:space="preserve">מ' </w:t>
      </w:r>
      <w:r w:rsidRPr="00B84DC8">
        <w:rPr>
          <w:rFonts w:ascii="Century" w:hAnsi="Century" w:cs="Miriam" w:hint="eastAsia"/>
          <w:b/>
          <w:spacing w:val="0"/>
          <w:szCs w:val="24"/>
          <w:rtl/>
        </w:rPr>
        <w:t>חשין</w:t>
      </w:r>
      <w:r>
        <w:rPr>
          <w:rFonts w:ascii="Century" w:hAnsi="Century" w:hint="cs"/>
          <w:rtl/>
        </w:rPr>
        <w:t xml:space="preserve"> בעניין </w:t>
      </w:r>
      <w:r w:rsidRPr="006E29B6">
        <w:rPr>
          <w:rFonts w:ascii="Century" w:hAnsi="Century" w:cs="Miriam" w:hint="cs"/>
          <w:b/>
          <w:spacing w:val="0"/>
          <w:szCs w:val="24"/>
          <w:rtl/>
        </w:rPr>
        <w:t>הנגבי הראשון</w:t>
      </w:r>
      <w:r>
        <w:rPr>
          <w:rFonts w:ascii="Century" w:hAnsi="Century" w:hint="cs"/>
          <w:rtl/>
        </w:rPr>
        <w:t>, עמ' 915).</w:t>
      </w:r>
    </w:p>
    <w:p w14:paraId="1B65861B" w14:textId="77777777" w:rsidR="00D316ED" w:rsidRDefault="00D316ED" w:rsidP="00D316ED">
      <w:pPr>
        <w:pStyle w:val="Ruller41"/>
        <w:rPr>
          <w:rtl/>
        </w:rPr>
      </w:pPr>
    </w:p>
    <w:p w14:paraId="20D680D8" w14:textId="77777777" w:rsidR="00D316ED" w:rsidRDefault="00D316ED" w:rsidP="00D316ED">
      <w:pPr>
        <w:pStyle w:val="Ruller41"/>
        <w:rPr>
          <w:rtl/>
        </w:rPr>
      </w:pPr>
      <w:r>
        <w:rPr>
          <w:rtl/>
        </w:rPr>
        <w:tab/>
      </w:r>
      <w:r>
        <w:rPr>
          <w:rFonts w:hint="cs"/>
          <w:rtl/>
        </w:rPr>
        <w:t>הפסיקה נתנה סימנים כדי לזהות אי סבירות במינוי, והגם שהדברים נאמרו לגבי עובד ציבור, כוחם יפה גם למינויו של שר:</w:t>
      </w:r>
    </w:p>
    <w:p w14:paraId="60199970" w14:textId="77777777" w:rsidR="00D316ED" w:rsidRDefault="00D316ED" w:rsidP="00D316ED">
      <w:pPr>
        <w:pStyle w:val="Ruller5"/>
        <w:rPr>
          <w:rtl/>
        </w:rPr>
      </w:pPr>
    </w:p>
    <w:p w14:paraId="512035A7" w14:textId="77777777" w:rsidR="00D316ED" w:rsidRPr="00E52120" w:rsidRDefault="00D316ED" w:rsidP="00D316ED">
      <w:pPr>
        <w:pStyle w:val="Ruller5"/>
        <w:rPr>
          <w:rtl/>
        </w:rPr>
      </w:pPr>
      <w:r>
        <w:rPr>
          <w:rFonts w:hint="cs"/>
          <w:rtl/>
        </w:rPr>
        <w:t>"</w:t>
      </w:r>
      <w:r w:rsidRPr="00E52120">
        <w:rPr>
          <w:rtl/>
        </w:rPr>
        <w:t xml:space="preserve">לא הרי מי שעבר עבירה בילדותו כהרי מי שעבר עבירה לאחר שבגר; לא הרי מי שעבר עבירה אחת כהרי מי שעבר עבירות הרבה; לא הרי מי שעבר עבירה קלה כהרי מי שעבר עבירה חמורה; לא הרי מי שעבר עבירה בנסיבות מקילות כמי שעבר אותה עבירה עצמה בנסיבות מחמירות; לא הרי מי שעבר עבירה והביע חרטה עליה כהרי מי שעבר עבירה ולא הביע כל חרטה עליה; לא הרי מי שעבר עבירה </w:t>
      </w:r>
      <w:r w:rsidRPr="00E52120">
        <w:rPr>
          <w:rFonts w:hint="cs"/>
          <w:rtl/>
        </w:rPr>
        <w:t>'</w:t>
      </w:r>
      <w:r w:rsidRPr="00E52120">
        <w:rPr>
          <w:rtl/>
        </w:rPr>
        <w:t>טכנית</w:t>
      </w:r>
      <w:r w:rsidRPr="00E52120">
        <w:rPr>
          <w:rFonts w:hint="cs"/>
          <w:rtl/>
        </w:rPr>
        <w:t>'</w:t>
      </w:r>
      <w:r w:rsidRPr="00E52120">
        <w:rPr>
          <w:rtl/>
        </w:rPr>
        <w:t xml:space="preserve"> כהרי מי שעבר עבירה שיש עמה קלון; לא הרי מי שעבר עבירה לפני שנים הרבה כהרי מי שעבר עבירה אך לאחרונה; לא הרי מי שעבר עבירה כדי </w:t>
      </w:r>
      <w:r w:rsidRPr="00E52120">
        <w:rPr>
          <w:rtl/>
        </w:rPr>
        <w:lastRenderedPageBreak/>
        <w:t>לקדם את ענייניו שלו כהרי מי שעבר עבירה תוך שירות המדינה</w:t>
      </w:r>
      <w:r w:rsidRPr="00E52120">
        <w:rPr>
          <w:rFonts w:hint="cs"/>
          <w:rtl/>
        </w:rPr>
        <w:t xml:space="preserve">" </w:t>
      </w:r>
      <w:r w:rsidRPr="006E29B6">
        <w:rPr>
          <w:rFonts w:ascii="Century" w:hAnsi="Century"/>
          <w:rtl/>
        </w:rPr>
        <w:t>(</w:t>
      </w:r>
      <w:r w:rsidRPr="006E29B6">
        <w:rPr>
          <w:rFonts w:ascii="Century" w:hAnsi="Century" w:hint="eastAsia"/>
          <w:rtl/>
        </w:rPr>
        <w:t>עניין</w:t>
      </w:r>
      <w:r w:rsidRPr="006E29B6">
        <w:rPr>
          <w:rFonts w:ascii="Century" w:hAnsi="Century"/>
          <w:rtl/>
        </w:rPr>
        <w:t xml:space="preserve"> </w:t>
      </w:r>
      <w:r w:rsidRPr="00E52120">
        <w:rPr>
          <w:rFonts w:ascii="Century" w:hAnsi="Century" w:cs="Miriam" w:hint="cs"/>
          <w:b/>
          <w:spacing w:val="0"/>
          <w:szCs w:val="24"/>
          <w:rtl/>
        </w:rPr>
        <w:t>אייזנברג</w:t>
      </w:r>
      <w:r w:rsidRPr="006E29B6">
        <w:rPr>
          <w:rFonts w:ascii="Century" w:hAnsi="Century"/>
          <w:rtl/>
        </w:rPr>
        <w:t xml:space="preserve">, </w:t>
      </w:r>
      <w:r w:rsidRPr="006E29B6">
        <w:rPr>
          <w:rFonts w:ascii="Century" w:hAnsi="Century" w:hint="eastAsia"/>
          <w:rtl/>
        </w:rPr>
        <w:t>עמ</w:t>
      </w:r>
      <w:r w:rsidRPr="006E29B6">
        <w:rPr>
          <w:rFonts w:ascii="Century" w:hAnsi="Century"/>
          <w:rtl/>
        </w:rPr>
        <w:t xml:space="preserve">' 262). </w:t>
      </w:r>
    </w:p>
    <w:p w14:paraId="5BB72AF2" w14:textId="77777777" w:rsidR="00D316ED" w:rsidRPr="00E52120" w:rsidRDefault="00D316ED" w:rsidP="00D316ED">
      <w:pPr>
        <w:pStyle w:val="Ruller41"/>
        <w:rPr>
          <w:rtl/>
        </w:rPr>
      </w:pPr>
    </w:p>
    <w:p w14:paraId="1CF7799B" w14:textId="77777777" w:rsidR="00D316ED" w:rsidRDefault="00D316ED" w:rsidP="00D316ED">
      <w:pPr>
        <w:pStyle w:val="Ruller41"/>
        <w:rPr>
          <w:rtl/>
        </w:rPr>
      </w:pPr>
      <w:r>
        <w:rPr>
          <w:rtl/>
        </w:rPr>
        <w:tab/>
      </w:r>
      <w:r>
        <w:rPr>
          <w:rFonts w:hint="cs"/>
          <w:rtl/>
        </w:rPr>
        <w:t xml:space="preserve">דומה כי בעניינו של דרעי התמלאו כל הסממנים, וגם אם חיסר אחת מכל סממניה </w:t>
      </w:r>
      <w:r>
        <w:rPr>
          <w:rtl/>
        </w:rPr>
        <w:t>–</w:t>
      </w:r>
      <w:r>
        <w:rPr>
          <w:rFonts w:hint="cs"/>
          <w:rtl/>
        </w:rPr>
        <w:t xml:space="preserve"> הצטברות הסממנים הנותרים שוללת את סבירות המינוי. על רקע האמור לעיל, חזרתו של דרעי לכנסת זמן קצר לאחר התפטרותו מהכנסת והרשעתו, אינה מניחה את הדעת גם מן הפן הערכי (השוו לעניין </w:t>
      </w:r>
      <w:r w:rsidRPr="00B84DC8">
        <w:rPr>
          <w:rFonts w:ascii="Century" w:hAnsi="Century" w:cs="Miriam" w:hint="eastAsia"/>
          <w:b/>
          <w:spacing w:val="0"/>
          <w:szCs w:val="24"/>
          <w:rtl/>
        </w:rPr>
        <w:t>ראשי</w:t>
      </w:r>
      <w:r w:rsidRPr="00B84DC8">
        <w:rPr>
          <w:rFonts w:ascii="Century" w:hAnsi="Century" w:cs="Miriam"/>
          <w:b/>
          <w:spacing w:val="0"/>
          <w:szCs w:val="24"/>
          <w:rtl/>
        </w:rPr>
        <w:t xml:space="preserve"> </w:t>
      </w:r>
      <w:r w:rsidRPr="00B84DC8">
        <w:rPr>
          <w:rFonts w:ascii="Century" w:hAnsi="Century" w:cs="Miriam" w:hint="eastAsia"/>
          <w:b/>
          <w:spacing w:val="0"/>
          <w:szCs w:val="24"/>
          <w:rtl/>
        </w:rPr>
        <w:t>הערים</w:t>
      </w:r>
      <w:r>
        <w:rPr>
          <w:rFonts w:hint="cs"/>
          <w:rtl/>
        </w:rPr>
        <w:t xml:space="preserve">, פסקה 50 לפסק דינה של השופטת </w:t>
      </w:r>
      <w:r w:rsidRPr="00B84DC8">
        <w:rPr>
          <w:rFonts w:ascii="Century" w:hAnsi="Century" w:cs="Miriam" w:hint="eastAsia"/>
          <w:b/>
          <w:spacing w:val="0"/>
          <w:szCs w:val="24"/>
          <w:rtl/>
        </w:rPr>
        <w:t>מ</w:t>
      </w:r>
      <w:r w:rsidRPr="00B84DC8">
        <w:rPr>
          <w:rFonts w:ascii="Century" w:hAnsi="Century" w:cs="Miriam"/>
          <w:b/>
          <w:spacing w:val="0"/>
          <w:szCs w:val="24"/>
          <w:rtl/>
        </w:rPr>
        <w:t>'</w:t>
      </w:r>
      <w:r>
        <w:rPr>
          <w:rFonts w:hint="cs"/>
          <w:rtl/>
        </w:rPr>
        <w:t xml:space="preserve"> </w:t>
      </w:r>
      <w:r w:rsidRPr="00B84DC8">
        <w:rPr>
          <w:rFonts w:ascii="Century" w:hAnsi="Century" w:cs="Miriam" w:hint="eastAsia"/>
          <w:b/>
          <w:spacing w:val="0"/>
          <w:szCs w:val="24"/>
          <w:rtl/>
        </w:rPr>
        <w:t>נאור</w:t>
      </w:r>
      <w:r>
        <w:rPr>
          <w:rFonts w:hint="cs"/>
          <w:rtl/>
        </w:rPr>
        <w:t>).</w:t>
      </w:r>
    </w:p>
    <w:p w14:paraId="5D00F42B" w14:textId="77777777" w:rsidR="00D316ED" w:rsidRDefault="00D316ED" w:rsidP="00D316ED">
      <w:pPr>
        <w:pStyle w:val="Ruller41"/>
        <w:rPr>
          <w:rtl/>
        </w:rPr>
      </w:pPr>
    </w:p>
    <w:p w14:paraId="08A3ECB1" w14:textId="77777777" w:rsidR="00D316ED" w:rsidRDefault="00D316ED" w:rsidP="00D316ED">
      <w:pPr>
        <w:pStyle w:val="Ruller41"/>
        <w:rPr>
          <w:rtl/>
        </w:rPr>
      </w:pPr>
      <w:r>
        <w:rPr>
          <w:rFonts w:hint="cs"/>
          <w:rtl/>
        </w:rPr>
        <w:t>17.</w:t>
      </w:r>
      <w:r>
        <w:rPr>
          <w:rFonts w:hint="cs"/>
          <w:rtl/>
        </w:rPr>
        <w:tab/>
        <w:t>ולבסוף, קשה להתעלם מכך שדרעי, ככל הנראה מתוך רצון לחזק ולבצר את מעמדו של הסדר הטיעון, יצר מצג בפני בית משפט השלום, הן בדבריו והן בשתיקתו, לנוכח טיעוני התובע שהפליג בדבריו על כך ש"</w:t>
      </w:r>
      <w:r w:rsidRPr="004D5420">
        <w:rPr>
          <w:rFonts w:hint="cs"/>
          <w:rtl/>
        </w:rPr>
        <w:t xml:space="preserve">אמירתו הציבורית של הנאשם </w:t>
      </w:r>
      <w:r w:rsidRPr="00B12882">
        <w:rPr>
          <w:rFonts w:ascii="Century" w:hAnsi="Century" w:cs="Miriam" w:hint="eastAsia"/>
          <w:b/>
          <w:spacing w:val="0"/>
          <w:szCs w:val="24"/>
          <w:rtl/>
        </w:rPr>
        <w:t>ופרישתו</w:t>
      </w:r>
      <w:r w:rsidRPr="00B12882">
        <w:rPr>
          <w:rFonts w:ascii="Century" w:hAnsi="Century" w:cs="Miriam"/>
          <w:b/>
          <w:spacing w:val="0"/>
          <w:szCs w:val="24"/>
          <w:rtl/>
        </w:rPr>
        <w:t xml:space="preserve"> </w:t>
      </w:r>
      <w:r w:rsidRPr="00B12882">
        <w:rPr>
          <w:rFonts w:ascii="Century" w:hAnsi="Century" w:cs="Miriam" w:hint="eastAsia"/>
          <w:b/>
          <w:spacing w:val="0"/>
          <w:szCs w:val="24"/>
          <w:rtl/>
        </w:rPr>
        <w:t>מחייו</w:t>
      </w:r>
      <w:r w:rsidRPr="00B12882">
        <w:rPr>
          <w:rFonts w:ascii="Century" w:hAnsi="Century" w:cs="Miriam"/>
          <w:b/>
          <w:spacing w:val="0"/>
          <w:szCs w:val="24"/>
          <w:rtl/>
        </w:rPr>
        <w:t xml:space="preserve"> </w:t>
      </w:r>
      <w:r w:rsidRPr="00B12882">
        <w:rPr>
          <w:rFonts w:ascii="Century" w:hAnsi="Century" w:cs="Miriam" w:hint="eastAsia"/>
          <w:b/>
          <w:spacing w:val="0"/>
          <w:szCs w:val="24"/>
          <w:rtl/>
        </w:rPr>
        <w:t>הפוליטיים</w:t>
      </w:r>
      <w:r w:rsidRPr="00B12882">
        <w:rPr>
          <w:rFonts w:hint="cs"/>
          <w:rtl/>
        </w:rPr>
        <w:t xml:space="preserve"> </w:t>
      </w:r>
      <w:r w:rsidRPr="004D5420">
        <w:rPr>
          <w:rFonts w:hint="cs"/>
          <w:rtl/>
        </w:rPr>
        <w:t xml:space="preserve">משקפים </w:t>
      </w:r>
      <w:r w:rsidRPr="00ED5744">
        <w:rPr>
          <w:rFonts w:hint="cs"/>
          <w:rtl/>
        </w:rPr>
        <w:t xml:space="preserve">כי </w:t>
      </w:r>
      <w:r w:rsidRPr="00B12882">
        <w:rPr>
          <w:rFonts w:ascii="Century" w:hAnsi="Century" w:cs="Miriam" w:hint="eastAsia"/>
          <w:b/>
          <w:spacing w:val="0"/>
          <w:szCs w:val="24"/>
          <w:rtl/>
        </w:rPr>
        <w:t>פיו</w:t>
      </w:r>
      <w:r w:rsidRPr="00B12882">
        <w:rPr>
          <w:rFonts w:ascii="Century" w:hAnsi="Century" w:cs="Miriam"/>
          <w:b/>
          <w:spacing w:val="0"/>
          <w:szCs w:val="24"/>
          <w:rtl/>
        </w:rPr>
        <w:t xml:space="preserve"> </w:t>
      </w:r>
      <w:r w:rsidRPr="00B12882">
        <w:rPr>
          <w:rFonts w:ascii="Century" w:hAnsi="Century" w:cs="Miriam" w:hint="eastAsia"/>
          <w:b/>
          <w:spacing w:val="0"/>
          <w:szCs w:val="24"/>
          <w:rtl/>
        </w:rPr>
        <w:t>וליבו</w:t>
      </w:r>
      <w:r w:rsidRPr="00B12882">
        <w:rPr>
          <w:rFonts w:ascii="Century" w:hAnsi="Century" w:cs="Miriam"/>
          <w:b/>
          <w:spacing w:val="0"/>
          <w:szCs w:val="24"/>
          <w:rtl/>
        </w:rPr>
        <w:t xml:space="preserve"> </w:t>
      </w:r>
      <w:r w:rsidRPr="00B12882">
        <w:rPr>
          <w:rFonts w:ascii="Century" w:hAnsi="Century" w:cs="Miriam" w:hint="eastAsia"/>
          <w:b/>
          <w:spacing w:val="0"/>
          <w:szCs w:val="24"/>
          <w:rtl/>
        </w:rPr>
        <w:t>שווים</w:t>
      </w:r>
      <w:r w:rsidRPr="00C46531">
        <w:rPr>
          <w:rFonts w:hint="cs"/>
          <w:rtl/>
        </w:rPr>
        <w:t>"</w:t>
      </w:r>
      <w:r>
        <w:rPr>
          <w:rFonts w:hint="cs"/>
          <w:rtl/>
        </w:rPr>
        <w:t xml:space="preserve">. דרעי שמע את הדברים </w:t>
      </w:r>
      <w:r w:rsidRPr="00B84DC8">
        <w:rPr>
          <w:rFonts w:hint="eastAsia"/>
          <w:rtl/>
        </w:rPr>
        <w:t>ולא</w:t>
      </w:r>
      <w:r w:rsidRPr="00B84DC8">
        <w:rPr>
          <w:rtl/>
        </w:rPr>
        <w:t xml:space="preserve"> </w:t>
      </w:r>
      <w:r w:rsidRPr="00B84DC8">
        <w:rPr>
          <w:rFonts w:hint="eastAsia"/>
          <w:rtl/>
        </w:rPr>
        <w:t>מיחה</w:t>
      </w:r>
      <w:r>
        <w:rPr>
          <w:rFonts w:hint="cs"/>
          <w:rtl/>
        </w:rPr>
        <w:t xml:space="preserve"> ולא ביקש לתקן, ורק כעת הוא מבקש להבהיר את אותה "אי הבנה" שנפלה לשיטתו בעת הצגת הדברים בפני בית המשפט. שנינו ולמדנו כי "מ</w:t>
      </w:r>
      <w:r>
        <w:rPr>
          <w:rFonts w:ascii="FrankRuehl" w:hAnsi="FrankRuehl"/>
          <w:rtl/>
        </w:rPr>
        <w:t>ָ</w:t>
      </w:r>
      <w:r>
        <w:rPr>
          <w:rFonts w:hint="cs"/>
          <w:rtl/>
        </w:rPr>
        <w:t>ו</w:t>
      </w:r>
      <w:r>
        <w:rPr>
          <w:rFonts w:ascii="FrankRuehl" w:hAnsi="FrankRuehl"/>
          <w:rtl/>
        </w:rPr>
        <w:t>ֶ</w:t>
      </w:r>
      <w:r>
        <w:rPr>
          <w:rFonts w:hint="cs"/>
          <w:rtl/>
        </w:rPr>
        <w:t>ת ו</w:t>
      </w:r>
      <w:r>
        <w:rPr>
          <w:rFonts w:ascii="FrankRuehl" w:hAnsi="FrankRuehl"/>
          <w:rtl/>
        </w:rPr>
        <w:t>ְ</w:t>
      </w:r>
      <w:r>
        <w:rPr>
          <w:rFonts w:hint="cs"/>
          <w:rtl/>
        </w:rPr>
        <w:t>ח</w:t>
      </w:r>
      <w:r>
        <w:rPr>
          <w:rFonts w:ascii="FrankRuehl" w:hAnsi="FrankRuehl"/>
          <w:rtl/>
        </w:rPr>
        <w:t>ַ</w:t>
      </w:r>
      <w:r>
        <w:rPr>
          <w:rFonts w:hint="cs"/>
          <w:rtl/>
        </w:rPr>
        <w:t>י</w:t>
      </w:r>
      <w:r>
        <w:rPr>
          <w:rFonts w:ascii="FrankRuehl" w:hAnsi="FrankRuehl"/>
          <w:rtl/>
        </w:rPr>
        <w:t>ִּ</w:t>
      </w:r>
      <w:r>
        <w:rPr>
          <w:rFonts w:hint="cs"/>
          <w:rtl/>
        </w:rPr>
        <w:t>ים ב</w:t>
      </w:r>
      <w:r>
        <w:rPr>
          <w:rFonts w:ascii="FrankRuehl" w:hAnsi="FrankRuehl"/>
          <w:rtl/>
        </w:rPr>
        <w:t>ְּ</w:t>
      </w:r>
      <w:r>
        <w:rPr>
          <w:rFonts w:hint="cs"/>
          <w:rtl/>
        </w:rPr>
        <w:t>י</w:t>
      </w:r>
      <w:r>
        <w:rPr>
          <w:rFonts w:ascii="FrankRuehl" w:hAnsi="FrankRuehl"/>
          <w:rtl/>
        </w:rPr>
        <w:t>ַ</w:t>
      </w:r>
      <w:r>
        <w:rPr>
          <w:rFonts w:hint="cs"/>
          <w:rtl/>
        </w:rPr>
        <w:t xml:space="preserve">ד </w:t>
      </w:r>
      <w:proofErr w:type="spellStart"/>
      <w:r>
        <w:rPr>
          <w:rFonts w:hint="cs"/>
          <w:rtl/>
        </w:rPr>
        <w:t>ל</w:t>
      </w:r>
      <w:r>
        <w:rPr>
          <w:rFonts w:ascii="FrankRuehl" w:hAnsi="FrankRuehl"/>
          <w:rtl/>
        </w:rPr>
        <w:t>ָ</w:t>
      </w:r>
      <w:r>
        <w:rPr>
          <w:rFonts w:hint="cs"/>
          <w:rtl/>
        </w:rPr>
        <w:t>ש</w:t>
      </w:r>
      <w:r>
        <w:rPr>
          <w:rFonts w:ascii="FrankRuehl" w:hAnsi="FrankRuehl"/>
          <w:rtl/>
        </w:rPr>
        <w:t>וֹ</w:t>
      </w:r>
      <w:r>
        <w:rPr>
          <w:rFonts w:hint="cs"/>
          <w:rtl/>
        </w:rPr>
        <w:t>ן</w:t>
      </w:r>
      <w:proofErr w:type="spellEnd"/>
      <w:r>
        <w:rPr>
          <w:rFonts w:hint="cs"/>
          <w:rtl/>
        </w:rPr>
        <w:t>" (</w:t>
      </w:r>
      <w:r w:rsidRPr="006E29B6">
        <w:rPr>
          <w:rFonts w:ascii="Century" w:hAnsi="Century" w:cs="Miriam" w:hint="eastAsia"/>
          <w:b/>
          <w:spacing w:val="0"/>
          <w:szCs w:val="24"/>
          <w:rtl/>
        </w:rPr>
        <w:t>משלי</w:t>
      </w:r>
      <w:r>
        <w:rPr>
          <w:rFonts w:hint="cs"/>
          <w:rtl/>
        </w:rPr>
        <w:t xml:space="preserve"> </w:t>
      </w:r>
      <w:proofErr w:type="spellStart"/>
      <w:r>
        <w:rPr>
          <w:rFonts w:hint="cs"/>
          <w:rtl/>
        </w:rPr>
        <w:t>יח</w:t>
      </w:r>
      <w:proofErr w:type="spellEnd"/>
      <w:r>
        <w:rPr>
          <w:rFonts w:hint="cs"/>
          <w:rtl/>
        </w:rPr>
        <w:t xml:space="preserve">, </w:t>
      </w:r>
      <w:proofErr w:type="spellStart"/>
      <w:r>
        <w:rPr>
          <w:rFonts w:hint="cs"/>
          <w:rtl/>
        </w:rPr>
        <w:t>כא</w:t>
      </w:r>
      <w:proofErr w:type="spellEnd"/>
      <w:r>
        <w:rPr>
          <w:rFonts w:hint="cs"/>
          <w:rtl/>
        </w:rPr>
        <w:t>), והיה על דרעי להיזהר בדבריו. הכרזתו של דרעי לתקשורת ולציבור יום לאחר מתן גזר הדין, אך תורמת לנופך הכללי של חוסר תום הלב שנלווה למהלך בבית משפט השלום.</w:t>
      </w:r>
    </w:p>
    <w:p w14:paraId="13BBF854" w14:textId="77777777" w:rsidR="00D316ED" w:rsidRDefault="00D316ED" w:rsidP="00D316ED">
      <w:pPr>
        <w:pStyle w:val="Ruller41"/>
        <w:rPr>
          <w:rFonts w:ascii="Century" w:hAnsi="Century"/>
          <w:rtl/>
        </w:rPr>
      </w:pPr>
    </w:p>
    <w:p w14:paraId="2D326092" w14:textId="77777777" w:rsidR="00D316ED" w:rsidRDefault="00D316ED" w:rsidP="00D316ED">
      <w:pPr>
        <w:pStyle w:val="Ruller41"/>
        <w:rPr>
          <w:rFonts w:ascii="Century" w:hAnsi="Century"/>
          <w:rtl/>
        </w:rPr>
      </w:pPr>
      <w:r>
        <w:rPr>
          <w:rFonts w:ascii="Century" w:hAnsi="Century"/>
          <w:rtl/>
        </w:rPr>
        <w:tab/>
      </w:r>
      <w:r>
        <w:rPr>
          <w:rFonts w:ascii="Century" w:hAnsi="Century" w:hint="cs"/>
          <w:rtl/>
        </w:rPr>
        <w:t>סוף דבר, מצטרף אני לתוצאה שהוצעה על ידי הנשיאה.</w:t>
      </w:r>
    </w:p>
    <w:p w14:paraId="00AF8168" w14:textId="77777777" w:rsidR="00EF114E" w:rsidRDefault="00EF114E" w:rsidP="00EF114E">
      <w:pPr>
        <w:pStyle w:val="BODYVERDICT"/>
        <w:rPr>
          <w:rFonts w:cs="Miriam"/>
          <w:b/>
          <w:bCs/>
          <w:sz w:val="24"/>
          <w:szCs w:val="24"/>
          <w:rtl/>
        </w:rPr>
      </w:pPr>
    </w:p>
    <w:p w14:paraId="68042761"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p>
    <w:p w14:paraId="0267A1B7" w14:textId="77777777" w:rsidR="00EF114E" w:rsidRDefault="00EF114E" w:rsidP="00EF114E">
      <w:pPr>
        <w:pStyle w:val="BODYVERDICT"/>
        <w:rPr>
          <w:rFonts w:ascii="FrankRuehl" w:hAnsi="FrankRuehl"/>
          <w:sz w:val="28"/>
          <w:rtl/>
        </w:rPr>
      </w:pPr>
    </w:p>
    <w:p w14:paraId="5CB39084" w14:textId="77777777" w:rsidR="00B65D90" w:rsidRDefault="00B65D90" w:rsidP="00114A19">
      <w:pPr>
        <w:pStyle w:val="BODYVERDICT"/>
        <w:rPr>
          <w:rFonts w:cs="Miriam"/>
          <w:sz w:val="24"/>
          <w:szCs w:val="24"/>
          <w:u w:val="single"/>
          <w:rtl/>
        </w:rPr>
      </w:pPr>
    </w:p>
    <w:p w14:paraId="6FBC0A25" w14:textId="77777777" w:rsidR="00EF114E" w:rsidRDefault="00EF114E" w:rsidP="00114A19">
      <w:pPr>
        <w:pStyle w:val="BODYVERDICT"/>
        <w:rPr>
          <w:rFonts w:cs="Miriam"/>
          <w:b/>
          <w:bCs/>
          <w:sz w:val="24"/>
          <w:szCs w:val="24"/>
          <w:rtl/>
        </w:rPr>
      </w:pPr>
      <w:r w:rsidRPr="0083330E">
        <w:rPr>
          <w:rFonts w:cs="Miriam"/>
          <w:sz w:val="24"/>
          <w:szCs w:val="24"/>
          <w:u w:val="single"/>
          <w:rtl/>
        </w:rPr>
        <w:t>ה</w:t>
      </w:r>
      <w:r>
        <w:rPr>
          <w:rFonts w:cs="Miriam" w:hint="cs"/>
          <w:sz w:val="24"/>
          <w:szCs w:val="24"/>
          <w:u w:val="single"/>
          <w:rtl/>
        </w:rPr>
        <w:t>שופטת י</w:t>
      </w:r>
      <w:r w:rsidR="00114A19">
        <w:rPr>
          <w:rFonts w:cs="Miriam" w:hint="cs"/>
          <w:sz w:val="24"/>
          <w:szCs w:val="24"/>
          <w:u w:val="single"/>
          <w:rtl/>
        </w:rPr>
        <w:t>'</w:t>
      </w:r>
      <w:r>
        <w:rPr>
          <w:rFonts w:cs="Miriam" w:hint="cs"/>
          <w:sz w:val="24"/>
          <w:szCs w:val="24"/>
          <w:u w:val="single"/>
          <w:rtl/>
        </w:rPr>
        <w:t xml:space="preserve"> וילנר:</w:t>
      </w:r>
    </w:p>
    <w:p w14:paraId="1BDE1764" w14:textId="77777777" w:rsidR="007E603E" w:rsidRDefault="007E603E" w:rsidP="007E603E">
      <w:pPr>
        <w:jc w:val="right"/>
        <w:rPr>
          <w:rFonts w:cs="Miriam"/>
          <w:b/>
          <w:bCs/>
          <w:u w:val="single"/>
        </w:rPr>
      </w:pPr>
    </w:p>
    <w:p w14:paraId="32342B2D" w14:textId="77777777" w:rsidR="007E603E" w:rsidRDefault="007E603E" w:rsidP="007E603E">
      <w:pPr>
        <w:pStyle w:val="BODYVERDICT"/>
        <w:rPr>
          <w:rFonts w:cs="Miriam"/>
          <w:sz w:val="24"/>
          <w:szCs w:val="24"/>
          <w:u w:val="single"/>
          <w:rtl/>
        </w:rPr>
      </w:pPr>
    </w:p>
    <w:p w14:paraId="16691AA4" w14:textId="77777777" w:rsidR="007E603E" w:rsidRPr="004808DB" w:rsidRDefault="007E603E" w:rsidP="007E603E">
      <w:pPr>
        <w:spacing w:line="360" w:lineRule="auto"/>
        <w:jc w:val="both"/>
        <w:rPr>
          <w:rFonts w:ascii="Century" w:hAnsi="Century" w:cs="FrankRuehl"/>
          <w:spacing w:val="10"/>
          <w:sz w:val="22"/>
          <w:szCs w:val="28"/>
          <w:rtl/>
        </w:rPr>
      </w:pPr>
      <w:r w:rsidRPr="004808DB">
        <w:rPr>
          <w:rFonts w:ascii="Century" w:hAnsi="Century" w:cs="FrankRuehl" w:hint="cs"/>
          <w:spacing w:val="10"/>
          <w:szCs w:val="28"/>
          <w:rtl/>
        </w:rPr>
        <w:t>1.</w:t>
      </w:r>
      <w:r w:rsidRPr="004808DB">
        <w:rPr>
          <w:rFonts w:ascii="Century" w:hAnsi="Century" w:cs="FrankRuehl" w:hint="cs"/>
          <w:spacing w:val="10"/>
          <w:szCs w:val="28"/>
          <w:rtl/>
        </w:rPr>
        <w:tab/>
        <w:t xml:space="preserve">במסגרת העתירות שלפנינו מתעוררת השאלה, אם יש מקום להתערבות שיפוטית בהחלטת ראש הממשלה למנות לתפקיד שר את חבר הכנסת אריה מכלוף דרעי (להלן: </w:t>
      </w:r>
      <w:r w:rsidRPr="004808DB">
        <w:rPr>
          <w:rFonts w:ascii="Century" w:hAnsi="Century" w:cs="Miriam" w:hint="cs"/>
          <w:b/>
          <w:sz w:val="22"/>
          <w:rtl/>
        </w:rPr>
        <w:t>דרעי</w:t>
      </w:r>
      <w:r w:rsidRPr="004808DB">
        <w:rPr>
          <w:rFonts w:ascii="Century" w:hAnsi="Century" w:cs="FrankRuehl" w:hint="cs"/>
          <w:spacing w:val="10"/>
          <w:sz w:val="22"/>
          <w:szCs w:val="28"/>
          <w:rtl/>
        </w:rPr>
        <w:t xml:space="preserve">), בעיקר לנוכח עברו הפלילי והתנהלותו סביב ההליך בבית משפט השלום, שגזר את דינו לפני כשנה. </w:t>
      </w:r>
    </w:p>
    <w:p w14:paraId="592FCF62" w14:textId="77777777" w:rsidR="007E603E" w:rsidRPr="004808DB" w:rsidRDefault="007E603E" w:rsidP="007E603E">
      <w:pPr>
        <w:spacing w:line="360" w:lineRule="auto"/>
        <w:jc w:val="both"/>
        <w:rPr>
          <w:rFonts w:ascii="Century" w:hAnsi="Century" w:cs="FrankRuehl"/>
          <w:spacing w:val="10"/>
          <w:sz w:val="22"/>
          <w:szCs w:val="28"/>
          <w:rtl/>
        </w:rPr>
      </w:pPr>
    </w:p>
    <w:p w14:paraId="1A33B939"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 w:val="22"/>
          <w:szCs w:val="28"/>
          <w:rtl/>
        </w:rPr>
        <w:t>שאלה זו קשורה בטבורה לסוגיית טוהר המידות של עובדי הציבור ונבחריו, ולכן אקדיש מילים מספר לסוגיה זו בטרם אציג את עמדתי בשאלה שעל הפרק.</w:t>
      </w:r>
    </w:p>
    <w:p w14:paraId="4D557248"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r w:rsidRPr="004808DB">
        <w:rPr>
          <w:rFonts w:ascii="Century" w:hAnsi="Century" w:cs="FrankRuehl"/>
          <w:spacing w:val="10"/>
          <w:sz w:val="22"/>
          <w:szCs w:val="28"/>
          <w:rtl/>
        </w:rPr>
        <w:tab/>
      </w:r>
    </w:p>
    <w:p w14:paraId="620E254C"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r w:rsidRPr="004808DB">
        <w:rPr>
          <w:rFonts w:ascii="Century" w:hAnsi="Century" w:cs="FrankRuehl" w:hint="cs"/>
          <w:spacing w:val="10"/>
          <w:sz w:val="22"/>
          <w:szCs w:val="28"/>
          <w:rtl/>
        </w:rPr>
        <w:t>2.</w:t>
      </w:r>
      <w:r w:rsidRPr="004808DB">
        <w:rPr>
          <w:rFonts w:ascii="Century" w:hAnsi="Century" w:cs="FrankRuehl"/>
          <w:spacing w:val="10"/>
          <w:sz w:val="22"/>
          <w:szCs w:val="28"/>
          <w:rtl/>
        </w:rPr>
        <w:tab/>
      </w:r>
      <w:r w:rsidRPr="004808DB">
        <w:rPr>
          <w:rFonts w:ascii="Century" w:hAnsi="Century" w:cs="FrankRuehl" w:hint="cs"/>
          <w:spacing w:val="10"/>
          <w:sz w:val="22"/>
          <w:szCs w:val="28"/>
          <w:rtl/>
        </w:rPr>
        <w:t xml:space="preserve">חשיבות רבה נודעת לשמירה על טוהר המידות של אישי ציבור, והדבר נלמד, בין היתר, מהביטוי הנרחב של עיקרון זה בחוקי היסוד (ראו: סעיף 2(ב) לחוק-יסוד: מבקר המדינה; סעיף 6(א) לחוק-יסוד: הכנסת; וסעיף 20(א) לחוק-יסוד: נשיא המדינה) </w:t>
      </w:r>
      <w:r w:rsidRPr="004808DB">
        <w:rPr>
          <w:rFonts w:ascii="Century" w:hAnsi="Century" w:cs="FrankRuehl" w:hint="cs"/>
          <w:spacing w:val="10"/>
          <w:sz w:val="22"/>
          <w:szCs w:val="28"/>
          <w:rtl/>
        </w:rPr>
        <w:lastRenderedPageBreak/>
        <w:t xml:space="preserve">ובחקיקה ראשית (ראו: חוק לעידוד טוהר המידות בשירות הציבור, התשנ"ב-1992; סעיף 17 לחוק שירות המדינה (משמעת), התשכ"ג-1963; סעיף 46 לחוק שירות המדינה (מינויים), התשי"ט-1959; סימנים ד'-ה' לפרק ט' בחוק העונשין, התשל"ז-1977; חוק שירות הציבור (מתנות), התש"ם-1979). גם בפסיקה הודגשה, חזור והדגש, חיוניות השמירה על יושרו של השירות הציבורי, כחלק מאיכותו הערכית-מוסרית, המקצועית והתפקודית; וכן כבסיס לאמון הציבור בעובדיו ובנבחריו, שהוא תנאי הכרחי לפעילותן התקינה של מוסדות השלטון (ראו: בג"ץ 5853/07 </w:t>
      </w:r>
      <w:r w:rsidRPr="004808DB">
        <w:rPr>
          <w:rFonts w:ascii="Century" w:hAnsi="Century" w:cs="Miriam" w:hint="eastAsia"/>
          <w:b/>
          <w:sz w:val="22"/>
          <w:rtl/>
        </w:rPr>
        <w:t>אמונה</w:t>
      </w:r>
      <w:r w:rsidRPr="004808DB">
        <w:rPr>
          <w:rFonts w:ascii="Century" w:hAnsi="Century" w:cs="Miriam"/>
          <w:b/>
          <w:sz w:val="22"/>
          <w:rtl/>
        </w:rPr>
        <w:t xml:space="preserve"> </w:t>
      </w:r>
      <w:r w:rsidRPr="004808DB">
        <w:rPr>
          <w:rFonts w:ascii="Century" w:hAnsi="Century" w:cs="Miriam" w:hint="eastAsia"/>
          <w:b/>
          <w:sz w:val="22"/>
          <w:rtl/>
        </w:rPr>
        <w:t>תנועת</w:t>
      </w:r>
      <w:r w:rsidRPr="004808DB">
        <w:rPr>
          <w:rFonts w:ascii="Century" w:hAnsi="Century" w:cs="Miriam"/>
          <w:b/>
          <w:sz w:val="22"/>
          <w:rtl/>
        </w:rPr>
        <w:t xml:space="preserve"> </w:t>
      </w:r>
      <w:r w:rsidRPr="004808DB">
        <w:rPr>
          <w:rFonts w:ascii="Century" w:hAnsi="Century" w:cs="Miriam" w:hint="eastAsia"/>
          <w:b/>
          <w:sz w:val="22"/>
          <w:rtl/>
        </w:rPr>
        <w:t>האישה</w:t>
      </w:r>
      <w:r w:rsidRPr="004808DB">
        <w:rPr>
          <w:rFonts w:ascii="Century" w:hAnsi="Century" w:cs="Miriam"/>
          <w:b/>
          <w:sz w:val="22"/>
          <w:rtl/>
        </w:rPr>
        <w:t xml:space="preserve"> </w:t>
      </w:r>
      <w:r w:rsidRPr="004808DB">
        <w:rPr>
          <w:rFonts w:ascii="Century" w:hAnsi="Century" w:cs="Miriam" w:hint="eastAsia"/>
          <w:b/>
          <w:sz w:val="22"/>
          <w:rtl/>
        </w:rPr>
        <w:t>הדתית</w:t>
      </w:r>
      <w:r w:rsidRPr="004808DB">
        <w:rPr>
          <w:rFonts w:ascii="Century" w:hAnsi="Century" w:cs="Miriam"/>
          <w:b/>
          <w:sz w:val="22"/>
          <w:rtl/>
        </w:rPr>
        <w:t xml:space="preserve"> </w:t>
      </w:r>
      <w:r w:rsidRPr="004808DB">
        <w:rPr>
          <w:rFonts w:ascii="Century" w:hAnsi="Century" w:cs="Miriam" w:hint="eastAsia"/>
          <w:b/>
          <w:sz w:val="22"/>
          <w:rtl/>
        </w:rPr>
        <w:t>לאומית</w:t>
      </w:r>
      <w:r w:rsidRPr="004808DB">
        <w:rPr>
          <w:rFonts w:ascii="Century" w:hAnsi="Century" w:cs="Miriam"/>
          <w:b/>
          <w:sz w:val="22"/>
          <w:rtl/>
        </w:rPr>
        <w:t xml:space="preserve"> </w:t>
      </w:r>
      <w:r w:rsidRPr="004808DB">
        <w:rPr>
          <w:rFonts w:ascii="Century" w:hAnsi="Century" w:cs="Miriam" w:hint="eastAsia"/>
          <w:b/>
          <w:sz w:val="22"/>
          <w:rtl/>
        </w:rPr>
        <w:t>נ</w:t>
      </w:r>
      <w:r w:rsidRPr="004808DB">
        <w:rPr>
          <w:rFonts w:ascii="Century" w:hAnsi="Century" w:cs="Miriam"/>
          <w:b/>
          <w:sz w:val="22"/>
          <w:rtl/>
        </w:rPr>
        <w:t xml:space="preserve">' </w:t>
      </w:r>
      <w:r w:rsidRPr="004808DB">
        <w:rPr>
          <w:rFonts w:ascii="Century" w:hAnsi="Century" w:cs="Miriam" w:hint="eastAsia"/>
          <w:b/>
          <w:sz w:val="22"/>
          <w:rtl/>
        </w:rPr>
        <w:t>ראש</w:t>
      </w:r>
      <w:r w:rsidRPr="004808DB">
        <w:rPr>
          <w:rFonts w:ascii="Century" w:hAnsi="Century" w:cs="Miriam"/>
          <w:b/>
          <w:sz w:val="22"/>
          <w:rtl/>
        </w:rPr>
        <w:t xml:space="preserve"> </w:t>
      </w:r>
      <w:r w:rsidRPr="004808DB">
        <w:rPr>
          <w:rFonts w:ascii="Century" w:hAnsi="Century" w:cs="Miriam" w:hint="eastAsia"/>
          <w:b/>
          <w:sz w:val="22"/>
          <w:rtl/>
        </w:rPr>
        <w:t>הממשלה</w:t>
      </w:r>
      <w:r w:rsidRPr="004808DB">
        <w:rPr>
          <w:rFonts w:ascii="Century" w:hAnsi="Century" w:cs="FrankRuehl" w:hint="cs"/>
          <w:spacing w:val="10"/>
          <w:sz w:val="22"/>
          <w:szCs w:val="28"/>
          <w:rtl/>
        </w:rPr>
        <w:t xml:space="preserve">, פס' 14 לחוות-דעתה של השופטת </w:t>
      </w:r>
      <w:r w:rsidRPr="004808DB">
        <w:rPr>
          <w:rFonts w:ascii="Century" w:hAnsi="Century" w:cs="Miriam" w:hint="eastAsia"/>
          <w:b/>
          <w:sz w:val="22"/>
          <w:rtl/>
        </w:rPr>
        <w:t>א</w:t>
      </w:r>
      <w:r w:rsidRPr="004808DB">
        <w:rPr>
          <w:rFonts w:ascii="Century" w:hAnsi="Century" w:cs="Miriam"/>
          <w:b/>
          <w:sz w:val="22"/>
          <w:rtl/>
        </w:rPr>
        <w:t xml:space="preserve">' </w:t>
      </w:r>
      <w:r w:rsidRPr="004808DB">
        <w:rPr>
          <w:rFonts w:ascii="Century" w:hAnsi="Century" w:cs="Miriam" w:hint="eastAsia"/>
          <w:b/>
          <w:sz w:val="22"/>
          <w:rtl/>
        </w:rPr>
        <w:t>פרוקצ</w:t>
      </w:r>
      <w:r w:rsidRPr="004808DB">
        <w:rPr>
          <w:rFonts w:ascii="Century" w:hAnsi="Century" w:cs="Miriam"/>
          <w:b/>
          <w:sz w:val="22"/>
          <w:rtl/>
        </w:rPr>
        <w:t>'</w:t>
      </w:r>
      <w:r w:rsidRPr="004808DB">
        <w:rPr>
          <w:rFonts w:ascii="Century" w:hAnsi="Century" w:cs="Miriam" w:hint="eastAsia"/>
          <w:b/>
          <w:sz w:val="22"/>
          <w:rtl/>
        </w:rPr>
        <w:t>יה</w:t>
      </w:r>
      <w:r w:rsidRPr="004808DB">
        <w:rPr>
          <w:rFonts w:ascii="Century" w:hAnsi="Century" w:cs="FrankRuehl" w:hint="cs"/>
          <w:spacing w:val="10"/>
          <w:sz w:val="22"/>
          <w:szCs w:val="28"/>
          <w:rtl/>
        </w:rPr>
        <w:t xml:space="preserve"> (6.12.2007) (להלן: </w:t>
      </w:r>
      <w:r w:rsidRPr="004808DB">
        <w:rPr>
          <w:rFonts w:ascii="Century" w:hAnsi="Century" w:cs="Miriam" w:hint="eastAsia"/>
          <w:b/>
          <w:sz w:val="22"/>
          <w:rtl/>
        </w:rPr>
        <w:t>עניין</w:t>
      </w:r>
      <w:r w:rsidRPr="004808DB">
        <w:rPr>
          <w:rFonts w:ascii="Century" w:hAnsi="Century" w:cs="FrankRuehl" w:hint="cs"/>
          <w:spacing w:val="10"/>
          <w:sz w:val="22"/>
          <w:szCs w:val="28"/>
          <w:rtl/>
        </w:rPr>
        <w:t xml:space="preserve"> </w:t>
      </w:r>
      <w:r w:rsidRPr="004808DB">
        <w:rPr>
          <w:rFonts w:ascii="Century" w:hAnsi="Century" w:cs="Miriam" w:hint="cs"/>
          <w:b/>
          <w:sz w:val="22"/>
          <w:rtl/>
        </w:rPr>
        <w:t>אמונה</w:t>
      </w:r>
      <w:r w:rsidRPr="004808DB">
        <w:rPr>
          <w:rFonts w:ascii="Century" w:hAnsi="Century" w:cs="FrankRuehl" w:hint="cs"/>
          <w:spacing w:val="10"/>
          <w:sz w:val="22"/>
          <w:szCs w:val="28"/>
          <w:rtl/>
        </w:rPr>
        <w:t xml:space="preserve">)). כמו כן, כך נקבע באחת הפרשות: </w:t>
      </w:r>
    </w:p>
    <w:p w14:paraId="53B9B916"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p>
    <w:p w14:paraId="16FE7116" w14:textId="77777777" w:rsidR="007E603E" w:rsidRPr="004808DB" w:rsidRDefault="007E603E" w:rsidP="007E603E">
      <w:pPr>
        <w:ind w:left="1644" w:right="1276"/>
        <w:jc w:val="both"/>
        <w:rPr>
          <w:rFonts w:ascii="Arial TUR" w:hAnsi="Arial TUR" w:cs="FrankRuehl"/>
          <w:spacing w:val="10"/>
          <w:sz w:val="22"/>
          <w:szCs w:val="28"/>
          <w:rtl/>
        </w:rPr>
      </w:pPr>
      <w:r w:rsidRPr="004808DB">
        <w:rPr>
          <w:rFonts w:ascii="Arial TUR" w:hAnsi="Arial TUR" w:cs="FrankRuehl" w:hint="cs"/>
          <w:spacing w:val="10"/>
          <w:sz w:val="22"/>
          <w:szCs w:val="28"/>
          <w:rtl/>
        </w:rPr>
        <w:t>"</w:t>
      </w:r>
      <w:r w:rsidRPr="004808DB">
        <w:rPr>
          <w:rFonts w:ascii="Arial TUR" w:hAnsi="Arial TUR" w:cs="FrankRuehl"/>
          <w:spacing w:val="10"/>
          <w:sz w:val="22"/>
          <w:szCs w:val="28"/>
          <w:rtl/>
        </w:rPr>
        <w:t xml:space="preserve">מינויו של בעל עבר פלילי – ובעיקר בעל עבר פלילי מכביד כגון מי שעבר עבירה שיש עמה קלון </w:t>
      </w:r>
      <w:r w:rsidRPr="004808DB">
        <w:rPr>
          <w:rFonts w:ascii="Arial TUR" w:hAnsi="Arial TUR" w:cs="FrankRuehl"/>
          <w:spacing w:val="10"/>
          <w:sz w:val="22"/>
          <w:szCs w:val="28"/>
          <w:rtl/>
        </w:rPr>
        <w:softHyphen/>
        <w:t>פוגע באינטרסים החיוניים של השירות הציבורי. הוא פוגע בביצוע הראוי של התפקיד. הוא פוגע בסמכותו המוסרית והאישית של בעל התפקיד ובכוחו לשכנע ולהנהיג. הוא פוגע באמון שהציבור הרחב רוחש לרשויות השלטון. השירות הציבורי צריך – בלשונו של ראש הממשלה, דוד בן גוריון, בהציגו את הצעת חוק שירות המדינה, בכנסת בקריאה ראשונה – להיות</w:t>
      </w:r>
      <w:r w:rsidRPr="004808DB">
        <w:rPr>
          <w:rFonts w:ascii="Arial TUR" w:hAnsi="Arial TUR" w:cs="FrankRuehl" w:hint="cs"/>
          <w:spacing w:val="10"/>
          <w:sz w:val="22"/>
          <w:szCs w:val="28"/>
          <w:rtl/>
        </w:rPr>
        <w:t xml:space="preserve"> '</w:t>
      </w:r>
      <w:r w:rsidRPr="004808DB">
        <w:rPr>
          <w:rFonts w:ascii="Arial TUR" w:hAnsi="Arial TUR" w:cs="FrankRuehl"/>
          <w:spacing w:val="10"/>
          <w:sz w:val="22"/>
          <w:szCs w:val="28"/>
          <w:rtl/>
        </w:rPr>
        <w:t>מבטח לכל אזרח, משגב למדינה וכבוד לעצמם</w:t>
      </w:r>
      <w:r w:rsidRPr="004808DB">
        <w:rPr>
          <w:rFonts w:ascii="Arial TUR" w:hAnsi="Arial TUR" w:cs="FrankRuehl" w:hint="cs"/>
          <w:spacing w:val="10"/>
          <w:sz w:val="22"/>
          <w:szCs w:val="28"/>
          <w:rtl/>
        </w:rPr>
        <w:t>'</w:t>
      </w:r>
      <w:r w:rsidRPr="004808DB">
        <w:rPr>
          <w:rFonts w:ascii="Arial TUR" w:hAnsi="Arial TUR" w:cs="FrankRuehl"/>
          <w:spacing w:val="10"/>
          <w:sz w:val="22"/>
          <w:szCs w:val="28"/>
          <w:rtl/>
        </w:rPr>
        <w:t xml:space="preserve"> (</w:t>
      </w:r>
      <w:proofErr w:type="spellStart"/>
      <w:r w:rsidRPr="004808DB">
        <w:rPr>
          <w:rFonts w:ascii="Arial TUR" w:hAnsi="Arial TUR" w:cs="FrankRuehl"/>
          <w:spacing w:val="10"/>
          <w:sz w:val="22"/>
          <w:szCs w:val="28"/>
          <w:rtl/>
        </w:rPr>
        <w:t>ד"כ</w:t>
      </w:r>
      <w:proofErr w:type="spellEnd"/>
      <w:r w:rsidRPr="004808DB">
        <w:rPr>
          <w:rFonts w:ascii="Arial TUR" w:hAnsi="Arial TUR" w:cs="FrankRuehl"/>
          <w:spacing w:val="10"/>
          <w:sz w:val="22"/>
          <w:szCs w:val="28"/>
          <w:rtl/>
        </w:rPr>
        <w:t xml:space="preserve"> </w:t>
      </w:r>
      <w:r w:rsidRPr="004808DB">
        <w:rPr>
          <w:rFonts w:ascii="Arial TUR" w:hAnsi="Arial TUR" w:cs="FrankRuehl" w:hint="cs"/>
          <w:spacing w:val="10"/>
          <w:sz w:val="22"/>
          <w:szCs w:val="28"/>
          <w:rtl/>
        </w:rPr>
        <w:t xml:space="preserve">14 </w:t>
      </w:r>
      <w:r w:rsidRPr="004808DB">
        <w:rPr>
          <w:rFonts w:ascii="Arial TUR" w:hAnsi="Arial TUR" w:cs="FrankRuehl"/>
          <w:spacing w:val="10"/>
          <w:sz w:val="22"/>
          <w:szCs w:val="28"/>
          <w:rtl/>
        </w:rPr>
        <w:t>(</w:t>
      </w:r>
      <w:proofErr w:type="spellStart"/>
      <w:r w:rsidRPr="004808DB">
        <w:rPr>
          <w:rFonts w:ascii="Arial TUR" w:hAnsi="Arial TUR" w:cs="FrankRuehl" w:hint="cs"/>
          <w:spacing w:val="10"/>
          <w:sz w:val="22"/>
          <w:szCs w:val="28"/>
          <w:rtl/>
        </w:rPr>
        <w:t>ה</w:t>
      </w:r>
      <w:r w:rsidRPr="004808DB">
        <w:rPr>
          <w:rFonts w:ascii="Arial TUR" w:hAnsi="Arial TUR" w:cs="FrankRuehl"/>
          <w:spacing w:val="10"/>
          <w:sz w:val="22"/>
          <w:szCs w:val="28"/>
          <w:rtl/>
        </w:rPr>
        <w:t>תשי"ג</w:t>
      </w:r>
      <w:proofErr w:type="spellEnd"/>
      <w:r w:rsidRPr="004808DB">
        <w:rPr>
          <w:rFonts w:ascii="Arial TUR" w:hAnsi="Arial TUR" w:cs="FrankRuehl"/>
          <w:spacing w:val="10"/>
          <w:sz w:val="22"/>
          <w:szCs w:val="28"/>
          <w:rtl/>
        </w:rPr>
        <w:t>)</w:t>
      </w:r>
      <w:r w:rsidRPr="004808DB">
        <w:rPr>
          <w:rFonts w:ascii="Arial TUR" w:hAnsi="Arial TUR" w:cs="FrankRuehl" w:hint="cs"/>
          <w:spacing w:val="10"/>
          <w:sz w:val="22"/>
          <w:szCs w:val="28"/>
          <w:rtl/>
        </w:rPr>
        <w:t xml:space="preserve"> 1425)" (בג"ץ 6163/92 </w:t>
      </w:r>
      <w:r w:rsidRPr="004808DB">
        <w:rPr>
          <w:rFonts w:ascii="Century" w:hAnsi="Century" w:cs="Miriam" w:hint="eastAsia"/>
          <w:b/>
          <w:sz w:val="22"/>
          <w:rtl/>
        </w:rPr>
        <w:t>אייזנברג</w:t>
      </w:r>
      <w:r w:rsidRPr="004808DB">
        <w:rPr>
          <w:rFonts w:ascii="Century" w:hAnsi="Century" w:cs="Miriam"/>
          <w:b/>
          <w:sz w:val="22"/>
          <w:rtl/>
        </w:rPr>
        <w:t xml:space="preserve"> </w:t>
      </w:r>
      <w:r w:rsidRPr="004808DB">
        <w:rPr>
          <w:rFonts w:ascii="Century" w:hAnsi="Century" w:cs="Miriam" w:hint="eastAsia"/>
          <w:b/>
          <w:sz w:val="22"/>
          <w:rtl/>
        </w:rPr>
        <w:t>נ</w:t>
      </w:r>
      <w:r w:rsidRPr="004808DB">
        <w:rPr>
          <w:rFonts w:ascii="Century" w:hAnsi="Century" w:cs="Miriam"/>
          <w:b/>
          <w:sz w:val="22"/>
          <w:rtl/>
        </w:rPr>
        <w:t xml:space="preserve">' </w:t>
      </w:r>
      <w:r w:rsidRPr="004808DB">
        <w:rPr>
          <w:rFonts w:ascii="Century" w:hAnsi="Century" w:cs="Miriam" w:hint="eastAsia"/>
          <w:b/>
          <w:sz w:val="22"/>
          <w:rtl/>
        </w:rPr>
        <w:t>שר</w:t>
      </w:r>
      <w:r w:rsidRPr="004808DB">
        <w:rPr>
          <w:rFonts w:ascii="Century" w:hAnsi="Century" w:cs="Miriam"/>
          <w:b/>
          <w:sz w:val="22"/>
          <w:rtl/>
        </w:rPr>
        <w:t xml:space="preserve"> </w:t>
      </w:r>
      <w:r w:rsidRPr="004808DB">
        <w:rPr>
          <w:rFonts w:ascii="Century" w:hAnsi="Century" w:cs="Miriam" w:hint="eastAsia"/>
          <w:b/>
          <w:sz w:val="22"/>
          <w:rtl/>
        </w:rPr>
        <w:t>הבינוי</w:t>
      </w:r>
      <w:r w:rsidRPr="004808DB">
        <w:rPr>
          <w:rFonts w:ascii="Century" w:hAnsi="Century" w:cs="Miriam"/>
          <w:b/>
          <w:sz w:val="22"/>
          <w:rtl/>
        </w:rPr>
        <w:t xml:space="preserve"> </w:t>
      </w:r>
      <w:r w:rsidRPr="004808DB">
        <w:rPr>
          <w:rFonts w:ascii="Century" w:hAnsi="Century" w:cs="Miriam" w:hint="eastAsia"/>
          <w:b/>
          <w:sz w:val="22"/>
          <w:rtl/>
        </w:rPr>
        <w:t>והשיכון</w:t>
      </w:r>
      <w:r w:rsidRPr="004808DB">
        <w:rPr>
          <w:rFonts w:ascii="Arial TUR" w:hAnsi="Arial TUR" w:cs="FrankRuehl" w:hint="cs"/>
          <w:spacing w:val="10"/>
          <w:sz w:val="22"/>
          <w:szCs w:val="28"/>
          <w:rtl/>
        </w:rPr>
        <w:t>, פ"ד מז(2) 229, 265 (1993)).</w:t>
      </w:r>
    </w:p>
    <w:p w14:paraId="3A4528A4"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p>
    <w:p w14:paraId="0A34F8A5"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r w:rsidRPr="004808DB">
        <w:rPr>
          <w:rFonts w:ascii="Century" w:hAnsi="Century" w:cs="FrankRuehl" w:hint="cs"/>
          <w:spacing w:val="10"/>
          <w:sz w:val="22"/>
          <w:szCs w:val="28"/>
          <w:rtl/>
        </w:rPr>
        <w:t xml:space="preserve"> </w:t>
      </w:r>
      <w:r w:rsidRPr="004808DB">
        <w:rPr>
          <w:rFonts w:ascii="Century" w:hAnsi="Century" w:cs="FrankRuehl"/>
          <w:spacing w:val="10"/>
          <w:sz w:val="22"/>
          <w:szCs w:val="28"/>
          <w:rtl/>
        </w:rPr>
        <w:tab/>
      </w:r>
      <w:r w:rsidRPr="004808DB">
        <w:rPr>
          <w:rFonts w:ascii="Century" w:hAnsi="Century" w:cs="FrankRuehl" w:hint="cs"/>
          <w:spacing w:val="10"/>
          <w:sz w:val="22"/>
          <w:szCs w:val="28"/>
          <w:rtl/>
        </w:rPr>
        <w:t>עוד הודגש בפסיקה, כי "</w:t>
      </w:r>
      <w:r w:rsidRPr="004808DB">
        <w:rPr>
          <w:rFonts w:ascii="Century" w:hAnsi="Century" w:cs="FrankRuehl"/>
          <w:spacing w:val="10"/>
          <w:sz w:val="22"/>
          <w:szCs w:val="28"/>
          <w:rtl/>
        </w:rPr>
        <w:t>טוהר השירות והשורות עומד בבסיס השירות הציבורי ובבסיס המבנה החברתי שלנ</w:t>
      </w:r>
      <w:r w:rsidRPr="004808DB">
        <w:rPr>
          <w:rFonts w:ascii="Century" w:hAnsi="Century" w:cs="FrankRuehl" w:hint="cs"/>
          <w:spacing w:val="10"/>
          <w:sz w:val="22"/>
          <w:szCs w:val="28"/>
          <w:rtl/>
        </w:rPr>
        <w:t>ו" (שם, בעמ' 269); וכי "</w:t>
      </w:r>
      <w:r w:rsidRPr="004808DB">
        <w:rPr>
          <w:rFonts w:ascii="Century" w:hAnsi="Century" w:cs="FrankRuehl"/>
          <w:spacing w:val="10"/>
          <w:sz w:val="22"/>
          <w:szCs w:val="28"/>
          <w:rtl/>
        </w:rPr>
        <w:t>מי שנבחר על-ידי העם צריך לשמש מופת לעם, נאמן לעם וראוי לאמון שהעם נתן בו</w:t>
      </w:r>
      <w:r w:rsidRPr="004808DB">
        <w:rPr>
          <w:rFonts w:ascii="Century" w:hAnsi="Century" w:cs="FrankRuehl" w:hint="cs"/>
          <w:spacing w:val="10"/>
          <w:sz w:val="22"/>
          <w:szCs w:val="28"/>
          <w:rtl/>
        </w:rPr>
        <w:t xml:space="preserve">" (בג"ץ 4267/93 </w:t>
      </w:r>
      <w:r w:rsidRPr="004808DB">
        <w:rPr>
          <w:rFonts w:ascii="Century" w:hAnsi="Century" w:cs="Miriam" w:hint="eastAsia"/>
          <w:b/>
          <w:sz w:val="22"/>
          <w:rtl/>
        </w:rPr>
        <w:t>אמיתי</w:t>
      </w:r>
      <w:r w:rsidRPr="004808DB">
        <w:rPr>
          <w:rFonts w:ascii="Century" w:hAnsi="Century" w:cs="Miriam"/>
          <w:b/>
          <w:sz w:val="22"/>
          <w:rtl/>
        </w:rPr>
        <w:t xml:space="preserve"> – </w:t>
      </w:r>
      <w:r w:rsidRPr="004808DB">
        <w:rPr>
          <w:rFonts w:ascii="Century" w:hAnsi="Century" w:cs="Miriam" w:hint="eastAsia"/>
          <w:b/>
          <w:sz w:val="22"/>
          <w:rtl/>
        </w:rPr>
        <w:t>אזרחים</w:t>
      </w:r>
      <w:r w:rsidRPr="004808DB">
        <w:rPr>
          <w:rFonts w:ascii="Century" w:hAnsi="Century" w:cs="Miriam"/>
          <w:b/>
          <w:sz w:val="22"/>
          <w:rtl/>
        </w:rPr>
        <w:t xml:space="preserve"> </w:t>
      </w:r>
      <w:r w:rsidRPr="004808DB">
        <w:rPr>
          <w:rFonts w:ascii="Century" w:hAnsi="Century" w:cs="Miriam" w:hint="eastAsia"/>
          <w:b/>
          <w:sz w:val="22"/>
          <w:rtl/>
        </w:rPr>
        <w:t>למען</w:t>
      </w:r>
      <w:r w:rsidRPr="004808DB">
        <w:rPr>
          <w:rFonts w:ascii="Century" w:hAnsi="Century" w:cs="Miriam"/>
          <w:b/>
          <w:sz w:val="22"/>
          <w:rtl/>
        </w:rPr>
        <w:t xml:space="preserve"> </w:t>
      </w:r>
      <w:r w:rsidRPr="004808DB">
        <w:rPr>
          <w:rFonts w:ascii="Century" w:hAnsi="Century" w:cs="Miriam" w:hint="eastAsia"/>
          <w:b/>
          <w:sz w:val="22"/>
          <w:rtl/>
        </w:rPr>
        <w:t>מינהל</w:t>
      </w:r>
      <w:r w:rsidRPr="004808DB">
        <w:rPr>
          <w:rFonts w:ascii="Century" w:hAnsi="Century" w:cs="Miriam"/>
          <w:b/>
          <w:sz w:val="22"/>
          <w:rtl/>
        </w:rPr>
        <w:t xml:space="preserve"> </w:t>
      </w:r>
      <w:r w:rsidRPr="004808DB">
        <w:rPr>
          <w:rFonts w:ascii="Century" w:hAnsi="Century" w:cs="Miriam" w:hint="eastAsia"/>
          <w:b/>
          <w:sz w:val="22"/>
          <w:rtl/>
        </w:rPr>
        <w:t>תקין</w:t>
      </w:r>
      <w:r w:rsidRPr="004808DB">
        <w:rPr>
          <w:rFonts w:ascii="Century" w:hAnsi="Century" w:cs="Miriam"/>
          <w:b/>
          <w:sz w:val="22"/>
          <w:rtl/>
        </w:rPr>
        <w:t xml:space="preserve"> </w:t>
      </w:r>
      <w:r w:rsidRPr="004808DB">
        <w:rPr>
          <w:rFonts w:ascii="Century" w:hAnsi="Century" w:cs="Miriam" w:hint="eastAsia"/>
          <w:b/>
          <w:sz w:val="22"/>
          <w:rtl/>
        </w:rPr>
        <w:t>וטוהר</w:t>
      </w:r>
      <w:r w:rsidRPr="004808DB">
        <w:rPr>
          <w:rFonts w:ascii="Century" w:hAnsi="Century" w:cs="Miriam"/>
          <w:b/>
          <w:sz w:val="22"/>
          <w:rtl/>
        </w:rPr>
        <w:t xml:space="preserve"> </w:t>
      </w:r>
      <w:r w:rsidRPr="004808DB">
        <w:rPr>
          <w:rFonts w:ascii="Century" w:hAnsi="Century" w:cs="Miriam" w:hint="eastAsia"/>
          <w:b/>
          <w:sz w:val="22"/>
          <w:rtl/>
        </w:rPr>
        <w:t>המידות</w:t>
      </w:r>
      <w:r w:rsidRPr="004808DB">
        <w:rPr>
          <w:rFonts w:ascii="Century" w:hAnsi="Century" w:cs="Miriam"/>
          <w:b/>
          <w:sz w:val="22"/>
          <w:rtl/>
        </w:rPr>
        <w:t xml:space="preserve"> </w:t>
      </w:r>
      <w:r w:rsidRPr="004808DB">
        <w:rPr>
          <w:rFonts w:ascii="Century" w:hAnsi="Century" w:cs="Miriam" w:hint="eastAsia"/>
          <w:b/>
          <w:sz w:val="22"/>
          <w:rtl/>
        </w:rPr>
        <w:t>נ</w:t>
      </w:r>
      <w:r w:rsidRPr="004808DB">
        <w:rPr>
          <w:rFonts w:ascii="Century" w:hAnsi="Century" w:cs="Miriam"/>
          <w:b/>
          <w:sz w:val="22"/>
          <w:rtl/>
        </w:rPr>
        <w:t xml:space="preserve">' </w:t>
      </w:r>
      <w:r w:rsidRPr="004808DB">
        <w:rPr>
          <w:rFonts w:ascii="Century" w:hAnsi="Century" w:cs="Miriam" w:hint="eastAsia"/>
          <w:b/>
          <w:sz w:val="22"/>
          <w:rtl/>
        </w:rPr>
        <w:t>ראש</w:t>
      </w:r>
      <w:r w:rsidRPr="004808DB">
        <w:rPr>
          <w:rFonts w:ascii="Century" w:hAnsi="Century" w:cs="Miriam"/>
          <w:b/>
          <w:sz w:val="22"/>
          <w:rtl/>
        </w:rPr>
        <w:t xml:space="preserve"> </w:t>
      </w:r>
      <w:r w:rsidRPr="004808DB">
        <w:rPr>
          <w:rFonts w:ascii="Century" w:hAnsi="Century" w:cs="Miriam" w:hint="eastAsia"/>
          <w:b/>
          <w:sz w:val="22"/>
          <w:rtl/>
        </w:rPr>
        <w:t>ממשלת</w:t>
      </w:r>
      <w:r w:rsidRPr="004808DB">
        <w:rPr>
          <w:rFonts w:ascii="Century" w:hAnsi="Century" w:cs="Miriam"/>
          <w:b/>
          <w:sz w:val="22"/>
          <w:rtl/>
        </w:rPr>
        <w:t xml:space="preserve"> </w:t>
      </w:r>
      <w:r w:rsidRPr="004808DB">
        <w:rPr>
          <w:rFonts w:ascii="Century" w:hAnsi="Century" w:cs="Miriam" w:hint="eastAsia"/>
          <w:b/>
          <w:sz w:val="22"/>
          <w:rtl/>
        </w:rPr>
        <w:t>ישראל</w:t>
      </w:r>
      <w:r w:rsidRPr="004808DB">
        <w:rPr>
          <w:rFonts w:ascii="Century" w:hAnsi="Century" w:cs="FrankRuehl" w:hint="cs"/>
          <w:spacing w:val="10"/>
          <w:sz w:val="22"/>
          <w:szCs w:val="28"/>
          <w:rtl/>
        </w:rPr>
        <w:t xml:space="preserve">, פ"ד מז(5) 441, 470 (1993); וכן ראו: בג"ץ 4668/01 </w:t>
      </w:r>
      <w:r w:rsidRPr="004808DB">
        <w:rPr>
          <w:rFonts w:ascii="Century" w:hAnsi="Century" w:cs="Miriam" w:hint="eastAsia"/>
          <w:b/>
          <w:sz w:val="22"/>
          <w:rtl/>
        </w:rPr>
        <w:t>ח</w:t>
      </w:r>
      <w:r w:rsidRPr="004808DB">
        <w:rPr>
          <w:rFonts w:ascii="Century" w:hAnsi="Century" w:cs="Miriam"/>
          <w:b/>
          <w:sz w:val="22"/>
          <w:rtl/>
        </w:rPr>
        <w:t>"</w:t>
      </w:r>
      <w:r w:rsidRPr="004808DB">
        <w:rPr>
          <w:rFonts w:ascii="Century" w:hAnsi="Century" w:cs="Miriam" w:hint="eastAsia"/>
          <w:b/>
          <w:sz w:val="22"/>
          <w:rtl/>
        </w:rPr>
        <w:t>כ</w:t>
      </w:r>
      <w:r w:rsidRPr="004808DB">
        <w:rPr>
          <w:rFonts w:ascii="Century" w:hAnsi="Century" w:cs="Miriam"/>
          <w:b/>
          <w:sz w:val="22"/>
          <w:rtl/>
        </w:rPr>
        <w:t xml:space="preserve"> </w:t>
      </w:r>
      <w:r w:rsidRPr="004808DB">
        <w:rPr>
          <w:rFonts w:ascii="Century" w:hAnsi="Century" w:cs="Miriam" w:hint="eastAsia"/>
          <w:b/>
          <w:sz w:val="22"/>
          <w:rtl/>
        </w:rPr>
        <w:t>שריד</w:t>
      </w:r>
      <w:r w:rsidRPr="004808DB">
        <w:rPr>
          <w:rFonts w:ascii="Century" w:hAnsi="Century" w:cs="Miriam"/>
          <w:b/>
          <w:sz w:val="22"/>
          <w:rtl/>
        </w:rPr>
        <w:t xml:space="preserve"> </w:t>
      </w:r>
      <w:r w:rsidRPr="004808DB">
        <w:rPr>
          <w:rFonts w:ascii="Century" w:hAnsi="Century" w:cs="Miriam" w:hint="eastAsia"/>
          <w:b/>
          <w:sz w:val="22"/>
          <w:rtl/>
        </w:rPr>
        <w:t>נ</w:t>
      </w:r>
      <w:r w:rsidRPr="004808DB">
        <w:rPr>
          <w:rFonts w:ascii="Century" w:hAnsi="Century" w:cs="Miriam"/>
          <w:b/>
          <w:sz w:val="22"/>
          <w:rtl/>
        </w:rPr>
        <w:t xml:space="preserve">' </w:t>
      </w:r>
      <w:r w:rsidRPr="004808DB">
        <w:rPr>
          <w:rFonts w:ascii="Century" w:hAnsi="Century" w:cs="Miriam" w:hint="eastAsia"/>
          <w:b/>
          <w:sz w:val="22"/>
          <w:rtl/>
        </w:rPr>
        <w:t>ראש</w:t>
      </w:r>
      <w:r w:rsidRPr="004808DB">
        <w:rPr>
          <w:rFonts w:ascii="Century" w:hAnsi="Century" w:cs="Miriam"/>
          <w:b/>
          <w:sz w:val="22"/>
          <w:rtl/>
        </w:rPr>
        <w:t xml:space="preserve"> </w:t>
      </w:r>
      <w:r w:rsidRPr="004808DB">
        <w:rPr>
          <w:rFonts w:ascii="Century" w:hAnsi="Century" w:cs="Miriam" w:hint="eastAsia"/>
          <w:b/>
          <w:sz w:val="22"/>
          <w:rtl/>
        </w:rPr>
        <w:t>הממשלה</w:t>
      </w:r>
      <w:r w:rsidRPr="004808DB">
        <w:rPr>
          <w:rFonts w:ascii="Century" w:hAnsi="Century" w:cs="FrankRuehl" w:hint="cs"/>
          <w:spacing w:val="10"/>
          <w:sz w:val="22"/>
          <w:szCs w:val="28"/>
          <w:rtl/>
        </w:rPr>
        <w:t xml:space="preserve">, פ"ד נו(2) 265, 280-279 (2001); ע"פ 121/88 </w:t>
      </w:r>
      <w:r w:rsidRPr="004808DB">
        <w:rPr>
          <w:rFonts w:ascii="Century" w:hAnsi="Century" w:cs="Miriam" w:hint="eastAsia"/>
          <w:b/>
          <w:sz w:val="22"/>
          <w:rtl/>
        </w:rPr>
        <w:t>מדינת</w:t>
      </w:r>
      <w:r w:rsidRPr="004808DB">
        <w:rPr>
          <w:rFonts w:ascii="Century" w:hAnsi="Century" w:cs="Miriam"/>
          <w:b/>
          <w:sz w:val="22"/>
          <w:rtl/>
        </w:rPr>
        <w:t xml:space="preserve"> </w:t>
      </w:r>
      <w:r w:rsidRPr="004808DB">
        <w:rPr>
          <w:rFonts w:ascii="Century" w:hAnsi="Century" w:cs="Miriam" w:hint="eastAsia"/>
          <w:b/>
          <w:sz w:val="22"/>
          <w:rtl/>
        </w:rPr>
        <w:t>ישראל</w:t>
      </w:r>
      <w:r w:rsidRPr="004808DB">
        <w:rPr>
          <w:rFonts w:ascii="Century" w:hAnsi="Century" w:cs="Miriam"/>
          <w:b/>
          <w:sz w:val="22"/>
          <w:rtl/>
        </w:rPr>
        <w:t xml:space="preserve"> </w:t>
      </w:r>
      <w:r w:rsidRPr="004808DB">
        <w:rPr>
          <w:rFonts w:ascii="Century" w:hAnsi="Century" w:cs="Miriam" w:hint="eastAsia"/>
          <w:b/>
          <w:sz w:val="22"/>
          <w:rtl/>
        </w:rPr>
        <w:t>נ</w:t>
      </w:r>
      <w:r w:rsidRPr="004808DB">
        <w:rPr>
          <w:rFonts w:ascii="Century" w:hAnsi="Century" w:cs="Miriam"/>
          <w:b/>
          <w:sz w:val="22"/>
          <w:rtl/>
        </w:rPr>
        <w:t xml:space="preserve">' </w:t>
      </w:r>
      <w:r w:rsidRPr="004808DB">
        <w:rPr>
          <w:rFonts w:ascii="Century" w:hAnsi="Century" w:cs="Miriam" w:hint="eastAsia"/>
          <w:b/>
          <w:sz w:val="22"/>
          <w:rtl/>
        </w:rPr>
        <w:t>דרוויש</w:t>
      </w:r>
      <w:r w:rsidRPr="004808DB">
        <w:rPr>
          <w:rFonts w:ascii="Century" w:hAnsi="Century" w:cs="FrankRuehl" w:hint="cs"/>
          <w:spacing w:val="10"/>
          <w:sz w:val="22"/>
          <w:szCs w:val="28"/>
          <w:rtl/>
        </w:rPr>
        <w:t>, פ"ד מה(2) 663, 692 (1991)).</w:t>
      </w:r>
    </w:p>
    <w:p w14:paraId="2D3375FC"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p>
    <w:p w14:paraId="2A420630"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r w:rsidRPr="004808DB">
        <w:rPr>
          <w:rFonts w:ascii="Century" w:hAnsi="Century" w:cs="FrankRuehl" w:hint="cs"/>
          <w:spacing w:val="10"/>
          <w:sz w:val="22"/>
          <w:szCs w:val="28"/>
          <w:rtl/>
        </w:rPr>
        <w:t>3.</w:t>
      </w:r>
      <w:r w:rsidRPr="004808DB">
        <w:rPr>
          <w:rFonts w:ascii="Century" w:hAnsi="Century" w:cs="FrankRuehl"/>
          <w:spacing w:val="10"/>
          <w:sz w:val="22"/>
          <w:szCs w:val="28"/>
          <w:rtl/>
        </w:rPr>
        <w:tab/>
      </w:r>
      <w:r w:rsidRPr="004808DB">
        <w:rPr>
          <w:rFonts w:ascii="Century" w:hAnsi="Century" w:cs="FrankRuehl" w:hint="cs"/>
          <w:spacing w:val="10"/>
          <w:sz w:val="22"/>
          <w:szCs w:val="28"/>
          <w:rtl/>
        </w:rPr>
        <w:t>גם עיון במקורות שופך אור על חשיבות הסוגיה, ולהלן אציין בתמצית דוגמאות מספר בהקשר זה. ראו, למשל, דברי דוד המלך: "</w:t>
      </w:r>
      <w:r w:rsidRPr="004808DB">
        <w:rPr>
          <w:rFonts w:ascii="Century" w:hAnsi="Century" w:cs="FrankRuehl"/>
          <w:spacing w:val="10"/>
          <w:sz w:val="22"/>
          <w:szCs w:val="28"/>
          <w:shd w:val="clear" w:color="auto" w:fill="FFFFFF"/>
          <w:rtl/>
        </w:rPr>
        <w:t>מִי-יַעֲלֶה בְהַר-יְהוָה;</w:t>
      </w:r>
      <w:r w:rsidRPr="004808DB">
        <w:rPr>
          <w:rFonts w:ascii="Century" w:hAnsi="Century" w:cs="FrankRuehl" w:hint="cs"/>
          <w:spacing w:val="10"/>
          <w:sz w:val="22"/>
          <w:szCs w:val="28"/>
          <w:shd w:val="clear" w:color="auto" w:fill="FFFFFF"/>
          <w:rtl/>
        </w:rPr>
        <w:t xml:space="preserve"> </w:t>
      </w:r>
      <w:r w:rsidRPr="004808DB">
        <w:rPr>
          <w:rFonts w:ascii="Century" w:hAnsi="Century" w:cs="FrankRuehl"/>
          <w:spacing w:val="10"/>
          <w:sz w:val="22"/>
          <w:szCs w:val="28"/>
          <w:shd w:val="clear" w:color="auto" w:fill="FFFFFF"/>
          <w:rtl/>
        </w:rPr>
        <w:t>וּמִי-יָקוּם, בִּמְקוֹם קָדְשׁוֹ</w:t>
      </w:r>
      <w:r w:rsidRPr="004808DB">
        <w:rPr>
          <w:rFonts w:ascii="Century" w:hAnsi="Century" w:cs="FrankRuehl" w:hint="cs"/>
          <w:spacing w:val="10"/>
          <w:sz w:val="22"/>
          <w:szCs w:val="28"/>
          <w:shd w:val="clear" w:color="auto" w:fill="FFFFFF"/>
          <w:rtl/>
        </w:rPr>
        <w:t>:</w:t>
      </w:r>
      <w:r w:rsidRPr="004808DB">
        <w:rPr>
          <w:rFonts w:ascii="Century" w:hAnsi="Century" w:cs="Miriam"/>
          <w:b/>
          <w:spacing w:val="10"/>
          <w:sz w:val="22"/>
          <w:shd w:val="clear" w:color="auto" w:fill="FFFFFF"/>
        </w:rPr>
        <w:t> </w:t>
      </w:r>
      <w:r w:rsidRPr="004808DB">
        <w:rPr>
          <w:rFonts w:ascii="Century" w:hAnsi="Century" w:cs="Miriam"/>
          <w:b/>
          <w:spacing w:val="10"/>
          <w:sz w:val="22"/>
          <w:shd w:val="clear" w:color="auto" w:fill="FFFFFF"/>
          <w:rtl/>
        </w:rPr>
        <w:t>נְקִי כַפַּיִם, וּבַר-לֵבָב</w:t>
      </w:r>
      <w:r w:rsidRPr="004808DB">
        <w:rPr>
          <w:rFonts w:ascii="Century" w:hAnsi="Century" w:cs="FrankRuehl" w:hint="cs"/>
          <w:spacing w:val="10"/>
          <w:sz w:val="22"/>
          <w:szCs w:val="28"/>
          <w:shd w:val="clear" w:color="auto" w:fill="FFFFFF"/>
          <w:rtl/>
        </w:rPr>
        <w:t xml:space="preserve">: </w:t>
      </w:r>
      <w:r w:rsidRPr="004808DB">
        <w:rPr>
          <w:rFonts w:ascii="Century" w:hAnsi="Century" w:cs="FrankRuehl"/>
          <w:spacing w:val="10"/>
          <w:sz w:val="22"/>
          <w:szCs w:val="28"/>
          <w:shd w:val="clear" w:color="auto" w:fill="FFFFFF"/>
          <w:rtl/>
        </w:rPr>
        <w:t xml:space="preserve">אֲשֶׁר לֹא-נָשָׂא </w:t>
      </w:r>
      <w:proofErr w:type="spellStart"/>
      <w:r w:rsidRPr="004808DB">
        <w:rPr>
          <w:rFonts w:ascii="Century" w:hAnsi="Century" w:cs="FrankRuehl"/>
          <w:spacing w:val="10"/>
          <w:sz w:val="22"/>
          <w:szCs w:val="28"/>
          <w:shd w:val="clear" w:color="auto" w:fill="FFFFFF"/>
          <w:rtl/>
        </w:rPr>
        <w:t>לַשָּׁוְא</w:t>
      </w:r>
      <w:proofErr w:type="spellEnd"/>
      <w:r w:rsidRPr="004808DB">
        <w:rPr>
          <w:rFonts w:ascii="Century" w:hAnsi="Century" w:cs="FrankRuehl"/>
          <w:spacing w:val="10"/>
          <w:sz w:val="22"/>
          <w:szCs w:val="28"/>
          <w:shd w:val="clear" w:color="auto" w:fill="FFFFFF"/>
          <w:rtl/>
        </w:rPr>
        <w:t xml:space="preserve"> נַפְשִׁי; וְלֹא נִשְׁבַּע לְמִרְמָה</w:t>
      </w:r>
      <w:r w:rsidRPr="004808DB">
        <w:rPr>
          <w:rFonts w:ascii="Century" w:hAnsi="Century" w:cs="FrankRuehl" w:hint="cs"/>
          <w:spacing w:val="10"/>
          <w:sz w:val="22"/>
          <w:szCs w:val="28"/>
          <w:shd w:val="clear" w:color="auto" w:fill="FFFFFF"/>
          <w:rtl/>
        </w:rPr>
        <w:t>" (תהילים כ"ד, ג'-ד'). גם</w:t>
      </w:r>
      <w:bookmarkStart w:id="13" w:name="4"/>
      <w:bookmarkEnd w:id="13"/>
      <w:r w:rsidRPr="004808DB">
        <w:rPr>
          <w:rFonts w:ascii="Century" w:hAnsi="Century" w:cs="FrankRuehl" w:hint="cs"/>
          <w:spacing w:val="10"/>
          <w:sz w:val="22"/>
          <w:szCs w:val="28"/>
          <w:shd w:val="clear" w:color="auto" w:fill="FFFFFF"/>
          <w:rtl/>
        </w:rPr>
        <w:t xml:space="preserve"> מהציווי "</w:t>
      </w:r>
      <w:r w:rsidRPr="004808DB">
        <w:rPr>
          <w:rFonts w:ascii="Century" w:hAnsi="Century" w:cs="FrankRuehl"/>
          <w:spacing w:val="10"/>
          <w:sz w:val="22"/>
          <w:szCs w:val="28"/>
          <w:shd w:val="clear" w:color="auto" w:fill="FFFFFF"/>
          <w:rtl/>
        </w:rPr>
        <w:t>וִהְיִיתֶם נְקִיִּים מֵ</w:t>
      </w:r>
      <w:r w:rsidRPr="004808DB">
        <w:rPr>
          <w:rFonts w:ascii="Century" w:hAnsi="Century" w:cs="FrankRuehl" w:hint="cs"/>
          <w:spacing w:val="10"/>
          <w:sz w:val="22"/>
          <w:szCs w:val="28"/>
          <w:shd w:val="clear" w:color="auto" w:fill="FFFFFF"/>
          <w:rtl/>
        </w:rPr>
        <w:t>ה'</w:t>
      </w:r>
      <w:r w:rsidRPr="004808DB">
        <w:rPr>
          <w:rFonts w:ascii="Century" w:hAnsi="Century" w:cs="FrankRuehl"/>
          <w:spacing w:val="10"/>
          <w:sz w:val="22"/>
          <w:szCs w:val="28"/>
          <w:shd w:val="clear" w:color="auto" w:fill="FFFFFF"/>
          <w:rtl/>
        </w:rPr>
        <w:t xml:space="preserve"> וּמִיִּשְׂרָאֵל</w:t>
      </w:r>
      <w:r w:rsidRPr="004808DB">
        <w:rPr>
          <w:rFonts w:ascii="Century" w:hAnsi="Century" w:cs="FrankRuehl" w:hint="cs"/>
          <w:spacing w:val="10"/>
          <w:sz w:val="22"/>
          <w:szCs w:val="28"/>
          <w:shd w:val="clear" w:color="auto" w:fill="FFFFFF"/>
          <w:rtl/>
        </w:rPr>
        <w:t xml:space="preserve">" (במדבר ל"ב, כ"ב), למדו חז"ל על החשיבות שבהבטחת התנהלות נקייה מבחינה ערכית-מוסרית של בעלי תפקידים ציבוריים, תוך הימנעות אף ממראית עין של היעדר-יושרה. בתוך כך, מסופר על בני משפחה שהייתה ממונה על הכנת הקטורת בבית המקדש, שמעולם לא יצאה כלה מבושמת </w:t>
      </w:r>
      <w:r w:rsidRPr="004808DB">
        <w:rPr>
          <w:rFonts w:ascii="Century" w:hAnsi="Century" w:cs="FrankRuehl" w:hint="eastAsia"/>
          <w:spacing w:val="10"/>
          <w:sz w:val="22"/>
          <w:szCs w:val="28"/>
          <w:shd w:val="clear" w:color="auto" w:fill="FFFFFF"/>
          <w:rtl/>
        </w:rPr>
        <w:t>מביתם</w:t>
      </w:r>
      <w:r w:rsidRPr="004808DB">
        <w:rPr>
          <w:rFonts w:ascii="Century" w:hAnsi="Century" w:cs="FrankRuehl" w:hint="cs"/>
          <w:spacing w:val="10"/>
          <w:sz w:val="22"/>
          <w:szCs w:val="28"/>
          <w:shd w:val="clear" w:color="auto" w:fill="FFFFFF"/>
          <w:rtl/>
        </w:rPr>
        <w:t xml:space="preserve">, כדי שלא יאמרו הבריות שהתבשמה הכלה מהקטורת, אשר הייתה </w:t>
      </w:r>
      <w:r w:rsidRPr="004808DB">
        <w:rPr>
          <w:rFonts w:ascii="Century" w:hAnsi="Century" w:cs="FrankRuehl" w:hint="cs"/>
          <w:spacing w:val="10"/>
          <w:sz w:val="22"/>
          <w:szCs w:val="28"/>
          <w:shd w:val="clear" w:color="auto" w:fill="FFFFFF"/>
          <w:rtl/>
        </w:rPr>
        <w:lastRenderedPageBreak/>
        <w:t xml:space="preserve">מיועדת רק למקדש (ראו: בבלי, יומא ל"ח, ע"א). דוגמא נוספת היא הקביעה, ש"אין </w:t>
      </w:r>
      <w:proofErr w:type="spellStart"/>
      <w:r w:rsidRPr="004808DB">
        <w:rPr>
          <w:rFonts w:ascii="Century" w:hAnsi="Century" w:cs="FrankRuehl" w:hint="cs"/>
          <w:spacing w:val="10"/>
          <w:sz w:val="22"/>
          <w:szCs w:val="28"/>
          <w:shd w:val="clear" w:color="auto" w:fill="FFFFFF"/>
          <w:rtl/>
        </w:rPr>
        <w:t>עושין</w:t>
      </w:r>
      <w:proofErr w:type="spellEnd"/>
      <w:r w:rsidRPr="004808DB">
        <w:rPr>
          <w:rFonts w:ascii="Century" w:hAnsi="Century" w:cs="FrankRuehl" w:hint="cs"/>
          <w:spacing w:val="10"/>
          <w:sz w:val="22"/>
          <w:szCs w:val="28"/>
          <w:shd w:val="clear" w:color="auto" w:fill="FFFFFF"/>
          <w:rtl/>
        </w:rPr>
        <w:t xml:space="preserve"> שררות על הציבור פחות משניים", כך שיהיה פיקוח הדדי, ועל-מנת למנוע חשד שמא התפקיד הציבורי מנוצל לרעה (בבלי, בבא </w:t>
      </w:r>
      <w:proofErr w:type="spellStart"/>
      <w:r w:rsidRPr="004808DB">
        <w:rPr>
          <w:rFonts w:ascii="Century" w:hAnsi="Century" w:cs="FrankRuehl" w:hint="cs"/>
          <w:spacing w:val="10"/>
          <w:sz w:val="22"/>
          <w:szCs w:val="28"/>
          <w:shd w:val="clear" w:color="auto" w:fill="FFFFFF"/>
          <w:rtl/>
        </w:rPr>
        <w:t>בתרא</w:t>
      </w:r>
      <w:proofErr w:type="spellEnd"/>
      <w:r w:rsidRPr="004808DB">
        <w:rPr>
          <w:rFonts w:ascii="Century" w:hAnsi="Century" w:cs="FrankRuehl" w:hint="cs"/>
          <w:spacing w:val="10"/>
          <w:sz w:val="22"/>
          <w:szCs w:val="28"/>
          <w:shd w:val="clear" w:color="auto" w:fill="FFFFFF"/>
          <w:rtl/>
        </w:rPr>
        <w:t xml:space="preserve"> ח, ע"ב). כמו כן, הודגשה </w:t>
      </w:r>
      <w:r w:rsidRPr="004808DB">
        <w:rPr>
          <w:rFonts w:ascii="Century" w:hAnsi="Century" w:cs="FrankRuehl" w:hint="cs"/>
          <w:spacing w:val="10"/>
          <w:sz w:val="22"/>
          <w:szCs w:val="28"/>
          <w:rtl/>
        </w:rPr>
        <w:t>הקפדתו של משה רבנו, להפקיד את מלאכת החשבונות של כספי הציבור בידי אחרים (ראו: שמות רבה, פרשה נ"א).</w:t>
      </w:r>
    </w:p>
    <w:p w14:paraId="41F41769"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p>
    <w:p w14:paraId="4C32E4EB" w14:textId="77777777" w:rsidR="007E603E" w:rsidRPr="004808DB" w:rsidRDefault="007E603E" w:rsidP="007E603E">
      <w:pPr>
        <w:tabs>
          <w:tab w:val="left" w:pos="800"/>
        </w:tabs>
        <w:spacing w:line="360" w:lineRule="auto"/>
        <w:jc w:val="both"/>
        <w:rPr>
          <w:rFonts w:ascii="Century" w:hAnsi="Century" w:cs="FrankRuehl"/>
          <w:spacing w:val="10"/>
          <w:sz w:val="22"/>
          <w:szCs w:val="28"/>
          <w:rtl/>
        </w:rPr>
      </w:pPr>
      <w:r w:rsidRPr="004808DB">
        <w:rPr>
          <w:rFonts w:ascii="Century" w:hAnsi="Century" w:cs="FrankRuehl" w:hint="cs"/>
          <w:spacing w:val="10"/>
          <w:sz w:val="22"/>
          <w:szCs w:val="28"/>
          <w:rtl/>
        </w:rPr>
        <w:t>4.</w:t>
      </w:r>
      <w:r w:rsidRPr="004808DB">
        <w:rPr>
          <w:rFonts w:ascii="Century" w:hAnsi="Century" w:cs="FrankRuehl"/>
          <w:spacing w:val="10"/>
          <w:sz w:val="22"/>
          <w:szCs w:val="28"/>
          <w:rtl/>
        </w:rPr>
        <w:tab/>
      </w:r>
      <w:r w:rsidRPr="004808DB">
        <w:rPr>
          <w:rFonts w:ascii="Century" w:hAnsi="Century" w:cs="FrankRuehl" w:hint="cs"/>
          <w:spacing w:val="10"/>
          <w:sz w:val="22"/>
          <w:szCs w:val="28"/>
          <w:rtl/>
        </w:rPr>
        <w:t>על רקע דברים אלה, אזכיר את עיקרי הנתונים הרלוונטיים לעברו הפלילי של דרעי, ולהתנהלותו סביב ההליך בבית משפט השלום, שגזר את דינו לפני כשנה.</w:t>
      </w:r>
    </w:p>
    <w:p w14:paraId="5784FA0A" w14:textId="77777777" w:rsidR="007E603E" w:rsidRPr="004808DB" w:rsidRDefault="007E603E" w:rsidP="007E603E">
      <w:pPr>
        <w:spacing w:line="360" w:lineRule="auto"/>
        <w:ind w:firstLine="720"/>
        <w:jc w:val="both"/>
        <w:rPr>
          <w:rFonts w:ascii="Century" w:hAnsi="Century" w:cs="FrankRuehl"/>
          <w:spacing w:val="10"/>
          <w:szCs w:val="28"/>
          <w:rtl/>
        </w:rPr>
      </w:pPr>
    </w:p>
    <w:p w14:paraId="23793657"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t xml:space="preserve">(-) בשנת 1999 הורשע דרעי, בפרשת "התיק האישי", בעבירת שוחד, בעבירות מרמה והפרת אמונים ובעבירת קבלת דבר במרמה בנסיבות מחמירות, שבוצעו על-ידו שעה שכיהן כעוזר שר הפנים, כמנכ"ל המשרד וכשר הפנים; ונגזרו עליו ארבע שנות מאסר בפועל וקנס (ערעור שהגיש לבית משפט זה התקבל בחלקו ועונשו הועמד על שלוש שנות מאסר בפועל). </w:t>
      </w:r>
    </w:p>
    <w:p w14:paraId="7C265FE0" w14:textId="77777777" w:rsidR="007E603E" w:rsidRPr="004808DB" w:rsidRDefault="007E603E" w:rsidP="007E603E">
      <w:pPr>
        <w:spacing w:line="360" w:lineRule="auto"/>
        <w:ind w:firstLine="720"/>
        <w:jc w:val="both"/>
        <w:rPr>
          <w:rFonts w:ascii="Century" w:hAnsi="Century" w:cs="FrankRuehl"/>
          <w:spacing w:val="10"/>
          <w:szCs w:val="28"/>
          <w:rtl/>
        </w:rPr>
      </w:pPr>
    </w:p>
    <w:p w14:paraId="6738FE06"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t>(-) בשנת 2003 הורשע דרעי, בפרשת "התיק הציבורי", בעבירת הפרת אמונים, בגין מעשים שביצע במהלך כהונתו כשר הפנים, ונגזרו עליו עונש מאסר על תנאי וקנס.</w:t>
      </w:r>
    </w:p>
    <w:p w14:paraId="10760A85" w14:textId="77777777" w:rsidR="007E603E" w:rsidRPr="004808DB" w:rsidRDefault="007E603E" w:rsidP="007E603E">
      <w:pPr>
        <w:spacing w:line="360" w:lineRule="auto"/>
        <w:ind w:firstLine="720"/>
        <w:jc w:val="both"/>
        <w:rPr>
          <w:rFonts w:ascii="Century" w:hAnsi="Century" w:cs="FrankRuehl"/>
          <w:spacing w:val="10"/>
          <w:szCs w:val="28"/>
          <w:rtl/>
        </w:rPr>
      </w:pPr>
    </w:p>
    <w:p w14:paraId="1B7E37BB"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t>(-) בשנת 1997 אימץ היועץ המשפטי לממשלה דאז את המלצת פרקליטת המדינה, להעמיד את דרעי לדין בעבירות מרמה והפרת אמונים, סחיטה באיומים ושיבוש מהלכי משפט. זאת, בגין חשד כי פעל לקידום מינויו של עו"ד רוני בר-און לתפקיד היועץ המשפטי לממשלה, בשל הבטחה שלכאורה ניתנה לו מצד עו"ד בר-און, שיפעל לטובת ענייניו הפליליים של דרעי, בפרשות הנ"ל, אם ימונה לתפקיד היועמ"ש (פרשה זו נודעה בכינוי "בראון-חברון"). בשלהי שנת 2001 הודיע היועמ"ש על סגירת התיק נגד דרעי בפרשת "בראון-חברון", לנוכח הרשעתו ב"תיק האישי" והתקדמות ההליכים ב"תיק הציבורי", אך בהודעת היועמ"ש הודגש כי "היועץ המשפטי לממשלה ופרקליטת המדינה ראו בחומרה, אז כהיום, חשד לעסקה פוליטית למינוי יועץ משפטי שיהא להנחת דעתו של נאשם במשפט פלילי".</w:t>
      </w:r>
    </w:p>
    <w:p w14:paraId="542CC93D" w14:textId="77777777" w:rsidR="007E603E" w:rsidRPr="004808DB" w:rsidRDefault="007E603E" w:rsidP="007E603E">
      <w:pPr>
        <w:spacing w:line="360" w:lineRule="auto"/>
        <w:ind w:firstLine="720"/>
        <w:jc w:val="both"/>
        <w:rPr>
          <w:rFonts w:ascii="Century" w:hAnsi="Century" w:cs="FrankRuehl"/>
          <w:spacing w:val="10"/>
          <w:szCs w:val="28"/>
          <w:rtl/>
        </w:rPr>
      </w:pPr>
    </w:p>
    <w:p w14:paraId="55310DDD"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t xml:space="preserve">(-) בשנת 2020 נמחקו מהמרשם הפלילי העבירות שדרעי הורשע בהן במסגרת פרשות "התיק האישי" ו"התיק הציבורי", בהתאם לחוק המידע הפלילי ותקנת השבים, התשע"ט-2019 (להלן: </w:t>
      </w:r>
      <w:r w:rsidRPr="004808DB">
        <w:rPr>
          <w:rFonts w:ascii="Century" w:hAnsi="Century" w:cs="Miriam" w:hint="cs"/>
          <w:b/>
          <w:sz w:val="22"/>
          <w:rtl/>
        </w:rPr>
        <w:t>חוק המידע הפלילי</w:t>
      </w:r>
      <w:r w:rsidRPr="004808DB">
        <w:rPr>
          <w:rFonts w:ascii="Century" w:hAnsi="Century" w:cs="FrankRuehl" w:hint="cs"/>
          <w:spacing w:val="10"/>
          <w:sz w:val="22"/>
          <w:szCs w:val="28"/>
          <w:rtl/>
        </w:rPr>
        <w:t>)</w:t>
      </w:r>
      <w:r w:rsidRPr="004808DB">
        <w:rPr>
          <w:rFonts w:ascii="Century" w:hAnsi="Century" w:cs="FrankRuehl" w:hint="cs"/>
          <w:spacing w:val="10"/>
          <w:szCs w:val="28"/>
          <w:rtl/>
        </w:rPr>
        <w:t>.</w:t>
      </w:r>
    </w:p>
    <w:p w14:paraId="55EDB5EB" w14:textId="77777777" w:rsidR="007E603E" w:rsidRPr="004808DB" w:rsidRDefault="007E603E" w:rsidP="007E603E">
      <w:pPr>
        <w:spacing w:line="360" w:lineRule="auto"/>
        <w:ind w:firstLine="720"/>
        <w:jc w:val="both"/>
        <w:rPr>
          <w:rFonts w:ascii="Century" w:hAnsi="Century" w:cs="FrankRuehl"/>
          <w:spacing w:val="10"/>
          <w:szCs w:val="28"/>
          <w:rtl/>
        </w:rPr>
      </w:pPr>
    </w:p>
    <w:p w14:paraId="1B68E206"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lastRenderedPageBreak/>
        <w:t>(-) בחודש פברואר 2022 הורשע דרעי, על-פי הודאתו במסגרת הסדר טיעון, בעבירות מס בגין שני אירועים נפרדים. דרעי הורשע, בין היתר, בעבירת סיוע לעריכת "הצהרה, ידיעה או הודעה [...] ביודעו שאינן נכונות", לפי סעיף 98(ג1) לחוק מיסוי מקרקעין (שבח ורכישה), התשכ"ג-1963; ובעבירת דו"ח וידיעות לא נכונים ללא הצדק סביר, לפי סעיף 217 לפקודת מס הכנסה [נוסח חדש] (להלן:</w:t>
      </w:r>
      <w:r w:rsidRPr="004808DB">
        <w:rPr>
          <w:rFonts w:ascii="Century" w:hAnsi="Century" w:cs="FrankRuehl" w:hint="cs"/>
          <w:spacing w:val="10"/>
          <w:szCs w:val="28"/>
        </w:rPr>
        <w:t xml:space="preserve"> </w:t>
      </w:r>
      <w:r w:rsidRPr="004808DB">
        <w:rPr>
          <w:rFonts w:ascii="Century" w:hAnsi="Century" w:cs="Miriam" w:hint="cs"/>
          <w:b/>
          <w:sz w:val="22"/>
          <w:rtl/>
        </w:rPr>
        <w:t>עבירות המס</w:t>
      </w:r>
      <w:r w:rsidRPr="004808DB">
        <w:rPr>
          <w:rFonts w:ascii="Century" w:hAnsi="Century" w:cs="FrankRuehl" w:hint="cs"/>
          <w:spacing w:val="10"/>
          <w:sz w:val="22"/>
          <w:szCs w:val="28"/>
          <w:rtl/>
        </w:rPr>
        <w:t>)</w:t>
      </w:r>
      <w:r w:rsidRPr="004808DB">
        <w:rPr>
          <w:rFonts w:ascii="Century" w:hAnsi="Century" w:cs="FrankRuehl" w:hint="cs"/>
          <w:spacing w:val="10"/>
          <w:szCs w:val="28"/>
          <w:rtl/>
        </w:rPr>
        <w:t>. בגזר הדין אימץ בית משפט השלום את העונש שהוסכם בהסדר הטיעון וגזר על דרעי 12 חודשי מאסר על תנאי לתקופה של שלוש שנים, וקנס בסך 180,000 ש"ח.</w:t>
      </w:r>
    </w:p>
    <w:p w14:paraId="21B3B801" w14:textId="77777777" w:rsidR="007E603E" w:rsidRPr="004808DB" w:rsidRDefault="007E603E" w:rsidP="007E603E">
      <w:pPr>
        <w:spacing w:line="360" w:lineRule="auto"/>
        <w:ind w:firstLine="720"/>
        <w:jc w:val="both"/>
        <w:rPr>
          <w:rFonts w:ascii="Century" w:hAnsi="Century" w:cs="FrankRuehl"/>
          <w:spacing w:val="10"/>
          <w:szCs w:val="28"/>
          <w:rtl/>
        </w:rPr>
      </w:pPr>
    </w:p>
    <w:p w14:paraId="06A6BE35"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t xml:space="preserve">(-) מספר ימים לפני הרשעתו בעבירות המס התפטר דרעי מכהונתו כחבר כנסת, ובשל כך הודיע בא-כוח המדינה לבית משפט השלום כי לא יטען בסוגיית הקלון ביחס לעבירות הנ"ל. </w:t>
      </w:r>
    </w:p>
    <w:p w14:paraId="45DBA170" w14:textId="77777777" w:rsidR="007E603E" w:rsidRPr="004808DB" w:rsidRDefault="007E603E" w:rsidP="007E603E">
      <w:pPr>
        <w:spacing w:line="360" w:lineRule="auto"/>
        <w:ind w:firstLine="720"/>
        <w:jc w:val="both"/>
        <w:rPr>
          <w:rFonts w:ascii="Century" w:hAnsi="Century" w:cs="FrankRuehl"/>
          <w:spacing w:val="10"/>
          <w:szCs w:val="28"/>
          <w:rtl/>
        </w:rPr>
      </w:pPr>
    </w:p>
    <w:p w14:paraId="15CD29A5" w14:textId="77777777" w:rsidR="007E603E" w:rsidRPr="004808DB" w:rsidRDefault="007E603E" w:rsidP="007E603E">
      <w:pPr>
        <w:spacing w:line="360" w:lineRule="auto"/>
        <w:ind w:firstLine="720"/>
        <w:jc w:val="both"/>
        <w:rPr>
          <w:rFonts w:ascii="Century" w:hAnsi="Century" w:cs="FrankRuehl"/>
          <w:spacing w:val="10"/>
          <w:szCs w:val="28"/>
          <w:rtl/>
        </w:rPr>
      </w:pPr>
      <w:r w:rsidRPr="004808DB">
        <w:rPr>
          <w:rFonts w:ascii="Century" w:hAnsi="Century" w:cs="FrankRuehl" w:hint="cs"/>
          <w:spacing w:val="10"/>
          <w:szCs w:val="28"/>
          <w:rtl/>
        </w:rPr>
        <w:t>(-) גזר הדין בעבירות המס ניתן על רקע מצג שהציג דרעי לבית משפט השלום, שלפיו הוא פורש מהחיים הפוליטיים. כך, למשל, במסגרת דיון הטיעונים לעונש, הצהיר דרעי, בין היתר, כי "החלטתי [...] עם הזמן שנשאר לי להשקיע בצרכי ציבור [...] להמשיך לייצג את השכבות והציבור שאני מייצג בצורה אחרת גם אם לא מהכנסת [...] היה חשוב לי להדגיש. אני לוקח אחריות"; בא-כוחו של דרעי הדגיש כי מדובר ב"מטה לחמו לאחר 9 שנים כח"כ וכשר, הוויתור שלו יכול להיות במיליוני שקלים, צריך לחפש מאיפה להביא פרנסה עכשיו"; בא-כוח המדינה ציין במעמד זה כי יש לשקול לטובת דרעי את "פרישתו מחייו הפוליטיים משקפים כי פיו ולבו שווים".</w:t>
      </w:r>
    </w:p>
    <w:p w14:paraId="7AC35E41" w14:textId="77777777" w:rsidR="007E603E" w:rsidRPr="004808DB" w:rsidRDefault="007E603E" w:rsidP="007E603E">
      <w:pPr>
        <w:spacing w:line="360" w:lineRule="auto"/>
        <w:ind w:firstLine="720"/>
        <w:jc w:val="both"/>
        <w:rPr>
          <w:rFonts w:ascii="Century" w:hAnsi="Century" w:cs="FrankRuehl"/>
          <w:spacing w:val="10"/>
          <w:szCs w:val="28"/>
          <w:rtl/>
        </w:rPr>
      </w:pPr>
    </w:p>
    <w:p w14:paraId="3403D01C"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Cs w:val="28"/>
          <w:rtl/>
        </w:rPr>
        <w:t>(-) על רקע מצג זה, בגזר הדין</w:t>
      </w:r>
      <w:r w:rsidRPr="004808DB">
        <w:rPr>
          <w:rFonts w:ascii="Century" w:hAnsi="Century" w:cs="FrankRuehl" w:hint="cs"/>
          <w:spacing w:val="10"/>
          <w:sz w:val="22"/>
          <w:szCs w:val="28"/>
          <w:rtl/>
        </w:rPr>
        <w:t xml:space="preserve"> נקבע כי יש לשקול לזכות דרעי, בין היתר, את "עזיבתו את הזירה הציבורית"; </w:t>
      </w:r>
      <w:r w:rsidRPr="004808DB">
        <w:rPr>
          <w:rFonts w:ascii="Century" w:hAnsi="Century" w:cs="FrankRuehl" w:hint="cs"/>
          <w:spacing w:val="10"/>
          <w:szCs w:val="28"/>
          <w:rtl/>
        </w:rPr>
        <w:t>וצוין כי "</w:t>
      </w:r>
      <w:r w:rsidRPr="004808DB">
        <w:rPr>
          <w:rFonts w:ascii="Century" w:hAnsi="Century" w:cs="FrankRuehl"/>
          <w:spacing w:val="10"/>
          <w:sz w:val="22"/>
          <w:szCs w:val="28"/>
          <w:rtl/>
        </w:rPr>
        <w:t>כל החושש מן הנאשם ומפגיעתו בקופה הציבורית ויטען כי קיימת בו מסוכנות בכל הכרוך במשאו ובמתנו בענייני ממון הרבים או היחיד –</w:t>
      </w:r>
      <w:r w:rsidRPr="004808DB">
        <w:rPr>
          <w:rFonts w:ascii="Century" w:hAnsi="Century" w:cs="FrankRuehl" w:hint="cs"/>
          <w:spacing w:val="10"/>
          <w:sz w:val="22"/>
          <w:szCs w:val="28"/>
          <w:rtl/>
        </w:rPr>
        <w:t xml:space="preserve"> </w:t>
      </w:r>
      <w:r w:rsidRPr="004808DB">
        <w:rPr>
          <w:rFonts w:ascii="Century" w:hAnsi="Century" w:cs="FrankRuehl"/>
          <w:spacing w:val="10"/>
          <w:sz w:val="22"/>
          <w:szCs w:val="28"/>
          <w:rtl/>
        </w:rPr>
        <w:t>יוכל למצוא מנוח לחשש זה ולומר בוודאות כי הנאשם לא ייגע עוד בצרכי ציבור הכורכים בתוכם עיסוק כלכלי, וזאת בשל התרחקותו מהזירה הציבורית</w:t>
      </w:r>
      <w:r w:rsidRPr="004808DB">
        <w:rPr>
          <w:rFonts w:ascii="Century" w:hAnsi="Century" w:cs="FrankRuehl" w:hint="cs"/>
          <w:spacing w:val="10"/>
          <w:sz w:val="22"/>
          <w:szCs w:val="28"/>
          <w:rtl/>
        </w:rPr>
        <w:t>".</w:t>
      </w:r>
    </w:p>
    <w:p w14:paraId="11539C9D" w14:textId="77777777" w:rsidR="007E603E" w:rsidRPr="004808DB" w:rsidRDefault="007E603E" w:rsidP="007E603E">
      <w:pPr>
        <w:spacing w:line="360" w:lineRule="auto"/>
        <w:ind w:firstLine="720"/>
        <w:jc w:val="both"/>
        <w:rPr>
          <w:rFonts w:ascii="Century" w:hAnsi="Century" w:cs="FrankRuehl"/>
          <w:spacing w:val="10"/>
          <w:sz w:val="22"/>
          <w:szCs w:val="28"/>
          <w:rtl/>
        </w:rPr>
      </w:pPr>
    </w:p>
    <w:p w14:paraId="4FABEFBA"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 w:val="22"/>
          <w:szCs w:val="28"/>
          <w:rtl/>
        </w:rPr>
        <w:t xml:space="preserve">(-) טרם יבשה הדיו על גזר הדין, כיממה לאחר נתינתו, ערך דרעי מסיבת עיתונאים והצהיר, בין היתר, כי "כולם יודעים שאם לא היו קוראים לי אריה מכלוף דרעי הנושא היה נפתר מול פקיד השומה"; וכי "אני לא הולך לשום מקום. אני ניצב על משמרתי כיו"ר תנועת ש"ס וממשיך לנהל את ענייני הציבור מכל מקום </w:t>
      </w:r>
      <w:r w:rsidRPr="004808DB">
        <w:rPr>
          <w:rFonts w:ascii="Century" w:hAnsi="Century" w:cs="FrankRuehl"/>
          <w:spacing w:val="10"/>
          <w:sz w:val="22"/>
          <w:szCs w:val="28"/>
          <w:rtl/>
        </w:rPr>
        <w:t>–</w:t>
      </w:r>
      <w:r w:rsidRPr="004808DB">
        <w:rPr>
          <w:rFonts w:ascii="Century" w:hAnsi="Century" w:cs="FrankRuehl" w:hint="cs"/>
          <w:spacing w:val="10"/>
          <w:sz w:val="22"/>
          <w:szCs w:val="28"/>
          <w:rtl/>
        </w:rPr>
        <w:t xml:space="preserve"> מהכנסת, ממשרדי התנועה, מסיורים בשטח ומכל מקום שארגיש צורך להיות בו. אמשיך להשתתף בישיבות ראשי מפלגות האופוזיציה, לנהל את ישיבות סיעת ש"ס [...]".</w:t>
      </w:r>
    </w:p>
    <w:p w14:paraId="1218915C" w14:textId="77777777" w:rsidR="007E603E" w:rsidRPr="004808DB" w:rsidRDefault="007E603E" w:rsidP="007E603E">
      <w:pPr>
        <w:spacing w:line="360" w:lineRule="auto"/>
        <w:ind w:firstLine="720"/>
        <w:jc w:val="both"/>
        <w:rPr>
          <w:rFonts w:ascii="Century" w:hAnsi="Century" w:cs="FrankRuehl"/>
          <w:spacing w:val="10"/>
          <w:sz w:val="22"/>
          <w:szCs w:val="28"/>
          <w:rtl/>
        </w:rPr>
      </w:pPr>
    </w:p>
    <w:p w14:paraId="538D2148"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 w:val="22"/>
          <w:szCs w:val="28"/>
          <w:rtl/>
        </w:rPr>
        <w:lastRenderedPageBreak/>
        <w:t xml:space="preserve">(-) במהלך חודש דצמבר 2022 תוקן, בעקבות הצעת חוק פרטית שהגיש חבר כנסת מסיעת ש"ס, סעיף 6(ג) לחוק-יסוד: הממשלה. לפי נוסח הסעיף המתוקן, מי שנגזר עליו עונש מאסר על תנאי יהיה כשיר לכהן כשר, ללא צורך בבירור השאלה אם דבק בו קלון בשל מעשיו. מהדיונים בהצעת החוק שנערכו בכנסת עלה, באופן ברור ומפורש, כי התיקון האמור נועד לאפשר לדרעי לכהן כשר בממשלה. </w:t>
      </w:r>
    </w:p>
    <w:p w14:paraId="68429D19" w14:textId="77777777" w:rsidR="007E603E" w:rsidRPr="004808DB" w:rsidRDefault="007E603E" w:rsidP="007E603E">
      <w:pPr>
        <w:spacing w:line="360" w:lineRule="auto"/>
        <w:ind w:firstLine="720"/>
        <w:jc w:val="both"/>
        <w:rPr>
          <w:rFonts w:ascii="Century" w:hAnsi="Century" w:cs="FrankRuehl"/>
          <w:spacing w:val="10"/>
          <w:sz w:val="22"/>
          <w:szCs w:val="28"/>
          <w:rtl/>
        </w:rPr>
      </w:pPr>
    </w:p>
    <w:p w14:paraId="5E91AF08"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 w:val="22"/>
          <w:szCs w:val="28"/>
          <w:rtl/>
        </w:rPr>
        <w:t>(-) ביום 29.12.2022 הביעה הכנסת את אמונה בממשלה ה-37. דרעי הושבע כשר הפנים ושר הבריאות, כשלפי ההסכם הקואליציוני בין סיעות הליכוד וש"ס, בחלוף מחצית מתקופת כהונת הממשלה ימונה דרעי לתפקיד שר האוצר.</w:t>
      </w:r>
    </w:p>
    <w:p w14:paraId="15F4B5C7" w14:textId="77777777" w:rsidR="007E603E" w:rsidRPr="004808DB" w:rsidRDefault="007E603E" w:rsidP="007E603E">
      <w:pPr>
        <w:spacing w:line="360" w:lineRule="auto"/>
        <w:ind w:firstLine="720"/>
        <w:jc w:val="both"/>
        <w:rPr>
          <w:rFonts w:ascii="Century" w:hAnsi="Century" w:cs="FrankRuehl"/>
          <w:spacing w:val="10"/>
          <w:sz w:val="22"/>
          <w:szCs w:val="28"/>
          <w:rtl/>
        </w:rPr>
      </w:pPr>
    </w:p>
    <w:p w14:paraId="67EE4E09"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 w:val="22"/>
          <w:szCs w:val="28"/>
          <w:rtl/>
        </w:rPr>
        <w:t xml:space="preserve">אלו אפוא עיקרי המצע העובדתי </w:t>
      </w:r>
      <w:r w:rsidRPr="004808DB">
        <w:rPr>
          <w:rFonts w:ascii="Century" w:hAnsi="Century" w:cs="FrankRuehl"/>
          <w:spacing w:val="10"/>
          <w:sz w:val="22"/>
          <w:szCs w:val="28"/>
          <w:rtl/>
        </w:rPr>
        <w:t>–</w:t>
      </w:r>
      <w:r w:rsidRPr="004808DB">
        <w:rPr>
          <w:rFonts w:ascii="Century" w:hAnsi="Century" w:cs="FrankRuehl" w:hint="cs"/>
          <w:spacing w:val="10"/>
          <w:sz w:val="22"/>
          <w:szCs w:val="28"/>
          <w:rtl/>
        </w:rPr>
        <w:t xml:space="preserve"> בכל הנוגע לעברו הפלילי של דרעי ולהתנהלותו סביב ההליך המשפטי בעניין עבירות המס </w:t>
      </w:r>
      <w:r w:rsidRPr="004808DB">
        <w:rPr>
          <w:rFonts w:ascii="Century" w:hAnsi="Century" w:cs="FrankRuehl"/>
          <w:spacing w:val="10"/>
          <w:sz w:val="22"/>
          <w:szCs w:val="28"/>
          <w:rtl/>
        </w:rPr>
        <w:t>–</w:t>
      </w:r>
      <w:r w:rsidRPr="004808DB">
        <w:rPr>
          <w:rFonts w:ascii="Century" w:hAnsi="Century" w:cs="FrankRuehl" w:hint="cs"/>
          <w:spacing w:val="10"/>
          <w:sz w:val="22"/>
          <w:szCs w:val="28"/>
          <w:rtl/>
        </w:rPr>
        <w:t xml:space="preserve"> אשר עמד, כך יש להניח, לנגד עיני ראש ממשלת ישראל בהחלטתו על מינוי דרעי לשר בממשלה.</w:t>
      </w:r>
    </w:p>
    <w:p w14:paraId="3C3498B2" w14:textId="77777777" w:rsidR="007E603E" w:rsidRPr="004808DB" w:rsidRDefault="007E603E" w:rsidP="007E603E">
      <w:pPr>
        <w:spacing w:line="360" w:lineRule="auto"/>
        <w:ind w:firstLine="720"/>
        <w:jc w:val="both"/>
        <w:rPr>
          <w:rFonts w:ascii="Century" w:hAnsi="Century" w:cs="FrankRuehl"/>
          <w:spacing w:val="10"/>
          <w:sz w:val="22"/>
          <w:szCs w:val="28"/>
          <w:rtl/>
        </w:rPr>
      </w:pPr>
    </w:p>
    <w:p w14:paraId="48D2ADF2" w14:textId="77777777" w:rsidR="007E603E" w:rsidRPr="004808DB" w:rsidRDefault="007E603E" w:rsidP="007E603E">
      <w:pPr>
        <w:spacing w:line="360" w:lineRule="auto"/>
        <w:jc w:val="both"/>
        <w:rPr>
          <w:rFonts w:ascii="Century" w:hAnsi="Century" w:cs="FrankRuehl"/>
          <w:spacing w:val="10"/>
          <w:sz w:val="22"/>
          <w:szCs w:val="28"/>
          <w:rtl/>
        </w:rPr>
      </w:pPr>
      <w:r w:rsidRPr="004808DB">
        <w:rPr>
          <w:rFonts w:ascii="Century" w:hAnsi="Century" w:cs="FrankRuehl" w:hint="cs"/>
          <w:spacing w:val="10"/>
          <w:sz w:val="22"/>
          <w:szCs w:val="28"/>
          <w:rtl/>
        </w:rPr>
        <w:t>5.</w:t>
      </w:r>
      <w:r w:rsidRPr="004808DB">
        <w:rPr>
          <w:rFonts w:ascii="Century" w:hAnsi="Century" w:cs="FrankRuehl" w:hint="cs"/>
          <w:spacing w:val="10"/>
          <w:sz w:val="22"/>
          <w:szCs w:val="28"/>
          <w:rtl/>
        </w:rPr>
        <w:tab/>
        <w:t xml:space="preserve">אם כן, עלינו להכריע בשאלה אם לנוכח מצע עובדתי זה, ההחלטה למנות את דרעי לתפקיד שר בממשלת ישראל התקבלה כדין. </w:t>
      </w:r>
    </w:p>
    <w:p w14:paraId="5567E91D" w14:textId="77777777" w:rsidR="007E603E" w:rsidRPr="004808DB" w:rsidRDefault="007E603E" w:rsidP="007E603E">
      <w:pPr>
        <w:spacing w:line="360" w:lineRule="auto"/>
        <w:jc w:val="both"/>
        <w:rPr>
          <w:rFonts w:ascii="Century" w:hAnsi="Century" w:cs="FrankRuehl"/>
          <w:spacing w:val="10"/>
          <w:sz w:val="22"/>
          <w:szCs w:val="28"/>
          <w:rtl/>
        </w:rPr>
      </w:pPr>
    </w:p>
    <w:p w14:paraId="0E66F353" w14:textId="77777777" w:rsidR="007E603E" w:rsidRPr="004808DB" w:rsidRDefault="007E603E" w:rsidP="007E603E">
      <w:pPr>
        <w:spacing w:line="360" w:lineRule="auto"/>
        <w:ind w:firstLine="720"/>
        <w:jc w:val="both"/>
        <w:rPr>
          <w:rFonts w:ascii="Century" w:hAnsi="Century" w:cs="FrankRuehl"/>
          <w:spacing w:val="10"/>
          <w:sz w:val="22"/>
          <w:szCs w:val="28"/>
          <w:rtl/>
        </w:rPr>
      </w:pPr>
      <w:r w:rsidRPr="004808DB">
        <w:rPr>
          <w:rFonts w:ascii="Century" w:hAnsi="Century" w:cs="FrankRuehl" w:hint="cs"/>
          <w:spacing w:val="10"/>
          <w:sz w:val="22"/>
          <w:szCs w:val="28"/>
          <w:rtl/>
        </w:rPr>
        <w:t xml:space="preserve">בנסיבות המקרה דנן, אף אני סבורה כי אין מנוס מן המסקנה, שלפיה התשובה לשאלה זו </w:t>
      </w:r>
      <w:r w:rsidRPr="004808DB">
        <w:rPr>
          <w:rFonts w:ascii="Century" w:hAnsi="Century" w:cs="FrankRuehl"/>
          <w:spacing w:val="10"/>
          <w:sz w:val="22"/>
          <w:szCs w:val="28"/>
          <w:rtl/>
        </w:rPr>
        <w:t>–</w:t>
      </w:r>
      <w:r w:rsidRPr="004808DB">
        <w:rPr>
          <w:rFonts w:ascii="Century" w:hAnsi="Century" w:cs="FrankRuehl" w:hint="cs"/>
          <w:spacing w:val="10"/>
          <w:sz w:val="22"/>
          <w:szCs w:val="28"/>
          <w:rtl/>
        </w:rPr>
        <w:t xml:space="preserve"> שלילית.</w:t>
      </w:r>
    </w:p>
    <w:p w14:paraId="1E917F50" w14:textId="77777777" w:rsidR="007E603E" w:rsidRPr="004808DB" w:rsidRDefault="007E603E" w:rsidP="007E603E">
      <w:pPr>
        <w:spacing w:line="360" w:lineRule="auto"/>
        <w:ind w:firstLine="720"/>
        <w:jc w:val="both"/>
        <w:rPr>
          <w:rFonts w:ascii="Century" w:hAnsi="Century" w:cs="FrankRuehl"/>
          <w:spacing w:val="10"/>
          <w:sz w:val="22"/>
          <w:szCs w:val="28"/>
          <w:rtl/>
        </w:rPr>
      </w:pPr>
    </w:p>
    <w:p w14:paraId="4ECDD077" w14:textId="77777777" w:rsidR="007E603E" w:rsidRPr="004808DB" w:rsidRDefault="007E603E" w:rsidP="007E603E">
      <w:pPr>
        <w:spacing w:line="360" w:lineRule="auto"/>
        <w:jc w:val="both"/>
        <w:rPr>
          <w:rFonts w:ascii="Century" w:hAnsi="Century" w:cs="FrankRuehl"/>
          <w:spacing w:val="10"/>
          <w:sz w:val="22"/>
          <w:szCs w:val="28"/>
          <w:rtl/>
        </w:rPr>
      </w:pPr>
      <w:r w:rsidRPr="004808DB">
        <w:rPr>
          <w:rFonts w:ascii="Century" w:hAnsi="Century" w:cs="FrankRuehl" w:hint="cs"/>
          <w:spacing w:val="10"/>
          <w:sz w:val="22"/>
          <w:szCs w:val="28"/>
          <w:rtl/>
        </w:rPr>
        <w:t>6.</w:t>
      </w:r>
      <w:r w:rsidRPr="004808DB">
        <w:rPr>
          <w:rFonts w:ascii="Century" w:hAnsi="Century" w:cs="FrankRuehl" w:hint="cs"/>
          <w:spacing w:val="10"/>
          <w:sz w:val="22"/>
          <w:szCs w:val="28"/>
          <w:rtl/>
        </w:rPr>
        <w:tab/>
        <w:t>אקדים ואומר כי לגישתי,</w:t>
      </w:r>
      <w:r w:rsidRPr="004808DB">
        <w:rPr>
          <w:rFonts w:ascii="Century" w:hAnsi="Century" w:cs="FrankRuehl" w:hint="cs"/>
          <w:spacing w:val="10"/>
          <w:szCs w:val="28"/>
          <w:rtl/>
        </w:rPr>
        <w:t xml:space="preserve"> הביקורת השיפוטית במישור שיקול הדעת, שהופעל בהחלטה על מינוי לתפקיד ציבורי, צריכה, ככלל, להיות מרוסנת, ולהיעשות "בזהירות רבה, </w:t>
      </w:r>
      <w:r w:rsidRPr="004808DB">
        <w:rPr>
          <w:rFonts w:ascii="Century" w:hAnsi="Century" w:cs="FrankRuehl"/>
          <w:spacing w:val="10"/>
          <w:szCs w:val="28"/>
          <w:rtl/>
        </w:rPr>
        <w:t>בְּשׂוֹם שֶׂכֶל</w:t>
      </w:r>
      <w:r w:rsidRPr="004808DB">
        <w:rPr>
          <w:rFonts w:ascii="Century" w:hAnsi="Century" w:cs="FrankRuehl" w:hint="cs"/>
          <w:spacing w:val="10"/>
          <w:szCs w:val="28"/>
          <w:rtl/>
        </w:rPr>
        <w:t xml:space="preserve"> ובענווה" (ראו והשוו: בג"ץ 8076/21 </w:t>
      </w:r>
      <w:r w:rsidRPr="004808DB">
        <w:rPr>
          <w:rFonts w:ascii="Century" w:hAnsi="Century" w:cs="Miriam" w:hint="cs"/>
          <w:b/>
          <w:sz w:val="22"/>
          <w:rtl/>
        </w:rPr>
        <w:t>ועדת השופטים להענקת פרס ישראל נ' שרת החינוך</w:t>
      </w:r>
      <w:r w:rsidRPr="004808DB">
        <w:rPr>
          <w:rFonts w:ascii="Century" w:hAnsi="Century" w:cs="FrankRuehl" w:hint="cs"/>
          <w:spacing w:val="10"/>
          <w:sz w:val="22"/>
          <w:szCs w:val="28"/>
          <w:rtl/>
        </w:rPr>
        <w:t>,</w:t>
      </w:r>
      <w:r w:rsidRPr="004808DB">
        <w:rPr>
          <w:rFonts w:ascii="Century" w:hAnsi="Century" w:cs="Miriam" w:hint="cs"/>
          <w:b/>
          <w:sz w:val="22"/>
          <w:rtl/>
        </w:rPr>
        <w:t xml:space="preserve"> </w:t>
      </w:r>
      <w:r w:rsidRPr="004808DB">
        <w:rPr>
          <w:rFonts w:ascii="Century" w:hAnsi="Century" w:cs="FrankRuehl" w:hint="cs"/>
          <w:spacing w:val="10"/>
          <w:szCs w:val="28"/>
          <w:rtl/>
        </w:rPr>
        <w:t xml:space="preserve">פס' 51 לחוות-דעתי (29.3.2022)). זאת, ביתר שאת, בכל הנוגע להחלטות ראש הממשלה שעניינן מינוי שרים והפסקת כהונתם, אשר קשורות בקשר הדוק לשיקולים פרלמנטריים ופוליטיים (עניין </w:t>
      </w:r>
      <w:r w:rsidRPr="004808DB">
        <w:rPr>
          <w:rFonts w:ascii="Century" w:hAnsi="Century" w:cs="Miriam" w:hint="cs"/>
          <w:b/>
          <w:sz w:val="22"/>
          <w:rtl/>
        </w:rPr>
        <w:t>אמונה</w:t>
      </w:r>
      <w:r w:rsidRPr="004808DB">
        <w:rPr>
          <w:rFonts w:ascii="Century" w:hAnsi="Century" w:cs="FrankRuehl" w:hint="cs"/>
          <w:spacing w:val="10"/>
          <w:sz w:val="22"/>
          <w:szCs w:val="28"/>
          <w:rtl/>
        </w:rPr>
        <w:t>, בפס' 22).</w:t>
      </w:r>
      <w:r w:rsidRPr="004808DB">
        <w:rPr>
          <w:rFonts w:ascii="Century" w:hAnsi="Century" w:cs="FrankRuehl" w:hint="cs"/>
          <w:spacing w:val="10"/>
          <w:szCs w:val="28"/>
          <w:rtl/>
        </w:rPr>
        <w:t xml:space="preserve"> הדברים מקבלים משנה תוקף, כאשר תנאי הכשירות הראויים למינוי הנדון נקבעו בחקיקה, ועל בית המשפט להישמר, בהקשר זה, פן יימצא מוסיף עליהם תנאים שהמחוקק, או המכונן, לא התכוונו לקבוע (ראו והשוו: עניין </w:t>
      </w:r>
      <w:r w:rsidRPr="004808DB">
        <w:rPr>
          <w:rFonts w:ascii="Century" w:hAnsi="Century" w:cs="Miriam" w:hint="cs"/>
          <w:b/>
          <w:sz w:val="22"/>
          <w:rtl/>
        </w:rPr>
        <w:t>אייזנברג</w:t>
      </w:r>
      <w:r w:rsidRPr="004808DB">
        <w:rPr>
          <w:rFonts w:ascii="Century" w:hAnsi="Century" w:cs="FrankRuehl" w:hint="cs"/>
          <w:spacing w:val="10"/>
          <w:sz w:val="22"/>
          <w:szCs w:val="28"/>
          <w:rtl/>
        </w:rPr>
        <w:t>, בפס' 50)</w:t>
      </w:r>
      <w:r w:rsidRPr="004808DB">
        <w:rPr>
          <w:rFonts w:ascii="Century" w:hAnsi="Century" w:cs="FrankRuehl" w:hint="cs"/>
          <w:spacing w:val="10"/>
          <w:szCs w:val="28"/>
          <w:rtl/>
        </w:rPr>
        <w:t xml:space="preserve">. </w:t>
      </w:r>
      <w:r w:rsidRPr="004808DB">
        <w:rPr>
          <w:rFonts w:ascii="Century" w:hAnsi="Century" w:cs="FrankRuehl" w:hint="cs"/>
          <w:spacing w:val="10"/>
          <w:sz w:val="22"/>
          <w:szCs w:val="28"/>
          <w:rtl/>
        </w:rPr>
        <w:t>במקרים אלו, לדעתי, על הביקורת השיפוטית להיות מופעלת בריסון רב, ואין להתערב בהחלטות מהסוג הנדון אלא במקרים חריגים וקיצוניים.</w:t>
      </w:r>
    </w:p>
    <w:p w14:paraId="48C34C1B" w14:textId="77777777" w:rsidR="007E603E" w:rsidRPr="004808DB" w:rsidRDefault="007E603E" w:rsidP="007E603E">
      <w:pPr>
        <w:spacing w:line="360" w:lineRule="auto"/>
        <w:ind w:firstLine="720"/>
        <w:jc w:val="both"/>
        <w:rPr>
          <w:rFonts w:ascii="Century" w:hAnsi="Century" w:cs="FrankRuehl"/>
          <w:spacing w:val="10"/>
          <w:szCs w:val="28"/>
          <w:rtl/>
        </w:rPr>
      </w:pPr>
    </w:p>
    <w:p w14:paraId="074B90B6"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7.</w:t>
      </w:r>
      <w:r w:rsidRPr="004808DB">
        <w:rPr>
          <w:rFonts w:ascii="Century" w:hAnsi="Century" w:cs="FrankRuehl" w:hint="cs"/>
          <w:spacing w:val="10"/>
          <w:szCs w:val="28"/>
          <w:rtl/>
        </w:rPr>
        <w:tab/>
        <w:t xml:space="preserve">אם כן, גישתי האמורה, בדבר הריסון שיש לנקוט בביקורת שיפוטית בהקשר הנדון, נשענת במידה לא מבוטלת על הנחה עקרונית, שלפיה הסדרים חוקיים, לא כל </w:t>
      </w:r>
      <w:r w:rsidRPr="004808DB">
        <w:rPr>
          <w:rFonts w:ascii="Century" w:hAnsi="Century" w:cs="FrankRuehl" w:hint="cs"/>
          <w:spacing w:val="10"/>
          <w:szCs w:val="28"/>
          <w:rtl/>
        </w:rPr>
        <w:lastRenderedPageBreak/>
        <w:t xml:space="preserve">שכן חוקתיים, ובפרט כאלה הנוגעים לתנאי כשירות, כבענייננו, נקבעים, מאחורי מעין "מסך בערות",  הסדרים אלו מגובשים מתוך שאיפת המחוקק או המכונן לקבוע את תנאי הכשירות הראויים, על-בסיס ראייה רחבה של האינטרס הציבורי, להבדיל מאינטרסים פוליטיים צרים וקצרי-טווח. </w:t>
      </w:r>
    </w:p>
    <w:p w14:paraId="78FB54FB" w14:textId="77777777" w:rsidR="007E603E" w:rsidRPr="004808DB" w:rsidRDefault="007E603E" w:rsidP="007E603E">
      <w:pPr>
        <w:spacing w:line="360" w:lineRule="auto"/>
        <w:jc w:val="both"/>
        <w:rPr>
          <w:rFonts w:ascii="Century" w:hAnsi="Century" w:cs="FrankRuehl"/>
          <w:spacing w:val="10"/>
          <w:szCs w:val="28"/>
          <w:rtl/>
        </w:rPr>
      </w:pPr>
    </w:p>
    <w:p w14:paraId="5CF80A3B"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8.</w:t>
      </w:r>
      <w:r w:rsidRPr="004808DB">
        <w:rPr>
          <w:rFonts w:ascii="Century" w:hAnsi="Century" w:cs="FrankRuehl" w:hint="cs"/>
          <w:spacing w:val="10"/>
          <w:szCs w:val="28"/>
          <w:rtl/>
        </w:rPr>
        <w:tab/>
        <w:t>ואולם, במקרה דנן, התיקון לסעיף 6(ג) לחוק-יסוד: הממשלה, שמגדיר כאמור את תנאי הכשירות הרלוונטיים לענייננו, אינו עומד בעיקרון חשוב זה. זאת, שהרי דומה כי אין חולק, שתכלית התיקון הייתה להכשיר את מינויו של דרעי לשר, לנוכח עברו הפלילי, תוך עקיפת הצורך להידרש להכרעה בשאלה אם דבק קלון במעשיו בעבירות המס. ובמילים אחרות, תנאי הכשירות לכהונת שר, כנוסחן בתיקון הנ"ל, נתפרו והוגמשו על מנת להלום את מידות עברו הפלילי של דרעי. בנסיבות חריגות אלו, נשמטת הקרקע תחת הצדקה מרכזית לגישה המשמיעה לנו לנהוג בריסון מיוחד בבואנו להפעיל ביקורת שיפוטית על החלטות מהסוג הנדון.</w:t>
      </w:r>
    </w:p>
    <w:p w14:paraId="32AD6CC0" w14:textId="77777777" w:rsidR="007E603E" w:rsidRPr="004808DB" w:rsidRDefault="007E603E" w:rsidP="007E603E">
      <w:pPr>
        <w:spacing w:line="360" w:lineRule="auto"/>
        <w:ind w:firstLine="720"/>
        <w:jc w:val="both"/>
        <w:rPr>
          <w:rFonts w:ascii="Century" w:hAnsi="Century" w:cs="FrankRuehl"/>
          <w:spacing w:val="10"/>
          <w:szCs w:val="28"/>
          <w:rtl/>
        </w:rPr>
      </w:pPr>
    </w:p>
    <w:p w14:paraId="4231CA22"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9.</w:t>
      </w:r>
      <w:r w:rsidRPr="004808DB">
        <w:rPr>
          <w:rFonts w:ascii="Century" w:hAnsi="Century" w:cs="FrankRuehl" w:hint="cs"/>
          <w:spacing w:val="10"/>
          <w:szCs w:val="28"/>
          <w:rtl/>
        </w:rPr>
        <w:tab/>
        <w:t>בראי האמור, ולנוכח חשיבותו של עקרון טוהר המידות של אישי ציבור, כמובהר לעיל, יש לבחון אם ההחלטה על מינוי דרעי לשר באה בגדר המקרים החריגים והקיצוניים, שבהם הביקורת השיפוטית על ההחלטה תוביל להתערבות בה.</w:t>
      </w:r>
    </w:p>
    <w:p w14:paraId="0B243FAA" w14:textId="77777777" w:rsidR="007E603E" w:rsidRPr="004808DB" w:rsidRDefault="007E603E" w:rsidP="007E603E">
      <w:pPr>
        <w:spacing w:line="360" w:lineRule="auto"/>
        <w:ind w:firstLine="720"/>
        <w:jc w:val="both"/>
        <w:rPr>
          <w:rFonts w:ascii="Century" w:hAnsi="Century" w:cs="FrankRuehl"/>
          <w:spacing w:val="10"/>
          <w:szCs w:val="28"/>
          <w:rtl/>
        </w:rPr>
      </w:pPr>
    </w:p>
    <w:p w14:paraId="08AB10E9"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10.</w:t>
      </w:r>
      <w:r w:rsidRPr="004808DB">
        <w:rPr>
          <w:rFonts w:ascii="Century" w:hAnsi="Century" w:cs="FrankRuehl" w:hint="cs"/>
          <w:spacing w:val="10"/>
          <w:szCs w:val="28"/>
          <w:rtl/>
        </w:rPr>
        <w:tab/>
        <w:t xml:space="preserve">ויודגש: נקודת המוצא לבחינת שאלה זו נעוצה בפסקי דינו של בית משפט זה בבג"ץ 3095/15 </w:t>
      </w:r>
      <w:r w:rsidRPr="004808DB">
        <w:rPr>
          <w:rFonts w:ascii="Century" w:hAnsi="Century" w:cs="Miriam" w:hint="cs"/>
          <w:b/>
          <w:sz w:val="22"/>
          <w:rtl/>
        </w:rPr>
        <w:t>התנועה למען איכות השלטון בישראל נ' ראש ממשלת ישראל</w:t>
      </w:r>
      <w:r w:rsidRPr="004808DB">
        <w:rPr>
          <w:rFonts w:ascii="Century" w:hAnsi="Century" w:cs="FrankRuehl" w:hint="cs"/>
          <w:spacing w:val="10"/>
          <w:sz w:val="22"/>
          <w:szCs w:val="28"/>
          <w:rtl/>
        </w:rPr>
        <w:t xml:space="preserve"> (13.8.2015) (להלן: עניין </w:t>
      </w:r>
      <w:r w:rsidRPr="004808DB">
        <w:rPr>
          <w:rFonts w:ascii="Century" w:hAnsi="Century" w:cs="Miriam" w:hint="cs"/>
          <w:b/>
          <w:sz w:val="22"/>
          <w:rtl/>
        </w:rPr>
        <w:t>דרעי השני</w:t>
      </w:r>
      <w:r w:rsidRPr="004808DB">
        <w:rPr>
          <w:rFonts w:ascii="Century" w:hAnsi="Century" w:cs="FrankRuehl" w:hint="cs"/>
          <w:spacing w:val="10"/>
          <w:sz w:val="22"/>
          <w:szCs w:val="28"/>
          <w:rtl/>
        </w:rPr>
        <w:t xml:space="preserve">) ובבג"ץ 232/16 </w:t>
      </w:r>
      <w:r w:rsidRPr="004808DB">
        <w:rPr>
          <w:rFonts w:ascii="Century" w:hAnsi="Century" w:cs="Miriam" w:hint="cs"/>
          <w:b/>
          <w:sz w:val="22"/>
          <w:rtl/>
        </w:rPr>
        <w:t xml:space="preserve">התנועה למען איכות השלטון בישראל נ' ראש ממשלת ישראל </w:t>
      </w:r>
      <w:r w:rsidRPr="004808DB">
        <w:rPr>
          <w:rFonts w:ascii="Century" w:hAnsi="Century" w:cs="FrankRuehl" w:hint="cs"/>
          <w:spacing w:val="10"/>
          <w:sz w:val="22"/>
          <w:szCs w:val="28"/>
          <w:rtl/>
        </w:rPr>
        <w:t xml:space="preserve">(8.5.2016) (להלן: עניין </w:t>
      </w:r>
      <w:r w:rsidRPr="004808DB">
        <w:rPr>
          <w:rFonts w:ascii="Century" w:hAnsi="Century" w:cs="Miriam" w:hint="cs"/>
          <w:b/>
          <w:sz w:val="22"/>
          <w:rtl/>
        </w:rPr>
        <w:t>דרעי השלישי</w:t>
      </w:r>
      <w:r w:rsidRPr="004808DB">
        <w:rPr>
          <w:rFonts w:ascii="Century" w:hAnsi="Century" w:cs="FrankRuehl" w:hint="cs"/>
          <w:spacing w:val="10"/>
          <w:sz w:val="22"/>
          <w:szCs w:val="28"/>
          <w:rtl/>
        </w:rPr>
        <w:t>),</w:t>
      </w:r>
      <w:r w:rsidRPr="004808DB">
        <w:rPr>
          <w:rFonts w:ascii="Century" w:hAnsi="Century" w:cs="FrankRuehl" w:hint="cs"/>
          <w:spacing w:val="10"/>
          <w:szCs w:val="28"/>
          <w:rtl/>
        </w:rPr>
        <w:t xml:space="preserve"> שהם בבחינת הלכה מחייבת, שעל-פיה יש להכריע בענייננו. </w:t>
      </w:r>
    </w:p>
    <w:p w14:paraId="25B47E4F" w14:textId="77777777" w:rsidR="007E603E" w:rsidRPr="004808DB" w:rsidRDefault="007E603E" w:rsidP="007E603E">
      <w:pPr>
        <w:spacing w:line="360" w:lineRule="auto"/>
        <w:ind w:firstLine="720"/>
        <w:jc w:val="both"/>
        <w:rPr>
          <w:rFonts w:ascii="Century" w:hAnsi="Century" w:cs="FrankRuehl"/>
          <w:spacing w:val="10"/>
          <w:szCs w:val="28"/>
          <w:rtl/>
        </w:rPr>
      </w:pPr>
    </w:p>
    <w:p w14:paraId="185E5100"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spacing w:val="10"/>
          <w:szCs w:val="28"/>
          <w:rtl/>
        </w:rPr>
        <w:tab/>
      </w:r>
      <w:r w:rsidRPr="004808DB">
        <w:rPr>
          <w:rFonts w:ascii="Century" w:hAnsi="Century" w:cs="FrankRuehl" w:hint="cs"/>
          <w:spacing w:val="10"/>
          <w:szCs w:val="28"/>
          <w:rtl/>
        </w:rPr>
        <w:t xml:space="preserve">כך, בעניין </w:t>
      </w:r>
      <w:r w:rsidRPr="004808DB">
        <w:rPr>
          <w:rFonts w:ascii="Century" w:hAnsi="Century" w:cs="Miriam" w:hint="eastAsia"/>
          <w:b/>
          <w:sz w:val="22"/>
          <w:rtl/>
        </w:rPr>
        <w:t>דרעי</w:t>
      </w:r>
      <w:r w:rsidRPr="004808DB">
        <w:rPr>
          <w:rFonts w:ascii="Century" w:hAnsi="Century" w:cs="Miriam"/>
          <w:b/>
          <w:sz w:val="22"/>
          <w:rtl/>
        </w:rPr>
        <w:t xml:space="preserve"> </w:t>
      </w:r>
      <w:r w:rsidRPr="004808DB">
        <w:rPr>
          <w:rFonts w:ascii="Century" w:hAnsi="Century" w:cs="Miriam" w:hint="eastAsia"/>
          <w:b/>
          <w:sz w:val="22"/>
          <w:rtl/>
        </w:rPr>
        <w:t>השני</w:t>
      </w:r>
      <w:r w:rsidRPr="004808DB">
        <w:rPr>
          <w:rFonts w:ascii="Century" w:hAnsi="Century" w:cs="FrankRuehl" w:hint="cs"/>
          <w:spacing w:val="10"/>
          <w:szCs w:val="28"/>
          <w:rtl/>
        </w:rPr>
        <w:t xml:space="preserve"> צוין, בין היתר, כי העבירות שביצע דרעי במסגרת ה"תיק האישי" </w:t>
      </w:r>
      <w:proofErr w:type="spellStart"/>
      <w:r w:rsidRPr="004808DB">
        <w:rPr>
          <w:rFonts w:ascii="Century" w:hAnsi="Century" w:cs="FrankRuehl" w:hint="cs"/>
          <w:spacing w:val="10"/>
          <w:szCs w:val="28"/>
          <w:rtl/>
        </w:rPr>
        <w:t>וה"תיק</w:t>
      </w:r>
      <w:proofErr w:type="spellEnd"/>
      <w:r w:rsidRPr="004808DB">
        <w:rPr>
          <w:rFonts w:ascii="Century" w:hAnsi="Century" w:cs="FrankRuehl" w:hint="cs"/>
          <w:spacing w:val="10"/>
          <w:szCs w:val="28"/>
          <w:rtl/>
        </w:rPr>
        <w:t xml:space="preserve"> הציבורי", הן עבירות מובהקות של שחיתות שלטונית, אשר מטילות על מבצען דופי מוסרי כבד; וכי לעבירות אלו מתווספים החשדות נגדו בפרשת "בראון-חברון", שמהווים ראיות </w:t>
      </w:r>
      <w:proofErr w:type="spellStart"/>
      <w:r w:rsidRPr="004808DB">
        <w:rPr>
          <w:rFonts w:ascii="Century" w:hAnsi="Century" w:cs="FrankRuehl" w:hint="cs"/>
          <w:spacing w:val="10"/>
          <w:szCs w:val="28"/>
          <w:rtl/>
        </w:rPr>
        <w:t>מינהליות</w:t>
      </w:r>
      <w:proofErr w:type="spellEnd"/>
      <w:r w:rsidRPr="004808DB">
        <w:rPr>
          <w:rFonts w:ascii="Century" w:hAnsi="Century" w:cs="FrankRuehl" w:hint="cs"/>
          <w:spacing w:val="10"/>
          <w:szCs w:val="28"/>
          <w:rtl/>
        </w:rPr>
        <w:t xml:space="preserve"> לחובתו. מנגד, הודגש המשקל שיש להעניק לחלוף הזמן, הן מאז ביצע דרעי את מעשי העבירה הנ"ל, והן מאז סיים לרצות את עונש המאסר בגינם. לנוכח האמור, וכן, בין היתר, בשים לב לשיקול הדעת הרחב המסור לראש הממשלה בהקשר הנדון, ולכך שהכנסת הביעה אמון בממשלה, הכוללת את דרעי כשר, נפסק כי "מינויו של דרעי לתפקיד שר מצוי </w:t>
      </w:r>
      <w:r w:rsidRPr="004808DB">
        <w:rPr>
          <w:rFonts w:ascii="Century" w:hAnsi="Century" w:cs="Miriam" w:hint="cs"/>
          <w:b/>
          <w:sz w:val="22"/>
          <w:rtl/>
        </w:rPr>
        <w:t>על גבול מתחם הסבירות</w:t>
      </w:r>
      <w:r w:rsidRPr="004808DB">
        <w:rPr>
          <w:rFonts w:ascii="Century" w:hAnsi="Century" w:cs="FrankRuehl" w:hint="cs"/>
          <w:spacing w:val="10"/>
          <w:szCs w:val="28"/>
          <w:rtl/>
        </w:rPr>
        <w:t xml:space="preserve">" (שם, בפס' 23; ההדגשה הוספה </w:t>
      </w:r>
      <w:r w:rsidRPr="004808DB">
        <w:rPr>
          <w:rFonts w:ascii="Century" w:hAnsi="Century" w:cs="FrankRuehl"/>
          <w:spacing w:val="10"/>
          <w:szCs w:val="28"/>
          <w:rtl/>
        </w:rPr>
        <w:t>–</w:t>
      </w:r>
      <w:r w:rsidRPr="004808DB">
        <w:rPr>
          <w:rFonts w:ascii="Century" w:hAnsi="Century" w:cs="FrankRuehl" w:hint="cs"/>
          <w:spacing w:val="10"/>
          <w:szCs w:val="28"/>
          <w:rtl/>
        </w:rPr>
        <w:t xml:space="preserve"> </w:t>
      </w:r>
      <w:proofErr w:type="spellStart"/>
      <w:r w:rsidRPr="004808DB">
        <w:rPr>
          <w:rFonts w:ascii="Century" w:hAnsi="Century" w:cs="FrankRuehl" w:hint="cs"/>
          <w:spacing w:val="10"/>
          <w:szCs w:val="28"/>
          <w:rtl/>
        </w:rPr>
        <w:t>י"ו</w:t>
      </w:r>
      <w:proofErr w:type="spellEnd"/>
      <w:r w:rsidRPr="004808DB">
        <w:rPr>
          <w:rFonts w:ascii="Century" w:hAnsi="Century" w:cs="FrankRuehl" w:hint="cs"/>
          <w:spacing w:val="10"/>
          <w:szCs w:val="28"/>
          <w:rtl/>
        </w:rPr>
        <w:t xml:space="preserve">). </w:t>
      </w:r>
    </w:p>
    <w:p w14:paraId="75563E98" w14:textId="77777777" w:rsidR="007E603E" w:rsidRPr="004808DB" w:rsidRDefault="007E603E" w:rsidP="007E603E">
      <w:pPr>
        <w:spacing w:line="360" w:lineRule="auto"/>
        <w:ind w:firstLine="720"/>
        <w:jc w:val="both"/>
        <w:rPr>
          <w:rFonts w:ascii="Century" w:hAnsi="Century" w:cs="FrankRuehl"/>
          <w:spacing w:val="10"/>
          <w:szCs w:val="28"/>
          <w:rtl/>
        </w:rPr>
      </w:pPr>
    </w:p>
    <w:p w14:paraId="08AC4602"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lastRenderedPageBreak/>
        <w:t>11.</w:t>
      </w:r>
      <w:r w:rsidRPr="004808DB">
        <w:rPr>
          <w:rFonts w:ascii="Century" w:hAnsi="Century" w:cs="FrankRuehl"/>
          <w:spacing w:val="10"/>
          <w:szCs w:val="28"/>
          <w:rtl/>
        </w:rPr>
        <w:tab/>
      </w:r>
      <w:r w:rsidRPr="004808DB">
        <w:rPr>
          <w:rFonts w:ascii="Century" w:hAnsi="Century" w:cs="FrankRuehl" w:hint="cs"/>
          <w:spacing w:val="10"/>
          <w:szCs w:val="28"/>
          <w:rtl/>
        </w:rPr>
        <w:t>זהו, אפוא, הבסיס לדיוננו, שבגדרו יש לקחת בחשבון, בעיקרו של דבר, אף את משמעות הרשעתו של דרעי בעבירות המס, ואת התנהלותו סביב ההליך בבית משפט השלום, שגזר את דינו לפני כשנה, כמפורט לעיל.</w:t>
      </w:r>
    </w:p>
    <w:p w14:paraId="540666B5" w14:textId="77777777" w:rsidR="007E603E" w:rsidRPr="004808DB" w:rsidRDefault="007E603E" w:rsidP="007E603E">
      <w:pPr>
        <w:spacing w:line="360" w:lineRule="auto"/>
        <w:ind w:firstLine="720"/>
        <w:jc w:val="both"/>
        <w:rPr>
          <w:rFonts w:ascii="Century" w:hAnsi="Century" w:cs="FrankRuehl"/>
          <w:spacing w:val="10"/>
          <w:szCs w:val="28"/>
          <w:rtl/>
        </w:rPr>
      </w:pPr>
    </w:p>
    <w:p w14:paraId="149F1F7F"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12.</w:t>
      </w:r>
      <w:r w:rsidRPr="004808DB">
        <w:rPr>
          <w:rFonts w:ascii="Century" w:hAnsi="Century" w:cs="FrankRuehl"/>
          <w:spacing w:val="10"/>
          <w:szCs w:val="28"/>
          <w:rtl/>
        </w:rPr>
        <w:tab/>
      </w:r>
      <w:r w:rsidRPr="004808DB">
        <w:rPr>
          <w:rFonts w:ascii="Century" w:hAnsi="Century" w:cs="FrankRuehl" w:hint="cs"/>
          <w:spacing w:val="10"/>
          <w:szCs w:val="28"/>
          <w:rtl/>
        </w:rPr>
        <w:t xml:space="preserve">כאמור, דרעי הורשע בביצוע עבירות מס, שהן עבירות חמורות המופנות, בעיקרו של דבר, נגד הציבור הרחב והקופה הציבורית (ראו, למשל: ע"פ 5529/12 </w:t>
      </w:r>
      <w:r w:rsidRPr="004808DB">
        <w:rPr>
          <w:rFonts w:ascii="Century" w:hAnsi="Century" w:cs="Miriam" w:hint="cs"/>
          <w:b/>
          <w:sz w:val="22"/>
          <w:rtl/>
        </w:rPr>
        <w:t>אוהב ציון נ' מדינת ישראל</w:t>
      </w:r>
      <w:r w:rsidRPr="004808DB">
        <w:rPr>
          <w:rFonts w:ascii="Century" w:hAnsi="Century" w:cs="FrankRuehl" w:hint="cs"/>
          <w:spacing w:val="10"/>
          <w:szCs w:val="28"/>
          <w:rtl/>
        </w:rPr>
        <w:t xml:space="preserve">, פס' 11 לחוות-דעתו של השופט </w:t>
      </w:r>
      <w:r w:rsidRPr="004808DB">
        <w:rPr>
          <w:rFonts w:ascii="Century" w:hAnsi="Century" w:cs="Miriam" w:hint="eastAsia"/>
          <w:b/>
          <w:sz w:val="22"/>
          <w:rtl/>
        </w:rPr>
        <w:t>נ</w:t>
      </w:r>
      <w:r w:rsidRPr="004808DB">
        <w:rPr>
          <w:rFonts w:ascii="Century" w:hAnsi="Century" w:cs="Miriam"/>
          <w:b/>
          <w:sz w:val="22"/>
          <w:rtl/>
        </w:rPr>
        <w:t xml:space="preserve">' </w:t>
      </w:r>
      <w:r w:rsidRPr="004808DB">
        <w:rPr>
          <w:rFonts w:ascii="Century" w:hAnsi="Century" w:cs="Miriam" w:hint="eastAsia"/>
          <w:b/>
          <w:sz w:val="22"/>
          <w:rtl/>
        </w:rPr>
        <w:t>הנדל</w:t>
      </w:r>
      <w:r w:rsidRPr="004808DB">
        <w:rPr>
          <w:rFonts w:ascii="Century" w:hAnsi="Century" w:cs="Miriam" w:hint="cs"/>
          <w:b/>
          <w:sz w:val="22"/>
          <w:rtl/>
        </w:rPr>
        <w:t xml:space="preserve"> </w:t>
      </w:r>
      <w:r w:rsidRPr="004808DB">
        <w:rPr>
          <w:rFonts w:ascii="Century" w:hAnsi="Century" w:cs="FrankRuehl" w:hint="cs"/>
          <w:spacing w:val="10"/>
          <w:sz w:val="22"/>
          <w:szCs w:val="28"/>
          <w:rtl/>
        </w:rPr>
        <w:t>(9.11.2014)</w:t>
      </w:r>
      <w:r w:rsidRPr="004808DB">
        <w:rPr>
          <w:rFonts w:ascii="Century" w:hAnsi="Century" w:cs="FrankRuehl" w:hint="cs"/>
          <w:spacing w:val="10"/>
          <w:szCs w:val="28"/>
          <w:rtl/>
        </w:rPr>
        <w:t xml:space="preserve">; ע"פ 2636/12 </w:t>
      </w:r>
      <w:r w:rsidRPr="004808DB">
        <w:rPr>
          <w:rFonts w:ascii="Century" w:hAnsi="Century" w:cs="Miriam" w:hint="cs"/>
          <w:b/>
          <w:sz w:val="22"/>
          <w:rtl/>
        </w:rPr>
        <w:t xml:space="preserve">עזבון המנוח יהושע שלוש ז"ל נ' מדינת </w:t>
      </w:r>
      <w:r w:rsidRPr="004808DB">
        <w:rPr>
          <w:rFonts w:ascii="Century" w:hAnsi="Century" w:cs="Miriam" w:hint="eastAsia"/>
          <w:b/>
          <w:sz w:val="22"/>
          <w:rtl/>
        </w:rPr>
        <w:t>ישראל</w:t>
      </w:r>
      <w:r w:rsidRPr="004808DB">
        <w:rPr>
          <w:rFonts w:ascii="Century" w:hAnsi="Century" w:cs="FrankRuehl" w:hint="cs"/>
          <w:spacing w:val="10"/>
          <w:sz w:val="22"/>
          <w:szCs w:val="28"/>
          <w:rtl/>
        </w:rPr>
        <w:t xml:space="preserve">, </w:t>
      </w:r>
      <w:r w:rsidRPr="004808DB">
        <w:rPr>
          <w:rFonts w:ascii="Century" w:hAnsi="Century" w:cs="FrankRuehl" w:hint="eastAsia"/>
          <w:spacing w:val="10"/>
          <w:sz w:val="22"/>
          <w:szCs w:val="28"/>
          <w:rtl/>
        </w:rPr>
        <w:t>פס</w:t>
      </w:r>
      <w:r w:rsidRPr="004808DB">
        <w:rPr>
          <w:rFonts w:ascii="Century" w:hAnsi="Century" w:cs="FrankRuehl"/>
          <w:spacing w:val="10"/>
          <w:sz w:val="22"/>
          <w:szCs w:val="28"/>
          <w:rtl/>
        </w:rPr>
        <w:t>'</w:t>
      </w:r>
      <w:r w:rsidRPr="004808DB">
        <w:rPr>
          <w:rFonts w:ascii="Century" w:hAnsi="Century" w:cs="FrankRuehl"/>
          <w:spacing w:val="10"/>
          <w:szCs w:val="28"/>
          <w:rtl/>
        </w:rPr>
        <w:t xml:space="preserve"> </w:t>
      </w:r>
      <w:r w:rsidRPr="004808DB">
        <w:rPr>
          <w:rFonts w:ascii="Century" w:hAnsi="Century" w:cs="FrankRuehl" w:hint="cs"/>
          <w:spacing w:val="10"/>
          <w:szCs w:val="28"/>
          <w:rtl/>
        </w:rPr>
        <w:t xml:space="preserve">9 (5.3.2013)). הרשעתו בעבירות אלו מצטברת להרשעותיו החמורות בעבירות של קבלת שוחד ומרמה והפרת אמונים, שביצע בעודו מכהן בתפקידים ציבוריים רמי מעלה, לרבות תפקיד שר הפנים, במסגרת "התיק האישי" ו"התיק הציבורי", תוך שימוש בתפקידים אלו ככלי לביצוע העבירות. מכלול הנסיבות מלמד אפוא על דפוס חוזר מצד דרעי, של זלזול ופגיעה בשלטון החוק וביצוע עבירות פליליות שקורבנן הוא הציבור בישראל. דפוס זה עומד בסתירה לציפייה מאישי ציבור, ואף לחובה המוטלת עליהם, לשמור על עיקרון טוהר המידות, ולשמש, כאמור לעיל, דוגמא ומופת לעם, ולהיות נאמנים וראויים לאמון שאזרחי המדינה העניקו להם (אמנם, כאמור, בשנת 2020 נמחקו מהמרשם הפלילי העבירות מושא "התיק האישי" ו"התיק הציבורי". ואולם, לפי חוק המידע הפלילי, אף הרשעות שנמחקו הן בגדר נתון רלוונטי שיש לבחון במסגרת החלטה על מינויו של אדם לתפקיד שר, וראו חוות-דעתה של חברתי הנשיאה, בפס' 59; חוות דעתו של חברי, </w:t>
      </w:r>
      <w:r>
        <w:rPr>
          <w:rFonts w:ascii="Century" w:hAnsi="Century" w:cs="FrankRuehl" w:hint="cs"/>
          <w:spacing w:val="10"/>
          <w:szCs w:val="28"/>
          <w:rtl/>
        </w:rPr>
        <w:t>המשנה לנשיאה</w:t>
      </w:r>
      <w:r w:rsidRPr="004808DB">
        <w:rPr>
          <w:rFonts w:ascii="Century" w:hAnsi="Century" w:cs="FrankRuehl" w:hint="cs"/>
          <w:spacing w:val="10"/>
          <w:szCs w:val="28"/>
          <w:rtl/>
        </w:rPr>
        <w:t xml:space="preserve"> </w:t>
      </w:r>
      <w:r w:rsidRPr="004808DB">
        <w:rPr>
          <w:rFonts w:ascii="Century" w:hAnsi="Century" w:cs="Miriam" w:hint="cs"/>
          <w:b/>
          <w:sz w:val="22"/>
          <w:rtl/>
        </w:rPr>
        <w:t>ע' פוגלמן</w:t>
      </w:r>
      <w:r w:rsidRPr="004808DB">
        <w:rPr>
          <w:rFonts w:ascii="Century" w:hAnsi="Century" w:cs="FrankRuehl" w:hint="cs"/>
          <w:spacing w:val="10"/>
          <w:szCs w:val="28"/>
          <w:rtl/>
        </w:rPr>
        <w:t>, בפס' 8).</w:t>
      </w:r>
    </w:p>
    <w:p w14:paraId="37881AA3" w14:textId="77777777" w:rsidR="007E603E" w:rsidRPr="004808DB" w:rsidRDefault="007E603E" w:rsidP="007E603E">
      <w:pPr>
        <w:spacing w:line="360" w:lineRule="auto"/>
        <w:ind w:firstLine="720"/>
        <w:jc w:val="both"/>
        <w:rPr>
          <w:rFonts w:ascii="Century" w:hAnsi="Century" w:cs="FrankRuehl"/>
          <w:spacing w:val="10"/>
          <w:szCs w:val="28"/>
          <w:rtl/>
        </w:rPr>
      </w:pPr>
    </w:p>
    <w:p w14:paraId="7B72AE56"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13.</w:t>
      </w:r>
      <w:r w:rsidRPr="004808DB">
        <w:rPr>
          <w:rFonts w:ascii="Century" w:hAnsi="Century" w:cs="FrankRuehl" w:hint="cs"/>
          <w:spacing w:val="10"/>
          <w:szCs w:val="28"/>
          <w:rtl/>
        </w:rPr>
        <w:tab/>
        <w:t xml:space="preserve">יתר על כן, </w:t>
      </w:r>
      <w:r w:rsidRPr="004808DB">
        <w:rPr>
          <w:rFonts w:ascii="Century" w:hAnsi="Century" w:cs="Miriam" w:hint="cs"/>
          <w:b/>
          <w:sz w:val="22"/>
          <w:rtl/>
        </w:rPr>
        <w:t>ושמא אף עיקר בענייננו</w:t>
      </w:r>
      <w:r w:rsidRPr="004808DB">
        <w:rPr>
          <w:rFonts w:ascii="Century" w:hAnsi="Century" w:cs="FrankRuehl" w:hint="cs"/>
          <w:spacing w:val="10"/>
          <w:szCs w:val="28"/>
          <w:rtl/>
        </w:rPr>
        <w:t>, דרעי יצר, כמתואר לעיל, מצג לפני בית המשפט שגזר את דינו בעבירות המס, כי הוא פורש מהחיים הפוליטיים. לנוכח מצג זה, כאמור, בגזר הדין נזקפה לזכות דרעי</w:t>
      </w:r>
      <w:r w:rsidRPr="004808DB">
        <w:rPr>
          <w:rFonts w:ascii="Century" w:hAnsi="Century" w:cs="FrankRuehl" w:hint="cs"/>
          <w:spacing w:val="10"/>
          <w:sz w:val="22"/>
          <w:szCs w:val="28"/>
          <w:rtl/>
        </w:rPr>
        <w:t xml:space="preserve"> "עזיבתו את הזירה הציבורית"; וצוין כי ניתן "</w:t>
      </w:r>
      <w:r w:rsidRPr="004808DB">
        <w:rPr>
          <w:rFonts w:ascii="Century" w:hAnsi="Century" w:cs="FrankRuehl"/>
          <w:spacing w:val="10"/>
          <w:sz w:val="22"/>
          <w:szCs w:val="28"/>
          <w:rtl/>
        </w:rPr>
        <w:t>לומר בוודאות כי הנאשם לא ייגע עוד בצרכי ציבור הכורכים בתוכם עיסוק כלכלי, וזאת בשל התרחקותו מהזירה הציבורית</w:t>
      </w:r>
      <w:r w:rsidRPr="004808DB">
        <w:rPr>
          <w:rFonts w:ascii="Century" w:hAnsi="Century" w:cs="FrankRuehl" w:hint="cs"/>
          <w:spacing w:val="10"/>
          <w:sz w:val="22"/>
          <w:szCs w:val="28"/>
          <w:rtl/>
        </w:rPr>
        <w:t>", כך שמתפוגג החשש "</w:t>
      </w:r>
      <w:r w:rsidRPr="004808DB">
        <w:rPr>
          <w:rFonts w:ascii="Century" w:hAnsi="Century" w:cs="FrankRuehl"/>
          <w:spacing w:val="10"/>
          <w:sz w:val="22"/>
          <w:szCs w:val="28"/>
          <w:rtl/>
        </w:rPr>
        <w:t>מן הנאשם ומפגיעתו בקופה הציבורית</w:t>
      </w:r>
      <w:r w:rsidRPr="004808DB">
        <w:rPr>
          <w:rFonts w:ascii="Century" w:hAnsi="Century" w:cs="FrankRuehl" w:hint="cs"/>
          <w:spacing w:val="10"/>
          <w:szCs w:val="28"/>
          <w:rtl/>
        </w:rPr>
        <w:t xml:space="preserve">". למרות המצג הנ"ל, אך יממה חלפה והנה דרעי מצהיר, קבל עם ועדה, כי הוא "לא הולך לשום מקום" וממשיך בעשייתו הפוליטית כיו"ר תנועת ש"ס, על כל המשתמע מכך. התנהלות זו של דרעי מבטאת זלזול בוטה בהליך השיפוטי, ומשדרת מסר </w:t>
      </w:r>
      <w:r w:rsidRPr="004808DB">
        <w:rPr>
          <w:rFonts w:ascii="Century" w:hAnsi="Century" w:cs="FrankRuehl"/>
          <w:spacing w:val="10"/>
          <w:szCs w:val="28"/>
          <w:rtl/>
        </w:rPr>
        <w:t>–</w:t>
      </w:r>
      <w:r w:rsidRPr="004808DB">
        <w:rPr>
          <w:rFonts w:ascii="Century" w:hAnsi="Century" w:cs="FrankRuehl" w:hint="cs"/>
          <w:spacing w:val="10"/>
          <w:szCs w:val="28"/>
          <w:rtl/>
        </w:rPr>
        <w:t xml:space="preserve"> שקשה להפריז בחומרתו </w:t>
      </w:r>
      <w:r w:rsidRPr="004808DB">
        <w:rPr>
          <w:rFonts w:ascii="Century" w:hAnsi="Century" w:cs="FrankRuehl"/>
          <w:spacing w:val="10"/>
          <w:szCs w:val="28"/>
          <w:rtl/>
        </w:rPr>
        <w:t>–</w:t>
      </w:r>
      <w:r w:rsidRPr="004808DB">
        <w:rPr>
          <w:rFonts w:ascii="Century" w:hAnsi="Century" w:cs="FrankRuehl" w:hint="cs"/>
          <w:spacing w:val="10"/>
          <w:szCs w:val="28"/>
          <w:rtl/>
        </w:rPr>
        <w:t xml:space="preserve"> לכל אזרח ובעל דין במדינת ישראל, שלפיו ניתן "לתמרן" את בית המשפט באמצעות מצגי-שווא והתחייבויות שאין כוונה לקיים. ברי כי אף בכך, פעל דרעי תוך הפרת עקרונות היושרה המחייבים אישי ציבור, בשים לב לחיוניות השמירה על טוהר המידות.</w:t>
      </w:r>
    </w:p>
    <w:p w14:paraId="79971240" w14:textId="77777777" w:rsidR="007E603E" w:rsidRPr="004808DB" w:rsidRDefault="007E603E" w:rsidP="007E603E">
      <w:pPr>
        <w:spacing w:line="360" w:lineRule="auto"/>
        <w:ind w:firstLine="720"/>
        <w:jc w:val="both"/>
        <w:rPr>
          <w:rFonts w:ascii="Century" w:hAnsi="Century" w:cs="FrankRuehl"/>
          <w:spacing w:val="10"/>
          <w:szCs w:val="28"/>
          <w:rtl/>
        </w:rPr>
      </w:pPr>
    </w:p>
    <w:p w14:paraId="33A40894"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lastRenderedPageBreak/>
        <w:t>14.</w:t>
      </w:r>
      <w:r w:rsidRPr="004808DB">
        <w:rPr>
          <w:rFonts w:ascii="Century" w:hAnsi="Century" w:cs="FrankRuehl" w:hint="cs"/>
          <w:spacing w:val="10"/>
          <w:szCs w:val="28"/>
          <w:rtl/>
        </w:rPr>
        <w:tab/>
        <w:t>לא זו אף זו. מעבר למצג הנ"ל, להשלכותיו על גזר הדין ולהתנהלותו של דרעי מיד לאחר מכן, הרי שהתפטרותו מהכנסת לפני מתן גזר הדין נועדה, למעשה, למנוע מבית משפט השלום להכריע בשאלת הקלון בעניינו; והתחמקותו מהכרעה בשאלת הקלון הושלמה, עם שינוי תנאי הכשירות לכהונת שר, בעקבות הצעת חוק פרטית שהגיש חבר סיעת ש"ס לתיקון חוק-יסוד: הממשלה. אף תיקון זה, אשר נתפר במטרה להכשיר את מינויו של דרעי לשר חרף עברו הפלילי, תוך עקיפת הצורך בהכרעה בשאלת הקלון, מעורר אי נוחות ביחס לתפישת החוק והמשפט.</w:t>
      </w:r>
    </w:p>
    <w:p w14:paraId="36E9DBD3" w14:textId="77777777" w:rsidR="007E603E" w:rsidRPr="004808DB" w:rsidRDefault="007E603E" w:rsidP="007E603E">
      <w:pPr>
        <w:spacing w:line="360" w:lineRule="auto"/>
        <w:ind w:firstLine="720"/>
        <w:jc w:val="both"/>
        <w:rPr>
          <w:rFonts w:ascii="Century" w:hAnsi="Century" w:cs="FrankRuehl"/>
          <w:spacing w:val="10"/>
          <w:szCs w:val="28"/>
          <w:rtl/>
        </w:rPr>
      </w:pPr>
    </w:p>
    <w:p w14:paraId="44A3011F"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15.</w:t>
      </w:r>
      <w:r w:rsidRPr="004808DB">
        <w:rPr>
          <w:rFonts w:ascii="Century" w:hAnsi="Century" w:cs="FrankRuehl" w:hint="cs"/>
          <w:spacing w:val="10"/>
          <w:szCs w:val="28"/>
          <w:rtl/>
        </w:rPr>
        <w:tab/>
        <w:t xml:space="preserve">כל האמור לעיל, </w:t>
      </w:r>
      <w:r w:rsidRPr="004808DB">
        <w:rPr>
          <w:rFonts w:ascii="Century" w:hAnsi="Century" w:cs="Miriam" w:hint="cs"/>
          <w:b/>
          <w:sz w:val="22"/>
          <w:rtl/>
        </w:rPr>
        <w:t>במצטבר</w:t>
      </w:r>
      <w:r w:rsidRPr="004808DB">
        <w:rPr>
          <w:rFonts w:ascii="Century" w:hAnsi="Century" w:cs="FrankRuehl" w:hint="cs"/>
          <w:spacing w:val="10"/>
          <w:szCs w:val="28"/>
          <w:rtl/>
        </w:rPr>
        <w:t xml:space="preserve"> </w:t>
      </w:r>
      <w:r w:rsidRPr="004808DB">
        <w:rPr>
          <w:rFonts w:ascii="Century" w:hAnsi="Century" w:cs="FrankRuehl"/>
          <w:spacing w:val="10"/>
          <w:szCs w:val="28"/>
          <w:rtl/>
        </w:rPr>
        <w:t>–</w:t>
      </w:r>
      <w:r w:rsidRPr="004808DB">
        <w:rPr>
          <w:rFonts w:ascii="Century" w:hAnsi="Century" w:cs="FrankRuehl" w:hint="cs"/>
          <w:spacing w:val="10"/>
          <w:szCs w:val="28"/>
          <w:rtl/>
        </w:rPr>
        <w:t xml:space="preserve"> בהינתן הקביעות שנפסקו בפסק הדין בעניין </w:t>
      </w:r>
      <w:r w:rsidRPr="004808DB">
        <w:rPr>
          <w:rFonts w:ascii="Century" w:hAnsi="Century" w:cs="Miriam" w:hint="eastAsia"/>
          <w:b/>
          <w:sz w:val="22"/>
          <w:rtl/>
        </w:rPr>
        <w:t>דרעי</w:t>
      </w:r>
      <w:r w:rsidRPr="004808DB">
        <w:rPr>
          <w:rFonts w:ascii="Century" w:hAnsi="Century" w:cs="Miriam"/>
          <w:b/>
          <w:sz w:val="22"/>
          <w:rtl/>
        </w:rPr>
        <w:t xml:space="preserve"> </w:t>
      </w:r>
      <w:r w:rsidRPr="004808DB">
        <w:rPr>
          <w:rFonts w:ascii="Century" w:hAnsi="Century" w:cs="Miriam" w:hint="eastAsia"/>
          <w:b/>
          <w:sz w:val="22"/>
          <w:rtl/>
        </w:rPr>
        <w:t>השני</w:t>
      </w:r>
      <w:r w:rsidRPr="004808DB">
        <w:rPr>
          <w:rFonts w:ascii="Century" w:hAnsi="Century" w:cs="FrankRuehl" w:hint="cs"/>
          <w:spacing w:val="10"/>
          <w:szCs w:val="28"/>
          <w:rtl/>
        </w:rPr>
        <w:t xml:space="preserve">, ובשים לב לחשיבות עיקרון טוהר המידות של אישי ציבור </w:t>
      </w:r>
      <w:r w:rsidRPr="004808DB">
        <w:rPr>
          <w:rFonts w:ascii="Century" w:hAnsi="Century" w:cs="FrankRuehl"/>
          <w:spacing w:val="10"/>
          <w:szCs w:val="28"/>
          <w:rtl/>
        </w:rPr>
        <w:t>–</w:t>
      </w:r>
      <w:r w:rsidRPr="004808DB">
        <w:rPr>
          <w:rFonts w:ascii="Century" w:hAnsi="Century" w:cs="FrankRuehl" w:hint="cs"/>
          <w:spacing w:val="10"/>
          <w:szCs w:val="28"/>
          <w:rtl/>
        </w:rPr>
        <w:t xml:space="preserve"> מוביל למסקנה, חד-משמעית, שלפיה עניינו של דרעי עולה כדי מקרה חריג וקיצוני, שאינו מותיר ברירה אלא להתערב בהחלטה על מינויו כשר בממשלה, חרף הריסון ואמות המידה המחמירות שיש להחיל על ביקורת שיפוטית בתחום זה.</w:t>
      </w:r>
    </w:p>
    <w:p w14:paraId="3C6EE970" w14:textId="77777777" w:rsidR="007E603E" w:rsidRPr="004808DB" w:rsidRDefault="007E603E" w:rsidP="007E603E">
      <w:pPr>
        <w:spacing w:line="360" w:lineRule="auto"/>
        <w:ind w:firstLine="720"/>
        <w:jc w:val="both"/>
        <w:rPr>
          <w:rFonts w:ascii="Century" w:hAnsi="Century" w:cs="FrankRuehl"/>
          <w:spacing w:val="10"/>
          <w:szCs w:val="28"/>
          <w:rtl/>
        </w:rPr>
      </w:pPr>
    </w:p>
    <w:p w14:paraId="05FE4C1A"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16.</w:t>
      </w:r>
      <w:r w:rsidRPr="004808DB">
        <w:rPr>
          <w:rFonts w:ascii="Century" w:hAnsi="Century" w:cs="FrankRuehl" w:hint="cs"/>
          <w:spacing w:val="10"/>
          <w:szCs w:val="28"/>
          <w:rtl/>
        </w:rPr>
        <w:tab/>
        <w:t xml:space="preserve">ודוק: קיימים במקרה דנן שיקולים כבדי-משקל, אשר מושכים לעבר אי-התערבות ונקיטת ריסון מוגבר בהחלת הביקורת השיפוטית. מבין שיקולים אלו ניתן למנות, בין היתר, את שיקול הדעת הרחב המסור לראש הממשלה בהחלטות כגון דא; את האמון שהביעה הכנסת בממשלה הנדונה; ואת העובדה כי מאות אלפי אזרחים הצביעו בבחירות למפלגת ש"ס בראשות דרעי. אלא ששיקולים מסוג זה ניצבו, בעיקרו של דבר, כבר ביסוד ההכרעה בעניין </w:t>
      </w:r>
      <w:r w:rsidRPr="004808DB">
        <w:rPr>
          <w:rFonts w:ascii="Century" w:hAnsi="Century" w:cs="Miriam" w:hint="eastAsia"/>
          <w:b/>
          <w:sz w:val="22"/>
          <w:rtl/>
        </w:rPr>
        <w:t>דרעי</w:t>
      </w:r>
      <w:r w:rsidRPr="004808DB">
        <w:rPr>
          <w:rFonts w:ascii="Century" w:hAnsi="Century" w:cs="Miriam"/>
          <w:b/>
          <w:sz w:val="22"/>
          <w:rtl/>
        </w:rPr>
        <w:t xml:space="preserve"> </w:t>
      </w:r>
      <w:r w:rsidRPr="004808DB">
        <w:rPr>
          <w:rFonts w:ascii="Century" w:hAnsi="Century" w:cs="Miriam" w:hint="eastAsia"/>
          <w:b/>
          <w:sz w:val="22"/>
          <w:rtl/>
        </w:rPr>
        <w:t>השני</w:t>
      </w:r>
      <w:r w:rsidRPr="004808DB">
        <w:rPr>
          <w:rFonts w:ascii="Century" w:hAnsi="Century" w:cs="FrankRuehl" w:hint="cs"/>
          <w:spacing w:val="10"/>
          <w:szCs w:val="28"/>
          <w:rtl/>
        </w:rPr>
        <w:t xml:space="preserve">, ולמרות אותם שיקולים, נפסק שם כאמור כי "מינויו של דרעי לתפקיד שר מצוי </w:t>
      </w:r>
      <w:r w:rsidRPr="004808DB">
        <w:rPr>
          <w:rFonts w:ascii="Century" w:hAnsi="Century" w:cs="Miriam" w:hint="cs"/>
          <w:b/>
          <w:sz w:val="22"/>
          <w:rtl/>
        </w:rPr>
        <w:t>על גבול מתחם הסבירות</w:t>
      </w:r>
      <w:r w:rsidRPr="004808DB">
        <w:rPr>
          <w:rFonts w:ascii="Century" w:hAnsi="Century" w:cs="FrankRuehl" w:hint="cs"/>
          <w:spacing w:val="10"/>
          <w:szCs w:val="28"/>
          <w:rtl/>
        </w:rPr>
        <w:t>". מאחר שפסק הדין בעניין</w:t>
      </w:r>
      <w:r w:rsidRPr="004808DB">
        <w:rPr>
          <w:rFonts w:ascii="Century" w:hAnsi="Century" w:cs="Miriam"/>
          <w:b/>
          <w:sz w:val="22"/>
          <w:rtl/>
        </w:rPr>
        <w:t xml:space="preserve"> </w:t>
      </w:r>
      <w:r w:rsidRPr="004808DB">
        <w:rPr>
          <w:rFonts w:ascii="Century" w:hAnsi="Century" w:cs="Miriam" w:hint="eastAsia"/>
          <w:b/>
          <w:sz w:val="22"/>
          <w:rtl/>
        </w:rPr>
        <w:t>דרעי</w:t>
      </w:r>
      <w:r w:rsidRPr="004808DB">
        <w:rPr>
          <w:rFonts w:ascii="Century" w:hAnsi="Century" w:cs="Miriam"/>
          <w:b/>
          <w:sz w:val="22"/>
          <w:rtl/>
        </w:rPr>
        <w:t xml:space="preserve"> </w:t>
      </w:r>
      <w:r w:rsidRPr="004808DB">
        <w:rPr>
          <w:rFonts w:ascii="Century" w:hAnsi="Century" w:cs="Miriam" w:hint="eastAsia"/>
          <w:b/>
          <w:sz w:val="22"/>
          <w:rtl/>
        </w:rPr>
        <w:t>השני</w:t>
      </w:r>
      <w:r w:rsidRPr="004808DB">
        <w:rPr>
          <w:rFonts w:ascii="Century" w:hAnsi="Century" w:cs="FrankRuehl" w:hint="cs"/>
          <w:spacing w:val="10"/>
          <w:szCs w:val="28"/>
          <w:rtl/>
        </w:rPr>
        <w:t xml:space="preserve"> משמש כנקודת מוצא מחייבת להכרעתנו, אין בשיקולים האמורים, כשלעצמם, כדי להטות את הכף לעבר מסקנה שלפיה מינויו של דרעי לשר יכול לעמוד.</w:t>
      </w:r>
    </w:p>
    <w:p w14:paraId="07BA2FD4" w14:textId="77777777" w:rsidR="007E603E" w:rsidRPr="004808DB" w:rsidRDefault="007E603E" w:rsidP="007E603E">
      <w:pPr>
        <w:spacing w:line="360" w:lineRule="auto"/>
        <w:ind w:firstLine="720"/>
        <w:jc w:val="both"/>
        <w:rPr>
          <w:rFonts w:ascii="Century" w:hAnsi="Century" w:cs="FrankRuehl"/>
          <w:spacing w:val="10"/>
          <w:szCs w:val="28"/>
          <w:rtl/>
        </w:rPr>
      </w:pPr>
    </w:p>
    <w:p w14:paraId="0CC99C34" w14:textId="77777777" w:rsidR="007E603E" w:rsidRPr="004808DB" w:rsidRDefault="007E603E" w:rsidP="007E603E">
      <w:pPr>
        <w:spacing w:line="360" w:lineRule="auto"/>
        <w:jc w:val="both"/>
        <w:rPr>
          <w:rFonts w:ascii="Century" w:hAnsi="Century" w:cs="FrankRuehl"/>
          <w:spacing w:val="10"/>
          <w:szCs w:val="28"/>
          <w:rtl/>
        </w:rPr>
      </w:pPr>
      <w:r w:rsidRPr="004808DB">
        <w:rPr>
          <w:rFonts w:ascii="Century" w:hAnsi="Century" w:cs="FrankRuehl" w:hint="cs"/>
          <w:spacing w:val="10"/>
          <w:szCs w:val="28"/>
          <w:rtl/>
        </w:rPr>
        <w:t>17.</w:t>
      </w:r>
      <w:r w:rsidRPr="004808DB">
        <w:rPr>
          <w:rFonts w:ascii="Century" w:hAnsi="Century" w:cs="FrankRuehl" w:hint="cs"/>
          <w:spacing w:val="10"/>
          <w:szCs w:val="28"/>
          <w:rtl/>
        </w:rPr>
        <w:tab/>
      </w:r>
      <w:r w:rsidRPr="004808DB">
        <w:rPr>
          <w:rFonts w:ascii="Century" w:hAnsi="Century" w:cs="Miriam" w:hint="cs"/>
          <w:b/>
          <w:sz w:val="22"/>
          <w:rtl/>
        </w:rPr>
        <w:t>סוף דבר</w:t>
      </w:r>
      <w:r w:rsidRPr="004808DB">
        <w:rPr>
          <w:rFonts w:ascii="Century" w:hAnsi="Century" w:cs="FrankRuehl" w:hint="cs"/>
          <w:spacing w:val="10"/>
          <w:szCs w:val="28"/>
          <w:rtl/>
        </w:rPr>
        <w:t>: בשים לב לכל האמור לעיל, אני סבורה כי מינויו של דרעי לכהונת שר בממשלת ישראל ה-37 אינו יכול לעמוד, ומשכך מצטרפת אני לתוצאה שאליה הגיעה חברתי הנשיאה.</w:t>
      </w:r>
    </w:p>
    <w:p w14:paraId="2D7A359B" w14:textId="77777777" w:rsidR="007E603E" w:rsidRPr="004808DB" w:rsidRDefault="007E603E" w:rsidP="007E603E">
      <w:pPr>
        <w:spacing w:line="360" w:lineRule="auto"/>
        <w:jc w:val="both"/>
        <w:rPr>
          <w:rFonts w:ascii="Century" w:hAnsi="Century" w:cs="FrankRuehl"/>
          <w:spacing w:val="10"/>
          <w:szCs w:val="28"/>
          <w:rtl/>
        </w:rPr>
      </w:pPr>
    </w:p>
    <w:p w14:paraId="4467566C" w14:textId="77777777" w:rsidR="007E603E" w:rsidRDefault="007E603E" w:rsidP="007E603E">
      <w:pPr>
        <w:spacing w:line="360" w:lineRule="auto"/>
        <w:jc w:val="both"/>
        <w:rPr>
          <w:rFonts w:ascii="Century" w:hAnsi="Century" w:cs="FrankRuehl"/>
          <w:spacing w:val="10"/>
          <w:szCs w:val="28"/>
          <w:rtl/>
        </w:rPr>
      </w:pPr>
      <w:r w:rsidRPr="004808DB">
        <w:rPr>
          <w:rFonts w:ascii="Century" w:hAnsi="Century" w:cs="FrankRuehl"/>
          <w:spacing w:val="10"/>
          <w:szCs w:val="28"/>
          <w:rtl/>
        </w:rPr>
        <w:tab/>
      </w:r>
      <w:r w:rsidRPr="004808DB">
        <w:rPr>
          <w:rFonts w:ascii="Century" w:hAnsi="Century" w:cs="FrankRuehl" w:hint="cs"/>
          <w:spacing w:val="10"/>
          <w:szCs w:val="28"/>
          <w:rtl/>
        </w:rPr>
        <w:t xml:space="preserve">בנסיבות אלו, איני נדרשת להביע עמדה בטענות שהוצגו בעתירות שלפנינו נגד תוקפו של התיקון האמור לחוק-יסוד: הממשלה. אסתפק, אפוא, בכך שאזכיר כי הלכה עמנו, שאין להתערב בחוק-יסוד מכוח דוקטרינת השימוש לרעה בסמכות המכוננת, אלא במקרים נדירים וקיצוניים (ראו, למשל, בג"ץ 2905/20 </w:t>
      </w:r>
      <w:r w:rsidRPr="004808DB">
        <w:rPr>
          <w:rFonts w:ascii="Century" w:hAnsi="Century" w:cs="Miriam" w:hint="cs"/>
          <w:b/>
          <w:sz w:val="22"/>
          <w:rtl/>
        </w:rPr>
        <w:t>התנועה למען איכות השלטון בישראל נ' כנסת ישראל</w:t>
      </w:r>
      <w:r w:rsidRPr="004808DB">
        <w:rPr>
          <w:rFonts w:ascii="Century" w:hAnsi="Century" w:cs="FrankRuehl" w:hint="cs"/>
          <w:spacing w:val="10"/>
          <w:sz w:val="22"/>
          <w:szCs w:val="28"/>
          <w:rtl/>
        </w:rPr>
        <w:t xml:space="preserve">, פס' 10 לחוות-דעתו של השופט </w:t>
      </w:r>
      <w:r w:rsidRPr="004808DB">
        <w:rPr>
          <w:rFonts w:ascii="Century" w:hAnsi="Century" w:cs="Miriam" w:hint="cs"/>
          <w:b/>
          <w:sz w:val="22"/>
          <w:rtl/>
        </w:rPr>
        <w:t>נ' הנדל</w:t>
      </w:r>
      <w:r w:rsidRPr="004808DB">
        <w:rPr>
          <w:rFonts w:ascii="Century" w:hAnsi="Century" w:cs="FrankRuehl" w:hint="cs"/>
          <w:spacing w:val="10"/>
          <w:sz w:val="22"/>
          <w:szCs w:val="28"/>
          <w:rtl/>
        </w:rPr>
        <w:t xml:space="preserve">; פס' 6 לחוות-דעתה של השופטת </w:t>
      </w:r>
      <w:r w:rsidRPr="004808DB">
        <w:rPr>
          <w:rFonts w:ascii="Century" w:hAnsi="Century" w:cs="Miriam" w:hint="eastAsia"/>
          <w:b/>
          <w:sz w:val="22"/>
          <w:rtl/>
        </w:rPr>
        <w:t>ד</w:t>
      </w:r>
      <w:r w:rsidRPr="004808DB">
        <w:rPr>
          <w:rFonts w:ascii="Century" w:hAnsi="Century" w:cs="Miriam"/>
          <w:b/>
          <w:sz w:val="22"/>
          <w:rtl/>
        </w:rPr>
        <w:t xml:space="preserve">' </w:t>
      </w:r>
      <w:r w:rsidRPr="004808DB">
        <w:rPr>
          <w:rFonts w:ascii="Century" w:hAnsi="Century" w:cs="Miriam" w:hint="eastAsia"/>
          <w:b/>
          <w:sz w:val="22"/>
          <w:rtl/>
        </w:rPr>
        <w:t>ברק</w:t>
      </w:r>
      <w:r w:rsidRPr="004808DB">
        <w:rPr>
          <w:rFonts w:ascii="Century" w:hAnsi="Century" w:cs="Miriam"/>
          <w:b/>
          <w:sz w:val="22"/>
          <w:rtl/>
        </w:rPr>
        <w:t>-</w:t>
      </w:r>
      <w:r w:rsidRPr="004808DB">
        <w:rPr>
          <w:rFonts w:ascii="Century" w:hAnsi="Century" w:cs="Miriam" w:hint="eastAsia"/>
          <w:b/>
          <w:sz w:val="22"/>
          <w:rtl/>
        </w:rPr>
        <w:t>ארז</w:t>
      </w:r>
      <w:r w:rsidRPr="004808DB">
        <w:rPr>
          <w:rFonts w:ascii="Century" w:hAnsi="Century" w:cs="FrankRuehl" w:hint="cs"/>
          <w:spacing w:val="10"/>
          <w:sz w:val="22"/>
          <w:szCs w:val="28"/>
          <w:rtl/>
        </w:rPr>
        <w:t xml:space="preserve"> (12.7.2021))</w:t>
      </w:r>
      <w:r w:rsidRPr="004808DB">
        <w:rPr>
          <w:rFonts w:ascii="Century" w:hAnsi="Century" w:cs="FrankRuehl" w:hint="cs"/>
          <w:spacing w:val="10"/>
          <w:szCs w:val="28"/>
          <w:rtl/>
        </w:rPr>
        <w:t xml:space="preserve">; וכי ככלל, מניעיו של המכונן אינם, כשלעצמם, </w:t>
      </w:r>
      <w:r w:rsidRPr="004808DB">
        <w:rPr>
          <w:rFonts w:ascii="Century" w:hAnsi="Century" w:cs="FrankRuehl" w:hint="cs"/>
          <w:spacing w:val="10"/>
          <w:szCs w:val="28"/>
          <w:rtl/>
        </w:rPr>
        <w:lastRenderedPageBreak/>
        <w:t xml:space="preserve">עילה להתערבות מכוח הדוקטרינה האמורה (שם, פס' 12 לחוות-דעתו של השופט </w:t>
      </w:r>
      <w:r w:rsidRPr="004808DB">
        <w:rPr>
          <w:rFonts w:ascii="Century" w:hAnsi="Century" w:cs="Miriam" w:hint="cs"/>
          <w:b/>
          <w:sz w:val="22"/>
          <w:rtl/>
        </w:rPr>
        <w:t>הנדל</w:t>
      </w:r>
      <w:r w:rsidRPr="004808DB">
        <w:rPr>
          <w:rFonts w:ascii="Century" w:hAnsi="Century" w:cs="FrankRuehl" w:hint="cs"/>
          <w:spacing w:val="10"/>
          <w:sz w:val="22"/>
          <w:szCs w:val="28"/>
          <w:rtl/>
        </w:rPr>
        <w:t xml:space="preserve">; פס' 20 לחוות-דעתה של השופטת </w:t>
      </w:r>
      <w:r w:rsidRPr="004808DB">
        <w:rPr>
          <w:rFonts w:ascii="Century" w:hAnsi="Century" w:cs="Miriam" w:hint="cs"/>
          <w:b/>
          <w:sz w:val="22"/>
          <w:rtl/>
        </w:rPr>
        <w:t>ברק-ארז</w:t>
      </w:r>
      <w:r w:rsidRPr="004808DB">
        <w:rPr>
          <w:rFonts w:ascii="Century" w:hAnsi="Century" w:cs="FrankRuehl" w:hint="cs"/>
          <w:spacing w:val="10"/>
          <w:sz w:val="22"/>
          <w:szCs w:val="28"/>
          <w:rtl/>
        </w:rPr>
        <w:t>;</w:t>
      </w:r>
      <w:r w:rsidRPr="004808DB">
        <w:rPr>
          <w:rFonts w:ascii="Century" w:hAnsi="Century" w:cs="FrankRuehl" w:hint="cs"/>
          <w:spacing w:val="10"/>
          <w:szCs w:val="28"/>
          <w:rtl/>
        </w:rPr>
        <w:t xml:space="preserve"> בג"ץ 5969/20 </w:t>
      </w:r>
      <w:r w:rsidRPr="004808DB">
        <w:rPr>
          <w:rFonts w:ascii="Century" w:hAnsi="Century" w:cs="Miriam" w:hint="cs"/>
          <w:b/>
          <w:sz w:val="22"/>
          <w:rtl/>
        </w:rPr>
        <w:t>שפיר נ' הכנסת</w:t>
      </w:r>
      <w:r w:rsidRPr="004808DB">
        <w:rPr>
          <w:rFonts w:ascii="Century" w:hAnsi="Century" w:cs="FrankRuehl" w:hint="cs"/>
          <w:spacing w:val="10"/>
          <w:sz w:val="22"/>
          <w:szCs w:val="28"/>
          <w:rtl/>
        </w:rPr>
        <w:t xml:space="preserve">, פס' </w:t>
      </w:r>
      <w:r w:rsidRPr="004808DB">
        <w:rPr>
          <w:rFonts w:ascii="Century" w:hAnsi="Century" w:cs="FrankRuehl" w:hint="cs"/>
          <w:spacing w:val="10"/>
          <w:szCs w:val="28"/>
          <w:rtl/>
        </w:rPr>
        <w:t xml:space="preserve">43 ו-62 לחוות-דעתה של הנשיאה </w:t>
      </w:r>
      <w:r w:rsidRPr="004808DB">
        <w:rPr>
          <w:rFonts w:ascii="Century" w:hAnsi="Century" w:cs="Miriam" w:hint="cs"/>
          <w:b/>
          <w:sz w:val="22"/>
          <w:rtl/>
        </w:rPr>
        <w:t xml:space="preserve">א' חיות </w:t>
      </w:r>
      <w:r w:rsidRPr="004808DB">
        <w:rPr>
          <w:rFonts w:ascii="Century" w:hAnsi="Century" w:cs="FrankRuehl" w:hint="cs"/>
          <w:spacing w:val="10"/>
          <w:sz w:val="22"/>
          <w:szCs w:val="28"/>
          <w:rtl/>
        </w:rPr>
        <w:t>(23.5.2021))</w:t>
      </w:r>
      <w:r w:rsidRPr="004808DB">
        <w:rPr>
          <w:rFonts w:ascii="Century" w:hAnsi="Century" w:cs="FrankRuehl" w:hint="cs"/>
          <w:spacing w:val="10"/>
          <w:szCs w:val="28"/>
          <w:rtl/>
        </w:rPr>
        <w:t>.</w:t>
      </w:r>
    </w:p>
    <w:p w14:paraId="4B6B4247" w14:textId="77777777" w:rsidR="007E603E" w:rsidRDefault="007E603E" w:rsidP="007E603E">
      <w:pPr>
        <w:spacing w:line="360" w:lineRule="auto"/>
        <w:jc w:val="both"/>
        <w:rPr>
          <w:rFonts w:ascii="Century" w:hAnsi="Century" w:cs="FrankRuehl"/>
          <w:spacing w:val="10"/>
          <w:szCs w:val="28"/>
          <w:rtl/>
        </w:rPr>
      </w:pPr>
    </w:p>
    <w:p w14:paraId="6CDA7DD9" w14:textId="77777777" w:rsidR="007E603E" w:rsidRDefault="007E603E" w:rsidP="007E603E">
      <w:pPr>
        <w:pStyle w:val="Ruller38"/>
        <w:rPr>
          <w:rtl/>
        </w:rPr>
      </w:pPr>
    </w:p>
    <w:p w14:paraId="151AE8CB" w14:textId="77777777" w:rsidR="00EF114E" w:rsidRDefault="00EF114E" w:rsidP="007E603E">
      <w:pPr>
        <w:pStyle w:val="BODYVERDICT"/>
        <w:rPr>
          <w:rFonts w:cs="Miriam"/>
          <w:b/>
          <w:bCs/>
          <w:sz w:val="24"/>
          <w:szCs w:val="24"/>
          <w:rtl/>
        </w:rPr>
      </w:pPr>
      <w:r>
        <w:rPr>
          <w:rFonts w:cs="Miriam"/>
          <w:b/>
          <w:bCs/>
          <w:sz w:val="24"/>
          <w:szCs w:val="24"/>
          <w:rtl/>
        </w:rPr>
        <w:tab/>
      </w:r>
    </w:p>
    <w:p w14:paraId="44616A12"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r>
        <w:rPr>
          <w:rFonts w:ascii="FrankRuehl" w:hAnsi="FrankRuehl" w:hint="cs"/>
          <w:sz w:val="28"/>
          <w:rtl/>
        </w:rPr>
        <w:t xml:space="preserve"> ת </w:t>
      </w:r>
    </w:p>
    <w:p w14:paraId="682F0276" w14:textId="77777777" w:rsidR="007E603E" w:rsidRDefault="007E603E" w:rsidP="00EF114E">
      <w:pPr>
        <w:pStyle w:val="BODYVERDICT"/>
        <w:rPr>
          <w:rFonts w:ascii="FrankRuehl" w:hAnsi="FrankRuehl"/>
          <w:sz w:val="28"/>
          <w:rtl/>
        </w:rPr>
      </w:pPr>
    </w:p>
    <w:p w14:paraId="6E7E6578" w14:textId="77777777" w:rsidR="00EF114E" w:rsidRDefault="00EF114E" w:rsidP="00EF114E">
      <w:pPr>
        <w:pStyle w:val="BODYVERDICT"/>
        <w:rPr>
          <w:rFonts w:ascii="FrankRuehl" w:hAnsi="FrankRuehl"/>
          <w:sz w:val="28"/>
          <w:rtl/>
        </w:rPr>
      </w:pPr>
    </w:p>
    <w:p w14:paraId="0207AF6C" w14:textId="77777777" w:rsidR="00EF114E" w:rsidRDefault="00EF114E" w:rsidP="007E603E">
      <w:pPr>
        <w:pStyle w:val="BODYVERDICT"/>
        <w:rPr>
          <w:rFonts w:cs="Miriam"/>
          <w:b/>
          <w:bCs/>
          <w:sz w:val="24"/>
          <w:szCs w:val="24"/>
          <w:rtl/>
        </w:rPr>
      </w:pPr>
      <w:r w:rsidRPr="0083330E">
        <w:rPr>
          <w:rFonts w:cs="Miriam"/>
          <w:sz w:val="24"/>
          <w:szCs w:val="24"/>
          <w:u w:val="single"/>
          <w:rtl/>
        </w:rPr>
        <w:t>ה</w:t>
      </w:r>
      <w:r>
        <w:rPr>
          <w:rFonts w:cs="Miriam" w:hint="cs"/>
          <w:sz w:val="24"/>
          <w:szCs w:val="24"/>
          <w:u w:val="single"/>
          <w:rtl/>
        </w:rPr>
        <w:t>שופט ח</w:t>
      </w:r>
      <w:r w:rsidR="007E603E">
        <w:rPr>
          <w:rFonts w:cs="Miriam" w:hint="cs"/>
          <w:sz w:val="24"/>
          <w:szCs w:val="24"/>
          <w:u w:val="single"/>
          <w:rtl/>
        </w:rPr>
        <w:t>'</w:t>
      </w:r>
      <w:r>
        <w:rPr>
          <w:rFonts w:cs="Miriam" w:hint="cs"/>
          <w:sz w:val="24"/>
          <w:szCs w:val="24"/>
          <w:u w:val="single"/>
          <w:rtl/>
        </w:rPr>
        <w:t xml:space="preserve"> כבוב:</w:t>
      </w:r>
    </w:p>
    <w:p w14:paraId="7BE17B67" w14:textId="77777777" w:rsidR="00527E1C" w:rsidRDefault="00527E1C" w:rsidP="007E603E">
      <w:pPr>
        <w:pStyle w:val="BODYVERDICT"/>
        <w:rPr>
          <w:rFonts w:cs="Miriam"/>
          <w:b/>
          <w:bCs/>
          <w:sz w:val="24"/>
          <w:szCs w:val="24"/>
          <w:rtl/>
        </w:rPr>
      </w:pPr>
    </w:p>
    <w:p w14:paraId="14480EF7" w14:textId="77777777" w:rsidR="00527E1C" w:rsidRDefault="00527E1C" w:rsidP="00527E1C">
      <w:pPr>
        <w:pStyle w:val="Ruller4"/>
        <w:numPr>
          <w:ilvl w:val="0"/>
          <w:numId w:val="31"/>
        </w:numPr>
        <w:tabs>
          <w:tab w:val="clear" w:pos="360"/>
          <w:tab w:val="num" w:pos="907"/>
          <w:tab w:val="num" w:pos="1049"/>
        </w:tabs>
        <w:spacing w:before="240" w:after="240"/>
        <w:ind w:left="0" w:firstLine="0"/>
        <w:rPr>
          <w:rtl/>
        </w:rPr>
      </w:pPr>
      <w:r>
        <w:rPr>
          <w:rtl/>
        </w:rPr>
        <w:t xml:space="preserve">אני מצטרף בהסכמה לחוות דעתה של חברתי, הנשיאה </w:t>
      </w:r>
      <w:r>
        <w:rPr>
          <w:rFonts w:ascii="Century" w:hAnsi="Century" w:cs="Miriam"/>
          <w:b/>
          <w:spacing w:val="0"/>
          <w:szCs w:val="24"/>
          <w:rtl/>
        </w:rPr>
        <w:t>א' חיות</w:t>
      </w:r>
      <w:r>
        <w:rPr>
          <w:rFonts w:ascii="Century" w:hAnsi="Century"/>
          <w:rtl/>
        </w:rPr>
        <w:t>, אשר לאי-הסבירות הקיצונית שבמינויו של ח"כ אריה דרעי לשר</w:t>
      </w:r>
      <w:r>
        <w:rPr>
          <w:rtl/>
        </w:rPr>
        <w:t xml:space="preserve"> בממשלה – זאת, נוכח צֶבֶר הרשעותיו בפלילים, כמו גם המצג שהציג בפני בית משפט השלום במסגרת עסקת הטיעון, בגדרי עניין עבירות המס. אי-סבירות זאת מחייבת, גם לטעמי, כי ראש הממשלה יפעיל את הסמכות הנתונה לו מכוח סעיף 22(ב) לחוק-יסוד: הממשלה, ויורה על הפסקת כהונתו של ח"כ דרעי כשר הפנים ושר הבריאות.</w:t>
      </w:r>
    </w:p>
    <w:p w14:paraId="2B72DD8B" w14:textId="77777777" w:rsidR="00527E1C" w:rsidRDefault="00527E1C" w:rsidP="00527E1C">
      <w:pPr>
        <w:pStyle w:val="Ruller4"/>
        <w:numPr>
          <w:ilvl w:val="0"/>
          <w:numId w:val="0"/>
        </w:numPr>
        <w:spacing w:before="240" w:after="240"/>
      </w:pPr>
      <w:r>
        <w:rPr>
          <w:rtl/>
        </w:rPr>
        <w:tab/>
        <w:t xml:space="preserve">גם אני סבור כי לא ניתן להלום את מינויו של דרעי כשר בהתאם לכללי המשפט המינהלי ופסיקת בית משפט זה, בדבר </w:t>
      </w:r>
      <w:r>
        <w:rPr>
          <w:rFonts w:ascii="FrankRuehl" w:hAnsi="FrankRuehl"/>
          <w:color w:val="000000"/>
          <w:sz w:val="28"/>
          <w:rtl/>
        </w:rPr>
        <w:t xml:space="preserve">ההבחנה בין </w:t>
      </w:r>
      <w:r>
        <w:rPr>
          <w:rFonts w:ascii="Century" w:hAnsi="Century"/>
          <w:sz w:val="22"/>
          <w:rtl/>
        </w:rPr>
        <w:t xml:space="preserve">תנאי הכשירות להתמנות לתפקיד שר בממשלה לבין אופן הפעלת שיקול הדעת של ראש הממשלה, בהיותו הגורם הממנה </w:t>
      </w:r>
      <w:r>
        <w:rPr>
          <w:rtl/>
        </w:rPr>
        <w:t>(</w:t>
      </w:r>
      <w:r>
        <w:rPr>
          <w:rFonts w:ascii="Century" w:hAnsi="Century"/>
          <w:sz w:val="22"/>
          <w:rtl/>
        </w:rPr>
        <w:t>בג״ץ 3094/93</w:t>
      </w:r>
      <w:r>
        <w:rPr>
          <w:rFonts w:ascii="FrankRuehl" w:hAnsi="FrankRuehl" w:cs="Times New Roman"/>
          <w:color w:val="000000"/>
          <w:sz w:val="28"/>
          <w:rtl/>
          <w:lang w:bidi="ar-SA"/>
        </w:rPr>
        <w:t xml:space="preserve"> </w:t>
      </w:r>
      <w:r>
        <w:rPr>
          <w:rFonts w:ascii="Century" w:hAnsi="Century" w:cs="Miriam"/>
          <w:b/>
          <w:spacing w:val="0"/>
          <w:sz w:val="22"/>
          <w:szCs w:val="24"/>
          <w:rtl/>
        </w:rPr>
        <w:t>התנועה למען איכות השלטון בישראל נ' ממשלת ישראל</w:t>
      </w:r>
      <w:r>
        <w:rPr>
          <w:rFonts w:ascii="FrankRuehl" w:hAnsi="FrankRuehl"/>
          <w:color w:val="000000"/>
          <w:sz w:val="28"/>
          <w:rtl/>
        </w:rPr>
        <w:t xml:space="preserve">, פ״ד מז(5) 404 (1993); </w:t>
      </w:r>
      <w:r>
        <w:rPr>
          <w:rFonts w:ascii="Century" w:hAnsi="Century"/>
          <w:sz w:val="22"/>
          <w:rtl/>
        </w:rPr>
        <w:t>בג״ץ 4267/93</w:t>
      </w:r>
      <w:r>
        <w:rPr>
          <w:rFonts w:ascii="FrankRuehl" w:hAnsi="FrankRuehl" w:cs="Times New Roman"/>
          <w:color w:val="000000"/>
          <w:sz w:val="28"/>
          <w:rtl/>
          <w:lang w:bidi="ar-SA"/>
        </w:rPr>
        <w:t xml:space="preserve"> </w:t>
      </w:r>
      <w:r>
        <w:rPr>
          <w:rFonts w:ascii="Century" w:hAnsi="Century" w:cs="Miriam"/>
          <w:b/>
          <w:spacing w:val="0"/>
          <w:sz w:val="22"/>
          <w:szCs w:val="24"/>
          <w:rtl/>
        </w:rPr>
        <w:t>אמיתי – אזרחים למען מינהל תקין וטוהר המידות נ' יצחק רבין, ראש ממשלת ישראל</w:t>
      </w:r>
      <w:r>
        <w:rPr>
          <w:rFonts w:ascii="FrankRuehl" w:hAnsi="FrankRuehl"/>
          <w:color w:val="000000"/>
          <w:sz w:val="28"/>
          <w:rtl/>
        </w:rPr>
        <w:t>,</w:t>
      </w:r>
      <w:r>
        <w:rPr>
          <w:rFonts w:ascii="FrankRuehl" w:hAnsi="FrankRuehl" w:cs="Times New Roman"/>
          <w:color w:val="000000"/>
          <w:sz w:val="28"/>
          <w:rtl/>
          <w:lang w:bidi="ar-SA"/>
        </w:rPr>
        <w:t xml:space="preserve"> </w:t>
      </w:r>
      <w:r>
        <w:rPr>
          <w:rFonts w:ascii="FrankRuehl" w:hAnsi="FrankRuehl"/>
          <w:color w:val="000000"/>
          <w:sz w:val="28"/>
          <w:rtl/>
        </w:rPr>
        <w:t xml:space="preserve">פ״ד מז(5) 441 (1993) (להלן: </w:t>
      </w:r>
      <w:r>
        <w:rPr>
          <w:rFonts w:ascii="Century" w:hAnsi="Century" w:cs="Miriam"/>
          <w:b/>
          <w:spacing w:val="0"/>
          <w:sz w:val="22"/>
          <w:szCs w:val="24"/>
          <w:rtl/>
        </w:rPr>
        <w:t>עניין פנחסי</w:t>
      </w:r>
      <w:r>
        <w:rPr>
          <w:rFonts w:ascii="FrankRuehl" w:hAnsi="FrankRuehl"/>
          <w:color w:val="000000"/>
          <w:sz w:val="28"/>
          <w:rtl/>
        </w:rPr>
        <w:t xml:space="preserve">). ולא למותר להזכיר, כי הלכה זו פרסה אברותיה </w:t>
      </w:r>
      <w:r>
        <w:rPr>
          <w:rFonts w:ascii="Century" w:hAnsi="Century"/>
          <w:rtl/>
        </w:rPr>
        <w:t>אף מעבר לכהונתם של שרים או סגני שרים שהואשמו בפלילים</w:t>
      </w:r>
      <w:r>
        <w:rPr>
          <w:rFonts w:ascii="FrankRuehl" w:hAnsi="FrankRuehl"/>
          <w:color w:val="000000"/>
          <w:sz w:val="28"/>
          <w:rtl/>
        </w:rPr>
        <w:t xml:space="preserve"> (בג"ץ 2592/20 </w:t>
      </w:r>
      <w:r>
        <w:rPr>
          <w:rFonts w:ascii="Century" w:hAnsi="Century" w:cs="Miriam"/>
          <w:b/>
          <w:spacing w:val="0"/>
          <w:sz w:val="22"/>
          <w:szCs w:val="24"/>
          <w:rtl/>
        </w:rPr>
        <w:t>התנועה למען איכות השלטון בישראל נ' היועץ המשפטי לממשלה</w:t>
      </w:r>
      <w:r>
        <w:rPr>
          <w:rFonts w:ascii="FrankRuehl" w:hAnsi="FrankRuehl"/>
          <w:color w:val="000000"/>
          <w:sz w:val="28"/>
          <w:rtl/>
        </w:rPr>
        <w:t xml:space="preserve">, פסקה 4 לחוות דעתה של השופטת </w:t>
      </w:r>
      <w:r>
        <w:rPr>
          <w:rFonts w:ascii="Century" w:hAnsi="Century" w:cs="Miriam"/>
          <w:b/>
          <w:spacing w:val="0"/>
          <w:sz w:val="22"/>
          <w:szCs w:val="24"/>
          <w:rtl/>
        </w:rPr>
        <w:t>ד' ברק-ארז</w:t>
      </w:r>
      <w:r>
        <w:rPr>
          <w:rFonts w:ascii="FrankRuehl" w:hAnsi="FrankRuehl"/>
          <w:color w:val="000000"/>
          <w:sz w:val="28"/>
          <w:rtl/>
        </w:rPr>
        <w:t xml:space="preserve"> (27.05.2020)).</w:t>
      </w:r>
      <w:r>
        <w:rPr>
          <w:rtl/>
        </w:rPr>
        <w:t xml:space="preserve"> כידוע, בנדון דידן מדובר במי שלחובתו שתי הרשעות קודמות, אליהן הצטרפה אך לאחרונה הרשעה חדשה, שבוצעה בעת כהונתו כחבר כנסת, ואשר בעטיה הוא עודנו נושא בעונש מאסר על תנאי. כפי שהיטב לבאר חברי, המשנה לנשיאה </w:t>
      </w:r>
      <w:r>
        <w:rPr>
          <w:rFonts w:ascii="Century" w:hAnsi="Century" w:cs="Miriam"/>
          <w:b/>
          <w:spacing w:val="0"/>
          <w:sz w:val="22"/>
          <w:szCs w:val="24"/>
          <w:rtl/>
        </w:rPr>
        <w:t>ע' פוגלמן</w:t>
      </w:r>
      <w:r>
        <w:rPr>
          <w:rtl/>
        </w:rPr>
        <w:t xml:space="preserve">, לנתונים אלה משקל ממשי בשאלת סבירות המינוי (פסקאות 8-7, 13-11 לחוות דעתו). </w:t>
      </w:r>
    </w:p>
    <w:p w14:paraId="70A9DFBB" w14:textId="77777777" w:rsidR="00527E1C" w:rsidRDefault="00527E1C" w:rsidP="00527E1C">
      <w:pPr>
        <w:pStyle w:val="Ruller4"/>
        <w:numPr>
          <w:ilvl w:val="0"/>
          <w:numId w:val="0"/>
        </w:numPr>
        <w:spacing w:before="240" w:after="240"/>
        <w:rPr>
          <w:rtl/>
        </w:rPr>
      </w:pPr>
      <w:r>
        <w:rPr>
          <w:rtl/>
        </w:rPr>
        <w:tab/>
        <w:t>שׂוּמָה עלינו לזכור ולהזכיר, כי ביסוד הלכת דרעי-פנחסי ניצב הצורך בהגנה על אמון כלל הציבור ברשויות השלטון, הגנה על טוהר המידות של השירות הציבורי ושימוש דוגמה ל</w:t>
      </w:r>
      <w:r>
        <w:rPr>
          <w:rFonts w:ascii="Century" w:hAnsi="Century"/>
          <w:sz w:val="22"/>
          <w:rtl/>
        </w:rPr>
        <w:t>כיבוד נורמות חוקיות וציבוריות,</w:t>
      </w:r>
      <w:r>
        <w:rPr>
          <w:rtl/>
        </w:rPr>
        <w:t xml:space="preserve"> שכן:</w:t>
      </w:r>
    </w:p>
    <w:p w14:paraId="3FF8F8A7" w14:textId="77777777" w:rsidR="00527E1C" w:rsidRDefault="00527E1C" w:rsidP="00527E1C">
      <w:pPr>
        <w:pStyle w:val="Ruller5"/>
        <w:spacing w:before="240" w:after="240"/>
        <w:rPr>
          <w:rtl/>
        </w:rPr>
      </w:pPr>
      <w:r>
        <w:rPr>
          <w:rtl/>
        </w:rPr>
        <w:t xml:space="preserve">"מי שנבחר על-ידי העם צריך לשמש מופת לעם, נאמן לעם וראוי לאמון שהעם נתן בו. על כן, כאשר נתונה </w:t>
      </w:r>
      <w:r>
        <w:rPr>
          <w:rtl/>
        </w:rPr>
        <w:lastRenderedPageBreak/>
        <w:t xml:space="preserve">לרשות שלטונית סמכות הפסקת כהונה, עליה לעשות בה שימוש כאשר בעל הכהונה פוגע באמון הציבור בשלטון, בין אם בעל הכהונה הוא נבחר (כגון חבר כנסת המכהן כסגן שר) ובין אם הוא עובד ציבור (כגון עובד מדינה ששר מוסמך לפטרו)" (עניין </w:t>
      </w:r>
      <w:r>
        <w:rPr>
          <w:rFonts w:ascii="Century" w:hAnsi="Century" w:cs="Miriam"/>
          <w:b/>
          <w:spacing w:val="0"/>
          <w:szCs w:val="24"/>
          <w:rtl/>
        </w:rPr>
        <w:t>פנחסי</w:t>
      </w:r>
      <w:r>
        <w:rPr>
          <w:rtl/>
        </w:rPr>
        <w:t>, בעמוד 473).</w:t>
      </w:r>
    </w:p>
    <w:p w14:paraId="4D67F1EA" w14:textId="77777777" w:rsidR="00527E1C" w:rsidRDefault="00527E1C" w:rsidP="00527E1C">
      <w:pPr>
        <w:pStyle w:val="Ruller4"/>
        <w:numPr>
          <w:ilvl w:val="0"/>
          <w:numId w:val="31"/>
        </w:numPr>
        <w:tabs>
          <w:tab w:val="clear" w:pos="360"/>
          <w:tab w:val="num" w:pos="907"/>
          <w:tab w:val="num" w:pos="1049"/>
        </w:tabs>
        <w:spacing w:before="240" w:after="240"/>
        <w:ind w:left="0" w:firstLine="0"/>
        <w:rPr>
          <w:rtl/>
        </w:rPr>
      </w:pPr>
      <w:r>
        <w:rPr>
          <w:rtl/>
        </w:rPr>
        <w:t xml:space="preserve">ומעניין לעניין. </w:t>
      </w:r>
      <w:r>
        <w:rPr>
          <w:rFonts w:ascii="Century" w:hAnsi="Century"/>
          <w:rtl/>
        </w:rPr>
        <w:t xml:space="preserve">קראתי בעיון רב את </w:t>
      </w:r>
      <w:r>
        <w:rPr>
          <w:rtl/>
        </w:rPr>
        <w:t>חוות דעתה של חברתי השופטת</w:t>
      </w:r>
      <w:r>
        <w:rPr>
          <w:rFonts w:cs="Times New Roman"/>
          <w:rtl/>
          <w:lang w:bidi="ar-SA"/>
        </w:rPr>
        <w:t xml:space="preserve"> </w:t>
      </w:r>
      <w:r>
        <w:rPr>
          <w:rFonts w:ascii="Miriam" w:hAnsi="Miriam" w:cs="Miriam"/>
          <w:sz w:val="22"/>
          <w:szCs w:val="24"/>
          <w:rtl/>
        </w:rPr>
        <w:t>ד' ברק-ארז</w:t>
      </w:r>
      <w:r>
        <w:rPr>
          <w:rFonts w:ascii="Century" w:hAnsi="Century"/>
          <w:sz w:val="22"/>
          <w:rtl/>
        </w:rPr>
        <w:t>,</w:t>
      </w:r>
      <w:r>
        <w:rPr>
          <w:rFonts w:cs="Times New Roman"/>
          <w:sz w:val="22"/>
          <w:szCs w:val="24"/>
          <w:rtl/>
        </w:rPr>
        <w:t xml:space="preserve"> </w:t>
      </w:r>
      <w:r>
        <w:rPr>
          <w:rFonts w:ascii="Century" w:hAnsi="Century"/>
          <w:sz w:val="22"/>
          <w:rtl/>
        </w:rPr>
        <w:t xml:space="preserve">שביקשה לחרוש תלם מובחן, במידה מה, מבחינת סבירות שיקול דעתו של הגורם הממנה, כמקובל; וכזה אשר מתמודד עם הקושי בהכפפת הגורם המתמנה לכללי המשפט המינהלי (כמפורט בפסקה 18 לחוות דעתה). לאחר שהפכתי בדברים, ועל אף שדברים אלה לא נעלמו מעיניי בעת בחינת סבירות המינוי, </w:t>
      </w:r>
      <w:r>
        <w:rPr>
          <w:rtl/>
        </w:rPr>
        <w:t xml:space="preserve">אני מסכים </w:t>
      </w:r>
      <w:r>
        <w:rPr>
          <w:rFonts w:ascii="Century" w:hAnsi="Century" w:cs="Miriam"/>
          <w:b/>
          <w:spacing w:val="0"/>
          <w:sz w:val="22"/>
          <w:szCs w:val="24"/>
          <w:rtl/>
        </w:rPr>
        <w:t>גם</w:t>
      </w:r>
      <w:r>
        <w:rPr>
          <w:rtl/>
        </w:rPr>
        <w:t xml:space="preserve"> לדרך הילוכה, למסקנותיה ולעיקרי נימוקיה של חברתי השופטת </w:t>
      </w:r>
      <w:r>
        <w:rPr>
          <w:rFonts w:ascii="Century" w:hAnsi="Century" w:cs="Miriam"/>
          <w:b/>
          <w:spacing w:val="0"/>
          <w:sz w:val="22"/>
          <w:szCs w:val="24"/>
          <w:rtl/>
        </w:rPr>
        <w:t>ברק-ארז</w:t>
      </w:r>
      <w:r>
        <w:rPr>
          <w:rtl/>
        </w:rPr>
        <w:t xml:space="preserve">. </w:t>
      </w:r>
      <w:r>
        <w:rPr>
          <w:rFonts w:ascii="Century" w:hAnsi="Century"/>
          <w:rtl/>
        </w:rPr>
        <w:t>לפיהם, יש ב</w:t>
      </w:r>
      <w:r>
        <w:rPr>
          <w:rtl/>
        </w:rPr>
        <w:t xml:space="preserve">התחייבויותיו ובהתנהלותו של ח"כ דרעי, ובפרט השינוי המהיר והחד בעמדתו בתוך יום אחד בלבד (כמתואר בפסקאות 14-13 לחוות דעתה), בפני בית משפט השלום בירושלים, </w:t>
      </w:r>
      <w:r>
        <w:rPr>
          <w:rFonts w:ascii="Century" w:hAnsi="Century" w:cs="Miriam"/>
          <w:b/>
          <w:spacing w:val="0"/>
          <w:sz w:val="22"/>
          <w:szCs w:val="24"/>
          <w:rtl/>
        </w:rPr>
        <w:t>גם</w:t>
      </w:r>
      <w:r>
        <w:rPr>
          <w:rtl/>
        </w:rPr>
        <w:t xml:space="preserve"> כדי להקים נגדו </w:t>
      </w:r>
      <w:r>
        <w:rPr>
          <w:rFonts w:ascii="Century" w:hAnsi="Century"/>
          <w:sz w:val="22"/>
          <w:rtl/>
        </w:rPr>
        <w:t>מניעות</w:t>
      </w:r>
      <w:r>
        <w:rPr>
          <w:rtl/>
        </w:rPr>
        <w:t xml:space="preserve"> מלקבל על עצמו מינוי כשר בעת הזו – בשל הפרה של חובת ההגינות שחלה עליו כלפי בית המשפט, כרשות מרשויות המדינה. כל זאת, בכפוף לאמור בפסקאות 34-33 לחוות דעתה של חברתי בנוגע למשכה של המניעות האמורה.</w:t>
      </w:r>
    </w:p>
    <w:p w14:paraId="27B87048" w14:textId="77777777" w:rsidR="00527E1C" w:rsidRDefault="00527E1C" w:rsidP="00527E1C">
      <w:pPr>
        <w:pStyle w:val="Ruller4"/>
        <w:numPr>
          <w:ilvl w:val="0"/>
          <w:numId w:val="31"/>
        </w:numPr>
        <w:tabs>
          <w:tab w:val="clear" w:pos="360"/>
          <w:tab w:val="num" w:pos="907"/>
          <w:tab w:val="num" w:pos="1049"/>
        </w:tabs>
        <w:spacing w:before="240" w:after="240"/>
        <w:ind w:left="0" w:firstLine="0"/>
        <w:rPr>
          <w:rtl/>
        </w:rPr>
      </w:pPr>
      <w:r>
        <w:rPr>
          <w:rFonts w:ascii="Century" w:hAnsi="Century"/>
          <w:sz w:val="22"/>
          <w:rtl/>
        </w:rPr>
        <w:t>בנסיבות</w:t>
      </w:r>
      <w:r>
        <w:rPr>
          <w:rtl/>
        </w:rPr>
        <w:t xml:space="preserve"> אלה ומשהגענו לתוצאה אליה הגענו, בדרך זו או אחרת, אין דרישה מוחלטת להכריע לגופם של דברים בשאלות החוקתיות, כבדות המשקל, שהונחו לפנינו (כפי שגם היטיב להבהיר חברי, המשנה לנשיאה </w:t>
      </w:r>
      <w:r>
        <w:rPr>
          <w:rFonts w:ascii="Century" w:hAnsi="Century" w:cs="Miriam"/>
          <w:b/>
          <w:spacing w:val="0"/>
          <w:sz w:val="22"/>
          <w:szCs w:val="24"/>
          <w:rtl/>
        </w:rPr>
        <w:t>ע' פוגלמן</w:t>
      </w:r>
      <w:r>
        <w:rPr>
          <w:rtl/>
        </w:rPr>
        <w:t xml:space="preserve">, בפסקה 14 לחוות דעתו). ברם, בצד האמור, אבקש להוסיף </w:t>
      </w:r>
      <w:r>
        <w:rPr>
          <w:rFonts w:ascii="Century" w:hAnsi="Century"/>
          <w:rtl/>
        </w:rPr>
        <w:t>הערה קצרה המשקפת את דעתי</w:t>
      </w:r>
      <w:r>
        <w:rPr>
          <w:rtl/>
        </w:rPr>
        <w:t xml:space="preserve"> שלי, בנוגע לאופן הפעלת סמכותה המכוננת של הכנסת במקרה זה.</w:t>
      </w:r>
    </w:p>
    <w:p w14:paraId="69B83E90" w14:textId="77777777" w:rsidR="00527E1C" w:rsidRDefault="00527E1C" w:rsidP="00527E1C">
      <w:pPr>
        <w:pStyle w:val="Ruller4"/>
        <w:numPr>
          <w:ilvl w:val="0"/>
          <w:numId w:val="31"/>
        </w:numPr>
        <w:tabs>
          <w:tab w:val="clear" w:pos="360"/>
          <w:tab w:val="num" w:pos="907"/>
          <w:tab w:val="num" w:pos="1049"/>
        </w:tabs>
        <w:spacing w:before="240" w:after="240"/>
        <w:ind w:left="0" w:firstLine="0"/>
        <w:rPr>
          <w:rtl/>
        </w:rPr>
      </w:pPr>
      <w:r>
        <w:rPr>
          <w:rFonts w:ascii="Century" w:hAnsi="Century"/>
          <w:sz w:val="22"/>
          <w:rtl/>
        </w:rPr>
        <w:t>כידוע, ב</w:t>
      </w:r>
      <w:r>
        <w:rPr>
          <w:rtl/>
        </w:rPr>
        <w:t>החלטה הידועה גם כ'החלטת הררי'</w:t>
      </w:r>
      <w:r>
        <w:rPr>
          <w:shd w:val="clear" w:color="auto" w:fill="FFFFFF"/>
          <w:rtl/>
        </w:rPr>
        <w:t xml:space="preserve"> מיום 13.06.1950 נקבע, כי הכנסת הראשונה, שנבחרה כאסיפה המכוננת, לא תחוקק חוקה למדינת ישראל וכי החוקה תיכתב פרקים-פרקים, בדמות חוקי יסוד, ואלו יתאגדו לבסוף לכדי חוקת מדינת ישראל (</w:t>
      </w:r>
      <w:r>
        <w:rPr>
          <w:rtl/>
        </w:rPr>
        <w:t>ד"כ 5, 1743 (תש"י))</w:t>
      </w:r>
      <w:r>
        <w:rPr>
          <w:shd w:val="clear" w:color="auto" w:fill="FFFFFF"/>
          <w:rtl/>
        </w:rPr>
        <w:t>.</w:t>
      </w:r>
      <w:r>
        <w:rPr>
          <w:rtl/>
        </w:rPr>
        <w:t xml:space="preserve"> על אף שחלפו למעלה משבעים שנה, זהו המצב עד ימינו-אנו. וכך, עד עתה,</w:t>
      </w:r>
      <w:r>
        <w:rPr>
          <w:color w:val="000000"/>
          <w:rtl/>
        </w:rPr>
        <w:t xml:space="preserve"> כוננה הכנסת בפועלה כרשות המכוננת, שלושה-עשר חוקי יסוד המסדירים את כללי המשטר, חלוקת התפקידים והסמכויות בין רשויות השלטון ומערכת היחסים בינן ובין עצמן ובינן ובין האזרחים (חוק-יסוד: הכנסת; חוק-יסוד: מקרקעי ישראל; חוק-יסוד: נשיא המדינה; חוק-יסוד: הממשלה; חוק-יסוד: משק המדינה; חוק-יסוד: הצבא; חוק-יסוד: ירושלים בירת ישראל; חוק-יסוד: השפיטה; חוק-יסוד: מבקר המדינה; חוק-יסוד: חופש העיסוק; חוק-יסוד: כבוד האדם וחירותו</w:t>
      </w:r>
      <w:r>
        <w:rPr>
          <w:rtl/>
        </w:rPr>
        <w:t>; חוק-יסוד: משאל עם; חוק-יסוד: ישראל – מדינת הלאום של העם היהודי).</w:t>
      </w:r>
    </w:p>
    <w:p w14:paraId="5C45144B" w14:textId="77777777" w:rsidR="00636252" w:rsidRDefault="00636252" w:rsidP="00636252">
      <w:pPr>
        <w:rPr>
          <w:rtl/>
        </w:rPr>
      </w:pPr>
    </w:p>
    <w:p w14:paraId="6128765B" w14:textId="77777777" w:rsidR="00636252" w:rsidRDefault="00636252" w:rsidP="00636252">
      <w:pPr>
        <w:rPr>
          <w:rtl/>
        </w:rPr>
      </w:pPr>
    </w:p>
    <w:p w14:paraId="68517D96" w14:textId="77777777" w:rsidR="00636252" w:rsidRDefault="00636252" w:rsidP="00636252">
      <w:pPr>
        <w:rPr>
          <w:rtl/>
        </w:rPr>
      </w:pPr>
    </w:p>
    <w:p w14:paraId="194BDF5A" w14:textId="77777777" w:rsidR="00636252" w:rsidRPr="00636252" w:rsidRDefault="00636252" w:rsidP="00636252"/>
    <w:p w14:paraId="0EC43CD7" w14:textId="77777777" w:rsidR="00527E1C" w:rsidRDefault="00527E1C" w:rsidP="00527E1C">
      <w:pPr>
        <w:pStyle w:val="Ruller4"/>
        <w:numPr>
          <w:ilvl w:val="0"/>
          <w:numId w:val="31"/>
        </w:numPr>
        <w:tabs>
          <w:tab w:val="clear" w:pos="360"/>
          <w:tab w:val="num" w:pos="907"/>
          <w:tab w:val="num" w:pos="1049"/>
        </w:tabs>
        <w:spacing w:before="240" w:after="240"/>
        <w:ind w:left="0" w:firstLine="0"/>
        <w:rPr>
          <w:rFonts w:ascii="Arial TUR" w:hAnsi="Arial TUR"/>
          <w:sz w:val="22"/>
        </w:rPr>
      </w:pPr>
      <w:r>
        <w:rPr>
          <w:rtl/>
        </w:rPr>
        <w:t xml:space="preserve">במצב דברים זה, קרי בהיעדרה של חוקה שלמה ופורמלית ובהינתן המציאות מזה עשרות שנים, בה נורמות חוקתיות בישראל נקבעות, בהליך חקיקתי רגיל וללא הבחנה בין הכובע המכונן והכובע המחוקק, בניגוד להליכים המקובלים בעולם (הנס </w:t>
      </w:r>
      <w:proofErr w:type="spellStart"/>
      <w:r>
        <w:rPr>
          <w:rtl/>
        </w:rPr>
        <w:t>קלזן</w:t>
      </w:r>
      <w:proofErr w:type="spellEnd"/>
      <w:r>
        <w:rPr>
          <w:rtl/>
        </w:rPr>
        <w:t xml:space="preserve"> </w:t>
      </w:r>
      <w:r>
        <w:rPr>
          <w:rFonts w:ascii="Century" w:hAnsi="Century" w:cs="Miriam"/>
          <w:b/>
          <w:spacing w:val="0"/>
          <w:sz w:val="22"/>
          <w:szCs w:val="24"/>
          <w:rtl/>
        </w:rPr>
        <w:t xml:space="preserve">על מהותה וערכה של הדמוקרטיה </w:t>
      </w:r>
      <w:r>
        <w:rPr>
          <w:rFonts w:ascii="Century" w:hAnsi="Century"/>
          <w:sz w:val="22"/>
          <w:rtl/>
        </w:rPr>
        <w:t>77-67</w:t>
      </w:r>
      <w:r>
        <w:rPr>
          <w:rtl/>
        </w:rPr>
        <w:t xml:space="preserve"> (יצחק </w:t>
      </w:r>
      <w:proofErr w:type="spellStart"/>
      <w:r>
        <w:rPr>
          <w:rtl/>
        </w:rPr>
        <w:t>אנגלרד</w:t>
      </w:r>
      <w:proofErr w:type="spellEnd"/>
      <w:r>
        <w:rPr>
          <w:rtl/>
        </w:rPr>
        <w:t xml:space="preserve"> מתרגם (תשס"ה)) – סבורני כי קיימת חשיבות לא מבוטלת, לשימור מערך האיזונים והבלמים העדין שקיים בין הרשות המכוננת לבין הרשות השופטת (יניב רוזנאי "שימוש לרעה בחוק יסוד" </w:t>
      </w:r>
      <w:r>
        <w:rPr>
          <w:rFonts w:ascii="Century" w:hAnsi="Century" w:cs="Miriam"/>
          <w:b/>
          <w:spacing w:val="0"/>
          <w:sz w:val="22"/>
          <w:szCs w:val="24"/>
          <w:rtl/>
        </w:rPr>
        <w:t>ספר רובינשטיין</w:t>
      </w:r>
      <w:r>
        <w:rPr>
          <w:rtl/>
        </w:rPr>
        <w:t xml:space="preserve"> 1349, 1387-1379 (2021)</w:t>
      </w:r>
      <w:r>
        <w:rPr>
          <w:color w:val="000000"/>
          <w:rtl/>
        </w:rPr>
        <w:t>). למעשה, תיקונו של חוק היסוד בעניין המונח לפנינו, מדגיש ביתר שאת חשיבותם של הדברים</w:t>
      </w:r>
      <w:r>
        <w:rPr>
          <w:rtl/>
        </w:rPr>
        <w:t xml:space="preserve"> (שם, בעמודים 1387-1386</w:t>
      </w:r>
      <w:r>
        <w:rPr>
          <w:rFonts w:ascii="Century" w:hAnsi="Century"/>
          <w:sz w:val="22"/>
          <w:rtl/>
        </w:rPr>
        <w:t xml:space="preserve">; </w:t>
      </w:r>
      <w:r>
        <w:rPr>
          <w:rtl/>
        </w:rPr>
        <w:t xml:space="preserve">אריאל בנדור "פגמים בחקיקת חוקי-היסוד" </w:t>
      </w:r>
      <w:r>
        <w:rPr>
          <w:rFonts w:ascii="Century" w:hAnsi="Century" w:cs="Miriam"/>
          <w:b/>
          <w:spacing w:val="0"/>
          <w:sz w:val="22"/>
          <w:szCs w:val="24"/>
          <w:rtl/>
        </w:rPr>
        <w:t>משפט וממשל</w:t>
      </w:r>
      <w:r>
        <w:rPr>
          <w:rtl/>
        </w:rPr>
        <w:t xml:space="preserve"> ב 443, 445 (התשנ"ה)</w:t>
      </w:r>
      <w:r>
        <w:rPr>
          <w:rFonts w:ascii="Century" w:hAnsi="Century"/>
          <w:sz w:val="22"/>
          <w:rtl/>
        </w:rPr>
        <w:t xml:space="preserve">), ובהקשר זה אין לי אלא להצטרף לדברי חברתי, הנשיאה </w:t>
      </w:r>
      <w:r>
        <w:rPr>
          <w:rFonts w:ascii="Century" w:hAnsi="Century" w:cs="Miriam"/>
          <w:b/>
          <w:spacing w:val="0"/>
          <w:sz w:val="22"/>
          <w:szCs w:val="24"/>
          <w:rtl/>
        </w:rPr>
        <w:t>א' חיות</w:t>
      </w:r>
      <w:r>
        <w:rPr>
          <w:rFonts w:ascii="Century" w:hAnsi="Century"/>
          <w:sz w:val="22"/>
          <w:rtl/>
        </w:rPr>
        <w:t xml:space="preserve">, בפסקאות 45-42 לחוות דעתה. </w:t>
      </w:r>
      <w:r>
        <w:rPr>
          <w:rtl/>
        </w:rPr>
        <w:t xml:space="preserve">תפקידו של בית המשפט בהקשר זה ברור עוד יותר בעיניי, נוכח המאפיינים הייחודיים של המערכת השלטונית-מוסדית בישראל, ובפרט ההשפעה הרבה, והכמעט בלעדית, של הממשלה על הליכי חקיקה בכנסת </w:t>
      </w:r>
      <w:r>
        <w:rPr>
          <w:rFonts w:ascii="Century" w:hAnsi="Century"/>
          <w:sz w:val="22"/>
          <w:rtl/>
        </w:rPr>
        <w:t xml:space="preserve">(בג"ץ 5969/20 </w:t>
      </w:r>
      <w:r>
        <w:rPr>
          <w:rFonts w:ascii="Century" w:hAnsi="Century" w:cs="Miriam"/>
          <w:b/>
          <w:spacing w:val="0"/>
          <w:sz w:val="22"/>
          <w:szCs w:val="24"/>
          <w:rtl/>
        </w:rPr>
        <w:t>שפיר נ' הכנסת</w:t>
      </w:r>
      <w:r>
        <w:rPr>
          <w:rFonts w:ascii="Century" w:hAnsi="Century"/>
          <w:sz w:val="22"/>
          <w:rtl/>
        </w:rPr>
        <w:t xml:space="preserve">, פסקה 32 לחוות דעתה של הנשיאה </w:t>
      </w:r>
      <w:r>
        <w:rPr>
          <w:rFonts w:ascii="Century" w:hAnsi="Century" w:cs="Miriam"/>
          <w:b/>
          <w:spacing w:val="0"/>
          <w:sz w:val="22"/>
          <w:szCs w:val="24"/>
          <w:rtl/>
        </w:rPr>
        <w:t>א' חיות</w:t>
      </w:r>
      <w:r>
        <w:rPr>
          <w:rFonts w:ascii="Century" w:hAnsi="Century"/>
          <w:sz w:val="22"/>
          <w:rtl/>
        </w:rPr>
        <w:t xml:space="preserve"> (23.05.2021)).</w:t>
      </w:r>
    </w:p>
    <w:p w14:paraId="195EBFFA" w14:textId="77777777" w:rsidR="00527E1C" w:rsidRDefault="00527E1C" w:rsidP="00527E1C">
      <w:pPr>
        <w:pStyle w:val="Ruller4"/>
        <w:numPr>
          <w:ilvl w:val="0"/>
          <w:numId w:val="31"/>
        </w:numPr>
        <w:tabs>
          <w:tab w:val="clear" w:pos="360"/>
          <w:tab w:val="num" w:pos="907"/>
          <w:tab w:val="num" w:pos="1049"/>
        </w:tabs>
        <w:spacing w:before="240" w:after="240"/>
        <w:ind w:left="0" w:firstLine="0"/>
        <w:rPr>
          <w:rtl/>
        </w:rPr>
      </w:pPr>
      <w:r>
        <w:rPr>
          <w:rtl/>
        </w:rPr>
        <w:t xml:space="preserve">ייאמר מיד, כי השאלה בדבר ביקורת שיפוטית על הוראה בחוקי יסוד, איננה חדשה, ו"עמדתה המסורתית" של הכנסת, בהקשר זה, אינה מקובלת עלי. שאלה זו נזכרה כבר בפרשת </w:t>
      </w:r>
      <w:r>
        <w:rPr>
          <w:rFonts w:ascii="Century" w:hAnsi="Century"/>
          <w:rtl/>
        </w:rPr>
        <w:t xml:space="preserve">תנועת לאו"ר (בג"ץ 142/89 </w:t>
      </w:r>
      <w:r>
        <w:rPr>
          <w:rFonts w:ascii="Century" w:hAnsi="Century" w:cs="Miriam"/>
          <w:b/>
          <w:spacing w:val="0"/>
          <w:szCs w:val="24"/>
          <w:rtl/>
        </w:rPr>
        <w:t>תנועת לאו"ר נ' יו"ר הכנסת</w:t>
      </w:r>
      <w:r>
        <w:rPr>
          <w:rFonts w:ascii="Century" w:hAnsi="Century"/>
          <w:rtl/>
        </w:rPr>
        <w:t xml:space="preserve">, פ"ד מד(3) </w:t>
      </w:r>
      <w:r>
        <w:rPr>
          <w:rtl/>
        </w:rPr>
        <w:t xml:space="preserve">529, 554 (1990)), בפסק הדין </w:t>
      </w:r>
      <w:r>
        <w:rPr>
          <w:rFonts w:ascii="Century" w:hAnsi="Century"/>
          <w:rtl/>
        </w:rPr>
        <w:t>בעניין בנק המזרחי</w:t>
      </w:r>
      <w:r>
        <w:rPr>
          <w:rtl/>
        </w:rPr>
        <w:t xml:space="preserve"> </w:t>
      </w:r>
      <w:r>
        <w:rPr>
          <w:rFonts w:ascii="Century" w:hAnsi="Century"/>
          <w:rtl/>
        </w:rPr>
        <w:t xml:space="preserve">(ע"א 6821/93 </w:t>
      </w:r>
      <w:r>
        <w:rPr>
          <w:rFonts w:ascii="Century" w:hAnsi="Century" w:cs="Miriam"/>
          <w:b/>
          <w:spacing w:val="0"/>
          <w:szCs w:val="24"/>
          <w:rtl/>
        </w:rPr>
        <w:t>בנק המזרחי המאוחד בע"מ נ' מגדל כפר שיתופי</w:t>
      </w:r>
      <w:r>
        <w:rPr>
          <w:rFonts w:ascii="Century" w:hAnsi="Century"/>
          <w:rtl/>
        </w:rPr>
        <w:t>, פ"ד מט(4)</w:t>
      </w:r>
      <w:r>
        <w:rPr>
          <w:rtl/>
        </w:rPr>
        <w:t xml:space="preserve"> 221, 327-326, 394 (1995)), ובפסקי דין רבים זולתם (ראו: </w:t>
      </w:r>
      <w:r>
        <w:rPr>
          <w:rFonts w:ascii="Century" w:hAnsi="Century"/>
          <w:rtl/>
        </w:rPr>
        <w:t xml:space="preserve">בג"ץ 5555/18 </w:t>
      </w:r>
      <w:r>
        <w:rPr>
          <w:rFonts w:ascii="Century" w:hAnsi="Century" w:cs="Miriam"/>
          <w:b/>
          <w:spacing w:val="0"/>
          <w:szCs w:val="24"/>
          <w:rtl/>
        </w:rPr>
        <w:t>חסון נ' כנסת ישראל</w:t>
      </w:r>
      <w:r>
        <w:rPr>
          <w:rFonts w:ascii="Century" w:hAnsi="Century"/>
          <w:rtl/>
        </w:rPr>
        <w:t xml:space="preserve">, פסקה 1 לחוות דעתו של השופט </w:t>
      </w:r>
      <w:r>
        <w:rPr>
          <w:rFonts w:ascii="Century" w:hAnsi="Century" w:cs="Miriam"/>
          <w:b/>
          <w:spacing w:val="0"/>
          <w:szCs w:val="24"/>
          <w:rtl/>
        </w:rPr>
        <w:t>מ' מזוז</w:t>
      </w:r>
      <w:r>
        <w:rPr>
          <w:rFonts w:ascii="Century" w:hAnsi="Century"/>
          <w:rtl/>
        </w:rPr>
        <w:t xml:space="preserve"> וההפניות שם (08.07.2021)).</w:t>
      </w:r>
      <w:r>
        <w:rPr>
          <w:rtl/>
        </w:rPr>
        <w:t xml:space="preserve"> כפי שציינה חברתי, הנשיאה</w:t>
      </w:r>
      <w:r>
        <w:rPr>
          <w:rFonts w:ascii="Century" w:hAnsi="Century" w:cs="Miriam"/>
          <w:b/>
          <w:spacing w:val="0"/>
          <w:szCs w:val="24"/>
          <w:rtl/>
        </w:rPr>
        <w:t xml:space="preserve"> א' חיות</w:t>
      </w:r>
      <w:r>
        <w:rPr>
          <w:rtl/>
        </w:rPr>
        <w:t xml:space="preserve">, בפסקה 43 לחוות דעתה, המקרה שלפנינו מעורר קושי רב, ואף נקודת קיצון. שכן, לפנינו תיקון לחוק-יסוד שתכליתו לשנות את תנאי הכשירות שנקבעו לכהונת שרים, במטרה לאפשר לח"כ דרעי להתמנות כשר – מבלי שתקום חובה לפנות ליו"ר ועדת הבחירות, כדי שזה יקבע האם נפל קלון בהרשעתו האחרונה בפלילים. הליך החקיקה המהיר, שהסתיים עוד בטרם הושלמה מלאכת הקמת הממשלה, ובהיעדר דיון ממצה במכלול השיקולים הרלבנטיים שהוצגו הן על-ידי הייעוץ המשפטי לכנסת הן על-ידי הייעוץ המשפטי לממשלה – אומר, לטעמי, דרשני. תיקון חוק יסוד משטרי, הגם שנעשה תוך שימוש ברוב הנוכחי בכנסת בסמכותה המכוננת – אין בו כדי לתקף, כשלעצמו, את נכונות התיקון. שכן, "ביטויו העיקרי של שלטון החוק הוא בכך שהוא אינו שלטונם של אנשים – לפי החלטותיהן, שיקוליהם ומאווייהם הבלתי מוגבלים – אלא בכך שהוא נשען על הוראותיהן של נורמות </w:t>
      </w:r>
      <w:r>
        <w:rPr>
          <w:rtl/>
        </w:rPr>
        <w:lastRenderedPageBreak/>
        <w:t xml:space="preserve">יציבות, השוות לכול ואשר מחייבות את הכול במידה רבה" (דברי הנשיא </w:t>
      </w:r>
      <w:r>
        <w:rPr>
          <w:rFonts w:ascii="Century" w:hAnsi="Century" w:cs="Miriam"/>
          <w:b/>
          <w:spacing w:val="0"/>
          <w:sz w:val="22"/>
          <w:szCs w:val="24"/>
          <w:rtl/>
        </w:rPr>
        <w:t>מ' שמגר</w:t>
      </w:r>
      <w:r>
        <w:rPr>
          <w:rtl/>
        </w:rPr>
        <w:t xml:space="preserve"> בע"ב 2/84 </w:t>
      </w:r>
      <w:r>
        <w:rPr>
          <w:rFonts w:ascii="Century" w:hAnsi="Century" w:cs="Miriam"/>
          <w:b/>
          <w:spacing w:val="0"/>
          <w:sz w:val="22"/>
          <w:szCs w:val="24"/>
          <w:rtl/>
        </w:rPr>
        <w:t>ניימן נ' ראש ועדת הבחירות המרכזית לכנסת האחת-עשרה</w:t>
      </w:r>
      <w:r>
        <w:rPr>
          <w:rFonts w:ascii="Century" w:hAnsi="Century"/>
          <w:sz w:val="22"/>
          <w:rtl/>
        </w:rPr>
        <w:t>, פ"ד לט(2) 225, 261 (1984)</w:t>
      </w:r>
      <w:r>
        <w:rPr>
          <w:rtl/>
        </w:rPr>
        <w:t>).</w:t>
      </w:r>
    </w:p>
    <w:p w14:paraId="62F79250" w14:textId="77777777" w:rsidR="00527E1C" w:rsidRDefault="00527E1C" w:rsidP="00527E1C">
      <w:pPr>
        <w:rPr>
          <w:rtl/>
        </w:rPr>
      </w:pPr>
    </w:p>
    <w:p w14:paraId="4EB5059E"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p>
    <w:p w14:paraId="11A55039" w14:textId="77777777" w:rsidR="00EF114E" w:rsidRDefault="00EF114E" w:rsidP="00EF114E">
      <w:pPr>
        <w:pStyle w:val="BODYVERDICT"/>
        <w:rPr>
          <w:rFonts w:ascii="FrankRuehl" w:hAnsi="FrankRuehl"/>
          <w:sz w:val="28"/>
          <w:rtl/>
        </w:rPr>
      </w:pPr>
    </w:p>
    <w:p w14:paraId="0E035BAC" w14:textId="77777777" w:rsidR="00527E1C" w:rsidRDefault="00527E1C" w:rsidP="00EF114E">
      <w:pPr>
        <w:pStyle w:val="BODYVERDICT"/>
        <w:rPr>
          <w:rFonts w:cs="Miriam"/>
          <w:sz w:val="24"/>
          <w:szCs w:val="24"/>
          <w:u w:val="single"/>
          <w:rtl/>
        </w:rPr>
      </w:pPr>
    </w:p>
    <w:p w14:paraId="31E09B78" w14:textId="77777777" w:rsidR="00EF114E" w:rsidRDefault="00EF114E" w:rsidP="0045550F">
      <w:pPr>
        <w:pStyle w:val="BODYVERDICT"/>
        <w:rPr>
          <w:rFonts w:cs="Miriam"/>
          <w:sz w:val="24"/>
          <w:szCs w:val="24"/>
          <w:u w:val="single"/>
          <w:rtl/>
        </w:rPr>
      </w:pPr>
      <w:r w:rsidRPr="0083330E">
        <w:rPr>
          <w:rFonts w:cs="Miriam"/>
          <w:sz w:val="24"/>
          <w:szCs w:val="24"/>
          <w:u w:val="single"/>
          <w:rtl/>
        </w:rPr>
        <w:t>ה</w:t>
      </w:r>
      <w:r>
        <w:rPr>
          <w:rFonts w:cs="Miriam" w:hint="cs"/>
          <w:sz w:val="24"/>
          <w:szCs w:val="24"/>
          <w:u w:val="single"/>
          <w:rtl/>
        </w:rPr>
        <w:t>שופט ד</w:t>
      </w:r>
      <w:r w:rsidR="0045550F">
        <w:rPr>
          <w:rFonts w:cs="Miriam" w:hint="cs"/>
          <w:sz w:val="24"/>
          <w:szCs w:val="24"/>
          <w:u w:val="single"/>
          <w:rtl/>
        </w:rPr>
        <w:t>'</w:t>
      </w:r>
      <w:r>
        <w:rPr>
          <w:rFonts w:cs="Miriam" w:hint="cs"/>
          <w:sz w:val="24"/>
          <w:szCs w:val="24"/>
          <w:u w:val="single"/>
          <w:rtl/>
        </w:rPr>
        <w:t xml:space="preserve"> מינץ:</w:t>
      </w:r>
    </w:p>
    <w:p w14:paraId="10B91719" w14:textId="77777777" w:rsidR="0045550F" w:rsidRDefault="0045550F" w:rsidP="00EF114E">
      <w:pPr>
        <w:pStyle w:val="BODYVERDICT"/>
        <w:rPr>
          <w:rFonts w:cs="Miriam"/>
          <w:sz w:val="24"/>
          <w:szCs w:val="24"/>
          <w:u w:val="single"/>
          <w:rtl/>
        </w:rPr>
      </w:pPr>
    </w:p>
    <w:p w14:paraId="27B7DF05" w14:textId="77777777" w:rsidR="0045550F" w:rsidRDefault="0045550F" w:rsidP="0045550F">
      <w:pPr>
        <w:pStyle w:val="Ruller41"/>
        <w:rPr>
          <w:rtl/>
        </w:rPr>
      </w:pPr>
    </w:p>
    <w:p w14:paraId="53F37A7D" w14:textId="77777777" w:rsidR="0045550F" w:rsidRDefault="0045550F" w:rsidP="0045550F">
      <w:pPr>
        <w:pStyle w:val="Ruller4"/>
        <w:numPr>
          <w:ilvl w:val="0"/>
          <w:numId w:val="32"/>
        </w:numPr>
        <w:rPr>
          <w:rtl/>
        </w:rPr>
      </w:pPr>
      <w:r>
        <w:rPr>
          <w:rFonts w:hint="cs"/>
          <w:rtl/>
        </w:rPr>
        <w:t xml:space="preserve">מצרף אני את עמדתי לעמדתה של חברתי השופטת </w:t>
      </w:r>
      <w:r w:rsidRPr="0045550F">
        <w:rPr>
          <w:rFonts w:ascii="Century" w:hAnsi="Century" w:cs="Miriam" w:hint="cs"/>
          <w:b/>
          <w:spacing w:val="0"/>
          <w:sz w:val="22"/>
          <w:szCs w:val="24"/>
          <w:rtl/>
        </w:rPr>
        <w:t>ד'</w:t>
      </w:r>
      <w:r>
        <w:rPr>
          <w:rFonts w:hint="cs"/>
          <w:rtl/>
        </w:rPr>
        <w:t xml:space="preserve"> </w:t>
      </w:r>
      <w:r w:rsidRPr="0045550F">
        <w:rPr>
          <w:rFonts w:ascii="Century" w:hAnsi="Century" w:cs="Miriam" w:hint="cs"/>
          <w:b/>
          <w:spacing w:val="0"/>
          <w:sz w:val="22"/>
          <w:szCs w:val="24"/>
          <w:rtl/>
        </w:rPr>
        <w:t>ברק-ארז</w:t>
      </w:r>
      <w:r w:rsidRPr="00B3477E">
        <w:rPr>
          <w:rFonts w:hint="cs"/>
          <w:rtl/>
        </w:rPr>
        <w:t xml:space="preserve"> </w:t>
      </w:r>
      <w:r>
        <w:rPr>
          <w:rFonts w:hint="cs"/>
          <w:rtl/>
        </w:rPr>
        <w:t xml:space="preserve">על נימוקיה כי חה"כ הרב אריה מכלוף דרעי (להלן: </w:t>
      </w:r>
      <w:r w:rsidRPr="0045550F">
        <w:rPr>
          <w:rFonts w:ascii="Century" w:hAnsi="Century" w:cs="Miriam" w:hint="cs"/>
          <w:b/>
          <w:spacing w:val="0"/>
          <w:sz w:val="22"/>
          <w:szCs w:val="24"/>
          <w:rtl/>
        </w:rPr>
        <w:t>חה"כ דרעי</w:t>
      </w:r>
      <w:r>
        <w:rPr>
          <w:rFonts w:hint="cs"/>
          <w:rtl/>
        </w:rPr>
        <w:t>) מנוע מלכהן כשר, בתור מי שהציג בהליך הפלילי שהתנהל בעניינו מצג שווא שהיה בו כדי להשפיע על תוצאותיו של ההליך. משכך, גם לעמדתי דין העתירות להתקבל במובן זה שהצו על-תנאי יהפוך למוחלט ויוצהר כי מינויו של חה"כ דרעי פסול וחסר תוקף.</w:t>
      </w:r>
    </w:p>
    <w:p w14:paraId="3EAEE5AD" w14:textId="77777777" w:rsidR="0045550F" w:rsidRDefault="0045550F" w:rsidP="0045550F">
      <w:pPr>
        <w:pStyle w:val="Ruller41"/>
        <w:rPr>
          <w:rtl/>
        </w:rPr>
      </w:pPr>
    </w:p>
    <w:p w14:paraId="56ADF6A3" w14:textId="77777777" w:rsidR="0045550F" w:rsidRDefault="0045550F" w:rsidP="0045550F">
      <w:pPr>
        <w:pStyle w:val="Ruller4"/>
        <w:rPr>
          <w:rtl/>
        </w:rPr>
      </w:pPr>
      <w:r>
        <w:rPr>
          <w:rFonts w:hint="cs"/>
          <w:rtl/>
        </w:rPr>
        <w:t xml:space="preserve">לא ראיתי לנכון לחזור על ציטוטי הפרוטוקולים וגזר הדין שניתן בעניינו של חה"כ דרעי בבית משפט השלום, התבטאויותיו החיצוניות, התגובות שהוגשו על ידו בהליכים שונים וכן הלאה. אלו צוטטו בהרחבה על ידי חבריי. כמו כן לא ראיתי לחזור על חוות דעתה המקיפה של חברתי השופטת </w:t>
      </w:r>
      <w:r w:rsidRPr="000C3F64">
        <w:rPr>
          <w:rFonts w:ascii="Century" w:hAnsi="Century" w:cs="Miriam" w:hint="cs"/>
          <w:b/>
          <w:spacing w:val="0"/>
          <w:sz w:val="22"/>
          <w:szCs w:val="24"/>
          <w:rtl/>
        </w:rPr>
        <w:t>ברק-ארז</w:t>
      </w:r>
      <w:r>
        <w:rPr>
          <w:rFonts w:hint="cs"/>
          <w:rtl/>
        </w:rPr>
        <w:t xml:space="preserve"> בעניין. די לי לומר כי אני שותף למסקנה שהתמונה המתבהרת ועולה מאליה מכל החומר הרלוונטי היא של </w:t>
      </w:r>
      <w:r w:rsidRPr="00D41065">
        <w:rPr>
          <w:rFonts w:ascii="Century" w:hAnsi="Century" w:cs="Miriam" w:hint="cs"/>
          <w:b/>
          <w:spacing w:val="0"/>
          <w:sz w:val="22"/>
          <w:szCs w:val="24"/>
          <w:rtl/>
        </w:rPr>
        <w:t>מניעות משפטית</w:t>
      </w:r>
      <w:r w:rsidRPr="00D41065">
        <w:rPr>
          <w:rFonts w:hint="cs"/>
          <w:rtl/>
        </w:rPr>
        <w:t xml:space="preserve"> </w:t>
      </w:r>
      <w:r>
        <w:rPr>
          <w:rFonts w:hint="cs"/>
          <w:rtl/>
        </w:rPr>
        <w:t xml:space="preserve">הקמה בעניינו של חה"כ דרעי </w:t>
      </w:r>
      <w:r w:rsidRPr="00FC5D6D">
        <w:rPr>
          <w:rFonts w:ascii="Century" w:hAnsi="Century" w:cs="Miriam" w:hint="cs"/>
          <w:b/>
          <w:spacing w:val="0"/>
          <w:sz w:val="22"/>
          <w:szCs w:val="24"/>
          <w:rtl/>
        </w:rPr>
        <w:t>מלקבל על עצמו</w:t>
      </w:r>
      <w:r w:rsidRPr="00FC5D6D">
        <w:rPr>
          <w:rFonts w:hint="cs"/>
          <w:rtl/>
        </w:rPr>
        <w:t xml:space="preserve"> </w:t>
      </w:r>
      <w:r>
        <w:rPr>
          <w:rFonts w:hint="cs"/>
          <w:rtl/>
        </w:rPr>
        <w:t xml:space="preserve">תפקיד של שר, מכוח הצהרותיו והתנהלותו הדיונית שלו, מטעמיה של חברתי. כמו כן, בהתחשב בכך שלא נטען לפנינו לגבי </w:t>
      </w:r>
      <w:r w:rsidRPr="00795785">
        <w:rPr>
          <w:rFonts w:ascii="Century" w:hAnsi="Century" w:cs="Miriam" w:hint="cs"/>
          <w:b/>
          <w:spacing w:val="0"/>
          <w:sz w:val="22"/>
          <w:szCs w:val="24"/>
          <w:rtl/>
        </w:rPr>
        <w:t>אורך התקופה</w:t>
      </w:r>
      <w:r w:rsidRPr="00795785">
        <w:rPr>
          <w:rFonts w:hint="cs"/>
          <w:rtl/>
        </w:rPr>
        <w:t xml:space="preserve"> </w:t>
      </w:r>
      <w:r>
        <w:rPr>
          <w:rFonts w:hint="cs"/>
          <w:rtl/>
        </w:rPr>
        <w:t xml:space="preserve">שבה חלה מניעות זו (הנעה, לעמדת חברתי, בין תקופה של כשלוש שנים ומחצה לבין צמיתות), אינני רואה לנכון להכריע בעניין, משאין מקום לספק כי בעת הנוכחית מניעות זו עומדת במלוא תוקפה. אציין גם, כי מצטרף אני למסקנה אליה הגיע חברי השופט </w:t>
      </w:r>
      <w:r w:rsidRPr="006C166F">
        <w:rPr>
          <w:rFonts w:ascii="Century" w:hAnsi="Century" w:cs="Miriam" w:hint="cs"/>
          <w:b/>
          <w:spacing w:val="0"/>
          <w:sz w:val="22"/>
          <w:szCs w:val="24"/>
          <w:rtl/>
        </w:rPr>
        <w:t>א' שטיין</w:t>
      </w:r>
      <w:r>
        <w:rPr>
          <w:rFonts w:hint="cs"/>
          <w:rtl/>
        </w:rPr>
        <w:t xml:space="preserve">, בהניחו תשתית דומה בלבוש שונה, לקיומם של השתק ומניעות המונעים את מינויו של חה"כ דרעי לתפקיד שר. </w:t>
      </w:r>
    </w:p>
    <w:p w14:paraId="6ADBAE6B" w14:textId="77777777" w:rsidR="0045550F" w:rsidRDefault="0045550F" w:rsidP="0045550F">
      <w:pPr>
        <w:pStyle w:val="Ruller41"/>
        <w:rPr>
          <w:rtl/>
        </w:rPr>
      </w:pPr>
    </w:p>
    <w:p w14:paraId="08BF2B99" w14:textId="77777777" w:rsidR="0045550F" w:rsidRPr="000C3F64" w:rsidRDefault="0045550F" w:rsidP="0045550F">
      <w:pPr>
        <w:pStyle w:val="Ruller41"/>
        <w:rPr>
          <w:rtl/>
        </w:rPr>
      </w:pPr>
      <w:r>
        <w:rPr>
          <w:rtl/>
        </w:rPr>
        <w:tab/>
      </w:r>
      <w:r>
        <w:rPr>
          <w:rFonts w:hint="cs"/>
          <w:rtl/>
        </w:rPr>
        <w:t>די לי בהתייחס להתנהלותו של חה"כ דרעי, לצטט מדברי הרמב"ם המפורסמים בהלכות דעות, פרק ב הלכה ו כי: "</w:t>
      </w:r>
      <w:r w:rsidRPr="00A25879">
        <w:rPr>
          <w:rFonts w:ascii="Century" w:hAnsi="Century" w:cs="Miriam" w:hint="cs"/>
          <w:b/>
          <w:spacing w:val="0"/>
          <w:szCs w:val="24"/>
          <w:rtl/>
        </w:rPr>
        <w:t xml:space="preserve">אסור לאדם להנהיג עצמו בדברי חלקות ופיתוי. ולא יהיה אחד בפה ואחד בלב אלא תוכו כברו </w:t>
      </w:r>
      <w:proofErr w:type="spellStart"/>
      <w:r w:rsidRPr="00A25879">
        <w:rPr>
          <w:rFonts w:ascii="Century" w:hAnsi="Century" w:cs="Miriam" w:hint="cs"/>
          <w:b/>
          <w:spacing w:val="0"/>
          <w:szCs w:val="24"/>
          <w:rtl/>
        </w:rPr>
        <w:t>והענין</w:t>
      </w:r>
      <w:proofErr w:type="spellEnd"/>
      <w:r w:rsidRPr="00A25879">
        <w:rPr>
          <w:rFonts w:ascii="Century" w:hAnsi="Century" w:cs="Miriam" w:hint="cs"/>
          <w:b/>
          <w:spacing w:val="0"/>
          <w:szCs w:val="24"/>
          <w:rtl/>
        </w:rPr>
        <w:t xml:space="preserve"> שבלב הוא הדבר שבפה [...] ואפילו מילה אחת של פיתוי ושל גניבת דעת אסור, אלא שפת אמת ורוח נכון ולב טהור מכל עמל והוות</w:t>
      </w:r>
      <w:r>
        <w:rPr>
          <w:rFonts w:hint="cs"/>
          <w:rtl/>
        </w:rPr>
        <w:t xml:space="preserve">". והמבין יבין. </w:t>
      </w:r>
    </w:p>
    <w:p w14:paraId="28F82F47" w14:textId="77777777" w:rsidR="0045550F" w:rsidRPr="000E24D4" w:rsidRDefault="0045550F" w:rsidP="0045550F">
      <w:pPr>
        <w:pStyle w:val="Ruller41"/>
      </w:pPr>
    </w:p>
    <w:p w14:paraId="543A6E17" w14:textId="77777777" w:rsidR="0045550F" w:rsidRDefault="0045550F" w:rsidP="0045550F">
      <w:pPr>
        <w:pStyle w:val="Ruller4"/>
      </w:pPr>
      <w:r>
        <w:rPr>
          <w:rFonts w:hint="cs"/>
          <w:rtl/>
        </w:rPr>
        <w:lastRenderedPageBreak/>
        <w:t xml:space="preserve">מסקנה זו </w:t>
      </w:r>
      <w:r w:rsidRPr="00330C01">
        <w:rPr>
          <w:rFonts w:hint="cs"/>
          <w:rtl/>
        </w:rPr>
        <w:t xml:space="preserve">על פיה </w:t>
      </w:r>
      <w:r w:rsidRPr="00FA49ED">
        <w:rPr>
          <w:rFonts w:ascii="Century" w:hAnsi="Century" w:hint="cs"/>
          <w:sz w:val="22"/>
          <w:rtl/>
        </w:rPr>
        <w:t>די במניעות אשר חלה על חה"כ דרעי להתמנות</w:t>
      </w:r>
      <w:r w:rsidRPr="00FA49ED">
        <w:rPr>
          <w:rFonts w:hint="cs"/>
          <w:rtl/>
        </w:rPr>
        <w:t xml:space="preserve"> </w:t>
      </w:r>
      <w:r>
        <w:rPr>
          <w:rFonts w:hint="cs"/>
          <w:rtl/>
        </w:rPr>
        <w:t>לשר כדי להביא לפסילתו</w:t>
      </w:r>
      <w:r w:rsidRPr="00330C01">
        <w:rPr>
          <w:rFonts w:hint="cs"/>
          <w:rtl/>
        </w:rPr>
        <w:t xml:space="preserve">, </w:t>
      </w:r>
      <w:r>
        <w:rPr>
          <w:rFonts w:hint="cs"/>
          <w:rtl/>
        </w:rPr>
        <w:t xml:space="preserve">מנותקת מבחינת </w:t>
      </w:r>
      <w:r w:rsidRPr="00FA49ED">
        <w:rPr>
          <w:rFonts w:ascii="Century" w:hAnsi="Century" w:hint="cs"/>
          <w:sz w:val="22"/>
          <w:rtl/>
        </w:rPr>
        <w:t xml:space="preserve">מישור שיקול הדעת שהפעיל ראש הממשלה בהתייחס למינוי. כשלעצמי, ובניגוד לחוות דעתה של חברתי הנשיאה, אליה הצטרפו מספר חבריי, אינני סבור כי </w:t>
      </w:r>
      <w:r w:rsidRPr="00FA49ED">
        <w:rPr>
          <w:rFonts w:hint="cs"/>
          <w:rtl/>
        </w:rPr>
        <w:t>מנקודת מבט הבוחנת את</w:t>
      </w:r>
      <w:r>
        <w:rPr>
          <w:rFonts w:hint="cs"/>
          <w:rtl/>
        </w:rPr>
        <w:t xml:space="preserve"> נסיבות המקרה בעיניו של ראש הממשלה ניתן להגיע למסקנה כי מדובר </w:t>
      </w:r>
      <w:r>
        <w:rPr>
          <w:rFonts w:ascii="Century" w:hAnsi="Century" w:hint="cs"/>
          <w:sz w:val="22"/>
          <w:rtl/>
        </w:rPr>
        <w:t>במינוי הלוקה ב</w:t>
      </w:r>
      <w:r w:rsidRPr="005A1ABA">
        <w:rPr>
          <w:rFonts w:ascii="Century" w:hAnsi="Century" w:hint="cs"/>
          <w:sz w:val="22"/>
          <w:rtl/>
        </w:rPr>
        <w:t xml:space="preserve">חוסר סבירות קיצוני. </w:t>
      </w:r>
      <w:r>
        <w:rPr>
          <w:rFonts w:ascii="Century" w:hAnsi="Century" w:hint="cs"/>
          <w:sz w:val="22"/>
          <w:rtl/>
        </w:rPr>
        <w:t>אסביר.</w:t>
      </w:r>
    </w:p>
    <w:p w14:paraId="609E4424" w14:textId="77777777" w:rsidR="0045550F" w:rsidRPr="00F517CB" w:rsidRDefault="0045550F" w:rsidP="0045550F">
      <w:pPr>
        <w:pStyle w:val="Ruller4"/>
        <w:numPr>
          <w:ilvl w:val="0"/>
          <w:numId w:val="0"/>
        </w:numPr>
      </w:pPr>
    </w:p>
    <w:p w14:paraId="32A90679" w14:textId="77777777" w:rsidR="0045550F" w:rsidRDefault="0045550F" w:rsidP="0045550F">
      <w:pPr>
        <w:pStyle w:val="Ruller4"/>
        <w:rPr>
          <w:rtl/>
        </w:rPr>
      </w:pPr>
      <w:r>
        <w:rPr>
          <w:rFonts w:hint="cs"/>
          <w:rtl/>
        </w:rPr>
        <w:t xml:space="preserve">נקודת המוצא היא כי חוסר סבירות נמדד על פי אמת המידה של "האדם הסביר". כפי שהיטיב לתאר זאת השופט </w:t>
      </w:r>
      <w:r w:rsidRPr="00F517CB">
        <w:rPr>
          <w:rFonts w:ascii="Century" w:hAnsi="Century" w:cs="Miriam" w:hint="cs"/>
          <w:b/>
          <w:spacing w:val="0"/>
          <w:sz w:val="22"/>
          <w:szCs w:val="24"/>
          <w:rtl/>
        </w:rPr>
        <w:t>א' ברק</w:t>
      </w:r>
      <w:r>
        <w:rPr>
          <w:rFonts w:hint="cs"/>
          <w:rtl/>
        </w:rPr>
        <w:t xml:space="preserve"> ב</w:t>
      </w:r>
      <w:r w:rsidRPr="005A1ABA">
        <w:rPr>
          <w:rFonts w:hint="eastAsia"/>
          <w:rtl/>
        </w:rPr>
        <w:t>בג</w:t>
      </w:r>
      <w:r w:rsidRPr="005A1ABA">
        <w:rPr>
          <w:rtl/>
        </w:rPr>
        <w:t>"</w:t>
      </w:r>
      <w:r w:rsidRPr="005A1ABA">
        <w:rPr>
          <w:rFonts w:hint="eastAsia"/>
          <w:rtl/>
        </w:rPr>
        <w:t>ץ</w:t>
      </w:r>
      <w:r w:rsidRPr="005A1ABA">
        <w:rPr>
          <w:rtl/>
        </w:rPr>
        <w:t xml:space="preserve"> </w:t>
      </w:r>
      <w:r>
        <w:rPr>
          <w:rFonts w:hint="cs"/>
          <w:rtl/>
        </w:rPr>
        <w:t xml:space="preserve">389/80 </w:t>
      </w:r>
      <w:r w:rsidRPr="0035103A">
        <w:rPr>
          <w:rFonts w:ascii="Century" w:hAnsi="Century" w:cs="Miriam" w:hint="eastAsia"/>
          <w:b/>
          <w:spacing w:val="0"/>
          <w:szCs w:val="24"/>
          <w:rtl/>
        </w:rPr>
        <w:t>דפי</w:t>
      </w:r>
      <w:r w:rsidRPr="0035103A">
        <w:rPr>
          <w:rFonts w:ascii="Century" w:hAnsi="Century" w:cs="Miriam"/>
          <w:b/>
          <w:spacing w:val="0"/>
          <w:szCs w:val="24"/>
          <w:rtl/>
        </w:rPr>
        <w:t xml:space="preserve"> </w:t>
      </w:r>
      <w:r w:rsidRPr="0035103A">
        <w:rPr>
          <w:rFonts w:ascii="Century" w:hAnsi="Century" w:cs="Miriam" w:hint="eastAsia"/>
          <w:b/>
          <w:spacing w:val="0"/>
          <w:szCs w:val="24"/>
          <w:rtl/>
        </w:rPr>
        <w:t>זהב</w:t>
      </w:r>
      <w:r w:rsidRPr="0035103A">
        <w:rPr>
          <w:rFonts w:ascii="Century" w:hAnsi="Century" w:cs="Miriam"/>
          <w:b/>
          <w:spacing w:val="0"/>
          <w:szCs w:val="24"/>
          <w:rtl/>
        </w:rPr>
        <w:t xml:space="preserve"> </w:t>
      </w:r>
      <w:r w:rsidRPr="0035103A">
        <w:rPr>
          <w:rFonts w:ascii="Century" w:hAnsi="Century" w:cs="Miriam" w:hint="eastAsia"/>
          <w:b/>
          <w:spacing w:val="0"/>
          <w:szCs w:val="24"/>
          <w:rtl/>
        </w:rPr>
        <w:t>בע</w:t>
      </w:r>
      <w:r w:rsidRPr="0035103A">
        <w:rPr>
          <w:rFonts w:ascii="Century" w:hAnsi="Century" w:cs="Miriam"/>
          <w:b/>
          <w:spacing w:val="0"/>
          <w:szCs w:val="24"/>
          <w:rtl/>
        </w:rPr>
        <w:t>"</w:t>
      </w:r>
      <w:r w:rsidRPr="0035103A">
        <w:rPr>
          <w:rFonts w:ascii="Century" w:hAnsi="Century" w:cs="Miriam" w:hint="eastAsia"/>
          <w:b/>
          <w:spacing w:val="0"/>
          <w:szCs w:val="24"/>
          <w:rtl/>
        </w:rPr>
        <w:t>מ</w:t>
      </w:r>
      <w:r w:rsidRPr="0035103A">
        <w:rPr>
          <w:rFonts w:ascii="Century" w:hAnsi="Century" w:cs="Miriam"/>
          <w:b/>
          <w:spacing w:val="0"/>
          <w:szCs w:val="24"/>
          <w:rtl/>
        </w:rPr>
        <w:t xml:space="preserve"> </w:t>
      </w:r>
      <w:r w:rsidRPr="0035103A">
        <w:rPr>
          <w:rFonts w:ascii="Century" w:hAnsi="Century" w:cs="Miriam" w:hint="eastAsia"/>
          <w:b/>
          <w:spacing w:val="0"/>
          <w:szCs w:val="24"/>
          <w:rtl/>
        </w:rPr>
        <w:t>נ</w:t>
      </w:r>
      <w:r w:rsidRPr="0035103A">
        <w:rPr>
          <w:rFonts w:ascii="Century" w:hAnsi="Century" w:cs="Miriam"/>
          <w:b/>
          <w:spacing w:val="0"/>
          <w:szCs w:val="24"/>
          <w:rtl/>
        </w:rPr>
        <w:t xml:space="preserve">' </w:t>
      </w:r>
      <w:r w:rsidRPr="0035103A">
        <w:rPr>
          <w:rFonts w:ascii="Century" w:hAnsi="Century" w:cs="Miriam" w:hint="eastAsia"/>
          <w:b/>
          <w:spacing w:val="0"/>
          <w:szCs w:val="24"/>
          <w:rtl/>
        </w:rPr>
        <w:t>רשות</w:t>
      </w:r>
      <w:r w:rsidRPr="0035103A">
        <w:rPr>
          <w:rFonts w:ascii="Century" w:hAnsi="Century" w:cs="Miriam"/>
          <w:b/>
          <w:spacing w:val="0"/>
          <w:szCs w:val="24"/>
          <w:rtl/>
        </w:rPr>
        <w:t xml:space="preserve"> </w:t>
      </w:r>
      <w:r w:rsidRPr="0035103A">
        <w:rPr>
          <w:rFonts w:ascii="Century" w:hAnsi="Century" w:cs="Miriam" w:hint="eastAsia"/>
          <w:b/>
          <w:spacing w:val="0"/>
          <w:szCs w:val="24"/>
          <w:rtl/>
        </w:rPr>
        <w:t>השידור</w:t>
      </w:r>
      <w:r w:rsidRPr="005A1ABA">
        <w:rPr>
          <w:rtl/>
        </w:rPr>
        <w:t xml:space="preserve">, </w:t>
      </w:r>
      <w:r w:rsidRPr="005A1ABA">
        <w:rPr>
          <w:rFonts w:hint="eastAsia"/>
          <w:rtl/>
        </w:rPr>
        <w:t>פ</w:t>
      </w:r>
      <w:r w:rsidRPr="005A1ABA">
        <w:rPr>
          <w:rtl/>
        </w:rPr>
        <w:t>"</w:t>
      </w:r>
      <w:r w:rsidRPr="005A1ABA">
        <w:rPr>
          <w:rFonts w:hint="eastAsia"/>
          <w:rtl/>
        </w:rPr>
        <w:t>ד</w:t>
      </w:r>
      <w:r w:rsidRPr="005A1ABA">
        <w:rPr>
          <w:rtl/>
        </w:rPr>
        <w:t xml:space="preserve"> </w:t>
      </w:r>
      <w:r w:rsidRPr="005A1ABA">
        <w:rPr>
          <w:rFonts w:hint="eastAsia"/>
          <w:rtl/>
        </w:rPr>
        <w:t>לה</w:t>
      </w:r>
      <w:r w:rsidRPr="005A1ABA">
        <w:rPr>
          <w:rtl/>
        </w:rPr>
        <w:t>(1) 421</w:t>
      </w:r>
      <w:r>
        <w:rPr>
          <w:rFonts w:hint="cs"/>
          <w:rtl/>
        </w:rPr>
        <w:t xml:space="preserve"> (1981) מקדמת דנא: </w:t>
      </w:r>
    </w:p>
    <w:p w14:paraId="196A314B" w14:textId="77777777" w:rsidR="0045550F" w:rsidRPr="00F517CB" w:rsidRDefault="0045550F" w:rsidP="0045550F">
      <w:pPr>
        <w:pStyle w:val="Ruller41"/>
      </w:pPr>
    </w:p>
    <w:p w14:paraId="19F1BBDA" w14:textId="77777777" w:rsidR="0045550F" w:rsidRDefault="0045550F" w:rsidP="0045550F">
      <w:pPr>
        <w:pStyle w:val="Ruller5"/>
        <w:rPr>
          <w:rtl/>
        </w:rPr>
      </w:pPr>
      <w:r>
        <w:rPr>
          <w:rFonts w:hint="cs"/>
          <w:rtl/>
        </w:rPr>
        <w:t>"האדם הסביר בהקשר זה הוא עובד הציבור הסביר, העומד במקומו ובפתחו של עובד הציבור, שקיבל את ההחלטה. השאלה היא, אם כן, אם עובד ציבור סביר, הנתון במצבו של עובד הציבור, שקיבל החלטה פלונית, היה עשוי לקבל, בנסיבות העניין, אותה החלטה" (שם, עמ' 440-439).</w:t>
      </w:r>
    </w:p>
    <w:p w14:paraId="69C0571C" w14:textId="77777777" w:rsidR="0045550F" w:rsidRDefault="0045550F" w:rsidP="0045550F">
      <w:pPr>
        <w:pStyle w:val="Ruller4"/>
        <w:numPr>
          <w:ilvl w:val="0"/>
          <w:numId w:val="0"/>
        </w:numPr>
        <w:rPr>
          <w:rtl/>
        </w:rPr>
      </w:pPr>
      <w:r>
        <w:rPr>
          <w:rtl/>
        </w:rPr>
        <w:tab/>
      </w:r>
    </w:p>
    <w:p w14:paraId="12DAC0DD" w14:textId="77777777" w:rsidR="0045550F" w:rsidRDefault="0045550F" w:rsidP="0045550F">
      <w:pPr>
        <w:pStyle w:val="Ruller4"/>
        <w:numPr>
          <w:ilvl w:val="0"/>
          <w:numId w:val="0"/>
        </w:numPr>
      </w:pPr>
      <w:r>
        <w:rPr>
          <w:rtl/>
        </w:rPr>
        <w:tab/>
      </w:r>
      <w:r>
        <w:rPr>
          <w:rFonts w:hint="cs"/>
          <w:rtl/>
        </w:rPr>
        <w:t xml:space="preserve">ויודגש, הכלל לפיו בית משפט אינו מתיימר להיכנס בנעלי הרשות ואינו מתיימר להחליף את שיקול דעתה של הרשות המוסמכת בשיקול דעתו (וראו למשל: </w:t>
      </w:r>
      <w:r>
        <w:rPr>
          <w:rFonts w:hint="eastAsia"/>
          <w:rtl/>
        </w:rPr>
        <w:t>בג</w:t>
      </w:r>
      <w:r>
        <w:rPr>
          <w:rtl/>
        </w:rPr>
        <w:t>"</w:t>
      </w:r>
      <w:r>
        <w:rPr>
          <w:rFonts w:hint="eastAsia"/>
          <w:rtl/>
        </w:rPr>
        <w:t>ץ</w:t>
      </w:r>
      <w:r>
        <w:rPr>
          <w:rtl/>
        </w:rPr>
        <w:t xml:space="preserve"> 10242/03 </w:t>
      </w:r>
      <w:proofErr w:type="spellStart"/>
      <w:r w:rsidRPr="00F517CB">
        <w:rPr>
          <w:rFonts w:ascii="Century" w:hAnsi="Century" w:cs="Miriam" w:hint="eastAsia"/>
          <w:b/>
          <w:spacing w:val="0"/>
          <w:sz w:val="22"/>
          <w:szCs w:val="24"/>
          <w:rtl/>
        </w:rPr>
        <w:t>מילובלובסקי</w:t>
      </w:r>
      <w:proofErr w:type="spellEnd"/>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נ</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המועצה</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הארצית</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לתכנון</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ולבנייה</w:t>
      </w:r>
      <w:r>
        <w:rPr>
          <w:rtl/>
        </w:rPr>
        <w:t xml:space="preserve">, </w:t>
      </w:r>
      <w:r>
        <w:rPr>
          <w:rFonts w:hint="eastAsia"/>
          <w:rtl/>
        </w:rPr>
        <w:t>פ</w:t>
      </w:r>
      <w:r>
        <w:rPr>
          <w:rtl/>
        </w:rPr>
        <w:t>"</w:t>
      </w:r>
      <w:r>
        <w:rPr>
          <w:rFonts w:hint="eastAsia"/>
          <w:rtl/>
        </w:rPr>
        <w:t>ד</w:t>
      </w:r>
      <w:r>
        <w:rPr>
          <w:rtl/>
        </w:rPr>
        <w:t xml:space="preserve"> </w:t>
      </w:r>
      <w:r>
        <w:rPr>
          <w:rFonts w:hint="eastAsia"/>
          <w:rtl/>
        </w:rPr>
        <w:t>נח</w:t>
      </w:r>
      <w:r>
        <w:rPr>
          <w:rtl/>
        </w:rPr>
        <w:t>(6) 673, 679 (2004)</w:t>
      </w:r>
      <w:r>
        <w:rPr>
          <w:rFonts w:hint="cs"/>
          <w:rtl/>
        </w:rPr>
        <w:t xml:space="preserve">; </w:t>
      </w:r>
      <w:r w:rsidRPr="00874290">
        <w:rPr>
          <w:rFonts w:hint="eastAsia"/>
          <w:rtl/>
        </w:rPr>
        <w:t>בג</w:t>
      </w:r>
      <w:r>
        <w:rPr>
          <w:rFonts w:hint="cs"/>
          <w:rtl/>
        </w:rPr>
        <w:t>"</w:t>
      </w:r>
      <w:r w:rsidRPr="00874290">
        <w:rPr>
          <w:rFonts w:hint="eastAsia"/>
          <w:rtl/>
        </w:rPr>
        <w:t>ץ</w:t>
      </w:r>
      <w:r>
        <w:rPr>
          <w:rtl/>
        </w:rPr>
        <w:t xml:space="preserve"> 43/16</w:t>
      </w:r>
      <w:r>
        <w:rPr>
          <w:rFonts w:hint="cs"/>
          <w:rtl/>
        </w:rPr>
        <w:t xml:space="preserve"> </w:t>
      </w:r>
      <w:r w:rsidRPr="00F517CB">
        <w:rPr>
          <w:rFonts w:ascii="Century" w:hAnsi="Century" w:cs="Miriam" w:hint="eastAsia"/>
          <w:b/>
          <w:spacing w:val="0"/>
          <w:sz w:val="22"/>
          <w:szCs w:val="24"/>
          <w:rtl/>
        </w:rPr>
        <w:t>תנועת</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אומ</w:t>
      </w:r>
      <w:r w:rsidRPr="00F517CB">
        <w:rPr>
          <w:rFonts w:ascii="Century" w:hAnsi="Century" w:cs="Miriam"/>
          <w:b/>
          <w:spacing w:val="0"/>
          <w:sz w:val="22"/>
          <w:szCs w:val="24"/>
          <w:rtl/>
        </w:rPr>
        <w:t>"</w:t>
      </w:r>
      <w:r w:rsidRPr="00F517CB">
        <w:rPr>
          <w:rFonts w:ascii="Century" w:hAnsi="Century" w:cs="Miriam" w:hint="eastAsia"/>
          <w:b/>
          <w:spacing w:val="0"/>
          <w:sz w:val="22"/>
          <w:szCs w:val="24"/>
          <w:rtl/>
        </w:rPr>
        <w:t>ץ</w:t>
      </w:r>
      <w:r w:rsidRPr="00F517CB">
        <w:rPr>
          <w:rFonts w:ascii="Century" w:hAnsi="Century" w:cs="Miriam"/>
          <w:b/>
          <w:spacing w:val="0"/>
          <w:sz w:val="22"/>
          <w:szCs w:val="24"/>
          <w:rtl/>
        </w:rPr>
        <w:t xml:space="preserve"> –</w:t>
      </w:r>
      <w:r w:rsidRPr="00F517CB">
        <w:rPr>
          <w:rFonts w:ascii="Century" w:hAnsi="Century" w:cs="Miriam" w:hint="cs"/>
          <w:b/>
          <w:spacing w:val="0"/>
          <w:sz w:val="22"/>
          <w:szCs w:val="24"/>
          <w:rtl/>
        </w:rPr>
        <w:t xml:space="preserve"> </w:t>
      </w:r>
      <w:r w:rsidRPr="00F517CB">
        <w:rPr>
          <w:rFonts w:ascii="Century" w:hAnsi="Century" w:cs="Miriam" w:hint="eastAsia"/>
          <w:b/>
          <w:spacing w:val="0"/>
          <w:sz w:val="22"/>
          <w:szCs w:val="24"/>
          <w:rtl/>
        </w:rPr>
        <w:t>אזרחים</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למען</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מינהל</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תקין</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וצדק</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חברתי</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ומשפט</w:t>
      </w:r>
      <w:r w:rsidRPr="00F517CB">
        <w:rPr>
          <w:rFonts w:ascii="Century" w:hAnsi="Century" w:cs="Miriam" w:hint="cs"/>
          <w:b/>
          <w:spacing w:val="0"/>
          <w:sz w:val="22"/>
          <w:szCs w:val="24"/>
          <w:rtl/>
        </w:rPr>
        <w:t>י</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נ</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ממשלת</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ישראל</w:t>
      </w:r>
      <w:r>
        <w:rPr>
          <w:rFonts w:hint="cs"/>
          <w:rtl/>
        </w:rPr>
        <w:t xml:space="preserve">, פסקה 38 (1.3.2016)), לא נאמר על דרך המליצה בלבד. משמעותו כי עילת הסבירות איננה מיועדת </w:t>
      </w:r>
      <w:r w:rsidRPr="008E2E8B">
        <w:rPr>
          <w:rFonts w:ascii="Century" w:hAnsi="Century" w:hint="cs"/>
          <w:sz w:val="22"/>
          <w:rtl/>
        </w:rPr>
        <w:t>לקבוע מהי ההחלטה</w:t>
      </w:r>
      <w:r w:rsidRPr="008E2E8B">
        <w:rPr>
          <w:rFonts w:hint="cs"/>
          <w:rtl/>
        </w:rPr>
        <w:t xml:space="preserve"> </w:t>
      </w:r>
      <w:r>
        <w:rPr>
          <w:rFonts w:hint="cs"/>
          <w:rtl/>
        </w:rPr>
        <w:t xml:space="preserve">שעל הרשות המינהלית לקבל. הנחת היסוד היא כי </w:t>
      </w:r>
      <w:r w:rsidRPr="008E2E8B">
        <w:rPr>
          <w:rFonts w:ascii="Century" w:hAnsi="Century" w:hint="cs"/>
          <w:sz w:val="22"/>
          <w:rtl/>
        </w:rPr>
        <w:t>קיים מתחם של</w:t>
      </w:r>
      <w:r w:rsidRPr="008E2E8B">
        <w:rPr>
          <w:rFonts w:hint="cs"/>
          <w:rtl/>
        </w:rPr>
        <w:t xml:space="preserve"> </w:t>
      </w:r>
      <w:r>
        <w:rPr>
          <w:rFonts w:hint="cs"/>
          <w:rtl/>
        </w:rPr>
        <w:t xml:space="preserve">החלטות סבירות, שבחירה בכל אחת מהן תעמוד בדרישת הסבירות (בג"ץ 8134/11 </w:t>
      </w:r>
      <w:r w:rsidRPr="00F517CB">
        <w:rPr>
          <w:rFonts w:ascii="Century" w:hAnsi="Century" w:cs="Miriam" w:hint="cs"/>
          <w:b/>
          <w:spacing w:val="0"/>
          <w:sz w:val="22"/>
          <w:szCs w:val="24"/>
          <w:rtl/>
        </w:rPr>
        <w:t>אשר נ' שר האוצר</w:t>
      </w:r>
      <w:r w:rsidRPr="00F517CB">
        <w:rPr>
          <w:rFonts w:ascii="Century" w:hAnsi="Century" w:cs="Miriam" w:hint="cs"/>
          <w:b/>
          <w:spacing w:val="0"/>
          <w:szCs w:val="24"/>
          <w:rtl/>
        </w:rPr>
        <w:t>, ד"ר יובל שטייניץ</w:t>
      </w:r>
      <w:r>
        <w:rPr>
          <w:rFonts w:hint="cs"/>
          <w:rtl/>
        </w:rPr>
        <w:t xml:space="preserve">, פסקה 11 לפסק דינו של המשנה לנשיאה </w:t>
      </w:r>
      <w:r w:rsidRPr="00F517CB">
        <w:rPr>
          <w:rFonts w:ascii="Century" w:hAnsi="Century" w:cs="Miriam" w:hint="cs"/>
          <w:b/>
          <w:spacing w:val="0"/>
          <w:sz w:val="22"/>
          <w:szCs w:val="24"/>
          <w:rtl/>
        </w:rPr>
        <w:t>א' ריבלין</w:t>
      </w:r>
      <w:r w:rsidRPr="00874290">
        <w:rPr>
          <w:rFonts w:hint="cs"/>
          <w:rtl/>
        </w:rPr>
        <w:t xml:space="preserve"> </w:t>
      </w:r>
      <w:r>
        <w:rPr>
          <w:rFonts w:hint="cs"/>
          <w:rtl/>
        </w:rPr>
        <w:t xml:space="preserve">(29.1.2012); </w:t>
      </w:r>
      <w:r w:rsidRPr="00722579">
        <w:rPr>
          <w:rFonts w:hint="eastAsia"/>
          <w:rtl/>
        </w:rPr>
        <w:t>בג</w:t>
      </w:r>
      <w:r>
        <w:rPr>
          <w:rFonts w:hint="cs"/>
          <w:rtl/>
        </w:rPr>
        <w:t>"</w:t>
      </w:r>
      <w:r w:rsidRPr="00722579">
        <w:rPr>
          <w:rFonts w:hint="eastAsia"/>
          <w:rtl/>
        </w:rPr>
        <w:t>ץ</w:t>
      </w:r>
      <w:r w:rsidRPr="00722579">
        <w:rPr>
          <w:rtl/>
        </w:rPr>
        <w:t xml:space="preserve"> 3758/17 </w:t>
      </w:r>
      <w:r w:rsidRPr="00F517CB">
        <w:rPr>
          <w:rFonts w:ascii="Century" w:hAnsi="Century" w:cs="Miriam" w:hint="eastAsia"/>
          <w:b/>
          <w:spacing w:val="0"/>
          <w:sz w:val="22"/>
          <w:szCs w:val="24"/>
          <w:rtl/>
        </w:rPr>
        <w:t>הסתדרות</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העובדים</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הכללית</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החדשה</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נ</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הנהלת</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בתי</w:t>
      </w:r>
      <w:r w:rsidRPr="00F517CB">
        <w:rPr>
          <w:rFonts w:ascii="Century" w:hAnsi="Century" w:cs="Miriam"/>
          <w:b/>
          <w:spacing w:val="0"/>
          <w:sz w:val="22"/>
          <w:szCs w:val="24"/>
          <w:rtl/>
        </w:rPr>
        <w:t xml:space="preserve"> </w:t>
      </w:r>
      <w:r w:rsidRPr="00F517CB">
        <w:rPr>
          <w:rFonts w:ascii="Century" w:hAnsi="Century" w:cs="Miriam" w:hint="eastAsia"/>
          <w:b/>
          <w:spacing w:val="0"/>
          <w:sz w:val="22"/>
          <w:szCs w:val="24"/>
          <w:rtl/>
        </w:rPr>
        <w:t>המשפט</w:t>
      </w:r>
      <w:r>
        <w:rPr>
          <w:rFonts w:hint="cs"/>
          <w:rtl/>
        </w:rPr>
        <w:t xml:space="preserve">, פסקה 35 (20.7.2017)). מתחם הסבירות ייקבע גם בהתחשב במעמדה ובמאפייניה המוסדיים של הרשות מפעילת הסמכות (דפנה ברק-ארז </w:t>
      </w:r>
      <w:r w:rsidRPr="00F517CB">
        <w:rPr>
          <w:rFonts w:ascii="Century" w:hAnsi="Century" w:cs="Miriam" w:hint="cs"/>
          <w:b/>
          <w:spacing w:val="0"/>
          <w:sz w:val="22"/>
          <w:szCs w:val="24"/>
          <w:rtl/>
        </w:rPr>
        <w:t>משפט מינהלי</w:t>
      </w:r>
      <w:r w:rsidRPr="006C4C4E">
        <w:rPr>
          <w:rFonts w:hint="cs"/>
          <w:rtl/>
        </w:rPr>
        <w:t xml:space="preserve"> </w:t>
      </w:r>
      <w:r>
        <w:rPr>
          <w:rFonts w:hint="cs"/>
          <w:rtl/>
        </w:rPr>
        <w:t xml:space="preserve">כרך ב 757 (2010); בג"ץ 2534/97 </w:t>
      </w:r>
      <w:r w:rsidRPr="00F517CB">
        <w:rPr>
          <w:rFonts w:ascii="Century" w:hAnsi="Century" w:cs="Miriam" w:hint="cs"/>
          <w:b/>
          <w:spacing w:val="0"/>
          <w:sz w:val="22"/>
          <w:szCs w:val="24"/>
          <w:rtl/>
        </w:rPr>
        <w:t>חבר-הכנסת יונה יהב נ' פרקליטת המדינה</w:t>
      </w:r>
      <w:r>
        <w:rPr>
          <w:rFonts w:hint="cs"/>
          <w:rtl/>
        </w:rPr>
        <w:t>, פ"ד נא(3) 1, 29 (1997)).</w:t>
      </w:r>
    </w:p>
    <w:p w14:paraId="6D25A324" w14:textId="77777777" w:rsidR="0045550F" w:rsidRDefault="0045550F" w:rsidP="0045550F">
      <w:pPr>
        <w:pStyle w:val="Ruller4"/>
        <w:numPr>
          <w:ilvl w:val="0"/>
          <w:numId w:val="0"/>
        </w:numPr>
      </w:pPr>
    </w:p>
    <w:p w14:paraId="57F09982" w14:textId="77777777" w:rsidR="0045550F" w:rsidRDefault="0045550F" w:rsidP="0045550F">
      <w:pPr>
        <w:pStyle w:val="Ruller4"/>
      </w:pPr>
      <w:r>
        <w:rPr>
          <w:rFonts w:hint="cs"/>
          <w:rtl/>
        </w:rPr>
        <w:t xml:space="preserve">מהו אפוא מתחם הסבירות הרלוונטי לענייננו? תחילה אציין במבט על כי סמכות ראש הממשלה הנוגעת להרכבת הממשלה היא סמכות מיוחדת במינה, הן בשל מעמדו של ראש הממשלה והן בשל אופייה הפוליטי של סמכות זו. לפיכך, מתחם הסבירות בנוגע להפעלת הסמכות הוא </w:t>
      </w:r>
      <w:r w:rsidRPr="00746518">
        <w:rPr>
          <w:rFonts w:ascii="Century" w:hAnsi="Century" w:hint="cs"/>
          <w:sz w:val="22"/>
          <w:rtl/>
        </w:rPr>
        <w:t xml:space="preserve">רחב ביותר </w:t>
      </w:r>
      <w:r>
        <w:rPr>
          <w:rFonts w:hint="cs"/>
          <w:rtl/>
        </w:rPr>
        <w:t xml:space="preserve">(בג"ץ 2533/97 </w:t>
      </w:r>
      <w:r w:rsidRPr="00E46F79">
        <w:rPr>
          <w:rFonts w:ascii="Century" w:hAnsi="Century" w:cs="Miriam" w:hint="cs"/>
          <w:b/>
          <w:spacing w:val="0"/>
          <w:szCs w:val="24"/>
          <w:rtl/>
        </w:rPr>
        <w:t xml:space="preserve">התנועה למען איכות השלטון בישראל </w:t>
      </w:r>
      <w:r w:rsidRPr="00E46F79">
        <w:rPr>
          <w:rFonts w:ascii="Century" w:hAnsi="Century" w:cs="Miriam" w:hint="cs"/>
          <w:b/>
          <w:spacing w:val="0"/>
          <w:szCs w:val="24"/>
          <w:rtl/>
        </w:rPr>
        <w:lastRenderedPageBreak/>
        <w:t>נ' ממשלת ישראל</w:t>
      </w:r>
      <w:r>
        <w:rPr>
          <w:rFonts w:hint="cs"/>
          <w:rtl/>
        </w:rPr>
        <w:t xml:space="preserve">, פ"ד נא(3) 46, 59-58 (1997); </w:t>
      </w:r>
      <w:r w:rsidRPr="005D0C8E">
        <w:rPr>
          <w:rFonts w:hint="eastAsia"/>
          <w:rtl/>
        </w:rPr>
        <w:t>בג</w:t>
      </w:r>
      <w:r w:rsidRPr="005D0C8E">
        <w:rPr>
          <w:rtl/>
        </w:rPr>
        <w:t>"</w:t>
      </w:r>
      <w:r w:rsidRPr="005D0C8E">
        <w:rPr>
          <w:rFonts w:hint="eastAsia"/>
          <w:rtl/>
        </w:rPr>
        <w:t>ץ</w:t>
      </w:r>
      <w:r w:rsidRPr="005D0C8E">
        <w:rPr>
          <w:rtl/>
        </w:rPr>
        <w:t xml:space="preserve"> 4267/93 </w:t>
      </w:r>
      <w:r w:rsidRPr="00E46F79">
        <w:rPr>
          <w:rFonts w:ascii="Century" w:hAnsi="Century" w:cs="Miriam" w:hint="eastAsia"/>
          <w:b/>
          <w:spacing w:val="0"/>
          <w:szCs w:val="24"/>
          <w:rtl/>
        </w:rPr>
        <w:t>אמיתי</w:t>
      </w:r>
      <w:r w:rsidRPr="00E46F79">
        <w:rPr>
          <w:rFonts w:ascii="Century" w:hAnsi="Century" w:cs="Miriam"/>
          <w:b/>
          <w:spacing w:val="0"/>
          <w:szCs w:val="24"/>
          <w:rtl/>
        </w:rPr>
        <w:t xml:space="preserve"> – </w:t>
      </w:r>
      <w:r w:rsidRPr="00E46F79">
        <w:rPr>
          <w:rFonts w:ascii="Century" w:hAnsi="Century" w:cs="Miriam" w:hint="eastAsia"/>
          <w:b/>
          <w:spacing w:val="0"/>
          <w:szCs w:val="24"/>
          <w:rtl/>
        </w:rPr>
        <w:t>אזרחים</w:t>
      </w:r>
      <w:r w:rsidRPr="00E46F79">
        <w:rPr>
          <w:rFonts w:ascii="Century" w:hAnsi="Century" w:cs="Miriam"/>
          <w:b/>
          <w:spacing w:val="0"/>
          <w:szCs w:val="24"/>
          <w:rtl/>
        </w:rPr>
        <w:t xml:space="preserve"> </w:t>
      </w:r>
      <w:r w:rsidRPr="00E46F79">
        <w:rPr>
          <w:rFonts w:ascii="Century" w:hAnsi="Century" w:cs="Miriam" w:hint="eastAsia"/>
          <w:b/>
          <w:spacing w:val="0"/>
          <w:szCs w:val="24"/>
          <w:rtl/>
        </w:rPr>
        <w:t>למען</w:t>
      </w:r>
      <w:r w:rsidRPr="00E46F79">
        <w:rPr>
          <w:rFonts w:ascii="Century" w:hAnsi="Century" w:cs="Miriam"/>
          <w:b/>
          <w:spacing w:val="0"/>
          <w:szCs w:val="24"/>
          <w:rtl/>
        </w:rPr>
        <w:t xml:space="preserve"> </w:t>
      </w:r>
      <w:r w:rsidRPr="00E46F79">
        <w:rPr>
          <w:rFonts w:ascii="Century" w:hAnsi="Century" w:cs="Miriam" w:hint="eastAsia"/>
          <w:b/>
          <w:spacing w:val="0"/>
          <w:szCs w:val="24"/>
          <w:rtl/>
        </w:rPr>
        <w:t>מינהל</w:t>
      </w:r>
      <w:r w:rsidRPr="00E46F79">
        <w:rPr>
          <w:rFonts w:ascii="Century" w:hAnsi="Century" w:cs="Miriam"/>
          <w:b/>
          <w:spacing w:val="0"/>
          <w:szCs w:val="24"/>
          <w:rtl/>
        </w:rPr>
        <w:t xml:space="preserve"> </w:t>
      </w:r>
      <w:r w:rsidRPr="00E46F79">
        <w:rPr>
          <w:rFonts w:ascii="Century" w:hAnsi="Century" w:cs="Miriam" w:hint="eastAsia"/>
          <w:b/>
          <w:spacing w:val="0"/>
          <w:szCs w:val="24"/>
          <w:rtl/>
        </w:rPr>
        <w:t>תקין</w:t>
      </w:r>
      <w:r w:rsidRPr="00E46F79">
        <w:rPr>
          <w:rFonts w:ascii="Century" w:hAnsi="Century" w:cs="Miriam"/>
          <w:b/>
          <w:spacing w:val="0"/>
          <w:szCs w:val="24"/>
          <w:rtl/>
        </w:rPr>
        <w:t xml:space="preserve"> </w:t>
      </w:r>
      <w:r w:rsidRPr="00E46F79">
        <w:rPr>
          <w:rFonts w:ascii="Century" w:hAnsi="Century" w:cs="Miriam" w:hint="eastAsia"/>
          <w:b/>
          <w:spacing w:val="0"/>
          <w:szCs w:val="24"/>
          <w:rtl/>
        </w:rPr>
        <w:t>וטוהר</w:t>
      </w:r>
      <w:r w:rsidRPr="00E46F79">
        <w:rPr>
          <w:rFonts w:ascii="Century" w:hAnsi="Century" w:cs="Miriam"/>
          <w:b/>
          <w:spacing w:val="0"/>
          <w:szCs w:val="24"/>
          <w:rtl/>
        </w:rPr>
        <w:t xml:space="preserve"> </w:t>
      </w:r>
      <w:r w:rsidRPr="00E46F79">
        <w:rPr>
          <w:rFonts w:ascii="Century" w:hAnsi="Century" w:cs="Miriam" w:hint="eastAsia"/>
          <w:b/>
          <w:spacing w:val="0"/>
          <w:szCs w:val="24"/>
          <w:rtl/>
        </w:rPr>
        <w:t>המידות</w:t>
      </w:r>
      <w:r w:rsidRPr="00E46F79">
        <w:rPr>
          <w:rFonts w:ascii="Century" w:hAnsi="Century" w:cs="Miriam"/>
          <w:b/>
          <w:spacing w:val="0"/>
          <w:szCs w:val="24"/>
          <w:rtl/>
        </w:rPr>
        <w:t xml:space="preserve"> </w:t>
      </w:r>
      <w:r w:rsidRPr="00E46F79">
        <w:rPr>
          <w:rFonts w:ascii="Century" w:hAnsi="Century" w:cs="Miriam" w:hint="eastAsia"/>
          <w:b/>
          <w:spacing w:val="0"/>
          <w:szCs w:val="24"/>
          <w:rtl/>
        </w:rPr>
        <w:t>נ</w:t>
      </w:r>
      <w:r w:rsidRPr="00E46F79">
        <w:rPr>
          <w:rFonts w:ascii="Century" w:hAnsi="Century" w:cs="Miriam"/>
          <w:b/>
          <w:spacing w:val="0"/>
          <w:szCs w:val="24"/>
          <w:rtl/>
        </w:rPr>
        <w:t xml:space="preserve">' </w:t>
      </w:r>
      <w:r>
        <w:rPr>
          <w:rFonts w:ascii="Century" w:hAnsi="Century" w:cs="Miriam" w:hint="cs"/>
          <w:b/>
          <w:spacing w:val="0"/>
          <w:szCs w:val="24"/>
          <w:rtl/>
        </w:rPr>
        <w:t>יצחק</w:t>
      </w:r>
      <w:r w:rsidRPr="00E46F79">
        <w:rPr>
          <w:rFonts w:ascii="Century" w:hAnsi="Century" w:cs="Miriam" w:hint="cs"/>
          <w:b/>
          <w:spacing w:val="0"/>
          <w:szCs w:val="24"/>
          <w:rtl/>
        </w:rPr>
        <w:t xml:space="preserve"> רבין, </w:t>
      </w:r>
      <w:r w:rsidRPr="00E46F79">
        <w:rPr>
          <w:rFonts w:ascii="Century" w:hAnsi="Century" w:cs="Miriam" w:hint="eastAsia"/>
          <w:b/>
          <w:spacing w:val="0"/>
          <w:szCs w:val="24"/>
          <w:rtl/>
        </w:rPr>
        <w:t>ראש</w:t>
      </w:r>
      <w:r w:rsidRPr="00E46F79">
        <w:rPr>
          <w:rFonts w:ascii="Century" w:hAnsi="Century" w:cs="Miriam"/>
          <w:b/>
          <w:spacing w:val="0"/>
          <w:szCs w:val="24"/>
          <w:rtl/>
        </w:rPr>
        <w:t xml:space="preserve"> </w:t>
      </w:r>
      <w:r w:rsidRPr="00E46F79">
        <w:rPr>
          <w:rFonts w:ascii="Century" w:hAnsi="Century" w:cs="Miriam" w:hint="eastAsia"/>
          <w:b/>
          <w:spacing w:val="0"/>
          <w:szCs w:val="24"/>
          <w:rtl/>
        </w:rPr>
        <w:t>ממשלת</w:t>
      </w:r>
      <w:r w:rsidRPr="00E46F79">
        <w:rPr>
          <w:rFonts w:ascii="Century" w:hAnsi="Century" w:cs="Miriam"/>
          <w:b/>
          <w:spacing w:val="0"/>
          <w:szCs w:val="24"/>
          <w:rtl/>
        </w:rPr>
        <w:t xml:space="preserve"> </w:t>
      </w:r>
      <w:r w:rsidRPr="00E46F79">
        <w:rPr>
          <w:rFonts w:ascii="Century" w:hAnsi="Century" w:cs="Miriam" w:hint="eastAsia"/>
          <w:b/>
          <w:spacing w:val="0"/>
          <w:szCs w:val="24"/>
          <w:rtl/>
        </w:rPr>
        <w:t>ישראל</w:t>
      </w:r>
      <w:r w:rsidRPr="005D0C8E">
        <w:rPr>
          <w:rtl/>
        </w:rPr>
        <w:t xml:space="preserve">, </w:t>
      </w:r>
      <w:r w:rsidRPr="005D0C8E">
        <w:rPr>
          <w:rFonts w:hint="eastAsia"/>
          <w:rtl/>
        </w:rPr>
        <w:t>פ</w:t>
      </w:r>
      <w:r>
        <w:rPr>
          <w:rFonts w:hint="cs"/>
          <w:rtl/>
        </w:rPr>
        <w:t>"</w:t>
      </w:r>
      <w:r w:rsidRPr="005D0C8E">
        <w:rPr>
          <w:rFonts w:hint="eastAsia"/>
          <w:rtl/>
        </w:rPr>
        <w:t>ד</w:t>
      </w:r>
      <w:r w:rsidRPr="005D0C8E">
        <w:rPr>
          <w:rtl/>
        </w:rPr>
        <w:t xml:space="preserve"> </w:t>
      </w:r>
      <w:r w:rsidRPr="005D0C8E">
        <w:rPr>
          <w:rFonts w:hint="eastAsia"/>
          <w:rtl/>
        </w:rPr>
        <w:t>מז</w:t>
      </w:r>
      <w:r w:rsidRPr="005D0C8E">
        <w:rPr>
          <w:rtl/>
        </w:rPr>
        <w:t xml:space="preserve">(5) 441, </w:t>
      </w:r>
      <w:r>
        <w:rPr>
          <w:rFonts w:hint="cs"/>
          <w:rtl/>
        </w:rPr>
        <w:t xml:space="preserve">460 </w:t>
      </w:r>
      <w:r w:rsidRPr="005D0C8E">
        <w:rPr>
          <w:rtl/>
        </w:rPr>
        <w:t>(1993)</w:t>
      </w:r>
      <w:r>
        <w:rPr>
          <w:rFonts w:hint="cs"/>
          <w:rtl/>
        </w:rPr>
        <w:t xml:space="preserve">; בג"ץ 1993/03 </w:t>
      </w:r>
      <w:r w:rsidRPr="00E46F79">
        <w:rPr>
          <w:rFonts w:ascii="Century" w:hAnsi="Century" w:cs="Miriam" w:hint="cs"/>
          <w:b/>
          <w:spacing w:val="0"/>
          <w:szCs w:val="24"/>
          <w:rtl/>
        </w:rPr>
        <w:t>התנועה למען איכות השלטון בישראל נ' ראש הממשלה, מר אריאל שרון</w:t>
      </w:r>
      <w:r>
        <w:rPr>
          <w:rFonts w:hint="cs"/>
          <w:rtl/>
        </w:rPr>
        <w:t xml:space="preserve">, פ"ד נז(6) 817, 846 (2003) (להלן: עניין </w:t>
      </w:r>
      <w:r w:rsidRPr="00E46F79">
        <w:rPr>
          <w:rFonts w:ascii="Century" w:hAnsi="Century" w:cs="Miriam" w:hint="cs"/>
          <w:b/>
          <w:spacing w:val="0"/>
          <w:szCs w:val="24"/>
          <w:rtl/>
        </w:rPr>
        <w:t>הנגבי</w:t>
      </w:r>
      <w:r>
        <w:rPr>
          <w:rFonts w:hint="cs"/>
          <w:rtl/>
        </w:rPr>
        <w:t xml:space="preserve">)). הנחת היסוד היא כי מדובר בסוגיה המערבת מעצם טבעה שיקולים פוליטיים, פרלמנטריים ומפלגתיים כאלה ואחרים, כאשר הרכיב הפוליטי שבה הוא אף זה שמכתיב בין היתר שיקול דעת רחב מאוד ומתחם התערבות צר ביותר של בית המשפט (ראו למשל: </w:t>
      </w:r>
      <w:r w:rsidRPr="00F104DA">
        <w:rPr>
          <w:rFonts w:hint="eastAsia"/>
          <w:rtl/>
        </w:rPr>
        <w:t>בג</w:t>
      </w:r>
      <w:r>
        <w:rPr>
          <w:rFonts w:hint="cs"/>
          <w:rtl/>
        </w:rPr>
        <w:t>"</w:t>
      </w:r>
      <w:r w:rsidRPr="00F104DA">
        <w:rPr>
          <w:rFonts w:hint="eastAsia"/>
          <w:rtl/>
        </w:rPr>
        <w:t>ץ</w:t>
      </w:r>
      <w:r w:rsidRPr="00F104DA">
        <w:rPr>
          <w:rtl/>
        </w:rPr>
        <w:t xml:space="preserve"> 1400/06‏ </w:t>
      </w:r>
      <w:r w:rsidRPr="00E46F79">
        <w:rPr>
          <w:rFonts w:ascii="Century" w:hAnsi="Century" w:cs="Miriam" w:hint="eastAsia"/>
          <w:b/>
          <w:spacing w:val="0"/>
          <w:szCs w:val="24"/>
          <w:rtl/>
        </w:rPr>
        <w:t>התנועה</w:t>
      </w:r>
      <w:r w:rsidRPr="00E46F79">
        <w:rPr>
          <w:rFonts w:ascii="Century" w:hAnsi="Century" w:cs="Miriam"/>
          <w:b/>
          <w:spacing w:val="0"/>
          <w:szCs w:val="24"/>
          <w:rtl/>
        </w:rPr>
        <w:t xml:space="preserve"> </w:t>
      </w:r>
      <w:r w:rsidRPr="00E46F79">
        <w:rPr>
          <w:rFonts w:ascii="Century" w:hAnsi="Century" w:cs="Miriam" w:hint="eastAsia"/>
          <w:b/>
          <w:spacing w:val="0"/>
          <w:szCs w:val="24"/>
          <w:rtl/>
        </w:rPr>
        <w:t>למען</w:t>
      </w:r>
      <w:r w:rsidRPr="00E46F79">
        <w:rPr>
          <w:rFonts w:ascii="Century" w:hAnsi="Century" w:cs="Miriam"/>
          <w:b/>
          <w:spacing w:val="0"/>
          <w:szCs w:val="24"/>
          <w:rtl/>
        </w:rPr>
        <w:t xml:space="preserve"> </w:t>
      </w:r>
      <w:r w:rsidRPr="00E46F79">
        <w:rPr>
          <w:rFonts w:ascii="Century" w:hAnsi="Century" w:cs="Miriam" w:hint="eastAsia"/>
          <w:b/>
          <w:spacing w:val="0"/>
          <w:szCs w:val="24"/>
          <w:rtl/>
        </w:rPr>
        <w:t>איכות</w:t>
      </w:r>
      <w:r w:rsidRPr="00E46F79">
        <w:rPr>
          <w:rFonts w:ascii="Century" w:hAnsi="Century" w:cs="Miriam"/>
          <w:b/>
          <w:spacing w:val="0"/>
          <w:szCs w:val="24"/>
          <w:rtl/>
        </w:rPr>
        <w:t xml:space="preserve"> </w:t>
      </w:r>
      <w:r w:rsidRPr="00E46F79">
        <w:rPr>
          <w:rFonts w:ascii="Century" w:hAnsi="Century" w:cs="Miriam" w:hint="eastAsia"/>
          <w:b/>
          <w:spacing w:val="0"/>
          <w:szCs w:val="24"/>
          <w:rtl/>
        </w:rPr>
        <w:t>השלטון</w:t>
      </w:r>
      <w:r w:rsidRPr="00E46F79">
        <w:rPr>
          <w:rFonts w:ascii="Century" w:hAnsi="Century" w:cs="Miriam"/>
          <w:b/>
          <w:spacing w:val="0"/>
          <w:szCs w:val="24"/>
          <w:rtl/>
        </w:rPr>
        <w:t xml:space="preserve"> </w:t>
      </w:r>
      <w:r w:rsidRPr="00E46F79">
        <w:rPr>
          <w:rFonts w:ascii="Century" w:hAnsi="Century" w:cs="Miriam" w:hint="eastAsia"/>
          <w:b/>
          <w:spacing w:val="0"/>
          <w:szCs w:val="24"/>
          <w:rtl/>
        </w:rPr>
        <w:t>בישראל</w:t>
      </w:r>
      <w:r w:rsidRPr="00E46F79">
        <w:rPr>
          <w:rFonts w:ascii="Century" w:hAnsi="Century" w:cs="Miriam"/>
          <w:b/>
          <w:spacing w:val="0"/>
          <w:szCs w:val="24"/>
          <w:rtl/>
        </w:rPr>
        <w:t xml:space="preserve"> </w:t>
      </w:r>
      <w:r w:rsidRPr="00E46F79">
        <w:rPr>
          <w:rFonts w:ascii="Century" w:hAnsi="Century" w:cs="Miriam" w:hint="eastAsia"/>
          <w:b/>
          <w:spacing w:val="0"/>
          <w:szCs w:val="24"/>
          <w:rtl/>
        </w:rPr>
        <w:t>נ</w:t>
      </w:r>
      <w:r w:rsidRPr="00E46F79">
        <w:rPr>
          <w:rFonts w:ascii="Century" w:hAnsi="Century" w:cs="Miriam"/>
          <w:b/>
          <w:spacing w:val="0"/>
          <w:szCs w:val="24"/>
          <w:rtl/>
        </w:rPr>
        <w:t xml:space="preserve">' </w:t>
      </w:r>
      <w:r w:rsidRPr="00E46F79">
        <w:rPr>
          <w:rFonts w:ascii="Century" w:hAnsi="Century" w:cs="Miriam" w:hint="eastAsia"/>
          <w:b/>
          <w:spacing w:val="0"/>
          <w:szCs w:val="24"/>
          <w:rtl/>
        </w:rPr>
        <w:t>ממלא</w:t>
      </w:r>
      <w:r w:rsidRPr="00E46F79">
        <w:rPr>
          <w:rFonts w:ascii="Century" w:hAnsi="Century" w:cs="Miriam"/>
          <w:b/>
          <w:spacing w:val="0"/>
          <w:szCs w:val="24"/>
          <w:rtl/>
        </w:rPr>
        <w:t xml:space="preserve"> </w:t>
      </w:r>
      <w:r w:rsidRPr="00E46F79">
        <w:rPr>
          <w:rFonts w:ascii="Century" w:hAnsi="Century" w:cs="Miriam" w:hint="eastAsia"/>
          <w:b/>
          <w:spacing w:val="0"/>
          <w:szCs w:val="24"/>
          <w:rtl/>
        </w:rPr>
        <w:t>מקום</w:t>
      </w:r>
      <w:r w:rsidRPr="00E46F79">
        <w:rPr>
          <w:rFonts w:ascii="Century" w:hAnsi="Century" w:cs="Miriam"/>
          <w:b/>
          <w:spacing w:val="0"/>
          <w:szCs w:val="24"/>
          <w:rtl/>
        </w:rPr>
        <w:t xml:space="preserve"> </w:t>
      </w:r>
      <w:r w:rsidRPr="00E46F79">
        <w:rPr>
          <w:rFonts w:ascii="Century" w:hAnsi="Century" w:cs="Miriam" w:hint="eastAsia"/>
          <w:b/>
          <w:spacing w:val="0"/>
          <w:szCs w:val="24"/>
          <w:rtl/>
        </w:rPr>
        <w:t>ראש</w:t>
      </w:r>
      <w:r w:rsidRPr="00E46F79">
        <w:rPr>
          <w:rFonts w:ascii="Century" w:hAnsi="Century" w:cs="Miriam"/>
          <w:b/>
          <w:spacing w:val="0"/>
          <w:szCs w:val="24"/>
          <w:rtl/>
        </w:rPr>
        <w:t xml:space="preserve"> </w:t>
      </w:r>
      <w:r w:rsidRPr="00E46F79">
        <w:rPr>
          <w:rFonts w:ascii="Century" w:hAnsi="Century" w:cs="Miriam" w:hint="eastAsia"/>
          <w:b/>
          <w:spacing w:val="0"/>
          <w:szCs w:val="24"/>
          <w:rtl/>
        </w:rPr>
        <w:t>הממשלה</w:t>
      </w:r>
      <w:r>
        <w:rPr>
          <w:rFonts w:hint="cs"/>
          <w:rtl/>
        </w:rPr>
        <w:t xml:space="preserve">, פסקה 9 (6.3.2006); עניין </w:t>
      </w:r>
      <w:r w:rsidRPr="00E46F79">
        <w:rPr>
          <w:rFonts w:ascii="Century" w:hAnsi="Century" w:cs="Miriam" w:hint="cs"/>
          <w:b/>
          <w:spacing w:val="0"/>
          <w:szCs w:val="24"/>
          <w:rtl/>
        </w:rPr>
        <w:t>הנגבי</w:t>
      </w:r>
      <w:r>
        <w:rPr>
          <w:rFonts w:hint="cs"/>
          <w:rtl/>
        </w:rPr>
        <w:t xml:space="preserve">, עמ' 848-847). </w:t>
      </w:r>
    </w:p>
    <w:p w14:paraId="443DECC3" w14:textId="77777777" w:rsidR="0045550F" w:rsidRDefault="0045550F" w:rsidP="0045550F">
      <w:pPr>
        <w:pStyle w:val="Ruller4"/>
        <w:numPr>
          <w:ilvl w:val="0"/>
          <w:numId w:val="0"/>
        </w:numPr>
      </w:pPr>
    </w:p>
    <w:p w14:paraId="16B0DB32" w14:textId="77777777" w:rsidR="0045550F" w:rsidRDefault="0045550F" w:rsidP="0045550F">
      <w:pPr>
        <w:pStyle w:val="Ruller4"/>
      </w:pPr>
      <w:r>
        <w:rPr>
          <w:rFonts w:hint="cs"/>
          <w:rtl/>
        </w:rPr>
        <w:t>מתחם שיקול הדעת הרחב נועד לקדם את יכולתה של הממשלה לתפקד כראוי, וביסודו עומד "האינטרס הציבורי להבטיח את יציבותה של הממשלה ואת יכולתה לעמוד במשימותיה" (</w:t>
      </w:r>
      <w:r>
        <w:rPr>
          <w:rFonts w:hint="eastAsia"/>
          <w:rtl/>
        </w:rPr>
        <w:t>בג</w:t>
      </w:r>
      <w:r>
        <w:rPr>
          <w:rtl/>
        </w:rPr>
        <w:t>"</w:t>
      </w:r>
      <w:r>
        <w:rPr>
          <w:rFonts w:hint="eastAsia"/>
          <w:rtl/>
        </w:rPr>
        <w:t>ץ</w:t>
      </w:r>
      <w:r>
        <w:rPr>
          <w:rtl/>
        </w:rPr>
        <w:t xml:space="preserve"> 5853/07‏ ‏</w:t>
      </w:r>
      <w:r w:rsidRPr="00EF3F5F">
        <w:rPr>
          <w:rFonts w:ascii="Century" w:hAnsi="Century" w:cs="Miriam" w:hint="eastAsia"/>
          <w:b/>
          <w:spacing w:val="0"/>
          <w:szCs w:val="24"/>
          <w:rtl/>
        </w:rPr>
        <w:t>אמונה</w:t>
      </w:r>
      <w:r w:rsidRPr="00EF3F5F">
        <w:rPr>
          <w:rFonts w:ascii="Century" w:hAnsi="Century" w:cs="Miriam"/>
          <w:b/>
          <w:spacing w:val="0"/>
          <w:szCs w:val="24"/>
          <w:rtl/>
        </w:rPr>
        <w:t xml:space="preserve"> –</w:t>
      </w:r>
      <w:r w:rsidRPr="00EF3F5F">
        <w:rPr>
          <w:rFonts w:ascii="Century" w:hAnsi="Century" w:cs="Miriam" w:hint="cs"/>
          <w:b/>
          <w:spacing w:val="0"/>
          <w:szCs w:val="24"/>
          <w:rtl/>
        </w:rPr>
        <w:t xml:space="preserve"> </w:t>
      </w:r>
      <w:r w:rsidRPr="00EF3F5F">
        <w:rPr>
          <w:rFonts w:ascii="Century" w:hAnsi="Century" w:cs="Miriam" w:hint="eastAsia"/>
          <w:b/>
          <w:spacing w:val="0"/>
          <w:szCs w:val="24"/>
          <w:rtl/>
        </w:rPr>
        <w:t>תנועת</w:t>
      </w:r>
      <w:r w:rsidRPr="00EF3F5F">
        <w:rPr>
          <w:rFonts w:ascii="Century" w:hAnsi="Century" w:cs="Miriam"/>
          <w:b/>
          <w:spacing w:val="0"/>
          <w:szCs w:val="24"/>
          <w:rtl/>
        </w:rPr>
        <w:t xml:space="preserve"> </w:t>
      </w:r>
      <w:r>
        <w:rPr>
          <w:rFonts w:ascii="Century" w:hAnsi="Century" w:cs="Miriam" w:hint="eastAsia"/>
          <w:b/>
          <w:spacing w:val="0"/>
          <w:szCs w:val="24"/>
          <w:rtl/>
        </w:rPr>
        <w:t>הא</w:t>
      </w:r>
      <w:r w:rsidRPr="00EF3F5F">
        <w:rPr>
          <w:rFonts w:ascii="Century" w:hAnsi="Century" w:cs="Miriam" w:hint="eastAsia"/>
          <w:b/>
          <w:spacing w:val="0"/>
          <w:szCs w:val="24"/>
          <w:rtl/>
        </w:rPr>
        <w:t>שה</w:t>
      </w:r>
      <w:r w:rsidRPr="00EF3F5F">
        <w:rPr>
          <w:rFonts w:ascii="Century" w:hAnsi="Century" w:cs="Miriam"/>
          <w:b/>
          <w:spacing w:val="0"/>
          <w:szCs w:val="24"/>
          <w:rtl/>
        </w:rPr>
        <w:t xml:space="preserve"> </w:t>
      </w:r>
      <w:r w:rsidRPr="00EF3F5F">
        <w:rPr>
          <w:rFonts w:ascii="Century" w:hAnsi="Century" w:cs="Miriam" w:hint="eastAsia"/>
          <w:b/>
          <w:spacing w:val="0"/>
          <w:szCs w:val="24"/>
          <w:rtl/>
        </w:rPr>
        <w:t>הדתית</w:t>
      </w:r>
      <w:r w:rsidRPr="00EF3F5F">
        <w:rPr>
          <w:rFonts w:ascii="Century" w:hAnsi="Century" w:cs="Miriam"/>
          <w:b/>
          <w:spacing w:val="0"/>
          <w:szCs w:val="24"/>
          <w:rtl/>
        </w:rPr>
        <w:t xml:space="preserve"> </w:t>
      </w:r>
      <w:r w:rsidRPr="00EF3F5F">
        <w:rPr>
          <w:rFonts w:ascii="Century" w:hAnsi="Century" w:cs="Miriam" w:hint="eastAsia"/>
          <w:b/>
          <w:spacing w:val="0"/>
          <w:szCs w:val="24"/>
          <w:rtl/>
        </w:rPr>
        <w:t>לאומית</w:t>
      </w:r>
      <w:r w:rsidRPr="00EF3F5F">
        <w:rPr>
          <w:rFonts w:ascii="Century" w:hAnsi="Century" w:cs="Miriam"/>
          <w:b/>
          <w:spacing w:val="0"/>
          <w:szCs w:val="24"/>
          <w:rtl/>
        </w:rPr>
        <w:t xml:space="preserve"> </w:t>
      </w:r>
      <w:r w:rsidRPr="00EF3F5F">
        <w:rPr>
          <w:rFonts w:ascii="Century" w:hAnsi="Century" w:cs="Miriam" w:hint="eastAsia"/>
          <w:b/>
          <w:spacing w:val="0"/>
          <w:szCs w:val="24"/>
          <w:rtl/>
        </w:rPr>
        <w:t>נ</w:t>
      </w:r>
      <w:r w:rsidRPr="00EF3F5F">
        <w:rPr>
          <w:rFonts w:ascii="Century" w:hAnsi="Century" w:cs="Miriam"/>
          <w:b/>
          <w:spacing w:val="0"/>
          <w:szCs w:val="24"/>
          <w:rtl/>
        </w:rPr>
        <w:t xml:space="preserve">' </w:t>
      </w:r>
      <w:r w:rsidRPr="00EF3F5F">
        <w:rPr>
          <w:rFonts w:ascii="Century" w:hAnsi="Century" w:cs="Miriam" w:hint="eastAsia"/>
          <w:b/>
          <w:spacing w:val="0"/>
          <w:szCs w:val="24"/>
          <w:rtl/>
        </w:rPr>
        <w:t>ראש</w:t>
      </w:r>
      <w:r w:rsidRPr="00EF3F5F">
        <w:rPr>
          <w:rFonts w:ascii="Century" w:hAnsi="Century" w:cs="Miriam"/>
          <w:b/>
          <w:spacing w:val="0"/>
          <w:szCs w:val="24"/>
          <w:rtl/>
        </w:rPr>
        <w:t xml:space="preserve"> </w:t>
      </w:r>
      <w:r w:rsidRPr="00EF3F5F">
        <w:rPr>
          <w:rFonts w:ascii="Century" w:hAnsi="Century" w:cs="Miriam" w:hint="eastAsia"/>
          <w:b/>
          <w:spacing w:val="0"/>
          <w:szCs w:val="24"/>
          <w:rtl/>
        </w:rPr>
        <w:t>הממשלה</w:t>
      </w:r>
      <w:r w:rsidRPr="00536436">
        <w:rPr>
          <w:rFonts w:ascii="Century" w:hAnsi="Century" w:cs="Miriam" w:hint="cs"/>
          <w:b/>
          <w:spacing w:val="0"/>
          <w:sz w:val="22"/>
          <w:szCs w:val="24"/>
          <w:rtl/>
        </w:rPr>
        <w:t>, אהוד אולמרט</w:t>
      </w:r>
      <w:r>
        <w:rPr>
          <w:rtl/>
        </w:rPr>
        <w:t xml:space="preserve">, </w:t>
      </w:r>
      <w:r>
        <w:rPr>
          <w:rFonts w:hint="eastAsia"/>
          <w:rtl/>
        </w:rPr>
        <w:t>פ</w:t>
      </w:r>
      <w:r>
        <w:rPr>
          <w:rFonts w:hint="cs"/>
          <w:rtl/>
        </w:rPr>
        <w:t>"</w:t>
      </w:r>
      <w:r>
        <w:rPr>
          <w:rFonts w:hint="eastAsia"/>
          <w:rtl/>
        </w:rPr>
        <w:t>ד</w:t>
      </w:r>
      <w:r>
        <w:rPr>
          <w:rtl/>
        </w:rPr>
        <w:t xml:space="preserve"> </w:t>
      </w:r>
      <w:r>
        <w:rPr>
          <w:rFonts w:hint="eastAsia"/>
          <w:rtl/>
        </w:rPr>
        <w:t>סב</w:t>
      </w:r>
      <w:r>
        <w:rPr>
          <w:rtl/>
        </w:rPr>
        <w:t xml:space="preserve">(3) 445, </w:t>
      </w:r>
      <w:r>
        <w:rPr>
          <w:rFonts w:hint="cs"/>
          <w:rtl/>
        </w:rPr>
        <w:t xml:space="preserve">477 </w:t>
      </w:r>
      <w:r>
        <w:rPr>
          <w:rtl/>
        </w:rPr>
        <w:t>(</w:t>
      </w:r>
      <w:r>
        <w:rPr>
          <w:rFonts w:hint="cs"/>
          <w:rtl/>
        </w:rPr>
        <w:t>2008-2007</w:t>
      </w:r>
      <w:r>
        <w:rPr>
          <w:rtl/>
        </w:rPr>
        <w:t>)</w:t>
      </w:r>
      <w:r>
        <w:rPr>
          <w:rFonts w:hint="cs"/>
          <w:rtl/>
        </w:rPr>
        <w:t>). צמצום גדר ההתערבות הינו גם פועל יוצא של קיומה של ה</w:t>
      </w:r>
      <w:r w:rsidRPr="00BA605E">
        <w:rPr>
          <w:rFonts w:hint="eastAsia"/>
          <w:rtl/>
        </w:rPr>
        <w:t>ביקורת</w:t>
      </w:r>
      <w:r w:rsidRPr="00BA605E">
        <w:rPr>
          <w:rtl/>
        </w:rPr>
        <w:t xml:space="preserve"> </w:t>
      </w:r>
      <w:r>
        <w:rPr>
          <w:rFonts w:hint="cs"/>
          <w:rtl/>
        </w:rPr>
        <w:t>ה</w:t>
      </w:r>
      <w:r w:rsidRPr="00BA605E">
        <w:rPr>
          <w:rFonts w:hint="eastAsia"/>
          <w:rtl/>
        </w:rPr>
        <w:t>פרלמנטרית</w:t>
      </w:r>
      <w:r w:rsidRPr="00BA605E">
        <w:rPr>
          <w:rtl/>
        </w:rPr>
        <w:t xml:space="preserve"> </w:t>
      </w:r>
      <w:r w:rsidRPr="00BA605E">
        <w:rPr>
          <w:rFonts w:hint="eastAsia"/>
          <w:rtl/>
        </w:rPr>
        <w:t>על</w:t>
      </w:r>
      <w:r w:rsidRPr="00BA605E">
        <w:rPr>
          <w:rtl/>
        </w:rPr>
        <w:t xml:space="preserve"> </w:t>
      </w:r>
      <w:r w:rsidRPr="00BA605E">
        <w:rPr>
          <w:rFonts w:hint="eastAsia"/>
          <w:rtl/>
        </w:rPr>
        <w:t>מינויים</w:t>
      </w:r>
      <w:r w:rsidRPr="00BA605E">
        <w:rPr>
          <w:rtl/>
        </w:rPr>
        <w:t xml:space="preserve"> </w:t>
      </w:r>
      <w:r w:rsidRPr="00BA605E">
        <w:rPr>
          <w:rFonts w:hint="eastAsia"/>
          <w:rtl/>
        </w:rPr>
        <w:t>של</w:t>
      </w:r>
      <w:r w:rsidRPr="00BA605E">
        <w:rPr>
          <w:rtl/>
        </w:rPr>
        <w:t xml:space="preserve"> </w:t>
      </w:r>
      <w:r w:rsidRPr="00BA605E">
        <w:rPr>
          <w:rFonts w:hint="eastAsia"/>
          <w:rtl/>
        </w:rPr>
        <w:t>שרים</w:t>
      </w:r>
      <w:r w:rsidRPr="00BA605E">
        <w:rPr>
          <w:rtl/>
        </w:rPr>
        <w:t xml:space="preserve"> </w:t>
      </w:r>
      <w:r w:rsidRPr="00BA605E">
        <w:rPr>
          <w:rFonts w:hint="eastAsia"/>
          <w:rtl/>
        </w:rPr>
        <w:t>בממשלה</w:t>
      </w:r>
      <w:r>
        <w:rPr>
          <w:rFonts w:hint="cs"/>
          <w:rtl/>
        </w:rPr>
        <w:t xml:space="preserve">, נוכח הוראת סעיף 13(ד) לחוק יסוד: הממשלה הקובע כי "הממשלה תיכון משהביעה בה הכנסת אמון, ומאותה שעה ייכנסו השרים לכהונתם" (וראו: </w:t>
      </w:r>
      <w:r w:rsidRPr="00815F0A">
        <w:rPr>
          <w:rFonts w:hint="eastAsia"/>
          <w:rtl/>
        </w:rPr>
        <w:t>בג</w:t>
      </w:r>
      <w:r>
        <w:rPr>
          <w:rFonts w:hint="cs"/>
          <w:rtl/>
        </w:rPr>
        <w:t>"</w:t>
      </w:r>
      <w:r w:rsidRPr="00815F0A">
        <w:rPr>
          <w:rFonts w:hint="eastAsia"/>
          <w:rtl/>
        </w:rPr>
        <w:t>ץ</w:t>
      </w:r>
      <w:r w:rsidRPr="00815F0A">
        <w:rPr>
          <w:rtl/>
        </w:rPr>
        <w:t xml:space="preserve"> 232/16 </w:t>
      </w:r>
      <w:r w:rsidRPr="007A1C2E">
        <w:rPr>
          <w:rFonts w:ascii="Century" w:hAnsi="Century" w:cs="Miriam" w:hint="eastAsia"/>
          <w:b/>
          <w:spacing w:val="0"/>
          <w:sz w:val="22"/>
          <w:szCs w:val="24"/>
          <w:rtl/>
        </w:rPr>
        <w:t>התנועה</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למען</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איכות</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השלטון</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בישראל</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נ</w:t>
      </w:r>
      <w:r w:rsidRPr="007A1C2E">
        <w:rPr>
          <w:rFonts w:ascii="Century" w:hAnsi="Century" w:cs="Miriam"/>
          <w:b/>
          <w:spacing w:val="0"/>
          <w:sz w:val="22"/>
          <w:szCs w:val="24"/>
          <w:rtl/>
        </w:rPr>
        <w:t xml:space="preserve">' </w:t>
      </w:r>
      <w:r w:rsidRPr="007A1C2E">
        <w:rPr>
          <w:rFonts w:ascii="Century" w:hAnsi="Century" w:cs="Miriam" w:hint="cs"/>
          <w:b/>
          <w:spacing w:val="0"/>
          <w:sz w:val="22"/>
          <w:szCs w:val="24"/>
          <w:rtl/>
        </w:rPr>
        <w:t>ראש ממשלת ישראל</w:t>
      </w:r>
      <w:r>
        <w:rPr>
          <w:rFonts w:hint="cs"/>
          <w:rtl/>
        </w:rPr>
        <w:t>, פסקה 28 (8.5.2016)</w:t>
      </w:r>
      <w:r w:rsidRPr="00815F0A">
        <w:rPr>
          <w:rtl/>
        </w:rPr>
        <w:t>‏</w:t>
      </w:r>
      <w:r>
        <w:rPr>
          <w:rFonts w:hint="cs"/>
          <w:rtl/>
        </w:rPr>
        <w:t xml:space="preserve">; </w:t>
      </w:r>
      <w:r w:rsidRPr="00301A36">
        <w:rPr>
          <w:rFonts w:hint="eastAsia"/>
          <w:rtl/>
        </w:rPr>
        <w:t>בג</w:t>
      </w:r>
      <w:r>
        <w:rPr>
          <w:rFonts w:hint="cs"/>
          <w:rtl/>
        </w:rPr>
        <w:t>"</w:t>
      </w:r>
      <w:r w:rsidRPr="00301A36">
        <w:rPr>
          <w:rFonts w:hint="eastAsia"/>
          <w:rtl/>
        </w:rPr>
        <w:t>ץ</w:t>
      </w:r>
      <w:r w:rsidRPr="00301A36">
        <w:rPr>
          <w:rtl/>
        </w:rPr>
        <w:t xml:space="preserve"> 3059/15 </w:t>
      </w:r>
      <w:r w:rsidRPr="007A1C2E">
        <w:rPr>
          <w:rFonts w:ascii="Century" w:hAnsi="Century" w:cs="Miriam" w:hint="eastAsia"/>
          <w:b/>
          <w:spacing w:val="0"/>
          <w:sz w:val="22"/>
          <w:szCs w:val="24"/>
          <w:rtl/>
        </w:rPr>
        <w:t>התנועה</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למען</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איכות</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השלטון</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בישראל</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נ</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בנימין</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נתניהו</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ראש</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ממשלת</w:t>
      </w:r>
      <w:r w:rsidRPr="007A1C2E">
        <w:rPr>
          <w:rFonts w:ascii="Century" w:hAnsi="Century" w:cs="Miriam"/>
          <w:b/>
          <w:spacing w:val="0"/>
          <w:sz w:val="22"/>
          <w:szCs w:val="24"/>
          <w:rtl/>
        </w:rPr>
        <w:t xml:space="preserve"> </w:t>
      </w:r>
      <w:r w:rsidRPr="007A1C2E">
        <w:rPr>
          <w:rFonts w:ascii="Century" w:hAnsi="Century" w:cs="Miriam" w:hint="eastAsia"/>
          <w:b/>
          <w:spacing w:val="0"/>
          <w:sz w:val="22"/>
          <w:szCs w:val="24"/>
          <w:rtl/>
        </w:rPr>
        <w:t>ישראל</w:t>
      </w:r>
      <w:r>
        <w:rPr>
          <w:rFonts w:hint="cs"/>
          <w:rtl/>
        </w:rPr>
        <w:t xml:space="preserve">, פסקה 24 (10.11.2015)). על כך יש להוסיף כי "'הבחירות לכנסת מהוות יישום של כלל ההכרעה היסודי במשטר הדמוקרטי </w:t>
      </w:r>
      <w:r>
        <w:rPr>
          <w:rtl/>
        </w:rPr>
        <w:t>–</w:t>
      </w:r>
      <w:r>
        <w:rPr>
          <w:rFonts w:hint="cs"/>
          <w:rtl/>
        </w:rPr>
        <w:t xml:space="preserve"> הכרעה על פי עמדות הרוב' [...] לב ליבו של התהליך הדמוקרטי הוא האפשרות לתרגם את הקולות שקיבלו חברי הכנסת, כנציגיו הנבחרים של העם, לכדי השפעה פוליטית" (בג"ץ 2144/20 </w:t>
      </w:r>
      <w:r w:rsidRPr="00800C14">
        <w:rPr>
          <w:rFonts w:ascii="Century" w:hAnsi="Century" w:cs="Miriam" w:hint="cs"/>
          <w:b/>
          <w:spacing w:val="0"/>
          <w:sz w:val="22"/>
          <w:szCs w:val="24"/>
          <w:rtl/>
        </w:rPr>
        <w:t>התנועה למען איכות השלטון בישראל נ' יושב ראש הכנסת</w:t>
      </w:r>
      <w:r>
        <w:rPr>
          <w:rFonts w:hint="cs"/>
          <w:rtl/>
        </w:rPr>
        <w:t xml:space="preserve">, פסקה 10 לפסק דינה של הנשיאה </w:t>
      </w:r>
      <w:r w:rsidRPr="00800C14">
        <w:rPr>
          <w:rFonts w:ascii="Century" w:hAnsi="Century" w:cs="Miriam" w:hint="cs"/>
          <w:b/>
          <w:spacing w:val="0"/>
          <w:szCs w:val="24"/>
          <w:rtl/>
        </w:rPr>
        <w:t>א</w:t>
      </w:r>
      <w:r w:rsidRPr="00800C14">
        <w:rPr>
          <w:rFonts w:ascii="Century" w:hAnsi="Century" w:cs="Miriam" w:hint="cs"/>
          <w:b/>
          <w:spacing w:val="0"/>
          <w:sz w:val="22"/>
          <w:szCs w:val="24"/>
          <w:rtl/>
        </w:rPr>
        <w:t>'</w:t>
      </w:r>
      <w:r w:rsidRPr="00800C14">
        <w:rPr>
          <w:rFonts w:ascii="Century" w:hAnsi="Century" w:cs="Miriam" w:hint="cs"/>
          <w:b/>
          <w:spacing w:val="0"/>
          <w:szCs w:val="24"/>
          <w:rtl/>
        </w:rPr>
        <w:t xml:space="preserve"> </w:t>
      </w:r>
      <w:r w:rsidRPr="00800C14">
        <w:rPr>
          <w:rFonts w:ascii="Century" w:hAnsi="Century" w:cs="Miriam" w:hint="cs"/>
          <w:b/>
          <w:spacing w:val="0"/>
          <w:sz w:val="22"/>
          <w:szCs w:val="24"/>
          <w:rtl/>
        </w:rPr>
        <w:t>חיות</w:t>
      </w:r>
      <w:r w:rsidRPr="00AE038D">
        <w:rPr>
          <w:rFonts w:hint="cs"/>
          <w:rtl/>
        </w:rPr>
        <w:t xml:space="preserve"> </w:t>
      </w:r>
      <w:r>
        <w:rPr>
          <w:rFonts w:hint="cs"/>
          <w:rtl/>
        </w:rPr>
        <w:t>(23.3.2020)).</w:t>
      </w:r>
    </w:p>
    <w:p w14:paraId="19D5C54A" w14:textId="77777777" w:rsidR="0045550F" w:rsidRDefault="0045550F" w:rsidP="0045550F">
      <w:pPr>
        <w:pStyle w:val="Ruller4"/>
        <w:numPr>
          <w:ilvl w:val="0"/>
          <w:numId w:val="0"/>
        </w:numPr>
      </w:pPr>
    </w:p>
    <w:p w14:paraId="38FE5D3C" w14:textId="77777777" w:rsidR="0045550F" w:rsidRDefault="0045550F" w:rsidP="0045550F">
      <w:pPr>
        <w:pStyle w:val="Ruller4"/>
        <w:numPr>
          <w:ilvl w:val="0"/>
          <w:numId w:val="0"/>
        </w:numPr>
      </w:pPr>
      <w:r>
        <w:rPr>
          <w:rFonts w:ascii="FrankRuehl" w:hAnsi="FrankRuehl"/>
          <w:color w:val="000000"/>
          <w:sz w:val="28"/>
          <w:rtl/>
        </w:rPr>
        <w:tab/>
      </w:r>
      <w:r>
        <w:rPr>
          <w:rFonts w:ascii="FrankRuehl" w:hAnsi="FrankRuehl" w:hint="cs"/>
          <w:color w:val="000000"/>
          <w:sz w:val="28"/>
          <w:rtl/>
        </w:rPr>
        <w:t>יישומם של כללים אלה בענייננו מביא לדידי למסקנה אחת ברורה.</w:t>
      </w:r>
      <w:r w:rsidRPr="00BA1331">
        <w:rPr>
          <w:rFonts w:ascii="FrankRuehl" w:hAnsi="FrankRuehl" w:hint="cs"/>
          <w:color w:val="000000"/>
          <w:sz w:val="28"/>
          <w:rtl/>
        </w:rPr>
        <w:t xml:space="preserve"> בהינתן השיקולים הפרלמנטריים והפוליטיים הברורים שעמדו על הפרק, </w:t>
      </w:r>
      <w:r>
        <w:rPr>
          <w:rFonts w:ascii="FrankRuehl" w:hAnsi="FrankRuehl" w:hint="cs"/>
          <w:color w:val="000000"/>
          <w:sz w:val="28"/>
          <w:rtl/>
        </w:rPr>
        <w:t xml:space="preserve">כמו גם הנתונים האובייקטיביים של אותה תקופה במציאות </w:t>
      </w:r>
      <w:r w:rsidRPr="00BA1331">
        <w:rPr>
          <w:rFonts w:ascii="FrankRuehl" w:hAnsi="FrankRuehl" w:hint="cs"/>
          <w:color w:val="000000"/>
          <w:sz w:val="28"/>
          <w:rtl/>
        </w:rPr>
        <w:t xml:space="preserve">של מערכת בחירות חמישית בארבע שנים, </w:t>
      </w:r>
      <w:r>
        <w:rPr>
          <w:rFonts w:hint="cs"/>
          <w:rtl/>
        </w:rPr>
        <w:t xml:space="preserve">לא ניתן לומר כי קיים מתחם של אפשרויות "סבירות" אחרות כלשהן שמרכיב ממשלה "סביר" אחר באותן נסיבות היה מקבל. </w:t>
      </w:r>
    </w:p>
    <w:p w14:paraId="114B86DD" w14:textId="77777777" w:rsidR="0045550F" w:rsidRDefault="0045550F" w:rsidP="0045550F">
      <w:pPr>
        <w:pStyle w:val="Ruller4"/>
        <w:numPr>
          <w:ilvl w:val="0"/>
          <w:numId w:val="0"/>
        </w:numPr>
      </w:pPr>
    </w:p>
    <w:p w14:paraId="19818B61" w14:textId="77777777" w:rsidR="0045550F" w:rsidRDefault="0045550F" w:rsidP="0045550F">
      <w:pPr>
        <w:pStyle w:val="Ruller4"/>
      </w:pPr>
      <w:r>
        <w:rPr>
          <w:rFonts w:hint="cs"/>
          <w:rtl/>
        </w:rPr>
        <w:t xml:space="preserve">במציאות הפוליטית שבה ניתנה ההחלטה על מינויו של חה"כ דרעי לשר, ניתן לשער ברמה קרובה לוודאית כי </w:t>
      </w:r>
      <w:r w:rsidRPr="005A1ABA">
        <w:rPr>
          <w:rFonts w:ascii="Century" w:hAnsi="Century" w:cs="Miriam" w:hint="cs"/>
          <w:b/>
          <w:spacing w:val="0"/>
          <w:sz w:val="22"/>
          <w:szCs w:val="24"/>
          <w:rtl/>
        </w:rPr>
        <w:t>כל</w:t>
      </w:r>
      <w:r>
        <w:rPr>
          <w:rFonts w:hint="cs"/>
          <w:rtl/>
        </w:rPr>
        <w:t xml:space="preserve"> מרכיב ממשלה "סביר" אחר עליו הייתה מוטלת </w:t>
      </w:r>
      <w:r>
        <w:rPr>
          <w:rFonts w:hint="cs"/>
          <w:rtl/>
        </w:rPr>
        <w:lastRenderedPageBreak/>
        <w:t xml:space="preserve">מלאכת הרכבת הממשלה </w:t>
      </w:r>
      <w:r>
        <w:rPr>
          <w:rtl/>
        </w:rPr>
        <w:t>–</w:t>
      </w:r>
      <w:r>
        <w:rPr>
          <w:rFonts w:hint="cs"/>
          <w:rtl/>
        </w:rPr>
        <w:t xml:space="preserve"> בנסיבות הספציפיות שנוצרו לאחר הבחירות תוך התייחסות לכוחן היחסי של כל המפלגות בכנסת ומספר המנדטים שזכו בהם </w:t>
      </w:r>
      <w:r>
        <w:rPr>
          <w:rtl/>
        </w:rPr>
        <w:t>–</w:t>
      </w:r>
      <w:r>
        <w:rPr>
          <w:rFonts w:hint="cs"/>
          <w:rtl/>
        </w:rPr>
        <w:t xml:space="preserve"> היה מנהל משא ומתן עם רשימת ש"ס בראשותו של חה"כ דרעי על כל המשתמע מכך. קביעה אחרת, משמעותה על פני הדברים התעלמות מהמציאות שרבצה לפתחו של ראש הממשלה שהיה אמון על הרכבת הממשלה והמשמעויות מרחיקות הלכת שהיו יכולות להיות להחלטה אחרת, לרבות גרירת המדינה למערכת בחירות נוספת </w:t>
      </w:r>
      <w:r w:rsidRPr="00133C31">
        <w:rPr>
          <w:rtl/>
        </w:rPr>
        <w:t>–</w:t>
      </w:r>
      <w:r>
        <w:rPr>
          <w:rFonts w:hint="cs"/>
          <w:rtl/>
        </w:rPr>
        <w:t xml:space="preserve"> שישית במספר. בחינת "סבירות" ניהול המשא ומתן ומינוי חה"כ דרעי לאחר מעשה במסרקות של ברזל ולאחר הרכבת הממשלה, לוקה להשקפתי במידה לא מועטה של "חכמה שבדיעבד" ומתעלמת מהאילוצים הפוליטיים, מהמציאות האובייקטיבית ומהאינטרס הציבורי שביציבות הממשלה, שהיו קיימים ונוכחים בזמן אמת. קשה אפוא בעיניי הקביעה כי החלטה שניתנה במציאות חד-סטרית וקשיחה אשר במובן מסוים "נכפתה" על ראש הממשלה, אינה באה בגדרי "מתחם הסבירות" של "האדם </w:t>
      </w:r>
      <w:r>
        <w:rPr>
          <w:rtl/>
        </w:rPr>
        <w:t>–</w:t>
      </w:r>
      <w:r>
        <w:rPr>
          <w:rFonts w:hint="cs"/>
          <w:rtl/>
        </w:rPr>
        <w:t xml:space="preserve"> מרכיב הממשלה </w:t>
      </w:r>
      <w:r>
        <w:rPr>
          <w:rtl/>
        </w:rPr>
        <w:t>–</w:t>
      </w:r>
      <w:r>
        <w:rPr>
          <w:rFonts w:hint="cs"/>
          <w:rtl/>
        </w:rPr>
        <w:t xml:space="preserve"> הסביר".</w:t>
      </w:r>
    </w:p>
    <w:p w14:paraId="19CCB978" w14:textId="77777777" w:rsidR="0045550F" w:rsidRPr="00FF4D84" w:rsidRDefault="0045550F" w:rsidP="0045550F">
      <w:pPr>
        <w:pStyle w:val="Ruller4"/>
        <w:numPr>
          <w:ilvl w:val="0"/>
          <w:numId w:val="0"/>
        </w:numPr>
      </w:pPr>
    </w:p>
    <w:p w14:paraId="5DF3F108" w14:textId="77777777" w:rsidR="0045550F" w:rsidRDefault="0045550F" w:rsidP="0045550F">
      <w:pPr>
        <w:pStyle w:val="Ruller4"/>
        <w:rPr>
          <w:rtl/>
        </w:rPr>
      </w:pPr>
      <w:r>
        <w:rPr>
          <w:rFonts w:hint="cs"/>
          <w:rtl/>
        </w:rPr>
        <w:t xml:space="preserve">ואדגיש כי בניגוד לעמדת חברתי </w:t>
      </w:r>
      <w:r w:rsidRPr="000438BE">
        <w:rPr>
          <w:rFonts w:hint="cs"/>
          <w:rtl/>
        </w:rPr>
        <w:t>הנשיאה והתומכים בעמדתה,</w:t>
      </w:r>
      <w:r>
        <w:rPr>
          <w:rFonts w:hint="cs"/>
          <w:rtl/>
        </w:rPr>
        <w:t xml:space="preserve"> הטיעון שעניינו בכך שחה"כ דרעי זכה לאמון מצביעי ש"ס בהיקף של כארבע מאות אלף איש ושאר השיקולים הקואליציוניים אותם מנה ראש הממשלה בתגובתו, </w:t>
      </w:r>
      <w:r w:rsidRPr="000438BE">
        <w:rPr>
          <w:rFonts w:ascii="Century" w:hAnsi="Century" w:hint="cs"/>
          <w:sz w:val="22"/>
          <w:rtl/>
        </w:rPr>
        <w:t xml:space="preserve">מכריעים </w:t>
      </w:r>
      <w:r>
        <w:rPr>
          <w:rFonts w:hint="cs"/>
          <w:rtl/>
        </w:rPr>
        <w:t xml:space="preserve">לדעתי את הכף בכל הנוגע לבחינת </w:t>
      </w:r>
      <w:r w:rsidRPr="000438BE">
        <w:rPr>
          <w:rFonts w:ascii="Century" w:hAnsi="Century" w:hint="cs"/>
          <w:sz w:val="22"/>
          <w:rtl/>
        </w:rPr>
        <w:t>סבירות</w:t>
      </w:r>
      <w:r w:rsidRPr="00055212">
        <w:rPr>
          <w:rFonts w:hint="cs"/>
          <w:rtl/>
        </w:rPr>
        <w:t xml:space="preserve"> </w:t>
      </w:r>
      <w:r>
        <w:rPr>
          <w:rFonts w:hint="cs"/>
          <w:rtl/>
        </w:rPr>
        <w:t xml:space="preserve">החלטת ראש הממשלה. זאת נוכח העובדה שניתן לומר כאמור כי כל "מרכיב ממשלה" "סביר" אחר באותן נסיבות שהיו באותה עת, היה פועל באותו האופן. היינו מבלי לגמד את התנהלותו הפסולה של חה"כ דרעי, האילוצים הפוליטיים שניצבו לפני ראש הממשלה להקמת הקואליציה היו, בזמן אמת, בבחינת מציאות כפויה בלתי ניתנת לפתרון חלופי. בבחינת הרע במיעוטו. במובן זה, איני סבור כי ניתן למצוא מענה למציאות החריגה והייחודית שהתעוררה בענייננו, בפסיקת בית משפט זה בעבר. לוּ אכן נתונים חריגים אלו לא היו בנמצא, ההחלטה למנות את חה"כ דרעי לשר, מהשיקולים שפורטו בחוות הדעת של חבריי בעניין טוהר המידות, הייתה חורגת ממתחם הסבירות. </w:t>
      </w:r>
    </w:p>
    <w:p w14:paraId="7272A1D6" w14:textId="77777777" w:rsidR="0045550F" w:rsidRPr="000438BE" w:rsidRDefault="0045550F" w:rsidP="0045550F">
      <w:pPr>
        <w:pStyle w:val="Ruller41"/>
        <w:rPr>
          <w:rtl/>
        </w:rPr>
      </w:pPr>
    </w:p>
    <w:p w14:paraId="32B77818" w14:textId="77777777" w:rsidR="0045550F" w:rsidRDefault="0045550F" w:rsidP="0045550F">
      <w:pPr>
        <w:pStyle w:val="Ruller41"/>
        <w:rPr>
          <w:rtl/>
        </w:rPr>
      </w:pPr>
      <w:r>
        <w:rPr>
          <w:rtl/>
        </w:rPr>
        <w:tab/>
      </w:r>
      <w:r>
        <w:rPr>
          <w:rFonts w:hint="cs"/>
          <w:rtl/>
        </w:rPr>
        <w:t xml:space="preserve">לסיכום אפוא, מבלי שמצאתי עילה להתערבות </w:t>
      </w:r>
      <w:r w:rsidRPr="000438BE">
        <w:rPr>
          <w:rFonts w:ascii="Century" w:hAnsi="Century" w:hint="cs"/>
          <w:rtl/>
        </w:rPr>
        <w:t>בשיקול דעתו</w:t>
      </w:r>
      <w:r w:rsidRPr="000438BE">
        <w:rPr>
          <w:rFonts w:hint="cs"/>
          <w:rtl/>
        </w:rPr>
        <w:t xml:space="preserve"> </w:t>
      </w:r>
      <w:r>
        <w:rPr>
          <w:rFonts w:hint="cs"/>
          <w:rtl/>
        </w:rPr>
        <w:t xml:space="preserve">של ראש הממשלה במינויו של חה"כ דרעי, אני סבור כי המינוי פסול וחסר תוקף לאור המניעות החלה על חה"כ דרעי להתמנות לתפקיד שר. בעניין זה מסכים אני עם חברתי השופטת </w:t>
      </w:r>
      <w:r w:rsidRPr="00A56437">
        <w:rPr>
          <w:rFonts w:ascii="Century" w:hAnsi="Century" w:cs="Miriam" w:hint="cs"/>
          <w:b/>
          <w:spacing w:val="0"/>
          <w:szCs w:val="24"/>
          <w:rtl/>
        </w:rPr>
        <w:t>ברק-ארז</w:t>
      </w:r>
      <w:r w:rsidRPr="00EA4F4B">
        <w:rPr>
          <w:rFonts w:hint="cs"/>
          <w:rtl/>
        </w:rPr>
        <w:t xml:space="preserve"> </w:t>
      </w:r>
      <w:r>
        <w:rPr>
          <w:rFonts w:hint="cs"/>
          <w:rtl/>
        </w:rPr>
        <w:t>כי הטיעון שעניינו "הציבור אמר את דברו" אינו יכול לעמוד ל</w:t>
      </w:r>
      <w:r w:rsidRPr="000438BE">
        <w:rPr>
          <w:rFonts w:ascii="Century" w:hAnsi="Century" w:hint="cs"/>
          <w:rtl/>
        </w:rPr>
        <w:t>טובת חה"כ דרעי</w:t>
      </w:r>
      <w:r w:rsidRPr="000438BE">
        <w:rPr>
          <w:rFonts w:hint="cs"/>
          <w:rtl/>
        </w:rPr>
        <w:t xml:space="preserve"> </w:t>
      </w:r>
      <w:r>
        <w:rPr>
          <w:rFonts w:hint="cs"/>
          <w:rtl/>
        </w:rPr>
        <w:t>בכל הנוגע למניעות הנובעת מהתנהלותו.</w:t>
      </w:r>
    </w:p>
    <w:p w14:paraId="4386F32E" w14:textId="77777777" w:rsidR="0045550F" w:rsidRDefault="0045550F" w:rsidP="0045550F">
      <w:pPr>
        <w:pStyle w:val="Ruller41"/>
        <w:rPr>
          <w:rtl/>
        </w:rPr>
      </w:pPr>
    </w:p>
    <w:p w14:paraId="2B2C09F9" w14:textId="77777777" w:rsidR="00636252" w:rsidRDefault="00636252" w:rsidP="0045550F">
      <w:pPr>
        <w:pStyle w:val="Ruller41"/>
        <w:rPr>
          <w:rtl/>
        </w:rPr>
      </w:pPr>
    </w:p>
    <w:p w14:paraId="53875C43" w14:textId="77777777" w:rsidR="00636252" w:rsidRDefault="00636252" w:rsidP="0045550F">
      <w:pPr>
        <w:pStyle w:val="Ruller41"/>
        <w:rPr>
          <w:rtl/>
        </w:rPr>
      </w:pPr>
    </w:p>
    <w:p w14:paraId="0AEB6922" w14:textId="77777777" w:rsidR="00636252" w:rsidRDefault="00636252" w:rsidP="0045550F">
      <w:pPr>
        <w:pStyle w:val="Ruller41"/>
        <w:rPr>
          <w:rtl/>
        </w:rPr>
      </w:pPr>
    </w:p>
    <w:p w14:paraId="042CFB52" w14:textId="77777777" w:rsidR="0045550F" w:rsidRDefault="0045550F" w:rsidP="0045550F">
      <w:pPr>
        <w:pStyle w:val="Ruller4"/>
        <w:rPr>
          <w:rtl/>
        </w:rPr>
      </w:pPr>
      <w:r>
        <w:rPr>
          <w:rFonts w:hint="cs"/>
          <w:rtl/>
        </w:rPr>
        <w:t xml:space="preserve">לבסוף, רואה אני לנכון להוסיף מספר מילים באשר לטיעוני העותרים ככל שהם נוגעים לתיקון לחוק יסוד: </w:t>
      </w:r>
      <w:r w:rsidRPr="00E04DC9">
        <w:rPr>
          <w:rFonts w:hint="cs"/>
          <w:rtl/>
        </w:rPr>
        <w:t xml:space="preserve">הממשלה. נקודת המוצא היא כפי שגם </w:t>
      </w:r>
      <w:r w:rsidRPr="00C442D1">
        <w:rPr>
          <w:rFonts w:hint="cs"/>
          <w:rtl/>
        </w:rPr>
        <w:t>ציינו חבריי, כי</w:t>
      </w:r>
      <w:r w:rsidRPr="00E04DC9">
        <w:rPr>
          <w:rFonts w:hint="cs"/>
          <w:rtl/>
        </w:rPr>
        <w:t xml:space="preserve"> אין מקום להידרש לדיון בסוגיות מתחום המשפט החוקתי כאשר הוא אינו נצרך. אולם על כך יש להוסיף</w:t>
      </w:r>
      <w:r>
        <w:rPr>
          <w:rFonts w:hint="cs"/>
          <w:rtl/>
        </w:rPr>
        <w:t xml:space="preserve"> כי זו לא המשוכה היחידה העומדת ל</w:t>
      </w:r>
      <w:r w:rsidRPr="00E04DC9">
        <w:rPr>
          <w:rFonts w:hint="cs"/>
          <w:rtl/>
        </w:rPr>
        <w:t>פני</w:t>
      </w:r>
      <w:r>
        <w:rPr>
          <w:rFonts w:hint="cs"/>
          <w:rtl/>
        </w:rPr>
        <w:t xml:space="preserve"> העותרים</w:t>
      </w:r>
      <w:r w:rsidRPr="00E04DC9">
        <w:rPr>
          <w:rFonts w:hint="cs"/>
          <w:rtl/>
        </w:rPr>
        <w:t>. כפי שציינתי בעבר (</w:t>
      </w:r>
      <w:r>
        <w:rPr>
          <w:rFonts w:hint="cs"/>
          <w:rtl/>
        </w:rPr>
        <w:t>ב</w:t>
      </w:r>
      <w:r w:rsidRPr="00E04DC9">
        <w:rPr>
          <w:rFonts w:hint="eastAsia"/>
          <w:rtl/>
        </w:rPr>
        <w:t>בג</w:t>
      </w:r>
      <w:r w:rsidRPr="00E04DC9">
        <w:rPr>
          <w:rtl/>
        </w:rPr>
        <w:t>"</w:t>
      </w:r>
      <w:r w:rsidRPr="00E04DC9">
        <w:rPr>
          <w:rFonts w:hint="eastAsia"/>
          <w:rtl/>
        </w:rPr>
        <w:t>ץ</w:t>
      </w:r>
      <w:r w:rsidRPr="00E04DC9">
        <w:rPr>
          <w:rtl/>
        </w:rPr>
        <w:t xml:space="preserve"> 5969/20 </w:t>
      </w:r>
      <w:r w:rsidRPr="00FE1219">
        <w:rPr>
          <w:rFonts w:ascii="Century" w:hAnsi="Century" w:cs="Miriam" w:hint="eastAsia"/>
          <w:b/>
          <w:spacing w:val="0"/>
          <w:sz w:val="22"/>
          <w:szCs w:val="24"/>
          <w:rtl/>
        </w:rPr>
        <w:t>שפיר</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נ</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הכנסת</w:t>
      </w:r>
      <w:r w:rsidRPr="00E04DC9">
        <w:rPr>
          <w:rtl/>
        </w:rPr>
        <w:t xml:space="preserve">, </w:t>
      </w:r>
      <w:r w:rsidRPr="00E04DC9">
        <w:rPr>
          <w:rFonts w:hint="eastAsia"/>
          <w:rtl/>
        </w:rPr>
        <w:t>פסקה</w:t>
      </w:r>
      <w:r>
        <w:rPr>
          <w:rtl/>
        </w:rPr>
        <w:t xml:space="preserve"> 8 </w:t>
      </w:r>
      <w:r>
        <w:rPr>
          <w:rFonts w:hint="eastAsia"/>
          <w:rtl/>
        </w:rPr>
        <w:t>לחוות</w:t>
      </w:r>
      <w:r>
        <w:rPr>
          <w:rtl/>
        </w:rPr>
        <w:t xml:space="preserve"> </w:t>
      </w:r>
      <w:r>
        <w:rPr>
          <w:rFonts w:hint="eastAsia"/>
          <w:rtl/>
        </w:rPr>
        <w:t>דעתי</w:t>
      </w:r>
      <w:r>
        <w:rPr>
          <w:rtl/>
        </w:rPr>
        <w:t xml:space="preserve"> (23.5.2021)</w:t>
      </w:r>
      <w:r>
        <w:rPr>
          <w:rFonts w:hint="cs"/>
          <w:rtl/>
        </w:rPr>
        <w:t xml:space="preserve"> (להלן: עניין </w:t>
      </w:r>
      <w:r w:rsidRPr="00FE1219">
        <w:rPr>
          <w:rFonts w:ascii="Century" w:hAnsi="Century" w:cs="Miriam" w:hint="cs"/>
          <w:b/>
          <w:spacing w:val="0"/>
          <w:sz w:val="22"/>
          <w:szCs w:val="24"/>
          <w:rtl/>
        </w:rPr>
        <w:t>שפיר</w:t>
      </w:r>
      <w:r>
        <w:rPr>
          <w:rFonts w:hint="cs"/>
          <w:rtl/>
        </w:rPr>
        <w:t xml:space="preserve">); בג"ץ 5555/18 </w:t>
      </w:r>
      <w:r w:rsidRPr="00FE1219">
        <w:rPr>
          <w:rFonts w:ascii="Century" w:hAnsi="Century" w:cs="Miriam" w:hint="cs"/>
          <w:b/>
          <w:spacing w:val="0"/>
          <w:sz w:val="22"/>
          <w:szCs w:val="24"/>
          <w:rtl/>
        </w:rPr>
        <w:t>ח"כ אכרם חסון נ' כנסת ישראל</w:t>
      </w:r>
      <w:r>
        <w:rPr>
          <w:rFonts w:hint="cs"/>
          <w:rtl/>
        </w:rPr>
        <w:t xml:space="preserve">, פסקה 1 לחוות דעתי (8.7.2021); </w:t>
      </w:r>
      <w:r w:rsidRPr="003667AC">
        <w:rPr>
          <w:rFonts w:hint="eastAsia"/>
          <w:rtl/>
        </w:rPr>
        <w:t>בג</w:t>
      </w:r>
      <w:r>
        <w:rPr>
          <w:rFonts w:hint="cs"/>
          <w:rtl/>
        </w:rPr>
        <w:t>"</w:t>
      </w:r>
      <w:r w:rsidRPr="003667AC">
        <w:rPr>
          <w:rFonts w:hint="eastAsia"/>
          <w:rtl/>
        </w:rPr>
        <w:t>ץ</w:t>
      </w:r>
      <w:r w:rsidRPr="003667AC">
        <w:rPr>
          <w:rtl/>
        </w:rPr>
        <w:t xml:space="preserve"> 2905/20 </w:t>
      </w:r>
      <w:r w:rsidRPr="00FE1219">
        <w:rPr>
          <w:rFonts w:ascii="Century" w:hAnsi="Century" w:cs="Miriam" w:hint="eastAsia"/>
          <w:b/>
          <w:spacing w:val="0"/>
          <w:sz w:val="22"/>
          <w:szCs w:val="24"/>
          <w:rtl/>
        </w:rPr>
        <w:t>התנועה</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למען</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איכות</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השלטון</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בישראל</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נ</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כנסת</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ישראל</w:t>
      </w:r>
      <w:r>
        <w:rPr>
          <w:rFonts w:hint="cs"/>
          <w:rtl/>
        </w:rPr>
        <w:t>, פסקה 9 לחוות דעתי (12.7.2021) (</w:t>
      </w:r>
      <w:r w:rsidRPr="00FE1219">
        <w:rPr>
          <w:rFonts w:ascii="FrankRuehl" w:hAnsi="FrankRuehl" w:hint="cs"/>
          <w:color w:val="000000"/>
          <w:sz w:val="28"/>
          <w:rtl/>
        </w:rPr>
        <w:t xml:space="preserve">להלן: עניין </w:t>
      </w:r>
      <w:r w:rsidRPr="00FE1219">
        <w:rPr>
          <w:rFonts w:ascii="Century" w:hAnsi="Century" w:cs="Miriam" w:hint="cs"/>
          <w:b/>
          <w:spacing w:val="0"/>
          <w:sz w:val="22"/>
          <w:szCs w:val="24"/>
          <w:rtl/>
        </w:rPr>
        <w:t>התנועה למען איכות השלטון בישראל</w:t>
      </w:r>
      <w:r w:rsidRPr="00FE1219">
        <w:rPr>
          <w:rFonts w:ascii="FrankRuehl" w:hAnsi="FrankRuehl" w:hint="cs"/>
          <w:color w:val="000000"/>
          <w:sz w:val="28"/>
          <w:rtl/>
        </w:rPr>
        <w:t>)</w:t>
      </w:r>
      <w:r>
        <w:rPr>
          <w:rFonts w:hint="cs"/>
          <w:rtl/>
        </w:rPr>
        <w:t xml:space="preserve">), לעמדתי </w:t>
      </w:r>
      <w:r>
        <w:rPr>
          <w:rFonts w:hint="eastAsia"/>
          <w:rtl/>
        </w:rPr>
        <w:t>שאלת</w:t>
      </w:r>
      <w:r>
        <w:rPr>
          <w:rtl/>
        </w:rPr>
        <w:t xml:space="preserve"> </w:t>
      </w:r>
      <w:r>
        <w:rPr>
          <w:rFonts w:hint="eastAsia"/>
          <w:rtl/>
        </w:rPr>
        <w:t>סמכותו</w:t>
      </w:r>
      <w:r>
        <w:rPr>
          <w:rtl/>
        </w:rPr>
        <w:t xml:space="preserve"> </w:t>
      </w:r>
      <w:r>
        <w:rPr>
          <w:rFonts w:hint="eastAsia"/>
          <w:rtl/>
        </w:rPr>
        <w:t>של</w:t>
      </w:r>
      <w:r>
        <w:rPr>
          <w:rtl/>
        </w:rPr>
        <w:t xml:space="preserve"> </w:t>
      </w:r>
      <w:r>
        <w:rPr>
          <w:rFonts w:hint="eastAsia"/>
          <w:rtl/>
        </w:rPr>
        <w:t>בית</w:t>
      </w:r>
      <w:r>
        <w:rPr>
          <w:rtl/>
        </w:rPr>
        <w:t xml:space="preserve"> </w:t>
      </w:r>
      <w:r>
        <w:rPr>
          <w:rFonts w:hint="eastAsia"/>
          <w:rtl/>
        </w:rPr>
        <w:t>משפט</w:t>
      </w:r>
      <w:r>
        <w:rPr>
          <w:rtl/>
        </w:rPr>
        <w:t xml:space="preserve"> </w:t>
      </w:r>
      <w:r>
        <w:rPr>
          <w:rFonts w:hint="eastAsia"/>
          <w:rtl/>
        </w:rPr>
        <w:t>זה</w:t>
      </w:r>
      <w:r>
        <w:rPr>
          <w:rtl/>
        </w:rPr>
        <w:t xml:space="preserve"> </w:t>
      </w:r>
      <w:r>
        <w:rPr>
          <w:rFonts w:hint="eastAsia"/>
          <w:rtl/>
        </w:rPr>
        <w:t>לקיים</w:t>
      </w:r>
      <w:r>
        <w:rPr>
          <w:rtl/>
        </w:rPr>
        <w:t xml:space="preserve"> </w:t>
      </w:r>
      <w:r>
        <w:rPr>
          <w:rFonts w:hint="eastAsia"/>
          <w:rtl/>
        </w:rPr>
        <w:t>ביקורת</w:t>
      </w:r>
      <w:r>
        <w:rPr>
          <w:rtl/>
        </w:rPr>
        <w:t xml:space="preserve"> </w:t>
      </w:r>
      <w:r>
        <w:rPr>
          <w:rFonts w:hint="eastAsia"/>
          <w:rtl/>
        </w:rPr>
        <w:t>שיפוטית</w:t>
      </w:r>
      <w:r>
        <w:rPr>
          <w:rtl/>
        </w:rPr>
        <w:t xml:space="preserve"> </w:t>
      </w:r>
      <w:r>
        <w:rPr>
          <w:rFonts w:hint="eastAsia"/>
          <w:rtl/>
        </w:rPr>
        <w:t>על</w:t>
      </w:r>
      <w:r>
        <w:rPr>
          <w:rtl/>
        </w:rPr>
        <w:t xml:space="preserve"> </w:t>
      </w:r>
      <w:r>
        <w:rPr>
          <w:rFonts w:hint="eastAsia"/>
          <w:rtl/>
        </w:rPr>
        <w:t>הוראות</w:t>
      </w:r>
      <w:r>
        <w:rPr>
          <w:rtl/>
        </w:rPr>
        <w:t xml:space="preserve"> </w:t>
      </w:r>
      <w:r>
        <w:rPr>
          <w:rFonts w:hint="eastAsia"/>
          <w:rtl/>
        </w:rPr>
        <w:t>חוק</w:t>
      </w:r>
      <w:r>
        <w:rPr>
          <w:rtl/>
        </w:rPr>
        <w:t xml:space="preserve"> </w:t>
      </w:r>
      <w:r>
        <w:rPr>
          <w:rFonts w:hint="eastAsia"/>
          <w:rtl/>
        </w:rPr>
        <w:t>יסוד</w:t>
      </w:r>
      <w:r>
        <w:rPr>
          <w:rtl/>
        </w:rPr>
        <w:t xml:space="preserve"> </w:t>
      </w:r>
      <w:r>
        <w:rPr>
          <w:rFonts w:hint="eastAsia"/>
          <w:rtl/>
        </w:rPr>
        <w:t>היא</w:t>
      </w:r>
      <w:r>
        <w:rPr>
          <w:rtl/>
        </w:rPr>
        <w:t xml:space="preserve"> </w:t>
      </w:r>
      <w:r>
        <w:rPr>
          <w:rFonts w:hint="eastAsia"/>
          <w:rtl/>
        </w:rPr>
        <w:t>שאלה</w:t>
      </w:r>
      <w:r>
        <w:rPr>
          <w:rtl/>
        </w:rPr>
        <w:t xml:space="preserve"> </w:t>
      </w:r>
      <w:r>
        <w:rPr>
          <w:rFonts w:hint="cs"/>
          <w:rtl/>
        </w:rPr>
        <w:t>שהמענה עליה הוא שלילי, ומסכים אני בעניין זה עם הכנסת</w:t>
      </w:r>
      <w:r>
        <w:rPr>
          <w:rtl/>
        </w:rPr>
        <w:t xml:space="preserve">. </w:t>
      </w:r>
      <w:r>
        <w:rPr>
          <w:rFonts w:hint="cs"/>
          <w:rtl/>
        </w:rPr>
        <w:t xml:space="preserve">גם סמכותו של בית משפט זה לבצע ביקורת שיפוטית על חוקים "רגילים", אינה מושתתת על יסודות איתנים. מכל מקום, </w:t>
      </w:r>
      <w:r>
        <w:rPr>
          <w:rFonts w:hint="eastAsia"/>
          <w:rtl/>
        </w:rPr>
        <w:t>הסמכות</w:t>
      </w:r>
      <w:r>
        <w:rPr>
          <w:rtl/>
        </w:rPr>
        <w:t xml:space="preserve"> </w:t>
      </w:r>
      <w:r>
        <w:rPr>
          <w:rFonts w:hint="eastAsia"/>
          <w:rtl/>
        </w:rPr>
        <w:t>לב</w:t>
      </w:r>
      <w:r>
        <w:rPr>
          <w:rFonts w:hint="cs"/>
          <w:rtl/>
        </w:rPr>
        <w:t>קר חוקים או לבטלם</w:t>
      </w:r>
      <w:r>
        <w:rPr>
          <w:rtl/>
        </w:rPr>
        <w:t xml:space="preserve"> </w:t>
      </w:r>
      <w:r>
        <w:rPr>
          <w:rFonts w:hint="eastAsia"/>
          <w:rtl/>
        </w:rPr>
        <w:t>מכוח</w:t>
      </w:r>
      <w:r>
        <w:rPr>
          <w:rtl/>
        </w:rPr>
        <w:t xml:space="preserve"> </w:t>
      </w:r>
      <w:r>
        <w:rPr>
          <w:rFonts w:hint="eastAsia"/>
          <w:rtl/>
        </w:rPr>
        <w:t>חוקי</w:t>
      </w:r>
      <w:r>
        <w:rPr>
          <w:rtl/>
        </w:rPr>
        <w:t xml:space="preserve"> </w:t>
      </w:r>
      <w:r>
        <w:rPr>
          <w:rFonts w:hint="eastAsia"/>
          <w:rtl/>
        </w:rPr>
        <w:t>היסוד</w:t>
      </w:r>
      <w:r>
        <w:rPr>
          <w:rtl/>
        </w:rPr>
        <w:t xml:space="preserve"> </w:t>
      </w:r>
      <w:r>
        <w:rPr>
          <w:rFonts w:hint="eastAsia"/>
          <w:rtl/>
        </w:rPr>
        <w:t>נשענת</w:t>
      </w:r>
      <w:r>
        <w:rPr>
          <w:rtl/>
        </w:rPr>
        <w:t xml:space="preserve"> </w:t>
      </w:r>
      <w:r>
        <w:rPr>
          <w:rFonts w:hint="eastAsia"/>
          <w:rtl/>
        </w:rPr>
        <w:t>על</w:t>
      </w:r>
      <w:r>
        <w:rPr>
          <w:rtl/>
        </w:rPr>
        <w:t xml:space="preserve"> </w:t>
      </w:r>
      <w:r>
        <w:rPr>
          <w:rFonts w:hint="cs"/>
          <w:rtl/>
        </w:rPr>
        <w:t>ה</w:t>
      </w:r>
      <w:r>
        <w:rPr>
          <w:rFonts w:hint="eastAsia"/>
          <w:rtl/>
        </w:rPr>
        <w:t>הכרה</w:t>
      </w:r>
      <w:r>
        <w:rPr>
          <w:rtl/>
        </w:rPr>
        <w:t xml:space="preserve"> </w:t>
      </w:r>
      <w:r>
        <w:rPr>
          <w:rFonts w:hint="eastAsia"/>
          <w:rtl/>
        </w:rPr>
        <w:t>במעמדם</w:t>
      </w:r>
      <w:r>
        <w:rPr>
          <w:rtl/>
        </w:rPr>
        <w:t xml:space="preserve"> </w:t>
      </w:r>
      <w:r>
        <w:rPr>
          <w:rFonts w:hint="eastAsia"/>
          <w:rtl/>
        </w:rPr>
        <w:t>החוקתי</w:t>
      </w:r>
      <w:r>
        <w:rPr>
          <w:rtl/>
        </w:rPr>
        <w:t xml:space="preserve"> </w:t>
      </w:r>
      <w:r>
        <w:rPr>
          <w:rFonts w:hint="cs"/>
          <w:rtl/>
        </w:rPr>
        <w:t xml:space="preserve">הרם </w:t>
      </w:r>
      <w:r>
        <w:rPr>
          <w:rFonts w:hint="eastAsia"/>
          <w:rtl/>
        </w:rPr>
        <w:t>של</w:t>
      </w:r>
      <w:r>
        <w:rPr>
          <w:rtl/>
        </w:rPr>
        <w:t xml:space="preserve"> </w:t>
      </w:r>
      <w:r>
        <w:rPr>
          <w:rFonts w:hint="eastAsia"/>
          <w:rtl/>
        </w:rPr>
        <w:t>חוקי</w:t>
      </w:r>
      <w:r>
        <w:rPr>
          <w:rtl/>
        </w:rPr>
        <w:t xml:space="preserve"> </w:t>
      </w:r>
      <w:r>
        <w:rPr>
          <w:rFonts w:hint="eastAsia"/>
          <w:rtl/>
        </w:rPr>
        <w:t>היסוד</w:t>
      </w:r>
      <w:r>
        <w:rPr>
          <w:rtl/>
        </w:rPr>
        <w:t xml:space="preserve">, </w:t>
      </w:r>
      <w:r>
        <w:rPr>
          <w:rFonts w:hint="eastAsia"/>
          <w:rtl/>
        </w:rPr>
        <w:t>מכוח</w:t>
      </w:r>
      <w:r>
        <w:rPr>
          <w:rtl/>
        </w:rPr>
        <w:t xml:space="preserve"> </w:t>
      </w:r>
      <w:r w:rsidRPr="00C45BD2">
        <w:rPr>
          <w:rFonts w:hint="eastAsia"/>
          <w:rtl/>
        </w:rPr>
        <w:t>סמכותה</w:t>
      </w:r>
      <w:r w:rsidRPr="00C45BD2">
        <w:rPr>
          <w:rtl/>
        </w:rPr>
        <w:t xml:space="preserve"> </w:t>
      </w:r>
      <w:r w:rsidRPr="00C45BD2">
        <w:rPr>
          <w:rFonts w:hint="eastAsia"/>
          <w:rtl/>
        </w:rPr>
        <w:t>של</w:t>
      </w:r>
      <w:r w:rsidRPr="00C45BD2">
        <w:rPr>
          <w:rtl/>
        </w:rPr>
        <w:t xml:space="preserve"> </w:t>
      </w:r>
      <w:r w:rsidRPr="00C45BD2">
        <w:rPr>
          <w:rFonts w:hint="eastAsia"/>
          <w:rtl/>
        </w:rPr>
        <w:t>הכנסת</w:t>
      </w:r>
      <w:r w:rsidRPr="00C45BD2">
        <w:rPr>
          <w:rtl/>
        </w:rPr>
        <w:t xml:space="preserve"> </w:t>
      </w:r>
      <w:r w:rsidRPr="00C45BD2">
        <w:rPr>
          <w:rFonts w:hint="eastAsia"/>
          <w:rtl/>
        </w:rPr>
        <w:t>כרשות</w:t>
      </w:r>
      <w:r w:rsidRPr="00C45BD2">
        <w:rPr>
          <w:rtl/>
        </w:rPr>
        <w:t xml:space="preserve"> </w:t>
      </w:r>
      <w:r w:rsidRPr="00C45BD2">
        <w:rPr>
          <w:rFonts w:hint="eastAsia"/>
          <w:rtl/>
        </w:rPr>
        <w:t>מכוננת</w:t>
      </w:r>
      <w:r w:rsidRPr="00C45BD2">
        <w:rPr>
          <w:rtl/>
        </w:rPr>
        <w:t>.</w:t>
      </w:r>
      <w:r w:rsidRPr="00C45BD2">
        <w:rPr>
          <w:rFonts w:hint="cs"/>
          <w:rtl/>
        </w:rPr>
        <w:t xml:space="preserve"> </w:t>
      </w:r>
      <w:r>
        <w:rPr>
          <w:rFonts w:hint="cs"/>
          <w:rtl/>
        </w:rPr>
        <w:t xml:space="preserve">על כן, </w:t>
      </w:r>
      <w:r w:rsidRPr="00C45BD2">
        <w:rPr>
          <w:rFonts w:hint="cs"/>
          <w:rtl/>
        </w:rPr>
        <w:t xml:space="preserve">מהלך החותר תחת הנחת יסוד זו, הינו </w:t>
      </w:r>
      <w:r>
        <w:rPr>
          <w:rFonts w:hint="cs"/>
          <w:rtl/>
        </w:rPr>
        <w:t xml:space="preserve">אפוא </w:t>
      </w:r>
      <w:r w:rsidRPr="00C45BD2">
        <w:rPr>
          <w:rFonts w:hint="cs"/>
          <w:rtl/>
        </w:rPr>
        <w:t>מוקשה</w:t>
      </w:r>
      <w:r>
        <w:rPr>
          <w:rFonts w:hint="cs"/>
          <w:rtl/>
        </w:rPr>
        <w:t xml:space="preserve"> ביותר</w:t>
      </w:r>
      <w:r w:rsidRPr="00C45BD2">
        <w:rPr>
          <w:rFonts w:hint="cs"/>
          <w:rtl/>
        </w:rPr>
        <w:t>.</w:t>
      </w:r>
      <w:r w:rsidRPr="00C45BD2">
        <w:rPr>
          <w:rtl/>
        </w:rPr>
        <w:t xml:space="preserve"> </w:t>
      </w:r>
      <w:r w:rsidRPr="00FE1219">
        <w:rPr>
          <w:rFonts w:ascii="FrankRuehl" w:hAnsi="FrankRuehl" w:hint="cs"/>
          <w:color w:val="000000"/>
          <w:sz w:val="28"/>
          <w:rtl/>
        </w:rPr>
        <w:t xml:space="preserve">משבית המשפט נוטל על עצמו סמכות לבקר חוקי יסוד, </w:t>
      </w:r>
      <w:r>
        <w:rPr>
          <w:rFonts w:ascii="FrankRuehl" w:hAnsi="FrankRuehl" w:hint="cs"/>
          <w:color w:val="000000"/>
          <w:sz w:val="28"/>
          <w:rtl/>
        </w:rPr>
        <w:t>מתחזקת</w:t>
      </w:r>
      <w:r w:rsidRPr="00FE1219">
        <w:rPr>
          <w:rFonts w:ascii="FrankRuehl" w:hAnsi="FrankRuehl" w:hint="cs"/>
          <w:color w:val="000000"/>
          <w:sz w:val="28"/>
          <w:rtl/>
        </w:rPr>
        <w:t xml:space="preserve"> הטענה כי התאוריה בדבר עליונות חוקי היסוד איננה כּנה, כי אם נועדה אך ורק לאפשר ביקורת שיפוטית על חוקים (וראו: אריאל בנדור "המעמד המשפטי של חוקי-יסוד" </w:t>
      </w:r>
      <w:r w:rsidRPr="00FE1219">
        <w:rPr>
          <w:rFonts w:ascii="Century" w:hAnsi="Century" w:cs="Miriam" w:hint="cs"/>
          <w:b/>
          <w:spacing w:val="0"/>
          <w:sz w:val="22"/>
          <w:szCs w:val="24"/>
          <w:rtl/>
        </w:rPr>
        <w:t xml:space="preserve">ספר ברנזון </w:t>
      </w:r>
      <w:r w:rsidRPr="00FE1219">
        <w:rPr>
          <w:rFonts w:ascii="FrankRuehl" w:hAnsi="FrankRuehl" w:hint="cs"/>
          <w:color w:val="000000"/>
          <w:sz w:val="28"/>
          <w:rtl/>
        </w:rPr>
        <w:t>כרך ב 119, 168 (</w:t>
      </w:r>
      <w:proofErr w:type="spellStart"/>
      <w:r w:rsidRPr="00FE1219">
        <w:rPr>
          <w:rFonts w:ascii="FrankRuehl" w:hAnsi="FrankRuehl" w:hint="cs"/>
          <w:color w:val="000000"/>
          <w:sz w:val="28"/>
          <w:rtl/>
        </w:rPr>
        <w:t>התש"ס</w:t>
      </w:r>
      <w:proofErr w:type="spellEnd"/>
      <w:r w:rsidRPr="00FE1219">
        <w:rPr>
          <w:rFonts w:ascii="FrankRuehl" w:hAnsi="FrankRuehl" w:hint="cs"/>
          <w:color w:val="000000"/>
          <w:sz w:val="28"/>
          <w:rtl/>
        </w:rPr>
        <w:t xml:space="preserve">)). </w:t>
      </w:r>
      <w:r w:rsidRPr="00C45BD2">
        <w:rPr>
          <w:rFonts w:hint="cs"/>
          <w:rtl/>
        </w:rPr>
        <w:t xml:space="preserve">כפי שפירטתי בעניין </w:t>
      </w:r>
      <w:r w:rsidRPr="00FE1219">
        <w:rPr>
          <w:rFonts w:ascii="Century" w:hAnsi="Century" w:cs="Miriam" w:hint="cs"/>
          <w:b/>
          <w:spacing w:val="0"/>
          <w:sz w:val="22"/>
          <w:szCs w:val="24"/>
          <w:rtl/>
        </w:rPr>
        <w:t>התנועה למען איכות השלטון בישראל</w:t>
      </w:r>
      <w:r w:rsidRPr="00C45BD2">
        <w:rPr>
          <w:rFonts w:hint="cs"/>
          <w:rtl/>
        </w:rPr>
        <w:t xml:space="preserve">, הקושי </w:t>
      </w:r>
      <w:r w:rsidRPr="00C45BD2">
        <w:rPr>
          <w:rFonts w:hint="eastAsia"/>
          <w:rtl/>
        </w:rPr>
        <w:t>הקיים</w:t>
      </w:r>
      <w:r w:rsidRPr="00C45BD2">
        <w:rPr>
          <w:rtl/>
        </w:rPr>
        <w:t xml:space="preserve"> </w:t>
      </w:r>
      <w:r w:rsidRPr="00C45BD2">
        <w:rPr>
          <w:rFonts w:hint="eastAsia"/>
          <w:rtl/>
        </w:rPr>
        <w:t>בביקורת</w:t>
      </w:r>
      <w:r w:rsidRPr="00C45BD2">
        <w:rPr>
          <w:rtl/>
        </w:rPr>
        <w:t xml:space="preserve"> </w:t>
      </w:r>
      <w:r w:rsidRPr="00C45BD2">
        <w:rPr>
          <w:rFonts w:hint="eastAsia"/>
          <w:rtl/>
        </w:rPr>
        <w:t>שיפוטית</w:t>
      </w:r>
      <w:r w:rsidRPr="00C45BD2">
        <w:rPr>
          <w:rtl/>
        </w:rPr>
        <w:t xml:space="preserve"> </w:t>
      </w:r>
      <w:r w:rsidRPr="00C45BD2">
        <w:rPr>
          <w:rFonts w:hint="eastAsia"/>
          <w:rtl/>
        </w:rPr>
        <w:t>על</w:t>
      </w:r>
      <w:r w:rsidRPr="00C45BD2">
        <w:rPr>
          <w:rtl/>
        </w:rPr>
        <w:t xml:space="preserve"> </w:t>
      </w:r>
      <w:r w:rsidRPr="00C45BD2">
        <w:rPr>
          <w:rFonts w:hint="eastAsia"/>
          <w:rtl/>
        </w:rPr>
        <w:t>חוקי</w:t>
      </w:r>
      <w:r w:rsidRPr="00C45BD2">
        <w:rPr>
          <w:rtl/>
        </w:rPr>
        <w:t xml:space="preserve"> </w:t>
      </w:r>
      <w:r w:rsidRPr="00C45BD2">
        <w:rPr>
          <w:rFonts w:hint="eastAsia"/>
          <w:rtl/>
        </w:rPr>
        <w:t>יסוד</w:t>
      </w:r>
      <w:r w:rsidRPr="00C45BD2">
        <w:rPr>
          <w:rtl/>
        </w:rPr>
        <w:t xml:space="preserve"> </w:t>
      </w:r>
      <w:r w:rsidRPr="00C45BD2">
        <w:rPr>
          <w:rFonts w:hint="cs"/>
          <w:rtl/>
        </w:rPr>
        <w:t xml:space="preserve">לא נעלם </w:t>
      </w:r>
      <w:r w:rsidRPr="00C45BD2">
        <w:rPr>
          <w:rFonts w:hint="eastAsia"/>
          <w:rtl/>
        </w:rPr>
        <w:t>על</w:t>
      </w:r>
      <w:r w:rsidRPr="00C45BD2">
        <w:rPr>
          <w:rtl/>
        </w:rPr>
        <w:t xml:space="preserve"> </w:t>
      </w:r>
      <w:r w:rsidRPr="00C45BD2">
        <w:rPr>
          <w:rFonts w:hint="eastAsia"/>
          <w:rtl/>
        </w:rPr>
        <w:t>ידי</w:t>
      </w:r>
      <w:r w:rsidRPr="00C45BD2">
        <w:rPr>
          <w:rtl/>
        </w:rPr>
        <w:t xml:space="preserve"> </w:t>
      </w:r>
      <w:r w:rsidRPr="00C45BD2">
        <w:rPr>
          <w:rFonts w:hint="eastAsia"/>
          <w:rtl/>
        </w:rPr>
        <w:t>שימוש</w:t>
      </w:r>
      <w:r w:rsidRPr="00C45BD2">
        <w:rPr>
          <w:rtl/>
        </w:rPr>
        <w:t xml:space="preserve"> </w:t>
      </w:r>
      <w:r w:rsidRPr="00C45BD2">
        <w:rPr>
          <w:rFonts w:hint="eastAsia"/>
          <w:rtl/>
        </w:rPr>
        <w:t>בכותרת</w:t>
      </w:r>
      <w:r w:rsidRPr="00C45BD2">
        <w:rPr>
          <w:rtl/>
        </w:rPr>
        <w:t xml:space="preserve"> </w:t>
      </w:r>
      <w:r w:rsidRPr="00C45BD2">
        <w:rPr>
          <w:rFonts w:hint="eastAsia"/>
          <w:rtl/>
        </w:rPr>
        <w:t>של</w:t>
      </w:r>
      <w:r w:rsidRPr="00C45BD2">
        <w:rPr>
          <w:rtl/>
        </w:rPr>
        <w:t xml:space="preserve"> "</w:t>
      </w:r>
      <w:r w:rsidRPr="00C45BD2">
        <w:rPr>
          <w:rFonts w:hint="eastAsia"/>
          <w:rtl/>
        </w:rPr>
        <w:t>שימוש</w:t>
      </w:r>
      <w:r w:rsidRPr="00C45BD2">
        <w:rPr>
          <w:rtl/>
        </w:rPr>
        <w:t xml:space="preserve"> </w:t>
      </w:r>
      <w:r w:rsidRPr="00C45BD2">
        <w:rPr>
          <w:rFonts w:hint="eastAsia"/>
          <w:rtl/>
        </w:rPr>
        <w:t>לרעה</w:t>
      </w:r>
      <w:r w:rsidRPr="00C45BD2">
        <w:rPr>
          <w:rtl/>
        </w:rPr>
        <w:t xml:space="preserve"> </w:t>
      </w:r>
      <w:r w:rsidRPr="00C45BD2">
        <w:rPr>
          <w:rFonts w:hint="eastAsia"/>
          <w:rtl/>
        </w:rPr>
        <w:t>בסמכות</w:t>
      </w:r>
      <w:r w:rsidRPr="00C45BD2">
        <w:rPr>
          <w:rtl/>
        </w:rPr>
        <w:t xml:space="preserve"> </w:t>
      </w:r>
      <w:r w:rsidRPr="00C45BD2">
        <w:rPr>
          <w:rFonts w:hint="eastAsia"/>
          <w:rtl/>
        </w:rPr>
        <w:t>מכוננת</w:t>
      </w:r>
      <w:r>
        <w:rPr>
          <w:rtl/>
        </w:rPr>
        <w:t>"</w:t>
      </w:r>
      <w:r>
        <w:rPr>
          <w:rFonts w:hint="cs"/>
          <w:rtl/>
        </w:rPr>
        <w:t xml:space="preserve">. דוקטרינה זו, אשר עשויה לגלוש אל עבר בחינת מאפיינים מהותיים שונים, תוך הותרת פתח רחב מאוד וגמיש לשיקול דעת שיפוטי, אינה פשוטה כלל ועיקר. על כן, איני יכול להסכים עם דברי הביקורת שהעבירו חלק מחבריי על תוכנו של תיקון חוק היסוד והמניעים שעמדו מאחוריו. </w:t>
      </w:r>
      <w:r w:rsidRPr="00FE1219">
        <w:rPr>
          <w:rFonts w:ascii="Arial TUR" w:hAnsi="Arial TUR" w:hint="cs"/>
          <w:sz w:val="22"/>
          <w:rtl/>
        </w:rPr>
        <w:t xml:space="preserve">רק אזכיר, </w:t>
      </w:r>
      <w:r>
        <w:rPr>
          <w:rFonts w:hint="cs"/>
          <w:rtl/>
        </w:rPr>
        <w:t xml:space="preserve">כי גם לפי ההלכה שנפסקה בבית משפט זה, </w:t>
      </w:r>
      <w:r w:rsidRPr="00042782">
        <w:rPr>
          <w:rFonts w:hint="eastAsia"/>
          <w:rtl/>
        </w:rPr>
        <w:t>מניע</w:t>
      </w:r>
      <w:r w:rsidRPr="00042782">
        <w:rPr>
          <w:rtl/>
        </w:rPr>
        <w:t xml:space="preserve"> </w:t>
      </w:r>
      <w:r w:rsidRPr="00042782">
        <w:rPr>
          <w:rFonts w:hint="eastAsia"/>
          <w:rtl/>
        </w:rPr>
        <w:t>לדבר</w:t>
      </w:r>
      <w:r w:rsidRPr="00042782">
        <w:rPr>
          <w:rtl/>
        </w:rPr>
        <w:t xml:space="preserve"> </w:t>
      </w:r>
      <w:r w:rsidRPr="00E73C43">
        <w:rPr>
          <w:rFonts w:hint="eastAsia"/>
          <w:rtl/>
        </w:rPr>
        <w:t>חקיקה</w:t>
      </w:r>
      <w:r w:rsidRPr="00E73C43">
        <w:rPr>
          <w:rtl/>
        </w:rPr>
        <w:t xml:space="preserve"> –</w:t>
      </w:r>
      <w:r w:rsidRPr="00E73C43">
        <w:rPr>
          <w:rFonts w:hint="cs"/>
          <w:rtl/>
        </w:rPr>
        <w:t xml:space="preserve"> אף מניע "פוליטי" </w:t>
      </w:r>
      <w:r w:rsidRPr="00E73C43">
        <w:rPr>
          <w:rtl/>
        </w:rPr>
        <w:t>–</w:t>
      </w:r>
      <w:r w:rsidRPr="00E73C43">
        <w:rPr>
          <w:rFonts w:hint="cs"/>
          <w:rtl/>
        </w:rPr>
        <w:t xml:space="preserve"> אינו עומד כשלעצמו כעילה לביקורת שיפוטית </w:t>
      </w:r>
      <w:r w:rsidRPr="00E73C43">
        <w:rPr>
          <w:rFonts w:hint="eastAsia"/>
          <w:rtl/>
        </w:rPr>
        <w:t>של</w:t>
      </w:r>
      <w:r w:rsidRPr="00E73C43">
        <w:rPr>
          <w:rtl/>
        </w:rPr>
        <w:t xml:space="preserve"> </w:t>
      </w:r>
      <w:r w:rsidRPr="00E73C43">
        <w:rPr>
          <w:rFonts w:hint="eastAsia"/>
          <w:rtl/>
        </w:rPr>
        <w:t>דבר</w:t>
      </w:r>
      <w:r w:rsidRPr="00E73C43">
        <w:rPr>
          <w:rtl/>
        </w:rPr>
        <w:t xml:space="preserve"> </w:t>
      </w:r>
      <w:r w:rsidRPr="00E73C43">
        <w:rPr>
          <w:rFonts w:hint="eastAsia"/>
          <w:rtl/>
        </w:rPr>
        <w:t>ח</w:t>
      </w:r>
      <w:r w:rsidRPr="00042782">
        <w:rPr>
          <w:rFonts w:hint="eastAsia"/>
          <w:rtl/>
        </w:rPr>
        <w:t>וק</w:t>
      </w:r>
      <w:r w:rsidRPr="00042782">
        <w:rPr>
          <w:rtl/>
        </w:rPr>
        <w:t xml:space="preserve">, </w:t>
      </w:r>
      <w:r w:rsidRPr="00042782">
        <w:rPr>
          <w:rFonts w:hint="eastAsia"/>
          <w:rtl/>
        </w:rPr>
        <w:t>בוודאי</w:t>
      </w:r>
      <w:r w:rsidRPr="00042782">
        <w:rPr>
          <w:rtl/>
        </w:rPr>
        <w:t xml:space="preserve"> </w:t>
      </w:r>
      <w:r w:rsidRPr="00042782">
        <w:rPr>
          <w:rFonts w:hint="eastAsia"/>
          <w:rtl/>
        </w:rPr>
        <w:t>לא</w:t>
      </w:r>
      <w:r w:rsidRPr="00042782">
        <w:rPr>
          <w:rtl/>
        </w:rPr>
        <w:t xml:space="preserve"> </w:t>
      </w:r>
      <w:r w:rsidRPr="00042782">
        <w:rPr>
          <w:rFonts w:hint="eastAsia"/>
          <w:rtl/>
        </w:rPr>
        <w:t>חקיקת</w:t>
      </w:r>
      <w:r w:rsidRPr="00042782">
        <w:rPr>
          <w:rtl/>
        </w:rPr>
        <w:t xml:space="preserve"> </w:t>
      </w:r>
      <w:r w:rsidRPr="00042782">
        <w:rPr>
          <w:rFonts w:hint="eastAsia"/>
          <w:rtl/>
        </w:rPr>
        <w:t>יסוד</w:t>
      </w:r>
      <w:r w:rsidRPr="00042782">
        <w:rPr>
          <w:rtl/>
        </w:rPr>
        <w:t xml:space="preserve"> (</w:t>
      </w:r>
      <w:r w:rsidRPr="00042782">
        <w:rPr>
          <w:rFonts w:hint="eastAsia"/>
          <w:rtl/>
        </w:rPr>
        <w:t>וראו</w:t>
      </w:r>
      <w:r w:rsidRPr="00042782">
        <w:rPr>
          <w:rtl/>
        </w:rPr>
        <w:t xml:space="preserve"> </w:t>
      </w:r>
      <w:r w:rsidRPr="00042782">
        <w:rPr>
          <w:rFonts w:hint="eastAsia"/>
          <w:rtl/>
        </w:rPr>
        <w:t>למשל</w:t>
      </w:r>
      <w:r w:rsidRPr="00042782">
        <w:rPr>
          <w:rtl/>
        </w:rPr>
        <w:t xml:space="preserve">: </w:t>
      </w:r>
      <w:r w:rsidRPr="00042782">
        <w:rPr>
          <w:rFonts w:hint="eastAsia"/>
          <w:rtl/>
        </w:rPr>
        <w:t>בג</w:t>
      </w:r>
      <w:r w:rsidRPr="00042782">
        <w:rPr>
          <w:rtl/>
        </w:rPr>
        <w:t>"</w:t>
      </w:r>
      <w:r w:rsidRPr="00042782">
        <w:rPr>
          <w:rFonts w:hint="eastAsia"/>
          <w:rtl/>
        </w:rPr>
        <w:t>ץ</w:t>
      </w:r>
      <w:r w:rsidRPr="00042782">
        <w:rPr>
          <w:rtl/>
        </w:rPr>
        <w:t xml:space="preserve"> 5160/99 </w:t>
      </w:r>
      <w:r w:rsidRPr="00FE1219">
        <w:rPr>
          <w:rFonts w:ascii="Century" w:hAnsi="Century" w:cs="Miriam" w:hint="eastAsia"/>
          <w:b/>
          <w:spacing w:val="0"/>
          <w:sz w:val="22"/>
          <w:szCs w:val="24"/>
          <w:rtl/>
        </w:rPr>
        <w:t>התנועה</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למען</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איכות</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השלטון</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בישראל</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נ</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ועדת</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חוקה</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חוק</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ומשפט</w:t>
      </w:r>
      <w:r w:rsidRPr="00042782">
        <w:rPr>
          <w:rtl/>
        </w:rPr>
        <w:t xml:space="preserve">, </w:t>
      </w:r>
      <w:r w:rsidRPr="00042782">
        <w:rPr>
          <w:rFonts w:hint="eastAsia"/>
          <w:rtl/>
        </w:rPr>
        <w:t>פ</w:t>
      </w:r>
      <w:r>
        <w:rPr>
          <w:rFonts w:hint="cs"/>
          <w:rtl/>
        </w:rPr>
        <w:t>"</w:t>
      </w:r>
      <w:r w:rsidRPr="00042782">
        <w:rPr>
          <w:rFonts w:hint="eastAsia"/>
          <w:rtl/>
        </w:rPr>
        <w:t>ד</w:t>
      </w:r>
      <w:r w:rsidRPr="00042782">
        <w:rPr>
          <w:rtl/>
        </w:rPr>
        <w:t xml:space="preserve"> </w:t>
      </w:r>
      <w:r w:rsidRPr="00042782">
        <w:rPr>
          <w:rFonts w:hint="eastAsia"/>
          <w:rtl/>
        </w:rPr>
        <w:t>נג</w:t>
      </w:r>
      <w:r w:rsidRPr="00042782">
        <w:rPr>
          <w:rtl/>
        </w:rPr>
        <w:t>(4) 92, 96 (1999)</w:t>
      </w:r>
      <w:r>
        <w:rPr>
          <w:rFonts w:hint="cs"/>
          <w:rtl/>
        </w:rPr>
        <w:t>;</w:t>
      </w:r>
      <w:r w:rsidRPr="00CC5B27">
        <w:rPr>
          <w:rFonts w:hint="eastAsia"/>
          <w:rtl/>
        </w:rPr>
        <w:t xml:space="preserve"> </w:t>
      </w:r>
      <w:r w:rsidRPr="00800C14">
        <w:rPr>
          <w:rFonts w:hint="eastAsia"/>
          <w:rtl/>
        </w:rPr>
        <w:t>בג</w:t>
      </w:r>
      <w:r w:rsidRPr="00800C14">
        <w:rPr>
          <w:rFonts w:hint="cs"/>
          <w:rtl/>
        </w:rPr>
        <w:t>"</w:t>
      </w:r>
      <w:r w:rsidRPr="00800C14">
        <w:rPr>
          <w:rFonts w:hint="eastAsia"/>
          <w:rtl/>
        </w:rPr>
        <w:t>ץ</w:t>
      </w:r>
      <w:r w:rsidRPr="00800C14">
        <w:rPr>
          <w:rtl/>
        </w:rPr>
        <w:t xml:space="preserve"> 4908/10</w:t>
      </w:r>
      <w:r w:rsidRPr="00800C14">
        <w:rPr>
          <w:rFonts w:hint="cs"/>
          <w:rtl/>
        </w:rPr>
        <w:t xml:space="preserve"> </w:t>
      </w:r>
      <w:r w:rsidRPr="00FE1219">
        <w:rPr>
          <w:rFonts w:ascii="Century" w:hAnsi="Century" w:cs="Miriam" w:hint="eastAsia"/>
          <w:b/>
          <w:spacing w:val="0"/>
          <w:sz w:val="22"/>
          <w:szCs w:val="24"/>
          <w:rtl/>
        </w:rPr>
        <w:t>ח</w:t>
      </w:r>
      <w:r w:rsidRPr="00FE1219">
        <w:rPr>
          <w:rFonts w:ascii="Century" w:hAnsi="Century" w:cs="Miriam"/>
          <w:b/>
          <w:spacing w:val="0"/>
          <w:sz w:val="22"/>
          <w:szCs w:val="24"/>
          <w:rtl/>
        </w:rPr>
        <w:t>"</w:t>
      </w:r>
      <w:r w:rsidRPr="00FE1219">
        <w:rPr>
          <w:rFonts w:ascii="Century" w:hAnsi="Century" w:cs="Miriam" w:hint="eastAsia"/>
          <w:b/>
          <w:spacing w:val="0"/>
          <w:sz w:val="22"/>
          <w:szCs w:val="24"/>
          <w:rtl/>
        </w:rPr>
        <w:t>כ</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רוני</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בר</w:t>
      </w:r>
      <w:r w:rsidRPr="00FE1219">
        <w:rPr>
          <w:rFonts w:ascii="Century" w:hAnsi="Century" w:cs="Miriam"/>
          <w:b/>
          <w:spacing w:val="0"/>
          <w:sz w:val="22"/>
          <w:szCs w:val="24"/>
          <w:rtl/>
        </w:rPr>
        <w:t>-</w:t>
      </w:r>
      <w:r w:rsidRPr="00FE1219">
        <w:rPr>
          <w:rFonts w:ascii="Century" w:hAnsi="Century" w:cs="Miriam" w:hint="eastAsia"/>
          <w:b/>
          <w:spacing w:val="0"/>
          <w:sz w:val="22"/>
          <w:szCs w:val="24"/>
          <w:rtl/>
        </w:rPr>
        <w:t>און</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נ</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כנסת</w:t>
      </w:r>
      <w:r w:rsidRPr="00FE1219">
        <w:rPr>
          <w:rFonts w:ascii="Century" w:hAnsi="Century" w:cs="Miriam"/>
          <w:b/>
          <w:spacing w:val="0"/>
          <w:sz w:val="22"/>
          <w:szCs w:val="24"/>
          <w:rtl/>
        </w:rPr>
        <w:t xml:space="preserve"> </w:t>
      </w:r>
      <w:r w:rsidRPr="00FE1219">
        <w:rPr>
          <w:rFonts w:ascii="Century" w:hAnsi="Century" w:cs="Miriam" w:hint="eastAsia"/>
          <w:b/>
          <w:spacing w:val="0"/>
          <w:sz w:val="22"/>
          <w:szCs w:val="24"/>
          <w:rtl/>
        </w:rPr>
        <w:t>ישראל</w:t>
      </w:r>
      <w:r w:rsidRPr="00800C14">
        <w:rPr>
          <w:rtl/>
        </w:rPr>
        <w:t xml:space="preserve">, </w:t>
      </w:r>
      <w:r w:rsidRPr="00800C14">
        <w:rPr>
          <w:rFonts w:hint="eastAsia"/>
          <w:rtl/>
        </w:rPr>
        <w:t>פ</w:t>
      </w:r>
      <w:r>
        <w:rPr>
          <w:rFonts w:hint="cs"/>
          <w:rtl/>
        </w:rPr>
        <w:t>"</w:t>
      </w:r>
      <w:r w:rsidRPr="00800C14">
        <w:rPr>
          <w:rFonts w:hint="eastAsia"/>
          <w:rtl/>
        </w:rPr>
        <w:t>ד</w:t>
      </w:r>
      <w:r w:rsidRPr="00800C14">
        <w:rPr>
          <w:rtl/>
        </w:rPr>
        <w:t xml:space="preserve"> </w:t>
      </w:r>
      <w:r w:rsidRPr="00800C14">
        <w:rPr>
          <w:rFonts w:hint="eastAsia"/>
          <w:rtl/>
        </w:rPr>
        <w:t>סד</w:t>
      </w:r>
      <w:r w:rsidRPr="00800C14">
        <w:rPr>
          <w:rtl/>
        </w:rPr>
        <w:t>(3) 275</w:t>
      </w:r>
      <w:r w:rsidRPr="00800C14">
        <w:rPr>
          <w:rFonts w:hint="cs"/>
          <w:rtl/>
        </w:rPr>
        <w:t xml:space="preserve">, </w:t>
      </w:r>
      <w:r>
        <w:rPr>
          <w:rFonts w:hint="cs"/>
          <w:rtl/>
        </w:rPr>
        <w:t xml:space="preserve">296-295 </w:t>
      </w:r>
      <w:r w:rsidRPr="00800C14">
        <w:rPr>
          <w:rFonts w:hint="cs"/>
          <w:rtl/>
        </w:rPr>
        <w:t>(2011)</w:t>
      </w:r>
      <w:r>
        <w:rPr>
          <w:rFonts w:hint="cs"/>
          <w:rtl/>
        </w:rPr>
        <w:t xml:space="preserve">; </w:t>
      </w:r>
      <w:r w:rsidRPr="00FE1219">
        <w:rPr>
          <w:rFonts w:ascii="FrankRuehl" w:hAnsi="FrankRuehl" w:hint="cs"/>
          <w:color w:val="000000"/>
          <w:sz w:val="28"/>
          <w:rtl/>
        </w:rPr>
        <w:t xml:space="preserve">עניין </w:t>
      </w:r>
      <w:r w:rsidRPr="00FE1219">
        <w:rPr>
          <w:rFonts w:ascii="Century" w:hAnsi="Century" w:cs="Miriam" w:hint="cs"/>
          <w:b/>
          <w:spacing w:val="0"/>
          <w:sz w:val="22"/>
          <w:szCs w:val="24"/>
          <w:rtl/>
        </w:rPr>
        <w:t>התנועה למען איכות השלטון בישראל</w:t>
      </w:r>
      <w:r w:rsidRPr="00800C14">
        <w:rPr>
          <w:rFonts w:hint="cs"/>
          <w:rtl/>
        </w:rPr>
        <w:t xml:space="preserve">, פסקה 17 לפסק דינה של הנשיאה </w:t>
      </w:r>
      <w:r w:rsidRPr="00FE1219">
        <w:rPr>
          <w:rFonts w:ascii="Century" w:hAnsi="Century" w:cs="Miriam" w:hint="cs"/>
          <w:b/>
          <w:spacing w:val="0"/>
          <w:sz w:val="22"/>
          <w:szCs w:val="24"/>
          <w:rtl/>
        </w:rPr>
        <w:t>א' חיות</w:t>
      </w:r>
      <w:r w:rsidRPr="00800C14">
        <w:rPr>
          <w:rFonts w:hint="cs"/>
          <w:rtl/>
        </w:rPr>
        <w:t xml:space="preserve">). </w:t>
      </w:r>
    </w:p>
    <w:p w14:paraId="4CB23495" w14:textId="77777777" w:rsidR="00EF114E" w:rsidRDefault="00EF114E" w:rsidP="00EF114E">
      <w:pPr>
        <w:pStyle w:val="BODYVERDICT"/>
        <w:rPr>
          <w:rFonts w:cs="Miriam"/>
          <w:b/>
          <w:bCs/>
          <w:sz w:val="24"/>
          <w:szCs w:val="24"/>
          <w:rtl/>
        </w:rPr>
      </w:pPr>
    </w:p>
    <w:p w14:paraId="6B981004" w14:textId="77777777" w:rsidR="00636252" w:rsidRDefault="00636252" w:rsidP="00EF114E">
      <w:pPr>
        <w:pStyle w:val="BODYVERDICT"/>
        <w:rPr>
          <w:rFonts w:cs="Miriam"/>
          <w:b/>
          <w:bCs/>
          <w:sz w:val="24"/>
          <w:szCs w:val="24"/>
          <w:rtl/>
        </w:rPr>
      </w:pPr>
    </w:p>
    <w:p w14:paraId="43AB6C21"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p>
    <w:p w14:paraId="225FFF70" w14:textId="77777777" w:rsidR="00EF114E" w:rsidRDefault="00EF114E" w:rsidP="00EF114E">
      <w:pPr>
        <w:pStyle w:val="BODYVERDICT"/>
        <w:rPr>
          <w:rFonts w:ascii="FrankRuehl" w:hAnsi="FrankRuehl"/>
          <w:sz w:val="28"/>
          <w:rtl/>
        </w:rPr>
      </w:pPr>
    </w:p>
    <w:p w14:paraId="57D7302C" w14:textId="77777777" w:rsidR="00B65D90" w:rsidRDefault="00B65D90" w:rsidP="0045550F">
      <w:pPr>
        <w:pStyle w:val="BODYVERDICT"/>
        <w:rPr>
          <w:rFonts w:cs="Miriam"/>
          <w:sz w:val="24"/>
          <w:szCs w:val="24"/>
          <w:u w:val="single"/>
          <w:rtl/>
        </w:rPr>
      </w:pPr>
    </w:p>
    <w:p w14:paraId="755FE292" w14:textId="77777777" w:rsidR="00636252" w:rsidRDefault="00636252" w:rsidP="0045550F">
      <w:pPr>
        <w:pStyle w:val="BODYVERDICT"/>
        <w:rPr>
          <w:rFonts w:cs="Miriam"/>
          <w:sz w:val="24"/>
          <w:szCs w:val="24"/>
          <w:u w:val="single"/>
          <w:rtl/>
        </w:rPr>
      </w:pPr>
    </w:p>
    <w:p w14:paraId="7A83EC07" w14:textId="77777777" w:rsidR="00636252" w:rsidRDefault="00636252" w:rsidP="0045550F">
      <w:pPr>
        <w:pStyle w:val="BODYVERDICT"/>
        <w:rPr>
          <w:rFonts w:cs="Miriam"/>
          <w:sz w:val="24"/>
          <w:szCs w:val="24"/>
          <w:u w:val="single"/>
          <w:rtl/>
        </w:rPr>
      </w:pPr>
    </w:p>
    <w:p w14:paraId="3202C573" w14:textId="77777777" w:rsidR="00636252" w:rsidRDefault="00636252" w:rsidP="0045550F">
      <w:pPr>
        <w:pStyle w:val="BODYVERDICT"/>
        <w:rPr>
          <w:rFonts w:cs="Miriam"/>
          <w:sz w:val="24"/>
          <w:szCs w:val="24"/>
          <w:u w:val="single"/>
          <w:rtl/>
        </w:rPr>
      </w:pPr>
    </w:p>
    <w:p w14:paraId="2F5D9ED3" w14:textId="77777777" w:rsidR="00636252" w:rsidRDefault="00636252" w:rsidP="0045550F">
      <w:pPr>
        <w:pStyle w:val="BODYVERDICT"/>
        <w:rPr>
          <w:rFonts w:cs="Miriam"/>
          <w:sz w:val="24"/>
          <w:szCs w:val="24"/>
          <w:u w:val="single"/>
          <w:rtl/>
        </w:rPr>
      </w:pPr>
    </w:p>
    <w:p w14:paraId="35A2DA85" w14:textId="77777777" w:rsidR="00636252" w:rsidRDefault="00636252" w:rsidP="0045550F">
      <w:pPr>
        <w:pStyle w:val="BODYVERDICT"/>
        <w:rPr>
          <w:rFonts w:cs="Miriam"/>
          <w:sz w:val="24"/>
          <w:szCs w:val="24"/>
          <w:u w:val="single"/>
          <w:rtl/>
        </w:rPr>
      </w:pPr>
    </w:p>
    <w:p w14:paraId="43A6004D" w14:textId="77777777" w:rsidR="00636252" w:rsidRDefault="00636252" w:rsidP="0045550F">
      <w:pPr>
        <w:pStyle w:val="BODYVERDICT"/>
        <w:rPr>
          <w:rFonts w:cs="Miriam"/>
          <w:sz w:val="24"/>
          <w:szCs w:val="24"/>
          <w:u w:val="single"/>
          <w:rtl/>
        </w:rPr>
      </w:pPr>
    </w:p>
    <w:p w14:paraId="52665799" w14:textId="77777777" w:rsidR="00636252" w:rsidRDefault="00636252" w:rsidP="0045550F">
      <w:pPr>
        <w:pStyle w:val="BODYVERDICT"/>
        <w:rPr>
          <w:rFonts w:cs="Miriam"/>
          <w:sz w:val="24"/>
          <w:szCs w:val="24"/>
          <w:u w:val="single"/>
          <w:rtl/>
        </w:rPr>
      </w:pPr>
    </w:p>
    <w:p w14:paraId="3B3B6951" w14:textId="77777777" w:rsidR="00EF114E" w:rsidRDefault="00EF114E" w:rsidP="0045550F">
      <w:pPr>
        <w:pStyle w:val="BODYVERDICT"/>
        <w:rPr>
          <w:rFonts w:cs="Miriam"/>
          <w:b/>
          <w:bCs/>
          <w:sz w:val="24"/>
          <w:szCs w:val="24"/>
          <w:rtl/>
        </w:rPr>
      </w:pPr>
      <w:r w:rsidRPr="0083330E">
        <w:rPr>
          <w:rFonts w:cs="Miriam"/>
          <w:sz w:val="24"/>
          <w:szCs w:val="24"/>
          <w:u w:val="single"/>
          <w:rtl/>
        </w:rPr>
        <w:t>ה</w:t>
      </w:r>
      <w:r>
        <w:rPr>
          <w:rFonts w:cs="Miriam" w:hint="cs"/>
          <w:sz w:val="24"/>
          <w:szCs w:val="24"/>
          <w:u w:val="single"/>
          <w:rtl/>
        </w:rPr>
        <w:t>שופטת ע</w:t>
      </w:r>
      <w:r w:rsidR="0045550F">
        <w:rPr>
          <w:rFonts w:cs="Miriam" w:hint="cs"/>
          <w:sz w:val="24"/>
          <w:szCs w:val="24"/>
          <w:u w:val="single"/>
          <w:rtl/>
        </w:rPr>
        <w:t>'</w:t>
      </w:r>
      <w:r>
        <w:rPr>
          <w:rFonts w:cs="Miriam" w:hint="cs"/>
          <w:sz w:val="24"/>
          <w:szCs w:val="24"/>
          <w:u w:val="single"/>
          <w:rtl/>
        </w:rPr>
        <w:t xml:space="preserve"> ברון:</w:t>
      </w:r>
    </w:p>
    <w:p w14:paraId="71440F01" w14:textId="77777777" w:rsidR="00872AD0" w:rsidRDefault="00872AD0" w:rsidP="0045550F">
      <w:pPr>
        <w:pStyle w:val="BODYVERDICT"/>
        <w:rPr>
          <w:rFonts w:cs="Miriam"/>
          <w:b/>
          <w:bCs/>
          <w:sz w:val="24"/>
          <w:szCs w:val="24"/>
          <w:rtl/>
        </w:rPr>
      </w:pPr>
    </w:p>
    <w:p w14:paraId="5B009D9C" w14:textId="77777777" w:rsidR="00872AD0" w:rsidRDefault="00872AD0" w:rsidP="00872AD0">
      <w:pPr>
        <w:pStyle w:val="Ruller41"/>
        <w:rPr>
          <w:rtl/>
        </w:rPr>
      </w:pPr>
    </w:p>
    <w:p w14:paraId="41AB5A70" w14:textId="77777777" w:rsidR="00872AD0" w:rsidRDefault="00872AD0" w:rsidP="00872AD0">
      <w:pPr>
        <w:pStyle w:val="Ruller41"/>
        <w:rPr>
          <w:rtl/>
        </w:rPr>
      </w:pPr>
      <w:r>
        <w:rPr>
          <w:rFonts w:hint="cs"/>
          <w:rtl/>
        </w:rPr>
        <w:t>1.</w:t>
      </w:r>
      <w:r>
        <w:rPr>
          <w:rtl/>
        </w:rPr>
        <w:tab/>
      </w:r>
      <w:r>
        <w:rPr>
          <w:rFonts w:hint="cs"/>
          <w:rtl/>
        </w:rPr>
        <w:t>על פי ההלכה שהשתרשה בב</w:t>
      </w:r>
      <w:r w:rsidR="00004F20">
        <w:rPr>
          <w:rFonts w:hint="cs"/>
          <w:rtl/>
        </w:rPr>
        <w:t xml:space="preserve">ית משפט זה, עילת הסבירות משמשת </w:t>
      </w:r>
      <w:r>
        <w:rPr>
          <w:rFonts w:hint="cs"/>
          <w:rtl/>
        </w:rPr>
        <w:t xml:space="preserve">כלי מרכזי לפיקוח שיפוטי על מעשה המינהל </w:t>
      </w:r>
      <w:r>
        <w:rPr>
          <w:rtl/>
        </w:rPr>
        <w:t>–</w:t>
      </w:r>
      <w:r>
        <w:rPr>
          <w:rFonts w:hint="cs"/>
          <w:rtl/>
        </w:rPr>
        <w:t xml:space="preserve"> זאת תוך הקפדה שלא להסיג את מרחב שיקול הדעת הנתון לרשות בעת הפעלת סמכויותיה כדין. בהקשר של סמכות ראש הממשלה למנות שרים ולהרכיב ממשלה, כבר נפסק כי מינויו של שר באופן המסב פגיעה חמורה לערכי היסוד והעקרונות האתיים שעליהם בנויים החברה והמשטר בישראל, הוא מינוי </w:t>
      </w:r>
      <w:r w:rsidRPr="004633EA">
        <w:rPr>
          <w:rFonts w:ascii="Century" w:hAnsi="Century" w:hint="cs"/>
          <w:rtl/>
        </w:rPr>
        <w:t xml:space="preserve">בלתי סביר </w:t>
      </w:r>
      <w:r>
        <w:rPr>
          <w:rFonts w:hint="cs"/>
          <w:rtl/>
        </w:rPr>
        <w:t xml:space="preserve">עד כדי שדינו להתבטל. </w:t>
      </w:r>
    </w:p>
    <w:p w14:paraId="65B962B0" w14:textId="77777777" w:rsidR="00872AD0" w:rsidRDefault="00872AD0" w:rsidP="00872AD0">
      <w:pPr>
        <w:pStyle w:val="Ruller41"/>
        <w:rPr>
          <w:rtl/>
        </w:rPr>
      </w:pPr>
    </w:p>
    <w:p w14:paraId="140BD846" w14:textId="77777777" w:rsidR="00872AD0" w:rsidRDefault="00872AD0" w:rsidP="00872AD0">
      <w:pPr>
        <w:pStyle w:val="Ruller41"/>
        <w:rPr>
          <w:rtl/>
        </w:rPr>
      </w:pPr>
      <w:r>
        <w:rPr>
          <w:rtl/>
        </w:rPr>
        <w:tab/>
      </w:r>
      <w:r>
        <w:rPr>
          <w:rFonts w:hint="cs"/>
          <w:rtl/>
        </w:rPr>
        <w:t xml:space="preserve">ב-בג"ץ 3095/15 </w:t>
      </w:r>
      <w:r w:rsidRPr="00236C7E">
        <w:rPr>
          <w:rFonts w:ascii="Century" w:hAnsi="Century" w:cs="Miriam" w:hint="cs"/>
          <w:b/>
          <w:spacing w:val="0"/>
          <w:szCs w:val="24"/>
          <w:rtl/>
        </w:rPr>
        <w:t>התנועה למען איכות השלטון בישראל נ' ראש ממשלת ישראל</w:t>
      </w:r>
      <w:r>
        <w:rPr>
          <w:rFonts w:hint="cs"/>
          <w:rtl/>
        </w:rPr>
        <w:t xml:space="preserve"> (13.8.2015) (להלן: </w:t>
      </w:r>
      <w:r w:rsidRPr="00236C7E">
        <w:rPr>
          <w:rFonts w:ascii="Century" w:hAnsi="Century" w:cs="Miriam" w:hint="cs"/>
          <w:b/>
          <w:spacing w:val="0"/>
          <w:szCs w:val="24"/>
          <w:rtl/>
        </w:rPr>
        <w:t>עניין דרעי 2015</w:t>
      </w:r>
      <w:r>
        <w:rPr>
          <w:rFonts w:ascii="Century" w:hAnsi="Century" w:hint="cs"/>
          <w:rtl/>
        </w:rPr>
        <w:t xml:space="preserve">) נקבע כי חבר הכנסת הרב אריה מכלוף דרעי (להלן: </w:t>
      </w:r>
      <w:r w:rsidRPr="00500531">
        <w:rPr>
          <w:rFonts w:ascii="Century" w:hAnsi="Century" w:cs="Miriam" w:hint="cs"/>
          <w:b/>
          <w:spacing w:val="0"/>
          <w:szCs w:val="24"/>
          <w:rtl/>
        </w:rPr>
        <w:t>דרעי</w:t>
      </w:r>
      <w:r>
        <w:rPr>
          <w:rFonts w:ascii="Century" w:hAnsi="Century" w:hint="cs"/>
          <w:rtl/>
        </w:rPr>
        <w:t>) נושא עימו עבר פלילי מכביד בתחום טוהר המידות, באופן שחרף חלוף הזמן הממושך ממועד ביצוע העבירות (בשנות ה-80 וה-90 של המאה הקודמת) מינויו כשר לממשלה ה-34 "</w:t>
      </w:r>
      <w:r w:rsidRPr="00EC2ABD">
        <w:rPr>
          <w:rFonts w:ascii="Century" w:hAnsi="Century" w:cs="Miriam" w:hint="cs"/>
          <w:b/>
          <w:spacing w:val="0"/>
          <w:szCs w:val="24"/>
          <w:rtl/>
        </w:rPr>
        <w:t>מצוי על גבול מתחם הסבירות</w:t>
      </w:r>
      <w:r>
        <w:rPr>
          <w:rFonts w:hint="cs"/>
          <w:rtl/>
        </w:rPr>
        <w:t xml:space="preserve">". באותו עניין בית המשפט לא התערב במינויו כשר הכלכלה ופיתוח הנגב והגליל, אולם מאז שניתן פסק הדין בשנת 2015 השתנו הנסיבות שינוי מהותי. דרעי הורשע בביצוע עבירות פליליות נוספות, הפעם בתחום המס (להלן: </w:t>
      </w:r>
      <w:r w:rsidRPr="00500531">
        <w:rPr>
          <w:rFonts w:ascii="Century" w:hAnsi="Century" w:cs="Miriam" w:hint="cs"/>
          <w:b/>
          <w:spacing w:val="0"/>
          <w:szCs w:val="24"/>
          <w:rtl/>
        </w:rPr>
        <w:t>עבירות המס</w:t>
      </w:r>
      <w:r>
        <w:rPr>
          <w:rFonts w:hint="cs"/>
          <w:rtl/>
        </w:rPr>
        <w:t xml:space="preserve">); עונש מאסר על תנאי שהושת עליו עודנו תלוי ועומד; חרף הוראתו המפורשת של חוק-יסוד: הממשלה, דרעי עשה כל שביכולתו על מנת להימנע מהכרעה בשאלה אם דבק קלון בעבירות שבהן הורשע, עד כדי שינוי חקיקת יסוד לטובתו האישית; וחמור לא פחות, מינויו לתפקיד שר מהווה הפרה בוטה של המצג שהציג בפני בית משפט השלום בדבר פרישתו מהחיים הפוליטיים, מצג שווא ששימש נימוק ומסד לאישור הסדר הטיעון שעליו חתם בקשר עם עבירות המס. נסיבות אלה, לא כל שכן הצטברותן, מובילות למסקנה אחת ברורה </w:t>
      </w:r>
      <w:r>
        <w:rPr>
          <w:rtl/>
        </w:rPr>
        <w:t>–</w:t>
      </w:r>
      <w:r>
        <w:rPr>
          <w:rFonts w:hint="cs"/>
          <w:rtl/>
        </w:rPr>
        <w:t xml:space="preserve"> והיא שגבול הסבירות שסומן בעניין </w:t>
      </w:r>
      <w:r w:rsidRPr="00EE58BF">
        <w:rPr>
          <w:rFonts w:ascii="Century" w:hAnsi="Century" w:cs="Miriam" w:hint="cs"/>
          <w:b/>
          <w:spacing w:val="0"/>
          <w:szCs w:val="24"/>
          <w:rtl/>
        </w:rPr>
        <w:t>דרעי 2015</w:t>
      </w:r>
      <w:r>
        <w:rPr>
          <w:rFonts w:hint="cs"/>
          <w:rtl/>
        </w:rPr>
        <w:t xml:space="preserve"> נחצה ברגל גסה.</w:t>
      </w:r>
    </w:p>
    <w:p w14:paraId="2574C335" w14:textId="77777777" w:rsidR="00872AD0" w:rsidRDefault="00872AD0" w:rsidP="00872AD0">
      <w:pPr>
        <w:pStyle w:val="Ruller41"/>
        <w:rPr>
          <w:rtl/>
        </w:rPr>
      </w:pPr>
    </w:p>
    <w:p w14:paraId="0B719090" w14:textId="77777777" w:rsidR="00872AD0" w:rsidRPr="00CF245B" w:rsidRDefault="00872AD0" w:rsidP="00872AD0">
      <w:pPr>
        <w:pStyle w:val="Ruller41"/>
        <w:rPr>
          <w:rtl/>
        </w:rPr>
      </w:pPr>
      <w:r>
        <w:rPr>
          <w:rFonts w:hint="cs"/>
          <w:rtl/>
        </w:rPr>
        <w:t>2.</w:t>
      </w:r>
      <w:r>
        <w:rPr>
          <w:rtl/>
        </w:rPr>
        <w:tab/>
      </w:r>
      <w:r>
        <w:rPr>
          <w:rFonts w:hint="cs"/>
          <w:rtl/>
        </w:rPr>
        <w:t xml:space="preserve">אני מסכימה אפוא עם פסק דינה של חברתי הנשיאה </w:t>
      </w:r>
      <w:r w:rsidRPr="00033549">
        <w:rPr>
          <w:rFonts w:ascii="Century" w:hAnsi="Century" w:cs="Miriam" w:hint="cs"/>
          <w:b/>
          <w:spacing w:val="0"/>
          <w:szCs w:val="24"/>
          <w:rtl/>
        </w:rPr>
        <w:t>א' חיות</w:t>
      </w:r>
      <w:r>
        <w:rPr>
          <w:rFonts w:hint="cs"/>
          <w:rtl/>
        </w:rPr>
        <w:t xml:space="preserve">, על כל נימוקיו, ולקביעתה שלפיה מינויו של דרעי לשר בממשלה ה-37 לוקה באי-סבירות קיצונית המחייבת את ראש הממשלה להעבירו מתפקידו כשר הפנים וכשר הבריאות. כן אני מצטרפת לחוות דעתו של חברי המשנה לנשיאה </w:t>
      </w:r>
      <w:r w:rsidRPr="00033549">
        <w:rPr>
          <w:rFonts w:ascii="Century" w:hAnsi="Century" w:cs="Miriam" w:hint="cs"/>
          <w:b/>
          <w:spacing w:val="0"/>
          <w:szCs w:val="24"/>
          <w:rtl/>
        </w:rPr>
        <w:t>ע' פוגלמן</w:t>
      </w:r>
      <w:r w:rsidRPr="00033549">
        <w:rPr>
          <w:rFonts w:hint="cs"/>
          <w:rtl/>
        </w:rPr>
        <w:t xml:space="preserve"> </w:t>
      </w:r>
      <w:r>
        <w:rPr>
          <w:rFonts w:hint="cs"/>
          <w:rtl/>
        </w:rPr>
        <w:t xml:space="preserve">בנדון, ולדבריהם בהקשר זה של חבריי השופט </w:t>
      </w:r>
      <w:r w:rsidRPr="00F023BB">
        <w:rPr>
          <w:rFonts w:ascii="Century" w:hAnsi="Century" w:cs="Miriam" w:hint="cs"/>
          <w:b/>
          <w:spacing w:val="0"/>
          <w:szCs w:val="24"/>
          <w:rtl/>
        </w:rPr>
        <w:t>י' עמית</w:t>
      </w:r>
      <w:r>
        <w:rPr>
          <w:rFonts w:hint="cs"/>
          <w:rtl/>
        </w:rPr>
        <w:t xml:space="preserve">, השופט </w:t>
      </w:r>
      <w:r w:rsidRPr="00F023BB">
        <w:rPr>
          <w:rFonts w:ascii="Century" w:hAnsi="Century" w:cs="Miriam" w:hint="cs"/>
          <w:b/>
          <w:spacing w:val="0"/>
          <w:szCs w:val="24"/>
          <w:rtl/>
        </w:rPr>
        <w:t>ח' כבוב</w:t>
      </w:r>
      <w:r>
        <w:rPr>
          <w:rFonts w:hint="cs"/>
          <w:rtl/>
        </w:rPr>
        <w:t xml:space="preserve"> והשופטת </w:t>
      </w:r>
      <w:r w:rsidRPr="00F83DCD">
        <w:rPr>
          <w:rFonts w:ascii="Century" w:hAnsi="Century" w:cs="Miriam" w:hint="cs"/>
          <w:b/>
          <w:spacing w:val="0"/>
          <w:szCs w:val="24"/>
          <w:rtl/>
        </w:rPr>
        <w:t>י' וילנר</w:t>
      </w:r>
      <w:r>
        <w:rPr>
          <w:rFonts w:hint="cs"/>
          <w:rtl/>
        </w:rPr>
        <w:t xml:space="preserve">.      </w:t>
      </w:r>
      <w:r>
        <w:rPr>
          <w:rFonts w:ascii="Century" w:hAnsi="Century" w:hint="cs"/>
          <w:rtl/>
        </w:rPr>
        <w:t xml:space="preserve">   </w:t>
      </w:r>
    </w:p>
    <w:p w14:paraId="1EC3A2A8" w14:textId="77777777" w:rsidR="00872AD0" w:rsidRDefault="00872AD0" w:rsidP="00872AD0">
      <w:pPr>
        <w:pStyle w:val="Ruller41"/>
        <w:rPr>
          <w:rFonts w:ascii="Century" w:hAnsi="Century"/>
          <w:rtl/>
        </w:rPr>
      </w:pPr>
    </w:p>
    <w:p w14:paraId="5243BF4D" w14:textId="77777777" w:rsidR="00872AD0" w:rsidRPr="0021063D" w:rsidRDefault="00872AD0" w:rsidP="00872AD0">
      <w:pPr>
        <w:pStyle w:val="Ruller41"/>
        <w:rPr>
          <w:rFonts w:ascii="Century" w:hAnsi="Century"/>
          <w:rtl/>
        </w:rPr>
      </w:pPr>
      <w:r>
        <w:rPr>
          <w:rFonts w:ascii="Century" w:hAnsi="Century"/>
          <w:rtl/>
        </w:rPr>
        <w:lastRenderedPageBreak/>
        <w:tab/>
      </w:r>
      <w:r>
        <w:rPr>
          <w:rFonts w:ascii="Century" w:hAnsi="Century" w:hint="cs"/>
          <w:rtl/>
        </w:rPr>
        <w:t xml:space="preserve">קראתי את חוות דעתם של חבריי השופטת </w:t>
      </w:r>
      <w:r w:rsidRPr="009876FD">
        <w:rPr>
          <w:rFonts w:ascii="Century" w:hAnsi="Century" w:cs="Miriam" w:hint="cs"/>
          <w:b/>
          <w:spacing w:val="0"/>
          <w:szCs w:val="24"/>
          <w:rtl/>
        </w:rPr>
        <w:t>ד' ברק-ארז</w:t>
      </w:r>
      <w:r>
        <w:rPr>
          <w:rFonts w:ascii="Century" w:hAnsi="Century" w:hint="cs"/>
          <w:rtl/>
        </w:rPr>
        <w:t>,</w:t>
      </w:r>
      <w:r w:rsidRPr="009876FD">
        <w:rPr>
          <w:rFonts w:ascii="Century" w:hAnsi="Century" w:hint="cs"/>
          <w:rtl/>
        </w:rPr>
        <w:t xml:space="preserve"> </w:t>
      </w:r>
      <w:r>
        <w:rPr>
          <w:rFonts w:ascii="Century" w:hAnsi="Century" w:hint="cs"/>
          <w:rtl/>
        </w:rPr>
        <w:t xml:space="preserve">השופט </w:t>
      </w:r>
      <w:r w:rsidRPr="009876FD">
        <w:rPr>
          <w:rFonts w:ascii="Century" w:hAnsi="Century" w:cs="Miriam" w:hint="cs"/>
          <w:b/>
          <w:spacing w:val="0"/>
          <w:szCs w:val="24"/>
          <w:rtl/>
        </w:rPr>
        <w:t>א' שטיין</w:t>
      </w:r>
      <w:r>
        <w:rPr>
          <w:rFonts w:ascii="Century" w:hAnsi="Century" w:cs="Miriam" w:hint="cs"/>
          <w:b/>
          <w:spacing w:val="0"/>
          <w:szCs w:val="24"/>
          <w:rtl/>
        </w:rPr>
        <w:t xml:space="preserve"> </w:t>
      </w:r>
      <w:r w:rsidRPr="006F5876">
        <w:rPr>
          <w:rFonts w:ascii="Century" w:hAnsi="Century" w:hint="cs"/>
          <w:rtl/>
        </w:rPr>
        <w:t>והשופט</w:t>
      </w:r>
      <w:r w:rsidRPr="006F5876">
        <w:rPr>
          <w:rFonts w:ascii="Century" w:hAnsi="Century" w:cs="Miriam" w:hint="cs"/>
          <w:b/>
          <w:spacing w:val="0"/>
          <w:szCs w:val="24"/>
          <w:rtl/>
        </w:rPr>
        <w:t xml:space="preserve"> </w:t>
      </w:r>
      <w:r>
        <w:rPr>
          <w:rFonts w:ascii="Century" w:hAnsi="Century" w:cs="Miriam" w:hint="cs"/>
          <w:b/>
          <w:spacing w:val="0"/>
          <w:szCs w:val="24"/>
          <w:rtl/>
        </w:rPr>
        <w:t>ד' מינץ</w:t>
      </w:r>
      <w:r>
        <w:rPr>
          <w:rFonts w:ascii="Century" w:hAnsi="Century" w:hint="cs"/>
          <w:rtl/>
        </w:rPr>
        <w:t xml:space="preserve">. כמוהם, אף אני סבורה כי יש פסול בהתנהלותו של דרעי ובפרט בהפרת התחייבותו לפרוש מהחיים הפוליטיים, התחייבות שעמד מאחוריה כל עוד שירתה את עניינו לצורך אישור הסדר הטיעון בעבירות המס </w:t>
      </w:r>
      <w:r>
        <w:rPr>
          <w:rFonts w:ascii="Century" w:hAnsi="Century"/>
          <w:rtl/>
        </w:rPr>
        <w:t>–</w:t>
      </w:r>
      <w:r>
        <w:rPr>
          <w:rFonts w:ascii="Century" w:hAnsi="Century" w:hint="cs"/>
          <w:rtl/>
        </w:rPr>
        <w:t xml:space="preserve"> וחזר בו ממנה בלי להניד עפעף מיד לאחר שההסדר אושר וכבר לא היה לו עניין בה. התנהלות מעין זאת מבזה את בית המשפט וחותרת תחת יסודות שלטון החוק, וכפי שציינתי נודע לה משקל משמעותי בבואנו לבחון את סבירות מינויו של דרעי כשר בממשלה. משכך איני נדרשת להכריע אם התנהלותו של דרעי אף מקימה מניעות או השתק בקשר עם מינויו, אך פטור בלא כלום אי אפשר. המקרה שלפנינו הוא מקרה מובהק המחייב את בית המשפט להוציא מלפניו אמירה ברורה: אדם שפעם אחר פעם במשך עשרות שנים ובעודו משמש בתפקידים ציבוריים בכירים, חוזר ומבצע עבירות פליליות מבלי להפנים את חומרת מעשיו ונוהג בזלזול מופגן כלפי בית משפט ושלטון החוק, אינו מתאים לשמש כשר במדינת ישראל. כך מתחייב משום הגנה על טוהר המידות של הממשלה ועל ניקיון כפיו של השלטון. לטעמי, לא ניתן "לעקוף" את הדיון בסוגיות מהותיות אלה תוך שימוש בכללים סטריליים של השתק ומניעות.</w:t>
      </w:r>
    </w:p>
    <w:p w14:paraId="0C0ED6A0" w14:textId="77777777" w:rsidR="00872AD0" w:rsidRDefault="00872AD0" w:rsidP="00872AD0">
      <w:pPr>
        <w:pStyle w:val="Ruller41"/>
        <w:spacing w:line="240" w:lineRule="auto"/>
        <w:rPr>
          <w:rtl/>
        </w:rPr>
      </w:pPr>
    </w:p>
    <w:p w14:paraId="304C6FF3" w14:textId="77777777" w:rsidR="00872AD0" w:rsidRPr="00B67090" w:rsidRDefault="00872AD0" w:rsidP="00872AD0">
      <w:pPr>
        <w:pStyle w:val="Ruller41"/>
        <w:rPr>
          <w:rFonts w:ascii="Century" w:hAnsi="Century" w:cs="Miriam"/>
          <w:b/>
          <w:spacing w:val="0"/>
          <w:szCs w:val="24"/>
          <w:rtl/>
        </w:rPr>
      </w:pPr>
      <w:r>
        <w:rPr>
          <w:rFonts w:ascii="Century" w:hAnsi="Century" w:cs="Miriam" w:hint="cs"/>
          <w:b/>
          <w:spacing w:val="0"/>
          <w:szCs w:val="24"/>
          <w:rtl/>
        </w:rPr>
        <w:t>עילת הסבירות ו</w:t>
      </w:r>
      <w:r w:rsidRPr="00B67090">
        <w:rPr>
          <w:rFonts w:ascii="Century" w:hAnsi="Century" w:cs="Miriam" w:hint="cs"/>
          <w:b/>
          <w:spacing w:val="0"/>
          <w:szCs w:val="24"/>
          <w:rtl/>
        </w:rPr>
        <w:t xml:space="preserve">כלל </w:t>
      </w:r>
      <w:r>
        <w:rPr>
          <w:rFonts w:ascii="Century" w:hAnsi="Century" w:cs="Miriam" w:hint="cs"/>
          <w:b/>
          <w:spacing w:val="0"/>
          <w:szCs w:val="24"/>
          <w:rtl/>
        </w:rPr>
        <w:t>ה</w:t>
      </w:r>
      <w:r w:rsidRPr="00B67090">
        <w:rPr>
          <w:rFonts w:ascii="Century" w:hAnsi="Century" w:cs="Miriam" w:hint="cs"/>
          <w:b/>
          <w:spacing w:val="0"/>
          <w:szCs w:val="24"/>
          <w:rtl/>
        </w:rPr>
        <w:t>"כשירות לחו</w:t>
      </w:r>
      <w:r>
        <w:rPr>
          <w:rFonts w:ascii="Century" w:hAnsi="Century" w:cs="Miriam" w:hint="cs"/>
          <w:b/>
          <w:spacing w:val="0"/>
          <w:szCs w:val="24"/>
          <w:rtl/>
        </w:rPr>
        <w:t>ד</w:t>
      </w:r>
      <w:r w:rsidRPr="00B67090">
        <w:rPr>
          <w:rFonts w:ascii="Century" w:hAnsi="Century" w:cs="Miriam" w:hint="cs"/>
          <w:b/>
          <w:spacing w:val="0"/>
          <w:szCs w:val="24"/>
          <w:rtl/>
        </w:rPr>
        <w:t xml:space="preserve"> וש</w:t>
      </w:r>
      <w:r>
        <w:rPr>
          <w:rFonts w:ascii="Century" w:hAnsi="Century" w:cs="Miriam" w:hint="cs"/>
          <w:b/>
          <w:spacing w:val="0"/>
          <w:szCs w:val="24"/>
          <w:rtl/>
        </w:rPr>
        <w:t>י</w:t>
      </w:r>
      <w:r w:rsidRPr="00B67090">
        <w:rPr>
          <w:rFonts w:ascii="Century" w:hAnsi="Century" w:cs="Miriam" w:hint="cs"/>
          <w:b/>
          <w:spacing w:val="0"/>
          <w:szCs w:val="24"/>
          <w:rtl/>
        </w:rPr>
        <w:t>קול דעת לחוד"</w:t>
      </w:r>
    </w:p>
    <w:p w14:paraId="7F6F7D1D" w14:textId="77777777" w:rsidR="00872AD0" w:rsidRDefault="00872AD0" w:rsidP="00872AD0">
      <w:pPr>
        <w:pStyle w:val="Ruller41"/>
        <w:spacing w:line="240" w:lineRule="auto"/>
        <w:rPr>
          <w:rtl/>
        </w:rPr>
      </w:pPr>
    </w:p>
    <w:p w14:paraId="731FB872" w14:textId="77777777" w:rsidR="00872AD0" w:rsidRDefault="00872AD0" w:rsidP="00872AD0">
      <w:pPr>
        <w:pStyle w:val="Ruller41"/>
        <w:rPr>
          <w:rtl/>
        </w:rPr>
      </w:pPr>
      <w:r>
        <w:rPr>
          <w:rFonts w:hint="cs"/>
          <w:rtl/>
        </w:rPr>
        <w:t>3.</w:t>
      </w:r>
      <w:r>
        <w:rPr>
          <w:rtl/>
        </w:rPr>
        <w:tab/>
      </w:r>
      <w:r>
        <w:rPr>
          <w:rFonts w:hint="cs"/>
          <w:rtl/>
        </w:rPr>
        <w:t xml:space="preserve">כידוע, במסגרת הפעלת הסמכות השלטונית נתון לרשות מתחם רחב של שיקול דעת. הדברים מקבלים משנה תוקף מקום שבו מדובר בהפעלת סמכותו של ראש הממשלה להרכיב ממשלה ולקבל את אמון הכנסת (עניין </w:t>
      </w:r>
      <w:r>
        <w:rPr>
          <w:rFonts w:ascii="Century" w:hAnsi="Century" w:cs="Miriam" w:hint="cs"/>
          <w:b/>
          <w:spacing w:val="0"/>
          <w:szCs w:val="24"/>
          <w:rtl/>
        </w:rPr>
        <w:t>דרעי 2015</w:t>
      </w:r>
      <w:r>
        <w:rPr>
          <w:rFonts w:hint="cs"/>
          <w:rtl/>
        </w:rPr>
        <w:t xml:space="preserve">, פסקה 23 לפסק דינה של השופטת </w:t>
      </w:r>
      <w:r w:rsidRPr="00236C7E">
        <w:rPr>
          <w:rFonts w:ascii="Century" w:hAnsi="Century" w:cs="Miriam" w:hint="cs"/>
          <w:b/>
          <w:spacing w:val="0"/>
          <w:szCs w:val="24"/>
          <w:rtl/>
        </w:rPr>
        <w:t>א' חיות</w:t>
      </w:r>
      <w:r>
        <w:rPr>
          <w:rFonts w:hint="cs"/>
          <w:rtl/>
        </w:rPr>
        <w:t xml:space="preserve">; בג"ץ 3059/15 </w:t>
      </w:r>
      <w:r w:rsidRPr="000A6B78">
        <w:rPr>
          <w:rFonts w:ascii="Century" w:hAnsi="Century" w:cs="Miriam" w:hint="cs"/>
          <w:b/>
          <w:spacing w:val="0"/>
          <w:szCs w:val="24"/>
          <w:rtl/>
        </w:rPr>
        <w:t xml:space="preserve">התנועה למען איכות השלטון בישראל נ' בנימין נתניהו, ראש </w:t>
      </w:r>
      <w:r>
        <w:rPr>
          <w:rFonts w:ascii="Century" w:hAnsi="Century" w:cs="Miriam" w:hint="cs"/>
          <w:b/>
          <w:spacing w:val="0"/>
          <w:szCs w:val="24"/>
          <w:rtl/>
        </w:rPr>
        <w:t>ממשלת ישראל</w:t>
      </w:r>
      <w:r>
        <w:rPr>
          <w:rFonts w:hint="cs"/>
          <w:rtl/>
        </w:rPr>
        <w:t xml:space="preserve">, פסקאות 25-22 לפסק דינו של השופט </w:t>
      </w:r>
      <w:r w:rsidRPr="000A6B78">
        <w:rPr>
          <w:rFonts w:ascii="Century" w:hAnsi="Century" w:cs="Miriam" w:hint="cs"/>
          <w:b/>
          <w:spacing w:val="0"/>
          <w:szCs w:val="24"/>
          <w:rtl/>
        </w:rPr>
        <w:t>ח' מלצר</w:t>
      </w:r>
      <w:r w:rsidRPr="000A6B78">
        <w:rPr>
          <w:rFonts w:hint="cs"/>
          <w:rtl/>
        </w:rPr>
        <w:t xml:space="preserve"> </w:t>
      </w:r>
      <w:r>
        <w:rPr>
          <w:rFonts w:hint="cs"/>
          <w:rtl/>
        </w:rPr>
        <w:t xml:space="preserve">(10.11.2015), להלן: </w:t>
      </w:r>
      <w:r w:rsidRPr="00DC32FF">
        <w:rPr>
          <w:rFonts w:ascii="Century" w:hAnsi="Century" w:cs="Miriam" w:hint="cs"/>
          <w:b/>
          <w:spacing w:val="0"/>
          <w:szCs w:val="24"/>
          <w:rtl/>
        </w:rPr>
        <w:t xml:space="preserve">עניין </w:t>
      </w:r>
      <w:proofErr w:type="spellStart"/>
      <w:r w:rsidRPr="00DC32FF">
        <w:rPr>
          <w:rFonts w:ascii="Century" w:hAnsi="Century" w:cs="Miriam" w:hint="cs"/>
          <w:b/>
          <w:spacing w:val="0"/>
          <w:szCs w:val="24"/>
          <w:rtl/>
        </w:rPr>
        <w:t>גלנט</w:t>
      </w:r>
      <w:proofErr w:type="spellEnd"/>
      <w:r>
        <w:rPr>
          <w:rFonts w:hint="cs"/>
          <w:rtl/>
        </w:rPr>
        <w:t xml:space="preserve">; בג"ץ 3997/14 </w:t>
      </w:r>
      <w:r w:rsidRPr="00D52240">
        <w:rPr>
          <w:rFonts w:ascii="Century" w:hAnsi="Century" w:cs="Miriam" w:hint="cs"/>
          <w:b/>
          <w:spacing w:val="0"/>
          <w:szCs w:val="24"/>
          <w:rtl/>
        </w:rPr>
        <w:t>התנועה למען איכות השלטון בישראל נ' שר החוץ</w:t>
      </w:r>
      <w:r>
        <w:rPr>
          <w:rFonts w:hint="cs"/>
          <w:rtl/>
        </w:rPr>
        <w:t xml:space="preserve">, פסקה 25 לפסק דינו של הנשיא (בדימ') </w:t>
      </w:r>
      <w:r w:rsidRPr="00D52240">
        <w:rPr>
          <w:rFonts w:ascii="Century" w:hAnsi="Century" w:cs="Miriam" w:hint="cs"/>
          <w:b/>
          <w:spacing w:val="0"/>
          <w:szCs w:val="24"/>
          <w:rtl/>
        </w:rPr>
        <w:t>א' גרוניס</w:t>
      </w:r>
      <w:r w:rsidRPr="00D52240">
        <w:rPr>
          <w:rFonts w:hint="cs"/>
          <w:rtl/>
        </w:rPr>
        <w:t xml:space="preserve"> </w:t>
      </w:r>
      <w:r>
        <w:rPr>
          <w:rFonts w:hint="cs"/>
          <w:rtl/>
        </w:rPr>
        <w:t xml:space="preserve">(12.2.2015), להלן: </w:t>
      </w:r>
      <w:r w:rsidRPr="001A3A9A">
        <w:rPr>
          <w:rFonts w:ascii="Century" w:hAnsi="Century" w:cs="Miriam" w:hint="cs"/>
          <w:b/>
          <w:spacing w:val="0"/>
          <w:szCs w:val="24"/>
          <w:rtl/>
        </w:rPr>
        <w:t xml:space="preserve">עניין הנגבי </w:t>
      </w:r>
      <w:r>
        <w:rPr>
          <w:rFonts w:ascii="Century" w:hAnsi="Century" w:cs="Miriam" w:hint="cs"/>
          <w:b/>
          <w:spacing w:val="0"/>
          <w:szCs w:val="24"/>
          <w:rtl/>
        </w:rPr>
        <w:t>2015</w:t>
      </w:r>
      <w:r>
        <w:rPr>
          <w:rFonts w:hint="cs"/>
          <w:rtl/>
        </w:rPr>
        <w:t>). עניין זה לובן והובהר בפסיקה זה מכבר:</w:t>
      </w:r>
    </w:p>
    <w:p w14:paraId="22F3D172" w14:textId="77777777" w:rsidR="00872AD0" w:rsidRDefault="00872AD0" w:rsidP="00872AD0">
      <w:pPr>
        <w:pStyle w:val="Ruller41"/>
        <w:spacing w:line="240" w:lineRule="auto"/>
        <w:rPr>
          <w:rtl/>
        </w:rPr>
      </w:pPr>
    </w:p>
    <w:p w14:paraId="7EB6C8C5" w14:textId="77777777" w:rsidR="00872AD0" w:rsidRDefault="00872AD0" w:rsidP="00872AD0">
      <w:pPr>
        <w:pStyle w:val="Ruller5"/>
        <w:rPr>
          <w:rtl/>
        </w:rPr>
      </w:pPr>
      <w:r>
        <w:rPr>
          <w:rFonts w:hint="cs"/>
          <w:rtl/>
        </w:rPr>
        <w:t>"</w:t>
      </w:r>
      <w:r w:rsidRPr="00E864EC">
        <w:rPr>
          <w:rFonts w:hint="eastAsia"/>
          <w:rtl/>
        </w:rPr>
        <w:t>בית</w:t>
      </w:r>
      <w:r w:rsidRPr="00E864EC">
        <w:rPr>
          <w:rtl/>
        </w:rPr>
        <w:t>-</w:t>
      </w:r>
      <w:r w:rsidRPr="00E864EC">
        <w:rPr>
          <w:rFonts w:hint="eastAsia"/>
          <w:rtl/>
        </w:rPr>
        <w:t>המשפט</w:t>
      </w:r>
      <w:r w:rsidRPr="00E864EC">
        <w:rPr>
          <w:rtl/>
        </w:rPr>
        <w:t xml:space="preserve"> </w:t>
      </w:r>
      <w:r w:rsidRPr="00E864EC">
        <w:rPr>
          <w:rFonts w:hint="eastAsia"/>
          <w:rtl/>
        </w:rPr>
        <w:t>אינו</w:t>
      </w:r>
      <w:r w:rsidRPr="00E864EC">
        <w:rPr>
          <w:rtl/>
        </w:rPr>
        <w:t xml:space="preserve"> </w:t>
      </w:r>
      <w:r w:rsidRPr="00E864EC">
        <w:rPr>
          <w:rFonts w:hint="eastAsia"/>
          <w:rtl/>
        </w:rPr>
        <w:t>מעמיד</w:t>
      </w:r>
      <w:r w:rsidRPr="00E864EC">
        <w:rPr>
          <w:rtl/>
        </w:rPr>
        <w:t xml:space="preserve"> </w:t>
      </w:r>
      <w:r w:rsidRPr="00E864EC">
        <w:rPr>
          <w:rFonts w:hint="eastAsia"/>
          <w:rtl/>
        </w:rPr>
        <w:t>את</w:t>
      </w:r>
      <w:r w:rsidRPr="00E864EC">
        <w:rPr>
          <w:rtl/>
        </w:rPr>
        <w:t xml:space="preserve"> </w:t>
      </w:r>
      <w:r w:rsidRPr="00E864EC">
        <w:rPr>
          <w:rFonts w:hint="eastAsia"/>
          <w:rtl/>
        </w:rPr>
        <w:t>שיקול</w:t>
      </w:r>
      <w:r w:rsidRPr="00E864EC">
        <w:rPr>
          <w:rtl/>
        </w:rPr>
        <w:t>-</w:t>
      </w:r>
      <w:r w:rsidRPr="00E864EC">
        <w:rPr>
          <w:rFonts w:hint="eastAsia"/>
          <w:rtl/>
        </w:rPr>
        <w:t>דעתו</w:t>
      </w:r>
      <w:r w:rsidRPr="00E864EC">
        <w:rPr>
          <w:rtl/>
        </w:rPr>
        <w:t xml:space="preserve"> </w:t>
      </w:r>
      <w:r w:rsidRPr="00E864EC">
        <w:rPr>
          <w:rFonts w:hint="eastAsia"/>
          <w:rtl/>
        </w:rPr>
        <w:t>במקום</w:t>
      </w:r>
      <w:r w:rsidRPr="00E864EC">
        <w:rPr>
          <w:rtl/>
        </w:rPr>
        <w:t xml:space="preserve"> </w:t>
      </w:r>
      <w:r w:rsidRPr="00E864EC">
        <w:rPr>
          <w:rFonts w:hint="eastAsia"/>
          <w:rtl/>
        </w:rPr>
        <w:t>שיקול</w:t>
      </w:r>
      <w:r w:rsidRPr="00E864EC">
        <w:rPr>
          <w:rtl/>
        </w:rPr>
        <w:t>-</w:t>
      </w:r>
      <w:r w:rsidRPr="00E864EC">
        <w:rPr>
          <w:rFonts w:hint="eastAsia"/>
          <w:rtl/>
        </w:rPr>
        <w:t>דעתה</w:t>
      </w:r>
      <w:r w:rsidRPr="00E864EC">
        <w:rPr>
          <w:rtl/>
        </w:rPr>
        <w:t xml:space="preserve"> </w:t>
      </w:r>
      <w:r w:rsidRPr="00E864EC">
        <w:rPr>
          <w:rFonts w:hint="eastAsia"/>
          <w:rtl/>
        </w:rPr>
        <w:t>של</w:t>
      </w:r>
      <w:r w:rsidRPr="00E864EC">
        <w:rPr>
          <w:rtl/>
        </w:rPr>
        <w:t xml:space="preserve"> </w:t>
      </w:r>
      <w:r w:rsidRPr="00E864EC">
        <w:rPr>
          <w:rFonts w:hint="eastAsia"/>
          <w:rtl/>
        </w:rPr>
        <w:t>הרשות</w:t>
      </w:r>
      <w:r w:rsidRPr="00E864EC">
        <w:rPr>
          <w:rtl/>
        </w:rPr>
        <w:t xml:space="preserve"> </w:t>
      </w:r>
      <w:r w:rsidRPr="00E864EC">
        <w:rPr>
          <w:rFonts w:hint="eastAsia"/>
          <w:rtl/>
        </w:rPr>
        <w:t>המוסמכת</w:t>
      </w:r>
      <w:r w:rsidRPr="00E864EC">
        <w:rPr>
          <w:rtl/>
        </w:rPr>
        <w:t xml:space="preserve">, </w:t>
      </w:r>
      <w:r w:rsidRPr="00E864EC">
        <w:rPr>
          <w:rFonts w:hint="eastAsia"/>
          <w:rtl/>
        </w:rPr>
        <w:t>אינו</w:t>
      </w:r>
      <w:r w:rsidRPr="00E864EC">
        <w:rPr>
          <w:rtl/>
        </w:rPr>
        <w:t xml:space="preserve"> </w:t>
      </w:r>
      <w:r w:rsidRPr="00E864EC">
        <w:rPr>
          <w:rFonts w:hint="eastAsia"/>
          <w:rtl/>
        </w:rPr>
        <w:t>שם</w:t>
      </w:r>
      <w:r w:rsidRPr="00E864EC">
        <w:rPr>
          <w:rtl/>
        </w:rPr>
        <w:t xml:space="preserve"> </w:t>
      </w:r>
      <w:r w:rsidRPr="00E864EC">
        <w:rPr>
          <w:rFonts w:hint="eastAsia"/>
          <w:rtl/>
        </w:rPr>
        <w:t>עצמו</w:t>
      </w:r>
      <w:r w:rsidRPr="00E864EC">
        <w:rPr>
          <w:rtl/>
        </w:rPr>
        <w:t xml:space="preserve"> </w:t>
      </w:r>
      <w:r w:rsidRPr="00E864EC">
        <w:rPr>
          <w:rFonts w:hint="eastAsia"/>
          <w:rtl/>
        </w:rPr>
        <w:t>בנעליה</w:t>
      </w:r>
      <w:r w:rsidRPr="00E864EC">
        <w:rPr>
          <w:rtl/>
        </w:rPr>
        <w:t xml:space="preserve">, </w:t>
      </w:r>
      <w:r w:rsidRPr="00E864EC">
        <w:rPr>
          <w:rFonts w:hint="eastAsia"/>
          <w:rtl/>
        </w:rPr>
        <w:t>ואינו</w:t>
      </w:r>
      <w:r w:rsidRPr="00E864EC">
        <w:rPr>
          <w:rtl/>
        </w:rPr>
        <w:t xml:space="preserve"> </w:t>
      </w:r>
      <w:r w:rsidRPr="00E864EC">
        <w:rPr>
          <w:rFonts w:hint="eastAsia"/>
          <w:rtl/>
        </w:rPr>
        <w:t>שואל</w:t>
      </w:r>
      <w:r w:rsidRPr="00E864EC">
        <w:rPr>
          <w:rtl/>
        </w:rPr>
        <w:t xml:space="preserve"> </w:t>
      </w:r>
      <w:r w:rsidRPr="00E864EC">
        <w:rPr>
          <w:rFonts w:hint="eastAsia"/>
          <w:rtl/>
        </w:rPr>
        <w:t>את</w:t>
      </w:r>
      <w:r w:rsidRPr="00E864EC">
        <w:rPr>
          <w:rtl/>
        </w:rPr>
        <w:t xml:space="preserve"> </w:t>
      </w:r>
      <w:r w:rsidRPr="00E864EC">
        <w:rPr>
          <w:rFonts w:hint="eastAsia"/>
          <w:rtl/>
        </w:rPr>
        <w:t>עצמו</w:t>
      </w:r>
      <w:r w:rsidRPr="00E864EC">
        <w:rPr>
          <w:rtl/>
        </w:rPr>
        <w:t xml:space="preserve"> </w:t>
      </w:r>
      <w:r w:rsidRPr="00E864EC">
        <w:rPr>
          <w:rFonts w:hint="eastAsia"/>
          <w:rtl/>
        </w:rPr>
        <w:t>אם</w:t>
      </w:r>
      <w:r w:rsidRPr="00E864EC">
        <w:rPr>
          <w:rtl/>
        </w:rPr>
        <w:t xml:space="preserve"> </w:t>
      </w:r>
      <w:r w:rsidRPr="00E864EC">
        <w:rPr>
          <w:rFonts w:hint="eastAsia"/>
          <w:rtl/>
        </w:rPr>
        <w:t>הוא</w:t>
      </w:r>
      <w:r w:rsidRPr="00E864EC">
        <w:rPr>
          <w:rtl/>
        </w:rPr>
        <w:t xml:space="preserve"> </w:t>
      </w:r>
      <w:r w:rsidRPr="00E864EC">
        <w:rPr>
          <w:rFonts w:hint="eastAsia"/>
          <w:rtl/>
        </w:rPr>
        <w:t>עצמו</w:t>
      </w:r>
      <w:r w:rsidRPr="00E864EC">
        <w:rPr>
          <w:rtl/>
        </w:rPr>
        <w:t xml:space="preserve"> </w:t>
      </w:r>
      <w:r w:rsidRPr="00E864EC">
        <w:rPr>
          <w:rFonts w:hint="eastAsia"/>
          <w:rtl/>
        </w:rPr>
        <w:t>היה</w:t>
      </w:r>
      <w:r w:rsidRPr="00E864EC">
        <w:rPr>
          <w:rtl/>
        </w:rPr>
        <w:t xml:space="preserve"> </w:t>
      </w:r>
      <w:r w:rsidRPr="00E864EC">
        <w:rPr>
          <w:rFonts w:hint="eastAsia"/>
          <w:rtl/>
        </w:rPr>
        <w:t>פועל</w:t>
      </w:r>
      <w:r w:rsidRPr="00E864EC">
        <w:rPr>
          <w:rtl/>
        </w:rPr>
        <w:t xml:space="preserve"> </w:t>
      </w:r>
      <w:r w:rsidRPr="00E864EC">
        <w:rPr>
          <w:rFonts w:hint="eastAsia"/>
          <w:rtl/>
        </w:rPr>
        <w:t>באותה</w:t>
      </w:r>
      <w:r w:rsidRPr="00E864EC">
        <w:rPr>
          <w:rtl/>
        </w:rPr>
        <w:t xml:space="preserve"> </w:t>
      </w:r>
      <w:r w:rsidRPr="00E864EC">
        <w:rPr>
          <w:rFonts w:hint="eastAsia"/>
          <w:rtl/>
        </w:rPr>
        <w:t>דרך</w:t>
      </w:r>
      <w:r w:rsidRPr="00E864EC">
        <w:rPr>
          <w:rtl/>
        </w:rPr>
        <w:t xml:space="preserve"> </w:t>
      </w:r>
      <w:r w:rsidRPr="00E864EC">
        <w:rPr>
          <w:rFonts w:hint="eastAsia"/>
          <w:rtl/>
        </w:rPr>
        <w:t>לוּ</w:t>
      </w:r>
      <w:r w:rsidRPr="00E864EC">
        <w:rPr>
          <w:rtl/>
        </w:rPr>
        <w:t xml:space="preserve"> </w:t>
      </w:r>
      <w:r w:rsidRPr="00E864EC">
        <w:rPr>
          <w:rFonts w:hint="eastAsia"/>
          <w:rtl/>
        </w:rPr>
        <w:t>הייתה</w:t>
      </w:r>
      <w:r w:rsidRPr="00E864EC">
        <w:rPr>
          <w:rtl/>
        </w:rPr>
        <w:t xml:space="preserve"> </w:t>
      </w:r>
      <w:r w:rsidRPr="00E864EC">
        <w:rPr>
          <w:rFonts w:hint="eastAsia"/>
          <w:rtl/>
        </w:rPr>
        <w:t>הסמכות</w:t>
      </w:r>
      <w:r w:rsidRPr="00E864EC">
        <w:rPr>
          <w:rtl/>
        </w:rPr>
        <w:t xml:space="preserve"> </w:t>
      </w:r>
      <w:r w:rsidRPr="00E864EC">
        <w:rPr>
          <w:rFonts w:hint="eastAsia"/>
          <w:rtl/>
        </w:rPr>
        <w:t>בידיו</w:t>
      </w:r>
      <w:r w:rsidRPr="00E864EC">
        <w:rPr>
          <w:rtl/>
        </w:rPr>
        <w:t xml:space="preserve">. </w:t>
      </w:r>
      <w:r w:rsidRPr="00E864EC">
        <w:rPr>
          <w:rFonts w:hint="eastAsia"/>
          <w:rtl/>
        </w:rPr>
        <w:t>בית</w:t>
      </w:r>
      <w:r w:rsidRPr="00E864EC">
        <w:rPr>
          <w:rtl/>
        </w:rPr>
        <w:t>-</w:t>
      </w:r>
      <w:r w:rsidRPr="00E864EC">
        <w:rPr>
          <w:rFonts w:hint="eastAsia"/>
          <w:rtl/>
        </w:rPr>
        <w:t>המשפט</w:t>
      </w:r>
      <w:r w:rsidRPr="00E864EC">
        <w:rPr>
          <w:rtl/>
        </w:rPr>
        <w:t xml:space="preserve"> </w:t>
      </w:r>
      <w:r w:rsidRPr="00E864EC">
        <w:rPr>
          <w:rFonts w:hint="eastAsia"/>
          <w:rtl/>
        </w:rPr>
        <w:t>אינו</w:t>
      </w:r>
      <w:r w:rsidRPr="00E864EC">
        <w:rPr>
          <w:rtl/>
        </w:rPr>
        <w:t xml:space="preserve"> </w:t>
      </w:r>
      <w:r w:rsidRPr="00E864EC">
        <w:rPr>
          <w:rFonts w:hint="eastAsia"/>
          <w:rtl/>
        </w:rPr>
        <w:t>בוחן</w:t>
      </w:r>
      <w:r w:rsidRPr="00E864EC">
        <w:rPr>
          <w:rtl/>
        </w:rPr>
        <w:t xml:space="preserve"> </w:t>
      </w:r>
      <w:r w:rsidRPr="00E864EC">
        <w:rPr>
          <w:rFonts w:hint="eastAsia"/>
          <w:rtl/>
        </w:rPr>
        <w:t>את</w:t>
      </w:r>
      <w:r w:rsidRPr="00E864EC">
        <w:rPr>
          <w:rtl/>
        </w:rPr>
        <w:t xml:space="preserve"> </w:t>
      </w:r>
      <w:r w:rsidRPr="00E864EC">
        <w:rPr>
          <w:rFonts w:hint="eastAsia"/>
          <w:rtl/>
        </w:rPr>
        <w:t>תבונתן</w:t>
      </w:r>
      <w:r w:rsidRPr="00E864EC">
        <w:rPr>
          <w:rtl/>
        </w:rPr>
        <w:t xml:space="preserve"> </w:t>
      </w:r>
      <w:r w:rsidRPr="00E864EC">
        <w:rPr>
          <w:rFonts w:hint="eastAsia"/>
          <w:rtl/>
        </w:rPr>
        <w:t>של</w:t>
      </w:r>
      <w:r w:rsidRPr="00E864EC">
        <w:rPr>
          <w:rtl/>
        </w:rPr>
        <w:t xml:space="preserve"> </w:t>
      </w:r>
      <w:r w:rsidRPr="00E864EC">
        <w:rPr>
          <w:rFonts w:hint="eastAsia"/>
          <w:rtl/>
        </w:rPr>
        <w:t>הרשויות</w:t>
      </w:r>
      <w:r w:rsidRPr="00E864EC">
        <w:rPr>
          <w:rtl/>
        </w:rPr>
        <w:t xml:space="preserve"> </w:t>
      </w:r>
      <w:r w:rsidRPr="00E864EC">
        <w:rPr>
          <w:rFonts w:hint="eastAsia"/>
          <w:rtl/>
        </w:rPr>
        <w:t>השלטוניות</w:t>
      </w:r>
      <w:r w:rsidRPr="00E864EC">
        <w:rPr>
          <w:rtl/>
        </w:rPr>
        <w:t xml:space="preserve"> </w:t>
      </w:r>
      <w:r w:rsidRPr="00E864EC">
        <w:rPr>
          <w:rFonts w:hint="eastAsia"/>
          <w:rtl/>
        </w:rPr>
        <w:t>האחרות</w:t>
      </w:r>
      <w:r w:rsidRPr="00E864EC">
        <w:rPr>
          <w:rtl/>
        </w:rPr>
        <w:t xml:space="preserve">, </w:t>
      </w:r>
      <w:r w:rsidRPr="00E864EC">
        <w:rPr>
          <w:rFonts w:hint="eastAsia"/>
          <w:rtl/>
        </w:rPr>
        <w:t>כי</w:t>
      </w:r>
      <w:r w:rsidRPr="00E864EC">
        <w:rPr>
          <w:rtl/>
        </w:rPr>
        <w:t xml:space="preserve"> </w:t>
      </w:r>
      <w:r w:rsidRPr="00E864EC">
        <w:rPr>
          <w:rFonts w:hint="eastAsia"/>
          <w:rtl/>
        </w:rPr>
        <w:t>אם</w:t>
      </w:r>
      <w:r w:rsidRPr="00E864EC">
        <w:rPr>
          <w:rtl/>
        </w:rPr>
        <w:t xml:space="preserve"> </w:t>
      </w:r>
      <w:r w:rsidRPr="00E864EC">
        <w:rPr>
          <w:rFonts w:hint="eastAsia"/>
          <w:rtl/>
        </w:rPr>
        <w:t>את</w:t>
      </w:r>
      <w:r w:rsidRPr="00E864EC">
        <w:rPr>
          <w:rtl/>
        </w:rPr>
        <w:t xml:space="preserve"> </w:t>
      </w:r>
      <w:r w:rsidRPr="00E864EC">
        <w:rPr>
          <w:rFonts w:hint="eastAsia"/>
          <w:rtl/>
        </w:rPr>
        <w:t>חוקיות</w:t>
      </w:r>
      <w:r w:rsidRPr="00E864EC">
        <w:rPr>
          <w:rtl/>
        </w:rPr>
        <w:t xml:space="preserve"> </w:t>
      </w:r>
      <w:r w:rsidRPr="00E864EC">
        <w:rPr>
          <w:rFonts w:hint="eastAsia"/>
          <w:rtl/>
        </w:rPr>
        <w:t>פעולתן</w:t>
      </w:r>
      <w:r w:rsidRPr="00E864EC">
        <w:rPr>
          <w:rtl/>
        </w:rPr>
        <w:t xml:space="preserve"> (</w:t>
      </w:r>
      <w:r w:rsidRPr="00E864EC">
        <w:rPr>
          <w:rFonts w:hint="eastAsia"/>
          <w:rtl/>
        </w:rPr>
        <w:t>ראו</w:t>
      </w:r>
      <w:r w:rsidRPr="00E864EC">
        <w:rPr>
          <w:rtl/>
        </w:rPr>
        <w:t xml:space="preserve"> </w:t>
      </w:r>
      <w:r w:rsidRPr="00E864EC">
        <w:rPr>
          <w:rFonts w:hint="eastAsia"/>
          <w:rtl/>
        </w:rPr>
        <w:t>גם</w:t>
      </w:r>
      <w:r w:rsidRPr="00E864EC">
        <w:rPr>
          <w:rtl/>
        </w:rPr>
        <w:t xml:space="preserve"> </w:t>
      </w:r>
      <w:r w:rsidRPr="00E864EC">
        <w:rPr>
          <w:rFonts w:hint="eastAsia"/>
          <w:rtl/>
        </w:rPr>
        <w:t>א</w:t>
      </w:r>
      <w:r w:rsidRPr="00E864EC">
        <w:rPr>
          <w:rtl/>
        </w:rPr>
        <w:t xml:space="preserve">' </w:t>
      </w:r>
      <w:r w:rsidRPr="00E864EC">
        <w:rPr>
          <w:rFonts w:hint="eastAsia"/>
          <w:rtl/>
        </w:rPr>
        <w:t>ברק</w:t>
      </w:r>
      <w:r>
        <w:rPr>
          <w:rtl/>
        </w:rPr>
        <w:t xml:space="preserve"> </w:t>
      </w:r>
      <w:r>
        <w:rPr>
          <w:rFonts w:hint="cs"/>
          <w:rtl/>
        </w:rPr>
        <w:t>'</w:t>
      </w:r>
      <w:r w:rsidRPr="00E864EC">
        <w:rPr>
          <w:rFonts w:hint="eastAsia"/>
          <w:rtl/>
        </w:rPr>
        <w:t>על</w:t>
      </w:r>
      <w:r w:rsidRPr="00E864EC">
        <w:rPr>
          <w:rtl/>
        </w:rPr>
        <w:t xml:space="preserve"> </w:t>
      </w:r>
      <w:r w:rsidRPr="00E864EC">
        <w:rPr>
          <w:rFonts w:hint="eastAsia"/>
          <w:rtl/>
        </w:rPr>
        <w:t>רשויות</w:t>
      </w:r>
      <w:r w:rsidRPr="00E864EC">
        <w:rPr>
          <w:rtl/>
        </w:rPr>
        <w:t xml:space="preserve"> </w:t>
      </w:r>
      <w:r w:rsidRPr="00E864EC">
        <w:rPr>
          <w:rFonts w:hint="eastAsia"/>
          <w:rtl/>
        </w:rPr>
        <w:t>וערכים</w:t>
      </w:r>
      <w:r w:rsidRPr="00E864EC">
        <w:rPr>
          <w:rtl/>
        </w:rPr>
        <w:t xml:space="preserve"> </w:t>
      </w:r>
      <w:r w:rsidRPr="00E864EC">
        <w:rPr>
          <w:rFonts w:hint="eastAsia"/>
          <w:rtl/>
        </w:rPr>
        <w:t>בישראל</w:t>
      </w:r>
      <w:r>
        <w:rPr>
          <w:rFonts w:hint="cs"/>
          <w:rtl/>
        </w:rPr>
        <w:t>'</w:t>
      </w:r>
      <w:r w:rsidRPr="00E864EC">
        <w:rPr>
          <w:rtl/>
        </w:rPr>
        <w:t xml:space="preserve">, </w:t>
      </w:r>
      <w:r w:rsidRPr="00E864EC">
        <w:rPr>
          <w:rFonts w:hint="eastAsia"/>
          <w:rtl/>
        </w:rPr>
        <w:t>בעמ</w:t>
      </w:r>
      <w:r w:rsidRPr="00E864EC">
        <w:rPr>
          <w:rtl/>
        </w:rPr>
        <w:t xml:space="preserve">' 382). </w:t>
      </w:r>
      <w:r w:rsidRPr="00E864EC">
        <w:rPr>
          <w:rFonts w:hint="eastAsia"/>
          <w:rtl/>
        </w:rPr>
        <w:t>כאשר</w:t>
      </w:r>
      <w:r w:rsidRPr="00E864EC">
        <w:rPr>
          <w:rtl/>
        </w:rPr>
        <w:t xml:space="preserve"> </w:t>
      </w:r>
      <w:r w:rsidRPr="00E864EC">
        <w:rPr>
          <w:rFonts w:hint="eastAsia"/>
          <w:rtl/>
        </w:rPr>
        <w:t>בית</w:t>
      </w:r>
      <w:r w:rsidRPr="00E864EC">
        <w:rPr>
          <w:rtl/>
        </w:rPr>
        <w:t>-</w:t>
      </w:r>
      <w:r w:rsidRPr="00E864EC">
        <w:rPr>
          <w:rFonts w:hint="eastAsia"/>
          <w:rtl/>
        </w:rPr>
        <w:t>המשפט</w:t>
      </w:r>
      <w:r w:rsidRPr="00E864EC">
        <w:rPr>
          <w:rtl/>
        </w:rPr>
        <w:t xml:space="preserve"> </w:t>
      </w:r>
      <w:r w:rsidRPr="00E864EC">
        <w:rPr>
          <w:rFonts w:hint="eastAsia"/>
          <w:rtl/>
        </w:rPr>
        <w:t>בוחן</w:t>
      </w:r>
      <w:r w:rsidRPr="00E864EC">
        <w:rPr>
          <w:rtl/>
        </w:rPr>
        <w:t xml:space="preserve"> </w:t>
      </w:r>
      <w:r w:rsidRPr="00E864EC">
        <w:rPr>
          <w:rFonts w:hint="eastAsia"/>
          <w:rtl/>
        </w:rPr>
        <w:t>את</w:t>
      </w:r>
      <w:r w:rsidRPr="00E864EC">
        <w:rPr>
          <w:rtl/>
        </w:rPr>
        <w:t xml:space="preserve"> </w:t>
      </w:r>
      <w:r w:rsidRPr="00E864EC">
        <w:rPr>
          <w:rFonts w:hint="eastAsia"/>
          <w:rtl/>
        </w:rPr>
        <w:t>סבירותן</w:t>
      </w:r>
      <w:r w:rsidRPr="00E864EC">
        <w:rPr>
          <w:rtl/>
        </w:rPr>
        <w:t xml:space="preserve"> </w:t>
      </w:r>
      <w:r w:rsidRPr="00E864EC">
        <w:rPr>
          <w:rFonts w:hint="eastAsia"/>
          <w:rtl/>
        </w:rPr>
        <w:t>של</w:t>
      </w:r>
      <w:r w:rsidRPr="00E864EC">
        <w:rPr>
          <w:rtl/>
        </w:rPr>
        <w:t xml:space="preserve"> </w:t>
      </w:r>
      <w:r w:rsidRPr="00E864EC">
        <w:rPr>
          <w:rFonts w:hint="eastAsia"/>
          <w:rtl/>
        </w:rPr>
        <w:t>החלטותיו</w:t>
      </w:r>
      <w:r w:rsidRPr="00E864EC">
        <w:rPr>
          <w:rtl/>
        </w:rPr>
        <w:t xml:space="preserve"> </w:t>
      </w:r>
      <w:r w:rsidRPr="00E864EC">
        <w:rPr>
          <w:rFonts w:hint="eastAsia"/>
          <w:rtl/>
        </w:rPr>
        <w:t>של</w:t>
      </w:r>
      <w:r w:rsidRPr="00E864EC">
        <w:rPr>
          <w:rtl/>
        </w:rPr>
        <w:t xml:space="preserve"> </w:t>
      </w:r>
      <w:r w:rsidRPr="00E864EC">
        <w:rPr>
          <w:rFonts w:hint="eastAsia"/>
          <w:rtl/>
        </w:rPr>
        <w:t>ראש</w:t>
      </w:r>
      <w:r w:rsidRPr="00E864EC">
        <w:rPr>
          <w:rtl/>
        </w:rPr>
        <w:t>-</w:t>
      </w:r>
      <w:r w:rsidRPr="00E864EC">
        <w:rPr>
          <w:rFonts w:hint="eastAsia"/>
          <w:rtl/>
        </w:rPr>
        <w:t>הממשלה</w:t>
      </w:r>
      <w:r w:rsidRPr="00E864EC">
        <w:rPr>
          <w:rtl/>
        </w:rPr>
        <w:t xml:space="preserve"> </w:t>
      </w:r>
      <w:r w:rsidRPr="00E864EC">
        <w:rPr>
          <w:rFonts w:hint="eastAsia"/>
          <w:rtl/>
        </w:rPr>
        <w:t>בענייני</w:t>
      </w:r>
      <w:r w:rsidRPr="00E864EC">
        <w:rPr>
          <w:rtl/>
        </w:rPr>
        <w:t xml:space="preserve"> </w:t>
      </w:r>
      <w:r w:rsidRPr="00E864EC">
        <w:rPr>
          <w:rFonts w:hint="eastAsia"/>
          <w:rtl/>
        </w:rPr>
        <w:t>הרכבת</w:t>
      </w:r>
      <w:r w:rsidRPr="00E864EC">
        <w:rPr>
          <w:rtl/>
        </w:rPr>
        <w:t xml:space="preserve"> </w:t>
      </w:r>
      <w:r w:rsidRPr="00E864EC">
        <w:rPr>
          <w:rFonts w:hint="eastAsia"/>
          <w:rtl/>
        </w:rPr>
        <w:t>הממשלה</w:t>
      </w:r>
      <w:r w:rsidRPr="00E864EC">
        <w:rPr>
          <w:rtl/>
        </w:rPr>
        <w:t xml:space="preserve">, </w:t>
      </w:r>
      <w:r w:rsidRPr="00E864EC">
        <w:rPr>
          <w:rFonts w:hint="eastAsia"/>
          <w:rtl/>
        </w:rPr>
        <w:t>מכיר</w:t>
      </w:r>
      <w:r w:rsidRPr="00E864EC">
        <w:rPr>
          <w:rtl/>
        </w:rPr>
        <w:t xml:space="preserve"> </w:t>
      </w:r>
      <w:r w:rsidRPr="00E864EC">
        <w:rPr>
          <w:rFonts w:hint="eastAsia"/>
          <w:rtl/>
        </w:rPr>
        <w:t>הוא</w:t>
      </w:r>
      <w:r w:rsidRPr="00E864EC">
        <w:rPr>
          <w:rtl/>
        </w:rPr>
        <w:t xml:space="preserve"> </w:t>
      </w:r>
      <w:r w:rsidRPr="00E864EC">
        <w:rPr>
          <w:rFonts w:hint="eastAsia"/>
          <w:rtl/>
        </w:rPr>
        <w:t>בכך</w:t>
      </w:r>
      <w:r w:rsidRPr="00E864EC">
        <w:rPr>
          <w:rtl/>
        </w:rPr>
        <w:t xml:space="preserve"> </w:t>
      </w:r>
      <w:r w:rsidRPr="00E864EC">
        <w:rPr>
          <w:rFonts w:hint="eastAsia"/>
          <w:rtl/>
        </w:rPr>
        <w:t>שרק</w:t>
      </w:r>
      <w:r w:rsidRPr="00E864EC">
        <w:rPr>
          <w:rtl/>
        </w:rPr>
        <w:t xml:space="preserve"> </w:t>
      </w:r>
      <w:r w:rsidRPr="00E864EC">
        <w:rPr>
          <w:rFonts w:hint="eastAsia"/>
          <w:rtl/>
        </w:rPr>
        <w:t>במקרים</w:t>
      </w:r>
      <w:r w:rsidRPr="00E864EC">
        <w:rPr>
          <w:rtl/>
        </w:rPr>
        <w:t xml:space="preserve"> </w:t>
      </w:r>
      <w:r w:rsidRPr="00E864EC">
        <w:rPr>
          <w:rFonts w:hint="eastAsia"/>
          <w:rtl/>
        </w:rPr>
        <w:t>חריגים</w:t>
      </w:r>
      <w:r w:rsidRPr="00E864EC">
        <w:rPr>
          <w:rtl/>
        </w:rPr>
        <w:t xml:space="preserve"> </w:t>
      </w:r>
      <w:r w:rsidRPr="00E864EC">
        <w:rPr>
          <w:rFonts w:hint="eastAsia"/>
          <w:rtl/>
        </w:rPr>
        <w:t>ונדירים</w:t>
      </w:r>
      <w:r w:rsidRPr="00E864EC">
        <w:rPr>
          <w:rtl/>
        </w:rPr>
        <w:t xml:space="preserve"> </w:t>
      </w:r>
      <w:r w:rsidRPr="00E864EC">
        <w:rPr>
          <w:rFonts w:hint="eastAsia"/>
          <w:rtl/>
        </w:rPr>
        <w:t>יוחלפו</w:t>
      </w:r>
      <w:r w:rsidRPr="00E864EC">
        <w:rPr>
          <w:rtl/>
        </w:rPr>
        <w:t xml:space="preserve"> </w:t>
      </w:r>
      <w:r w:rsidRPr="00E864EC">
        <w:rPr>
          <w:rFonts w:hint="eastAsia"/>
          <w:rtl/>
        </w:rPr>
        <w:t>מאזניו</w:t>
      </w:r>
      <w:r w:rsidRPr="00E864EC">
        <w:rPr>
          <w:rtl/>
        </w:rPr>
        <w:t xml:space="preserve"> </w:t>
      </w:r>
      <w:r w:rsidRPr="00E864EC">
        <w:rPr>
          <w:rFonts w:hint="eastAsia"/>
          <w:rtl/>
        </w:rPr>
        <w:t>ומשק</w:t>
      </w:r>
      <w:r>
        <w:rPr>
          <w:rFonts w:hint="cs"/>
          <w:rtl/>
        </w:rPr>
        <w:t>ו</w:t>
      </w:r>
      <w:r w:rsidRPr="00E864EC">
        <w:rPr>
          <w:rFonts w:hint="eastAsia"/>
          <w:rtl/>
        </w:rPr>
        <w:t>לותיו</w:t>
      </w:r>
      <w:r w:rsidRPr="00E864EC">
        <w:rPr>
          <w:rtl/>
        </w:rPr>
        <w:t xml:space="preserve"> </w:t>
      </w:r>
      <w:r w:rsidRPr="00E864EC">
        <w:rPr>
          <w:rFonts w:hint="eastAsia"/>
          <w:rtl/>
        </w:rPr>
        <w:t>של</w:t>
      </w:r>
      <w:r w:rsidRPr="00E864EC">
        <w:rPr>
          <w:rtl/>
        </w:rPr>
        <w:t xml:space="preserve"> </w:t>
      </w:r>
      <w:r w:rsidRPr="00E864EC">
        <w:rPr>
          <w:rFonts w:hint="eastAsia"/>
          <w:rtl/>
        </w:rPr>
        <w:t>ראש</w:t>
      </w:r>
      <w:r w:rsidRPr="00E864EC">
        <w:rPr>
          <w:rtl/>
        </w:rPr>
        <w:t>-</w:t>
      </w:r>
      <w:r w:rsidRPr="00E864EC">
        <w:rPr>
          <w:rFonts w:hint="eastAsia"/>
          <w:rtl/>
        </w:rPr>
        <w:t>הממשלה</w:t>
      </w:r>
      <w:r w:rsidRPr="00E864EC">
        <w:rPr>
          <w:rtl/>
        </w:rPr>
        <w:t xml:space="preserve"> </w:t>
      </w:r>
      <w:r w:rsidRPr="00E864EC">
        <w:rPr>
          <w:rFonts w:hint="eastAsia"/>
          <w:rtl/>
        </w:rPr>
        <w:t>במאזניו</w:t>
      </w:r>
      <w:r w:rsidRPr="00E864EC">
        <w:rPr>
          <w:rtl/>
        </w:rPr>
        <w:t xml:space="preserve"> </w:t>
      </w:r>
      <w:r w:rsidRPr="00E864EC">
        <w:rPr>
          <w:rFonts w:hint="eastAsia"/>
          <w:rtl/>
        </w:rPr>
        <w:t>ובמשקולותיו</w:t>
      </w:r>
      <w:r w:rsidRPr="00E864EC">
        <w:rPr>
          <w:rtl/>
        </w:rPr>
        <w:t xml:space="preserve"> </w:t>
      </w:r>
      <w:r w:rsidRPr="00E864EC">
        <w:rPr>
          <w:rFonts w:hint="eastAsia"/>
          <w:rtl/>
        </w:rPr>
        <w:t>של</w:t>
      </w:r>
      <w:r w:rsidRPr="00E864EC">
        <w:rPr>
          <w:rtl/>
        </w:rPr>
        <w:t xml:space="preserve"> </w:t>
      </w:r>
      <w:r w:rsidRPr="00E864EC">
        <w:rPr>
          <w:rFonts w:hint="eastAsia"/>
          <w:rtl/>
        </w:rPr>
        <w:t>בית</w:t>
      </w:r>
      <w:r w:rsidRPr="00E864EC">
        <w:rPr>
          <w:rtl/>
        </w:rPr>
        <w:t>-</w:t>
      </w:r>
      <w:r w:rsidRPr="00E864EC">
        <w:rPr>
          <w:rFonts w:hint="eastAsia"/>
          <w:rtl/>
        </w:rPr>
        <w:t>המשפט</w:t>
      </w:r>
      <w:r>
        <w:rPr>
          <w:rFonts w:hint="cs"/>
          <w:rtl/>
        </w:rPr>
        <w:t xml:space="preserve">" (בג"ץ 1993/03 </w:t>
      </w:r>
      <w:r w:rsidRPr="00AB3ED8">
        <w:rPr>
          <w:rFonts w:ascii="Century" w:hAnsi="Century" w:cs="Miriam" w:hint="cs"/>
          <w:b/>
          <w:spacing w:val="0"/>
          <w:szCs w:val="24"/>
          <w:rtl/>
        </w:rPr>
        <w:t>התנועה למען איכות השלטון בישראל נ' ראש הממשלה</w:t>
      </w:r>
      <w:r w:rsidRPr="00940789">
        <w:rPr>
          <w:rFonts w:ascii="Century" w:hAnsi="Century" w:cs="Miriam" w:hint="cs"/>
          <w:b/>
          <w:spacing w:val="0"/>
          <w:szCs w:val="24"/>
          <w:rtl/>
        </w:rPr>
        <w:t xml:space="preserve">, מר </w:t>
      </w:r>
      <w:r w:rsidRPr="00940789">
        <w:rPr>
          <w:rFonts w:ascii="Century" w:hAnsi="Century" w:cs="Miriam" w:hint="cs"/>
          <w:b/>
          <w:spacing w:val="0"/>
          <w:szCs w:val="24"/>
          <w:rtl/>
        </w:rPr>
        <w:lastRenderedPageBreak/>
        <w:t>אריאל שרון</w:t>
      </w:r>
      <w:r>
        <w:rPr>
          <w:rFonts w:hint="cs"/>
          <w:rtl/>
        </w:rPr>
        <w:t xml:space="preserve">, פ"ד נז(6) 817, 859 (2003), להלן: </w:t>
      </w:r>
      <w:r w:rsidRPr="008538CC">
        <w:rPr>
          <w:rFonts w:ascii="Century" w:hAnsi="Century" w:cs="Miriam" w:hint="cs"/>
          <w:b/>
          <w:spacing w:val="0"/>
          <w:szCs w:val="24"/>
          <w:rtl/>
        </w:rPr>
        <w:t>עניין הנגבי</w:t>
      </w:r>
      <w:r>
        <w:rPr>
          <w:rFonts w:hint="cs"/>
          <w:rtl/>
        </w:rPr>
        <w:t xml:space="preserve"> </w:t>
      </w:r>
      <w:r w:rsidRPr="00661E0F">
        <w:rPr>
          <w:rFonts w:ascii="Century" w:hAnsi="Century" w:cs="Miriam" w:hint="cs"/>
          <w:b/>
          <w:spacing w:val="0"/>
          <w:szCs w:val="24"/>
          <w:rtl/>
        </w:rPr>
        <w:t>2003</w:t>
      </w:r>
      <w:r>
        <w:rPr>
          <w:rFonts w:hint="cs"/>
          <w:rtl/>
        </w:rPr>
        <w:t>).</w:t>
      </w:r>
    </w:p>
    <w:p w14:paraId="45411CE9" w14:textId="77777777" w:rsidR="00872AD0" w:rsidRDefault="00872AD0" w:rsidP="00872AD0">
      <w:pPr>
        <w:pStyle w:val="Ruller41"/>
        <w:rPr>
          <w:rtl/>
        </w:rPr>
      </w:pPr>
      <w:r>
        <w:rPr>
          <w:rtl/>
        </w:rPr>
        <w:tab/>
      </w:r>
    </w:p>
    <w:p w14:paraId="6DFEED7C" w14:textId="77777777" w:rsidR="00872AD0" w:rsidRDefault="00872AD0" w:rsidP="00872AD0">
      <w:pPr>
        <w:pStyle w:val="Ruller41"/>
        <w:rPr>
          <w:rtl/>
        </w:rPr>
      </w:pPr>
      <w:r>
        <w:rPr>
          <w:rFonts w:hint="cs"/>
          <w:rtl/>
        </w:rPr>
        <w:t>4.</w:t>
      </w:r>
      <w:r>
        <w:rPr>
          <w:rFonts w:hint="cs"/>
          <w:rtl/>
        </w:rPr>
        <w:tab/>
        <w:t xml:space="preserve">ואולם רחב ככל שיהיה שיקול הדעת המינהלי </w:t>
      </w:r>
      <w:r>
        <w:rPr>
          <w:rtl/>
        </w:rPr>
        <w:t>–</w:t>
      </w:r>
      <w:r>
        <w:rPr>
          <w:rFonts w:hint="cs"/>
          <w:rtl/>
        </w:rPr>
        <w:t xml:space="preserve"> לעולם אינו מוחלט. </w:t>
      </w:r>
    </w:p>
    <w:p w14:paraId="67E99BE4" w14:textId="77777777" w:rsidR="00872AD0" w:rsidRDefault="00872AD0" w:rsidP="00872AD0">
      <w:pPr>
        <w:pStyle w:val="Ruller41"/>
        <w:rPr>
          <w:rtl/>
        </w:rPr>
      </w:pPr>
    </w:p>
    <w:p w14:paraId="080E5EC3" w14:textId="77777777" w:rsidR="00872AD0" w:rsidRDefault="00872AD0" w:rsidP="00872AD0">
      <w:pPr>
        <w:pStyle w:val="Ruller41"/>
        <w:rPr>
          <w:rtl/>
        </w:rPr>
      </w:pPr>
      <w:r>
        <w:rPr>
          <w:rtl/>
        </w:rPr>
        <w:tab/>
      </w:r>
      <w:r>
        <w:rPr>
          <w:rFonts w:hint="cs"/>
          <w:rtl/>
        </w:rPr>
        <w:t xml:space="preserve">על פי מושכלות יסוד במשפט מינהלי, </w:t>
      </w:r>
      <w:r>
        <w:rPr>
          <w:rtl/>
        </w:rPr>
        <w:t>הרשות המינהלית</w:t>
      </w:r>
      <w:r>
        <w:rPr>
          <w:rFonts w:hint="cs"/>
          <w:rtl/>
        </w:rPr>
        <w:t xml:space="preserve"> משמשת נאמן של הציבור ובידיה מופקדים אינטרס הציבור ונכסי הציבור על מנת שתעשה בהם שימוש לטובת הכלל. מעמד מיוחד זה מטיל על הרשות חובה </w:t>
      </w:r>
      <w:r>
        <w:rPr>
          <w:rtl/>
        </w:rPr>
        <w:t>לפעול בהגינות וביושר</w:t>
      </w:r>
      <w:r>
        <w:rPr>
          <w:rFonts w:hint="cs"/>
          <w:rtl/>
        </w:rPr>
        <w:t>, בתום לב ובטוהר מידות.</w:t>
      </w:r>
      <w:r>
        <w:rPr>
          <w:rtl/>
        </w:rPr>
        <w:t xml:space="preserve"> א</w:t>
      </w:r>
      <w:r>
        <w:rPr>
          <w:rFonts w:hint="cs"/>
          <w:rtl/>
        </w:rPr>
        <w:t>ל</w:t>
      </w:r>
      <w:r>
        <w:rPr>
          <w:rtl/>
        </w:rPr>
        <w:t xml:space="preserve"> לה לפעול מתוך שרירות, הפליה, משוא-פנים, ניגוד עניינים, חוסר תום-לב או חוסר סבירות</w:t>
      </w:r>
      <w:r>
        <w:rPr>
          <w:rFonts w:hint="cs"/>
          <w:rtl/>
        </w:rPr>
        <w:t>.</w:t>
      </w:r>
      <w:r>
        <w:rPr>
          <w:rtl/>
        </w:rPr>
        <w:t xml:space="preserve"> עליה לשקול את כל השיקולים הנוגעים לעניין </w:t>
      </w:r>
      <w:r>
        <w:rPr>
          <w:rFonts w:hint="cs"/>
          <w:rtl/>
        </w:rPr>
        <w:t>ואותם</w:t>
      </w:r>
      <w:r>
        <w:rPr>
          <w:rtl/>
        </w:rPr>
        <w:t xml:space="preserve"> בלבד</w:t>
      </w:r>
      <w:r>
        <w:rPr>
          <w:rFonts w:hint="cs"/>
          <w:rtl/>
        </w:rPr>
        <w:t xml:space="preserve">, וכן שומה עליה לקיים את כללי הצדק הטבעי (בג"ץ 389/80 </w:t>
      </w:r>
      <w:r w:rsidRPr="007377E4">
        <w:rPr>
          <w:rFonts w:ascii="Century" w:hAnsi="Century" w:cs="Miriam" w:hint="cs"/>
          <w:b/>
          <w:spacing w:val="0"/>
          <w:szCs w:val="24"/>
          <w:rtl/>
        </w:rPr>
        <w:t>דפי זהב בע"מ נ' רשות השידור</w:t>
      </w:r>
      <w:r>
        <w:rPr>
          <w:rFonts w:hint="cs"/>
          <w:rtl/>
        </w:rPr>
        <w:t xml:space="preserve">, פ"ד לה(1) 421, 435 (1980), להלן: </w:t>
      </w:r>
      <w:r w:rsidRPr="002850D9">
        <w:rPr>
          <w:rFonts w:ascii="Century" w:hAnsi="Century" w:cs="Miriam" w:hint="cs"/>
          <w:b/>
          <w:spacing w:val="0"/>
          <w:szCs w:val="24"/>
          <w:rtl/>
        </w:rPr>
        <w:t>עניין דפי זהב</w:t>
      </w:r>
      <w:r>
        <w:rPr>
          <w:rFonts w:hint="cs"/>
          <w:rtl/>
        </w:rPr>
        <w:t xml:space="preserve">; </w:t>
      </w:r>
      <w:r w:rsidRPr="00B6070F">
        <w:rPr>
          <w:rFonts w:hint="cs"/>
          <w:rtl/>
        </w:rPr>
        <w:t xml:space="preserve">בג"ץ 1635/90 </w:t>
      </w:r>
      <w:proofErr w:type="spellStart"/>
      <w:r w:rsidRPr="00B6070F">
        <w:rPr>
          <w:rFonts w:ascii="Century" w:hAnsi="Century" w:cs="Miriam" w:hint="cs"/>
          <w:b/>
          <w:spacing w:val="0"/>
          <w:szCs w:val="24"/>
          <w:rtl/>
        </w:rPr>
        <w:t>ז'רז'בסקי</w:t>
      </w:r>
      <w:proofErr w:type="spellEnd"/>
      <w:r w:rsidRPr="00B6070F">
        <w:rPr>
          <w:rFonts w:ascii="Century" w:hAnsi="Century" w:cs="Miriam" w:hint="cs"/>
          <w:b/>
          <w:spacing w:val="0"/>
          <w:szCs w:val="24"/>
          <w:rtl/>
        </w:rPr>
        <w:t xml:space="preserve"> נ' ראש הממשלה</w:t>
      </w:r>
      <w:r w:rsidRPr="00B6070F">
        <w:rPr>
          <w:rFonts w:hint="cs"/>
          <w:rtl/>
        </w:rPr>
        <w:t xml:space="preserve">, פ"ד מה(1) 749, 841 (1991); בג"ץ 164/97 </w:t>
      </w:r>
      <w:proofErr w:type="spellStart"/>
      <w:r w:rsidRPr="00B6070F">
        <w:rPr>
          <w:rFonts w:ascii="Century" w:hAnsi="Century" w:cs="Miriam" w:hint="cs"/>
          <w:b/>
          <w:spacing w:val="0"/>
          <w:szCs w:val="24"/>
          <w:rtl/>
        </w:rPr>
        <w:t>ק</w:t>
      </w:r>
      <w:r w:rsidRPr="00F36A63">
        <w:rPr>
          <w:rFonts w:ascii="Century" w:hAnsi="Century" w:cs="Miriam" w:hint="cs"/>
          <w:b/>
          <w:spacing w:val="0"/>
          <w:szCs w:val="24"/>
          <w:rtl/>
        </w:rPr>
        <w:t>ונטרם</w:t>
      </w:r>
      <w:proofErr w:type="spellEnd"/>
      <w:r w:rsidRPr="00F36A63">
        <w:rPr>
          <w:rFonts w:ascii="Century" w:hAnsi="Century" w:cs="Miriam" w:hint="cs"/>
          <w:b/>
          <w:spacing w:val="0"/>
          <w:szCs w:val="24"/>
          <w:rtl/>
        </w:rPr>
        <w:t xml:space="preserve"> בע"מ נ' משרד האוצר, אגף המכס והמע"מ</w:t>
      </w:r>
      <w:r>
        <w:rPr>
          <w:rFonts w:hint="cs"/>
          <w:rtl/>
        </w:rPr>
        <w:t>, פ"ד נב(1) 289, 319 (1998)).</w:t>
      </w:r>
    </w:p>
    <w:p w14:paraId="2A5605A8" w14:textId="77777777" w:rsidR="00872AD0" w:rsidRDefault="00872AD0" w:rsidP="00872AD0">
      <w:pPr>
        <w:pStyle w:val="Ruller41"/>
        <w:rPr>
          <w:rtl/>
        </w:rPr>
      </w:pPr>
    </w:p>
    <w:p w14:paraId="4123B4F4" w14:textId="77777777" w:rsidR="00872AD0" w:rsidRDefault="00872AD0" w:rsidP="00872AD0">
      <w:pPr>
        <w:pStyle w:val="Ruller41"/>
        <w:rPr>
          <w:rtl/>
        </w:rPr>
      </w:pPr>
      <w:r>
        <w:rPr>
          <w:rtl/>
        </w:rPr>
        <w:tab/>
      </w:r>
      <w:r>
        <w:rPr>
          <w:rFonts w:hint="cs"/>
          <w:rtl/>
        </w:rPr>
        <w:t xml:space="preserve">שיקול הדעת המינהלי כפוף לפיקוח שיפוטי במספר עילות ביקורת תחומות ומגודרות </w:t>
      </w:r>
      <w:r>
        <w:rPr>
          <w:rtl/>
        </w:rPr>
        <w:t>–</w:t>
      </w:r>
      <w:r>
        <w:rPr>
          <w:rFonts w:hint="cs"/>
          <w:rtl/>
        </w:rPr>
        <w:t xml:space="preserve"> ובהן </w:t>
      </w:r>
      <w:r w:rsidRPr="009C04DA">
        <w:rPr>
          <w:rFonts w:ascii="Century" w:hAnsi="Century" w:cs="Miriam" w:hint="cs"/>
          <w:b/>
          <w:spacing w:val="0"/>
          <w:szCs w:val="24"/>
          <w:rtl/>
        </w:rPr>
        <w:t>עילת הסבירות</w:t>
      </w:r>
      <w:r>
        <w:rPr>
          <w:rFonts w:hint="cs"/>
          <w:rtl/>
        </w:rPr>
        <w:t>. הביקורת השיפוטית על מעשה המינהל נועדה להגן</w:t>
      </w:r>
      <w:r>
        <w:rPr>
          <w:rtl/>
        </w:rPr>
        <w:t xml:space="preserve"> על זכויות אדם ועל ערכי יסוד מפני שימוש לרעה בכוח</w:t>
      </w:r>
      <w:r>
        <w:rPr>
          <w:rFonts w:hint="cs"/>
          <w:rtl/>
        </w:rPr>
        <w:t>,</w:t>
      </w:r>
      <w:r>
        <w:rPr>
          <w:rtl/>
        </w:rPr>
        <w:t xml:space="preserve"> </w:t>
      </w:r>
      <w:r>
        <w:rPr>
          <w:rFonts w:hint="cs"/>
          <w:rtl/>
        </w:rPr>
        <w:t>ו</w:t>
      </w:r>
      <w:r>
        <w:rPr>
          <w:rtl/>
        </w:rPr>
        <w:t>להבטיח ממשל תקין, נקי</w:t>
      </w:r>
      <w:r>
        <w:rPr>
          <w:rFonts w:hint="cs"/>
          <w:rtl/>
        </w:rPr>
        <w:t xml:space="preserve"> כפיים</w:t>
      </w:r>
      <w:r>
        <w:rPr>
          <w:rtl/>
        </w:rPr>
        <w:t xml:space="preserve"> והוגן.</w:t>
      </w:r>
      <w:r>
        <w:rPr>
          <w:rFonts w:hint="cs"/>
          <w:rtl/>
        </w:rPr>
        <w:t xml:space="preserve"> בית המשפט </w:t>
      </w:r>
      <w:r>
        <w:rPr>
          <w:rFonts w:ascii="Arial" w:hAnsi="Arial" w:hint="cs"/>
          <w:rtl/>
        </w:rPr>
        <w:t>הוא ה</w:t>
      </w:r>
      <w:r>
        <w:rPr>
          <w:rFonts w:ascii="Arial" w:hAnsi="Arial"/>
          <w:rtl/>
        </w:rPr>
        <w:t>מופקד</w:t>
      </w:r>
      <w:r>
        <w:rPr>
          <w:rFonts w:ascii="Arial" w:hAnsi="Arial" w:hint="cs"/>
          <w:rtl/>
        </w:rPr>
        <w:t xml:space="preserve"> </w:t>
      </w:r>
      <w:r>
        <w:rPr>
          <w:rFonts w:ascii="Arial" w:hAnsi="Arial"/>
          <w:rtl/>
        </w:rPr>
        <w:t xml:space="preserve">על שמירת גבולות הסמכות של </w:t>
      </w:r>
      <w:r>
        <w:rPr>
          <w:rFonts w:ascii="Arial" w:hAnsi="Arial" w:hint="cs"/>
          <w:rtl/>
        </w:rPr>
        <w:t>הרשות המינהלית</w:t>
      </w:r>
      <w:r>
        <w:rPr>
          <w:rFonts w:ascii="Arial" w:hAnsi="Arial"/>
          <w:rtl/>
        </w:rPr>
        <w:t xml:space="preserve"> ועל חוקיות הפעלת הסמכות</w:t>
      </w:r>
      <w:r>
        <w:rPr>
          <w:rFonts w:hint="cs"/>
          <w:rtl/>
        </w:rPr>
        <w:t xml:space="preserve"> (בג"ץ 5016/96 </w:t>
      </w:r>
      <w:r w:rsidRPr="003A3D92">
        <w:rPr>
          <w:rFonts w:ascii="Century" w:hAnsi="Century" w:cs="Miriam" w:hint="cs"/>
          <w:b/>
          <w:spacing w:val="0"/>
          <w:szCs w:val="24"/>
          <w:rtl/>
        </w:rPr>
        <w:t>חורב נ' שר התחבורה</w:t>
      </w:r>
      <w:r>
        <w:rPr>
          <w:rFonts w:hint="cs"/>
          <w:rtl/>
        </w:rPr>
        <w:t xml:space="preserve">, פ"ד נא(4) 1, 40 (1997)). זאת תמציתה של דוקטרינת האיזונים והבלמים שביסוד עקרון הפרדת הרשויות; זאת מהותה של הדמוקרטיה (בג"ץ 742/84 </w:t>
      </w:r>
      <w:r w:rsidRPr="00FB3186">
        <w:rPr>
          <w:rFonts w:ascii="Century" w:hAnsi="Century" w:cs="Miriam" w:hint="cs"/>
          <w:b/>
          <w:spacing w:val="0"/>
          <w:szCs w:val="24"/>
          <w:rtl/>
        </w:rPr>
        <w:t xml:space="preserve">כהנא נ' </w:t>
      </w:r>
      <w:r>
        <w:rPr>
          <w:rFonts w:ascii="Century" w:hAnsi="Century" w:cs="Miriam" w:hint="cs"/>
          <w:b/>
          <w:spacing w:val="0"/>
          <w:szCs w:val="24"/>
          <w:rtl/>
        </w:rPr>
        <w:t xml:space="preserve">שלמה הלל </w:t>
      </w:r>
      <w:r w:rsidRPr="00FB3186">
        <w:rPr>
          <w:rFonts w:ascii="Century" w:hAnsi="Century" w:cs="Miriam" w:hint="cs"/>
          <w:b/>
          <w:spacing w:val="0"/>
          <w:szCs w:val="24"/>
          <w:rtl/>
        </w:rPr>
        <w:t>יו"ר הכנסת</w:t>
      </w:r>
      <w:r>
        <w:rPr>
          <w:rFonts w:hint="cs"/>
          <w:rtl/>
        </w:rPr>
        <w:t xml:space="preserve">, פ"ד לט(4) 85, 92-91 (1985); יצחק זמיר </w:t>
      </w:r>
      <w:r w:rsidRPr="00DC63CA">
        <w:rPr>
          <w:rFonts w:ascii="Century" w:hAnsi="Century" w:cs="Miriam" w:hint="cs"/>
          <w:b/>
          <w:spacing w:val="0"/>
          <w:szCs w:val="24"/>
          <w:rtl/>
        </w:rPr>
        <w:t>הסמכות המינהלית</w:t>
      </w:r>
      <w:r w:rsidRPr="00DC63CA">
        <w:rPr>
          <w:rFonts w:hint="cs"/>
          <w:rtl/>
        </w:rPr>
        <w:t xml:space="preserve"> </w:t>
      </w:r>
      <w:r>
        <w:rPr>
          <w:rFonts w:hint="cs"/>
          <w:rtl/>
        </w:rPr>
        <w:t xml:space="preserve">כרך ה </w:t>
      </w:r>
      <w:r>
        <w:rPr>
          <w:rtl/>
        </w:rPr>
        <w:t>–</w:t>
      </w:r>
      <w:r>
        <w:rPr>
          <w:rFonts w:hint="cs"/>
          <w:rtl/>
        </w:rPr>
        <w:t xml:space="preserve"> עילות הביקורת המשפטית 3613 (2020)). השופט </w:t>
      </w:r>
      <w:r w:rsidRPr="003A3D92">
        <w:rPr>
          <w:rFonts w:ascii="Century" w:hAnsi="Century" w:cs="Miriam" w:hint="cs"/>
          <w:b/>
          <w:spacing w:val="0"/>
          <w:szCs w:val="24"/>
          <w:rtl/>
        </w:rPr>
        <w:t>מ' חשין</w:t>
      </w:r>
      <w:r w:rsidRPr="003A3D92">
        <w:rPr>
          <w:rFonts w:hint="cs"/>
          <w:rtl/>
        </w:rPr>
        <w:t xml:space="preserve"> </w:t>
      </w:r>
      <w:r>
        <w:rPr>
          <w:rFonts w:hint="cs"/>
          <w:rtl/>
        </w:rPr>
        <w:t>היטיב לבטא רעיון זה (בדעת יחיד) בלשונו הייחודית:</w:t>
      </w:r>
    </w:p>
    <w:p w14:paraId="11E1D3F4" w14:textId="77777777" w:rsidR="00872AD0" w:rsidRDefault="00872AD0" w:rsidP="00872AD0">
      <w:pPr>
        <w:pStyle w:val="Ruller41"/>
        <w:spacing w:line="240" w:lineRule="auto"/>
        <w:rPr>
          <w:rtl/>
        </w:rPr>
      </w:pPr>
    </w:p>
    <w:p w14:paraId="1F8CECEB" w14:textId="77777777" w:rsidR="00872AD0" w:rsidRDefault="00872AD0" w:rsidP="00872AD0">
      <w:pPr>
        <w:pStyle w:val="Ruller5"/>
        <w:rPr>
          <w:rtl/>
        </w:rPr>
      </w:pPr>
      <w:r>
        <w:rPr>
          <w:rFonts w:hint="cs"/>
          <w:rtl/>
        </w:rPr>
        <w:t>"</w:t>
      </w:r>
      <w:r w:rsidRPr="001710EC">
        <w:rPr>
          <w:rFonts w:hint="eastAsia"/>
          <w:rtl/>
        </w:rPr>
        <w:t>בימים</w:t>
      </w:r>
      <w:r w:rsidRPr="001710EC">
        <w:rPr>
          <w:rtl/>
        </w:rPr>
        <w:t xml:space="preserve"> </w:t>
      </w:r>
      <w:r w:rsidRPr="001710EC">
        <w:rPr>
          <w:rFonts w:hint="eastAsia"/>
          <w:rtl/>
        </w:rPr>
        <w:t>שמכבר</w:t>
      </w:r>
      <w:r w:rsidRPr="001710EC">
        <w:rPr>
          <w:rtl/>
        </w:rPr>
        <w:t xml:space="preserve"> </w:t>
      </w:r>
      <w:r w:rsidRPr="001710EC">
        <w:rPr>
          <w:rFonts w:hint="eastAsia"/>
          <w:rtl/>
        </w:rPr>
        <w:t>ניסה</w:t>
      </w:r>
      <w:r w:rsidRPr="001710EC">
        <w:rPr>
          <w:rtl/>
        </w:rPr>
        <w:t xml:space="preserve"> </w:t>
      </w:r>
      <w:r w:rsidRPr="001710EC">
        <w:rPr>
          <w:rFonts w:hint="eastAsia"/>
          <w:rtl/>
        </w:rPr>
        <w:t>המחוקק</w:t>
      </w:r>
      <w:r w:rsidRPr="001710EC">
        <w:rPr>
          <w:rtl/>
        </w:rPr>
        <w:t xml:space="preserve"> </w:t>
      </w:r>
      <w:r w:rsidRPr="001710EC">
        <w:rPr>
          <w:rFonts w:hint="eastAsia"/>
          <w:rtl/>
        </w:rPr>
        <w:t>לחסום</w:t>
      </w:r>
      <w:r w:rsidRPr="001710EC">
        <w:rPr>
          <w:rtl/>
        </w:rPr>
        <w:t xml:space="preserve"> </w:t>
      </w:r>
      <w:r w:rsidRPr="001710EC">
        <w:rPr>
          <w:rFonts w:hint="eastAsia"/>
          <w:rtl/>
        </w:rPr>
        <w:t>דרכים</w:t>
      </w:r>
      <w:r w:rsidRPr="001710EC">
        <w:rPr>
          <w:rtl/>
        </w:rPr>
        <w:t xml:space="preserve"> </w:t>
      </w:r>
      <w:r w:rsidRPr="001710EC">
        <w:rPr>
          <w:rFonts w:hint="eastAsia"/>
          <w:rtl/>
        </w:rPr>
        <w:t>לביקורת</w:t>
      </w:r>
      <w:r w:rsidRPr="001710EC">
        <w:rPr>
          <w:rtl/>
        </w:rPr>
        <w:t xml:space="preserve"> </w:t>
      </w:r>
      <w:r w:rsidRPr="001710EC">
        <w:rPr>
          <w:rFonts w:hint="eastAsia"/>
          <w:rtl/>
        </w:rPr>
        <w:t>שיפוטית</w:t>
      </w:r>
      <w:r w:rsidRPr="001710EC">
        <w:rPr>
          <w:rtl/>
        </w:rPr>
        <w:t xml:space="preserve"> </w:t>
      </w:r>
      <w:r w:rsidRPr="001710EC">
        <w:rPr>
          <w:rFonts w:hint="eastAsia"/>
          <w:rtl/>
        </w:rPr>
        <w:t>על</w:t>
      </w:r>
      <w:r w:rsidRPr="001710EC">
        <w:rPr>
          <w:rtl/>
        </w:rPr>
        <w:t xml:space="preserve"> </w:t>
      </w:r>
      <w:r w:rsidRPr="001710EC">
        <w:rPr>
          <w:rFonts w:hint="eastAsia"/>
          <w:rtl/>
        </w:rPr>
        <w:t>פעילות</w:t>
      </w:r>
      <w:r w:rsidRPr="001710EC">
        <w:rPr>
          <w:rtl/>
        </w:rPr>
        <w:t xml:space="preserve"> </w:t>
      </w:r>
      <w:r w:rsidRPr="001710EC">
        <w:rPr>
          <w:rFonts w:hint="eastAsia"/>
          <w:rtl/>
        </w:rPr>
        <w:t>מינהלית</w:t>
      </w:r>
      <w:r w:rsidRPr="001710EC">
        <w:rPr>
          <w:rtl/>
        </w:rPr>
        <w:t xml:space="preserve">, </w:t>
      </w:r>
      <w:r w:rsidRPr="001710EC">
        <w:rPr>
          <w:rFonts w:hint="eastAsia"/>
          <w:rtl/>
        </w:rPr>
        <w:t>ולעניין</w:t>
      </w:r>
      <w:r w:rsidRPr="001710EC">
        <w:rPr>
          <w:rtl/>
        </w:rPr>
        <w:t xml:space="preserve"> </w:t>
      </w:r>
      <w:r w:rsidRPr="001710EC">
        <w:rPr>
          <w:rFonts w:hint="eastAsia"/>
          <w:rtl/>
        </w:rPr>
        <w:t>זה</w:t>
      </w:r>
      <w:r w:rsidRPr="001710EC">
        <w:rPr>
          <w:rtl/>
        </w:rPr>
        <w:t xml:space="preserve"> </w:t>
      </w:r>
      <w:r w:rsidRPr="001710EC">
        <w:rPr>
          <w:rFonts w:hint="eastAsia"/>
          <w:rtl/>
        </w:rPr>
        <w:t>עשה</w:t>
      </w:r>
      <w:r w:rsidRPr="001710EC">
        <w:rPr>
          <w:rtl/>
        </w:rPr>
        <w:t xml:space="preserve"> </w:t>
      </w:r>
      <w:r w:rsidRPr="001710EC">
        <w:rPr>
          <w:rFonts w:hint="eastAsia"/>
          <w:rtl/>
        </w:rPr>
        <w:t>שימוש</w:t>
      </w:r>
      <w:r w:rsidRPr="001710EC">
        <w:rPr>
          <w:rtl/>
        </w:rPr>
        <w:t xml:space="preserve"> </w:t>
      </w:r>
      <w:r w:rsidRPr="001710EC">
        <w:rPr>
          <w:rFonts w:hint="eastAsia"/>
          <w:rtl/>
        </w:rPr>
        <w:t>בנוסחאות</w:t>
      </w:r>
      <w:r w:rsidRPr="001710EC">
        <w:rPr>
          <w:rtl/>
        </w:rPr>
        <w:t xml:space="preserve"> </w:t>
      </w:r>
      <w:r w:rsidRPr="001710EC">
        <w:rPr>
          <w:rFonts w:hint="eastAsia"/>
          <w:rtl/>
        </w:rPr>
        <w:t>מנוסחאות</w:t>
      </w:r>
      <w:r w:rsidRPr="001710EC">
        <w:rPr>
          <w:rtl/>
        </w:rPr>
        <w:t xml:space="preserve"> </w:t>
      </w:r>
      <w:r w:rsidRPr="001710EC">
        <w:rPr>
          <w:rFonts w:hint="eastAsia"/>
          <w:rtl/>
        </w:rPr>
        <w:t>שונות</w:t>
      </w:r>
      <w:r w:rsidRPr="001710EC">
        <w:rPr>
          <w:rtl/>
        </w:rPr>
        <w:t xml:space="preserve">, </w:t>
      </w:r>
      <w:r w:rsidRPr="001710EC">
        <w:rPr>
          <w:rFonts w:hint="eastAsia"/>
          <w:rtl/>
        </w:rPr>
        <w:t>ביניהן</w:t>
      </w:r>
      <w:r w:rsidRPr="001710EC">
        <w:rPr>
          <w:rtl/>
        </w:rPr>
        <w:t xml:space="preserve"> </w:t>
      </w:r>
      <w:r w:rsidRPr="001710EC">
        <w:rPr>
          <w:rFonts w:hint="eastAsia"/>
          <w:rtl/>
        </w:rPr>
        <w:t>בשיקול</w:t>
      </w:r>
      <w:r w:rsidRPr="001710EC">
        <w:rPr>
          <w:rtl/>
        </w:rPr>
        <w:t xml:space="preserve"> </w:t>
      </w:r>
      <w:r w:rsidRPr="001710EC">
        <w:rPr>
          <w:rFonts w:hint="eastAsia"/>
          <w:rtl/>
        </w:rPr>
        <w:t>דעת</w:t>
      </w:r>
      <w:r w:rsidRPr="001710EC">
        <w:rPr>
          <w:rtl/>
        </w:rPr>
        <w:t xml:space="preserve"> </w:t>
      </w:r>
      <w:r w:rsidRPr="001710EC">
        <w:rPr>
          <w:rFonts w:hint="eastAsia"/>
          <w:rtl/>
        </w:rPr>
        <w:t>שהוא</w:t>
      </w:r>
      <w:r>
        <w:rPr>
          <w:rtl/>
        </w:rPr>
        <w:t xml:space="preserve"> </w:t>
      </w:r>
      <w:r>
        <w:rPr>
          <w:rFonts w:hint="cs"/>
          <w:rtl/>
        </w:rPr>
        <w:t>'</w:t>
      </w:r>
      <w:r w:rsidRPr="001710EC">
        <w:rPr>
          <w:rFonts w:hint="eastAsia"/>
          <w:rtl/>
        </w:rPr>
        <w:t>מוחלט</w:t>
      </w:r>
      <w:r>
        <w:rPr>
          <w:rFonts w:hint="cs"/>
          <w:rtl/>
        </w:rPr>
        <w:t>'</w:t>
      </w:r>
      <w:r w:rsidRPr="001710EC">
        <w:rPr>
          <w:rtl/>
        </w:rPr>
        <w:t xml:space="preserve"> (</w:t>
      </w:r>
      <w:r w:rsidRPr="001710EC">
        <w:rPr>
          <w:rFonts w:hint="eastAsia"/>
          <w:rtl/>
        </w:rPr>
        <w:t>השווה</w:t>
      </w:r>
      <w:r w:rsidRPr="001710EC">
        <w:rPr>
          <w:rtl/>
        </w:rPr>
        <w:t xml:space="preserve"> </w:t>
      </w:r>
      <w:r w:rsidRPr="001710EC">
        <w:rPr>
          <w:rFonts w:hint="eastAsia"/>
          <w:rtl/>
        </w:rPr>
        <w:t>ד</w:t>
      </w:r>
      <w:r w:rsidRPr="001710EC">
        <w:rPr>
          <w:rtl/>
        </w:rPr>
        <w:t>"</w:t>
      </w:r>
      <w:r w:rsidRPr="001710EC">
        <w:rPr>
          <w:rFonts w:hint="eastAsia"/>
          <w:rtl/>
        </w:rPr>
        <w:t>נ</w:t>
      </w:r>
      <w:r>
        <w:rPr>
          <w:rtl/>
        </w:rPr>
        <w:t xml:space="preserve"> 16/61</w:t>
      </w:r>
      <w:r w:rsidRPr="001710EC">
        <w:rPr>
          <w:rtl/>
        </w:rPr>
        <w:t xml:space="preserve"> </w:t>
      </w:r>
      <w:r w:rsidRPr="001710EC">
        <w:rPr>
          <w:rFonts w:hint="eastAsia"/>
          <w:rtl/>
        </w:rPr>
        <w:t>הנ</w:t>
      </w:r>
      <w:r w:rsidRPr="001710EC">
        <w:rPr>
          <w:rtl/>
        </w:rPr>
        <w:t>"</w:t>
      </w:r>
      <w:r w:rsidRPr="001710EC">
        <w:rPr>
          <w:rFonts w:hint="eastAsia"/>
          <w:rtl/>
        </w:rPr>
        <w:t>ל</w:t>
      </w:r>
      <w:r w:rsidRPr="001710EC">
        <w:rPr>
          <w:rtl/>
        </w:rPr>
        <w:t xml:space="preserve">, </w:t>
      </w:r>
      <w:r w:rsidRPr="001710EC">
        <w:rPr>
          <w:rFonts w:hint="eastAsia"/>
          <w:rtl/>
        </w:rPr>
        <w:t>בעמ</w:t>
      </w:r>
      <w:r w:rsidRPr="001710EC">
        <w:rPr>
          <w:rtl/>
        </w:rPr>
        <w:t xml:space="preserve">' 1217). </w:t>
      </w:r>
      <w:r w:rsidRPr="001710EC">
        <w:rPr>
          <w:rFonts w:hint="eastAsia"/>
          <w:rtl/>
        </w:rPr>
        <w:t>בתי</w:t>
      </w:r>
      <w:r w:rsidRPr="001710EC">
        <w:rPr>
          <w:rtl/>
        </w:rPr>
        <w:t xml:space="preserve"> </w:t>
      </w:r>
      <w:r w:rsidRPr="001710EC">
        <w:rPr>
          <w:rFonts w:hint="eastAsia"/>
          <w:rtl/>
        </w:rPr>
        <w:t>המשפט</w:t>
      </w:r>
      <w:r w:rsidRPr="001710EC">
        <w:rPr>
          <w:rtl/>
        </w:rPr>
        <w:t xml:space="preserve"> </w:t>
      </w:r>
      <w:r w:rsidRPr="001710EC">
        <w:rPr>
          <w:rFonts w:hint="eastAsia"/>
          <w:rtl/>
        </w:rPr>
        <w:t>עמדו</w:t>
      </w:r>
      <w:r w:rsidRPr="001710EC">
        <w:rPr>
          <w:rtl/>
        </w:rPr>
        <w:t xml:space="preserve"> </w:t>
      </w:r>
      <w:r w:rsidRPr="001710EC">
        <w:rPr>
          <w:rFonts w:hint="eastAsia"/>
          <w:rtl/>
        </w:rPr>
        <w:t>במערכה</w:t>
      </w:r>
      <w:r w:rsidRPr="001710EC">
        <w:rPr>
          <w:rtl/>
        </w:rPr>
        <w:t xml:space="preserve"> </w:t>
      </w:r>
      <w:r w:rsidRPr="001710EC">
        <w:rPr>
          <w:rFonts w:hint="eastAsia"/>
          <w:rtl/>
        </w:rPr>
        <w:t>זו</w:t>
      </w:r>
      <w:r w:rsidRPr="001710EC">
        <w:rPr>
          <w:rtl/>
        </w:rPr>
        <w:t xml:space="preserve"> - </w:t>
      </w:r>
      <w:r w:rsidRPr="001710EC">
        <w:rPr>
          <w:rFonts w:hint="eastAsia"/>
          <w:rtl/>
        </w:rPr>
        <w:t>עמדו</w:t>
      </w:r>
      <w:r w:rsidRPr="001710EC">
        <w:rPr>
          <w:rtl/>
        </w:rPr>
        <w:t xml:space="preserve"> </w:t>
      </w:r>
      <w:r w:rsidRPr="001710EC">
        <w:rPr>
          <w:rFonts w:hint="eastAsia"/>
          <w:rtl/>
        </w:rPr>
        <w:t>ויכלו</w:t>
      </w:r>
      <w:r w:rsidRPr="001710EC">
        <w:rPr>
          <w:rtl/>
        </w:rPr>
        <w:t xml:space="preserve">. </w:t>
      </w:r>
      <w:r w:rsidRPr="001710EC">
        <w:rPr>
          <w:rFonts w:hint="eastAsia"/>
          <w:rtl/>
        </w:rPr>
        <w:t>ימים</w:t>
      </w:r>
      <w:r w:rsidRPr="001710EC">
        <w:rPr>
          <w:rtl/>
        </w:rPr>
        <w:t xml:space="preserve"> </w:t>
      </w:r>
      <w:r w:rsidRPr="001710EC">
        <w:rPr>
          <w:rFonts w:hint="eastAsia"/>
          <w:rtl/>
        </w:rPr>
        <w:t>אלה</w:t>
      </w:r>
      <w:r w:rsidRPr="001710EC">
        <w:rPr>
          <w:rtl/>
        </w:rPr>
        <w:t xml:space="preserve"> </w:t>
      </w:r>
      <w:r w:rsidRPr="001710EC">
        <w:rPr>
          <w:rFonts w:hint="eastAsia"/>
          <w:rtl/>
        </w:rPr>
        <w:t>חלפו</w:t>
      </w:r>
      <w:r w:rsidRPr="001710EC">
        <w:rPr>
          <w:rtl/>
        </w:rPr>
        <w:t xml:space="preserve"> </w:t>
      </w:r>
      <w:r w:rsidRPr="001710EC">
        <w:rPr>
          <w:rFonts w:hint="eastAsia"/>
          <w:rtl/>
        </w:rPr>
        <w:t>עברו</w:t>
      </w:r>
      <w:r w:rsidRPr="001710EC">
        <w:rPr>
          <w:rtl/>
        </w:rPr>
        <w:t xml:space="preserve">, </w:t>
      </w:r>
      <w:r w:rsidRPr="001710EC">
        <w:rPr>
          <w:rFonts w:hint="eastAsia"/>
          <w:rtl/>
        </w:rPr>
        <w:t>וקשה</w:t>
      </w:r>
      <w:r w:rsidRPr="001710EC">
        <w:rPr>
          <w:rtl/>
        </w:rPr>
        <w:t xml:space="preserve"> </w:t>
      </w:r>
      <w:r w:rsidRPr="001710EC">
        <w:rPr>
          <w:rFonts w:hint="eastAsia"/>
          <w:rtl/>
        </w:rPr>
        <w:t>להניח</w:t>
      </w:r>
      <w:r w:rsidRPr="001710EC">
        <w:rPr>
          <w:rtl/>
        </w:rPr>
        <w:t xml:space="preserve"> </w:t>
      </w:r>
      <w:r w:rsidRPr="001710EC">
        <w:rPr>
          <w:rFonts w:hint="eastAsia"/>
          <w:rtl/>
        </w:rPr>
        <w:t>שיחזרו</w:t>
      </w:r>
      <w:r w:rsidRPr="001710EC">
        <w:rPr>
          <w:rtl/>
        </w:rPr>
        <w:t xml:space="preserve"> </w:t>
      </w:r>
      <w:r w:rsidRPr="001710EC">
        <w:rPr>
          <w:rFonts w:hint="eastAsia"/>
          <w:rtl/>
        </w:rPr>
        <w:t>אלינו</w:t>
      </w:r>
      <w:r w:rsidRPr="001710EC">
        <w:rPr>
          <w:rtl/>
        </w:rPr>
        <w:t xml:space="preserve">. </w:t>
      </w:r>
      <w:r w:rsidRPr="001710EC">
        <w:rPr>
          <w:rFonts w:hint="eastAsia"/>
          <w:rtl/>
        </w:rPr>
        <w:t>נזכור</w:t>
      </w:r>
      <w:r w:rsidRPr="001710EC">
        <w:rPr>
          <w:rtl/>
        </w:rPr>
        <w:t xml:space="preserve"> </w:t>
      </w:r>
      <w:r w:rsidRPr="001710EC">
        <w:rPr>
          <w:rFonts w:hint="eastAsia"/>
          <w:rtl/>
        </w:rPr>
        <w:t>עם</w:t>
      </w:r>
      <w:r w:rsidRPr="001710EC">
        <w:rPr>
          <w:rtl/>
        </w:rPr>
        <w:t xml:space="preserve"> </w:t>
      </w:r>
      <w:r w:rsidRPr="001710EC">
        <w:rPr>
          <w:rFonts w:hint="eastAsia"/>
          <w:rtl/>
        </w:rPr>
        <w:t>זאת</w:t>
      </w:r>
      <w:r w:rsidRPr="001710EC">
        <w:rPr>
          <w:rtl/>
        </w:rPr>
        <w:t xml:space="preserve"> </w:t>
      </w:r>
      <w:r w:rsidRPr="001710EC">
        <w:rPr>
          <w:rFonts w:hint="eastAsia"/>
          <w:rtl/>
        </w:rPr>
        <w:t>תמיד</w:t>
      </w:r>
      <w:r w:rsidRPr="001710EC">
        <w:rPr>
          <w:rtl/>
        </w:rPr>
        <w:t xml:space="preserve"> </w:t>
      </w:r>
      <w:r w:rsidRPr="001710EC">
        <w:rPr>
          <w:rFonts w:hint="eastAsia"/>
          <w:rtl/>
        </w:rPr>
        <w:t>ונשווה</w:t>
      </w:r>
      <w:r w:rsidRPr="001710EC">
        <w:rPr>
          <w:rtl/>
        </w:rPr>
        <w:t xml:space="preserve"> </w:t>
      </w:r>
      <w:r w:rsidRPr="001710EC">
        <w:rPr>
          <w:rFonts w:hint="eastAsia"/>
          <w:rtl/>
        </w:rPr>
        <w:t>נגד</w:t>
      </w:r>
      <w:r w:rsidRPr="001710EC">
        <w:rPr>
          <w:rtl/>
        </w:rPr>
        <w:t xml:space="preserve"> </w:t>
      </w:r>
      <w:r w:rsidRPr="001710EC">
        <w:rPr>
          <w:rFonts w:hint="eastAsia"/>
          <w:rtl/>
        </w:rPr>
        <w:t>עינינו</w:t>
      </w:r>
      <w:r w:rsidRPr="001710EC">
        <w:rPr>
          <w:rtl/>
        </w:rPr>
        <w:t xml:space="preserve">, </w:t>
      </w:r>
      <w:r w:rsidRPr="001710EC">
        <w:rPr>
          <w:rFonts w:hint="eastAsia"/>
          <w:rtl/>
        </w:rPr>
        <w:t>כי</w:t>
      </w:r>
      <w:r w:rsidRPr="001710EC">
        <w:rPr>
          <w:rtl/>
        </w:rPr>
        <w:t xml:space="preserve"> </w:t>
      </w:r>
      <w:r w:rsidRPr="001710EC">
        <w:rPr>
          <w:rFonts w:hint="eastAsia"/>
          <w:rtl/>
        </w:rPr>
        <w:t>אבסולוטיזם</w:t>
      </w:r>
      <w:r>
        <w:rPr>
          <w:rtl/>
        </w:rPr>
        <w:t xml:space="preserve"> </w:t>
      </w:r>
      <w:r w:rsidRPr="001710EC">
        <w:rPr>
          <w:rFonts w:hint="eastAsia"/>
          <w:rtl/>
        </w:rPr>
        <w:t>נאור</w:t>
      </w:r>
      <w:r w:rsidRPr="001710EC">
        <w:rPr>
          <w:rtl/>
        </w:rPr>
        <w:t xml:space="preserve"> </w:t>
      </w:r>
      <w:r w:rsidRPr="001710EC">
        <w:rPr>
          <w:rFonts w:hint="eastAsia"/>
          <w:rtl/>
        </w:rPr>
        <w:t>ככל</w:t>
      </w:r>
      <w:r w:rsidRPr="001710EC">
        <w:rPr>
          <w:rtl/>
        </w:rPr>
        <w:t xml:space="preserve"> </w:t>
      </w:r>
      <w:r w:rsidRPr="001710EC">
        <w:rPr>
          <w:rFonts w:hint="eastAsia"/>
          <w:rtl/>
        </w:rPr>
        <w:t>שיהיה</w:t>
      </w:r>
      <w:r w:rsidRPr="001710EC">
        <w:rPr>
          <w:rtl/>
        </w:rPr>
        <w:t xml:space="preserve"> </w:t>
      </w:r>
      <w:r>
        <w:rPr>
          <w:rtl/>
        </w:rPr>
        <w:t>–</w:t>
      </w:r>
      <w:r w:rsidRPr="001710EC">
        <w:rPr>
          <w:rtl/>
        </w:rPr>
        <w:t xml:space="preserve"> </w:t>
      </w:r>
      <w:r w:rsidRPr="001710EC">
        <w:rPr>
          <w:rFonts w:hint="eastAsia"/>
          <w:rtl/>
        </w:rPr>
        <w:t>הינו</w:t>
      </w:r>
      <w:r w:rsidRPr="001710EC">
        <w:rPr>
          <w:rtl/>
        </w:rPr>
        <w:t xml:space="preserve"> </w:t>
      </w:r>
      <w:r w:rsidRPr="001710EC">
        <w:rPr>
          <w:rFonts w:hint="eastAsia"/>
          <w:rtl/>
        </w:rPr>
        <w:t>אויב</w:t>
      </w:r>
      <w:r w:rsidRPr="001710EC">
        <w:rPr>
          <w:rtl/>
        </w:rPr>
        <w:t xml:space="preserve"> </w:t>
      </w:r>
      <w:r w:rsidRPr="001710EC">
        <w:rPr>
          <w:rFonts w:hint="eastAsia"/>
          <w:rtl/>
        </w:rPr>
        <w:t>החופש</w:t>
      </w:r>
      <w:r w:rsidRPr="001710EC">
        <w:rPr>
          <w:rtl/>
        </w:rPr>
        <w:t xml:space="preserve">. </w:t>
      </w:r>
      <w:r w:rsidRPr="001710EC">
        <w:rPr>
          <w:rFonts w:hint="eastAsia"/>
          <w:rtl/>
        </w:rPr>
        <w:t>בני</w:t>
      </w:r>
      <w:r w:rsidRPr="001710EC">
        <w:rPr>
          <w:rtl/>
        </w:rPr>
        <w:t xml:space="preserve"> </w:t>
      </w:r>
      <w:r w:rsidRPr="001710EC">
        <w:rPr>
          <w:rFonts w:hint="eastAsia"/>
          <w:rtl/>
        </w:rPr>
        <w:t>חורין</w:t>
      </w:r>
      <w:r w:rsidRPr="001710EC">
        <w:rPr>
          <w:rtl/>
        </w:rPr>
        <w:t xml:space="preserve"> </w:t>
      </w:r>
      <w:r w:rsidRPr="001710EC">
        <w:rPr>
          <w:rFonts w:hint="eastAsia"/>
          <w:rtl/>
        </w:rPr>
        <w:t>אנו</w:t>
      </w:r>
      <w:r w:rsidRPr="001710EC">
        <w:rPr>
          <w:rtl/>
        </w:rPr>
        <w:t xml:space="preserve">, </w:t>
      </w:r>
      <w:r w:rsidRPr="001710EC">
        <w:rPr>
          <w:rFonts w:hint="eastAsia"/>
          <w:rtl/>
        </w:rPr>
        <w:t>ומי</w:t>
      </w:r>
      <w:r w:rsidRPr="001710EC">
        <w:rPr>
          <w:rtl/>
        </w:rPr>
        <w:t xml:space="preserve"> </w:t>
      </w:r>
      <w:r w:rsidRPr="001710EC">
        <w:rPr>
          <w:rFonts w:hint="eastAsia"/>
          <w:rtl/>
        </w:rPr>
        <w:t>שנולד</w:t>
      </w:r>
      <w:r w:rsidRPr="001710EC">
        <w:rPr>
          <w:rtl/>
        </w:rPr>
        <w:t xml:space="preserve"> </w:t>
      </w:r>
      <w:r w:rsidRPr="001710EC">
        <w:rPr>
          <w:rFonts w:hint="eastAsia"/>
          <w:rtl/>
        </w:rPr>
        <w:t>חופשי</w:t>
      </w:r>
      <w:r w:rsidRPr="001710EC">
        <w:rPr>
          <w:rtl/>
        </w:rPr>
        <w:t xml:space="preserve"> </w:t>
      </w:r>
      <w:r w:rsidRPr="001710EC">
        <w:rPr>
          <w:rFonts w:hint="eastAsia"/>
          <w:rtl/>
        </w:rPr>
        <w:t>או</w:t>
      </w:r>
      <w:r w:rsidRPr="001710EC">
        <w:rPr>
          <w:rtl/>
        </w:rPr>
        <w:t xml:space="preserve"> </w:t>
      </w:r>
      <w:r w:rsidRPr="001710EC">
        <w:rPr>
          <w:rFonts w:hint="eastAsia"/>
          <w:rtl/>
        </w:rPr>
        <w:t>מי</w:t>
      </w:r>
      <w:r w:rsidRPr="001710EC">
        <w:rPr>
          <w:rtl/>
        </w:rPr>
        <w:t xml:space="preserve"> </w:t>
      </w:r>
      <w:r w:rsidRPr="001710EC">
        <w:rPr>
          <w:rFonts w:hint="eastAsia"/>
          <w:rtl/>
        </w:rPr>
        <w:t>שידע</w:t>
      </w:r>
      <w:r w:rsidRPr="001710EC">
        <w:rPr>
          <w:rtl/>
        </w:rPr>
        <w:t xml:space="preserve"> </w:t>
      </w:r>
      <w:r w:rsidRPr="001710EC">
        <w:rPr>
          <w:rFonts w:hint="eastAsia"/>
          <w:rtl/>
        </w:rPr>
        <w:t>חופש</w:t>
      </w:r>
      <w:r w:rsidRPr="001710EC">
        <w:rPr>
          <w:rtl/>
        </w:rPr>
        <w:t xml:space="preserve">, </w:t>
      </w:r>
      <w:r w:rsidRPr="001710EC">
        <w:rPr>
          <w:rFonts w:hint="eastAsia"/>
          <w:rtl/>
        </w:rPr>
        <w:t>לא</w:t>
      </w:r>
      <w:r w:rsidRPr="001710EC">
        <w:rPr>
          <w:rtl/>
        </w:rPr>
        <w:t xml:space="preserve"> </w:t>
      </w:r>
      <w:r w:rsidRPr="001710EC">
        <w:rPr>
          <w:rFonts w:hint="eastAsia"/>
          <w:rtl/>
        </w:rPr>
        <w:t>ישתעבד</w:t>
      </w:r>
      <w:r w:rsidRPr="001710EC">
        <w:rPr>
          <w:rtl/>
        </w:rPr>
        <w:t xml:space="preserve"> </w:t>
      </w:r>
      <w:r w:rsidRPr="001710EC">
        <w:rPr>
          <w:rFonts w:hint="eastAsia"/>
          <w:rtl/>
        </w:rPr>
        <w:t>לאדם</w:t>
      </w:r>
      <w:r w:rsidRPr="001710EC">
        <w:rPr>
          <w:rtl/>
        </w:rPr>
        <w:t xml:space="preserve"> </w:t>
      </w:r>
      <w:r>
        <w:rPr>
          <w:rtl/>
        </w:rPr>
        <w:t>–</w:t>
      </w:r>
      <w:r w:rsidRPr="001710EC">
        <w:rPr>
          <w:rtl/>
        </w:rPr>
        <w:t xml:space="preserve"> </w:t>
      </w:r>
      <w:r w:rsidRPr="001710EC">
        <w:rPr>
          <w:rFonts w:hint="eastAsia"/>
          <w:rtl/>
        </w:rPr>
        <w:t>לא</w:t>
      </w:r>
      <w:r w:rsidRPr="001710EC">
        <w:rPr>
          <w:rtl/>
        </w:rPr>
        <w:t xml:space="preserve"> </w:t>
      </w:r>
      <w:r w:rsidRPr="001710EC">
        <w:rPr>
          <w:rFonts w:hint="eastAsia"/>
          <w:rtl/>
        </w:rPr>
        <w:t>לאדם</w:t>
      </w:r>
      <w:r w:rsidRPr="001710EC">
        <w:rPr>
          <w:rtl/>
        </w:rPr>
        <w:t xml:space="preserve"> </w:t>
      </w:r>
      <w:r w:rsidRPr="001710EC">
        <w:rPr>
          <w:rFonts w:hint="eastAsia"/>
          <w:rtl/>
        </w:rPr>
        <w:t>ולא</w:t>
      </w:r>
      <w:r w:rsidRPr="001710EC">
        <w:rPr>
          <w:rtl/>
        </w:rPr>
        <w:t xml:space="preserve"> </w:t>
      </w:r>
      <w:r w:rsidRPr="001710EC">
        <w:rPr>
          <w:rFonts w:hint="eastAsia"/>
          <w:rtl/>
        </w:rPr>
        <w:t>לשיקול</w:t>
      </w:r>
      <w:r w:rsidRPr="001710EC">
        <w:rPr>
          <w:rtl/>
        </w:rPr>
        <w:t xml:space="preserve"> </w:t>
      </w:r>
      <w:r w:rsidRPr="001710EC">
        <w:rPr>
          <w:rFonts w:hint="eastAsia"/>
          <w:rtl/>
        </w:rPr>
        <w:t>דעת</w:t>
      </w:r>
      <w:r w:rsidRPr="001710EC">
        <w:rPr>
          <w:rtl/>
        </w:rPr>
        <w:t xml:space="preserve"> </w:t>
      </w:r>
      <w:r w:rsidRPr="001710EC">
        <w:rPr>
          <w:rFonts w:hint="eastAsia"/>
          <w:rtl/>
        </w:rPr>
        <w:t>מוחלט</w:t>
      </w:r>
      <w:r>
        <w:rPr>
          <w:rFonts w:hint="cs"/>
          <w:rtl/>
        </w:rPr>
        <w:t xml:space="preserve">" (בג"ץ 758/88 </w:t>
      </w:r>
      <w:proofErr w:type="spellStart"/>
      <w:r w:rsidRPr="001710EC">
        <w:rPr>
          <w:rFonts w:ascii="Century" w:hAnsi="Century" w:cs="Miriam" w:hint="cs"/>
          <w:b/>
          <w:spacing w:val="0"/>
          <w:szCs w:val="24"/>
          <w:rtl/>
        </w:rPr>
        <w:t>קנדל</w:t>
      </w:r>
      <w:proofErr w:type="spellEnd"/>
      <w:r w:rsidRPr="001710EC">
        <w:rPr>
          <w:rFonts w:ascii="Century" w:hAnsi="Century" w:cs="Miriam" w:hint="cs"/>
          <w:b/>
          <w:spacing w:val="0"/>
          <w:szCs w:val="24"/>
          <w:rtl/>
        </w:rPr>
        <w:t xml:space="preserve"> נ' שר הפנים</w:t>
      </w:r>
      <w:r>
        <w:rPr>
          <w:rFonts w:hint="cs"/>
          <w:rtl/>
        </w:rPr>
        <w:t xml:space="preserve">, פ"ד מו(4) 505, 528 (1992)). </w:t>
      </w:r>
    </w:p>
    <w:p w14:paraId="7C69AC77" w14:textId="77777777" w:rsidR="00872AD0" w:rsidRDefault="00872AD0" w:rsidP="00872AD0">
      <w:pPr>
        <w:pStyle w:val="Ruller41"/>
        <w:rPr>
          <w:rtl/>
        </w:rPr>
      </w:pPr>
    </w:p>
    <w:p w14:paraId="7D0A3ACD" w14:textId="77777777" w:rsidR="00872AD0" w:rsidRDefault="00872AD0" w:rsidP="00872AD0">
      <w:pPr>
        <w:pStyle w:val="Ruller41"/>
        <w:rPr>
          <w:rtl/>
        </w:rPr>
      </w:pPr>
      <w:r>
        <w:rPr>
          <w:rFonts w:hint="cs"/>
          <w:rtl/>
        </w:rPr>
        <w:lastRenderedPageBreak/>
        <w:t>5.</w:t>
      </w:r>
      <w:r>
        <w:rPr>
          <w:rtl/>
        </w:rPr>
        <w:tab/>
      </w:r>
      <w:r>
        <w:rPr>
          <w:rFonts w:hint="cs"/>
          <w:rtl/>
        </w:rPr>
        <w:t xml:space="preserve">גבולות התערבותו של בית משפט זה בהחלטת הרשות הוא נושא שעמד לא פעם במוקד השיח הציבורי, וכפי העולה גם מדברי השופט </w:t>
      </w:r>
      <w:r w:rsidRPr="00A5372A">
        <w:rPr>
          <w:rFonts w:ascii="Century" w:hAnsi="Century" w:cs="Miriam" w:hint="cs"/>
          <w:b/>
          <w:spacing w:val="0"/>
          <w:szCs w:val="24"/>
          <w:rtl/>
        </w:rPr>
        <w:t>חשין</w:t>
      </w:r>
      <w:r w:rsidRPr="00A5372A">
        <w:rPr>
          <w:rFonts w:hint="cs"/>
          <w:rtl/>
        </w:rPr>
        <w:t xml:space="preserve"> </w:t>
      </w:r>
      <w:r>
        <w:rPr>
          <w:rFonts w:hint="cs"/>
          <w:rtl/>
        </w:rPr>
        <w:t xml:space="preserve">המצוטטים לעיל, מאז ומתמיד היו מי שניסו לרפות את ידי בית המשפט מלעמוד על המשמר ולבצע את תפקידו באופן אפקטיבי. אף על פי כן עילת הסבירות העומדת ביסוד העתירות שלפנינו נטועה עמוק בקרקע המשפט המינהלי, ותחולתה במשפט הישראלי אינה מוטלת בספק. </w:t>
      </w:r>
    </w:p>
    <w:p w14:paraId="0C7EC822" w14:textId="77777777" w:rsidR="00872AD0" w:rsidRDefault="00872AD0" w:rsidP="00872AD0">
      <w:pPr>
        <w:pStyle w:val="Ruller41"/>
        <w:rPr>
          <w:rtl/>
        </w:rPr>
      </w:pPr>
    </w:p>
    <w:p w14:paraId="76D064FD" w14:textId="77777777" w:rsidR="00872AD0" w:rsidRDefault="00872AD0" w:rsidP="00872AD0">
      <w:pPr>
        <w:pStyle w:val="Ruller41"/>
        <w:rPr>
          <w:rtl/>
        </w:rPr>
      </w:pPr>
      <w:r>
        <w:rPr>
          <w:rtl/>
        </w:rPr>
        <w:tab/>
      </w:r>
      <w:r>
        <w:rPr>
          <w:rFonts w:hint="cs"/>
          <w:rtl/>
        </w:rPr>
        <w:t xml:space="preserve">בניגוד למה שעלול להשתמע מן התיבה "עילת הסבירות", כבר הובהר בפסיקה כי בית המשפט אינו שם עצמו בנעלי הרשות ואינו בוחן את תבונתה של ההחלטה. התערבות שיפוטית בהחלטות </w:t>
      </w:r>
      <w:proofErr w:type="spellStart"/>
      <w:r>
        <w:rPr>
          <w:rFonts w:hint="cs"/>
          <w:rtl/>
        </w:rPr>
        <w:t>מינהליות</w:t>
      </w:r>
      <w:proofErr w:type="spellEnd"/>
      <w:r>
        <w:rPr>
          <w:rFonts w:hint="cs"/>
          <w:rtl/>
        </w:rPr>
        <w:t xml:space="preserve"> שמורה למקרים חריגים של חוסר סבירות ניכר. בית המשפט לא שואל את עצמו מה </w:t>
      </w:r>
      <w:r w:rsidRPr="00834048">
        <w:rPr>
          <w:rFonts w:ascii="Century" w:hAnsi="Century" w:cs="Miriam" w:hint="cs"/>
          <w:b/>
          <w:spacing w:val="0"/>
          <w:szCs w:val="24"/>
          <w:rtl/>
        </w:rPr>
        <w:t>הוא</w:t>
      </w:r>
      <w:r w:rsidRPr="00834048">
        <w:rPr>
          <w:rFonts w:hint="cs"/>
          <w:rtl/>
        </w:rPr>
        <w:t xml:space="preserve"> </w:t>
      </w:r>
      <w:r>
        <w:rPr>
          <w:rFonts w:hint="cs"/>
          <w:rtl/>
        </w:rPr>
        <w:t xml:space="preserve">היה מחליט בנסיבות המקרה, אלא מה </w:t>
      </w:r>
      <w:r w:rsidRPr="00834048">
        <w:rPr>
          <w:rFonts w:ascii="Century" w:hAnsi="Century" w:cs="Miriam" w:hint="cs"/>
          <w:b/>
          <w:spacing w:val="0"/>
          <w:szCs w:val="24"/>
          <w:rtl/>
        </w:rPr>
        <w:t>רשות סבירה</w:t>
      </w:r>
      <w:r w:rsidRPr="00834048">
        <w:rPr>
          <w:rFonts w:hint="cs"/>
          <w:rtl/>
        </w:rPr>
        <w:t xml:space="preserve"> </w:t>
      </w:r>
      <w:r>
        <w:rPr>
          <w:rFonts w:hint="cs"/>
          <w:rtl/>
        </w:rPr>
        <w:t xml:space="preserve">היתה מחליטה. בהקשר זה, מתחם שיקול הדעת הנתון לרשות בהחלטותיה הוא רחב, וכולל מגוון אלטרנטיבות שכולן עשויות להיות סבירות. מכל מקום, עילת הסבירות אינה מאפשרת לשופט לפסול כל החלטה שנראית לו "בלתי סבירה" כמשמעותו של מונח זה בלשון שאינה משפטית (ראו דברי הנשיא </w:t>
      </w:r>
      <w:r w:rsidRPr="007377E4">
        <w:rPr>
          <w:rFonts w:ascii="Century" w:hAnsi="Century" w:cs="Miriam" w:hint="cs"/>
          <w:b/>
          <w:spacing w:val="0"/>
          <w:szCs w:val="24"/>
          <w:rtl/>
        </w:rPr>
        <w:t>מ' לנדוי</w:t>
      </w:r>
      <w:r w:rsidRPr="007377E4">
        <w:rPr>
          <w:rFonts w:hint="cs"/>
          <w:rtl/>
        </w:rPr>
        <w:t xml:space="preserve"> </w:t>
      </w:r>
      <w:r>
        <w:rPr>
          <w:rFonts w:hint="cs"/>
          <w:rtl/>
        </w:rPr>
        <w:t xml:space="preserve">בעניין </w:t>
      </w:r>
      <w:r w:rsidRPr="007377E4">
        <w:rPr>
          <w:rFonts w:ascii="Century" w:hAnsi="Century" w:cs="Miriam" w:hint="cs"/>
          <w:b/>
          <w:spacing w:val="0"/>
          <w:szCs w:val="24"/>
          <w:rtl/>
        </w:rPr>
        <w:t>דפי זהב</w:t>
      </w:r>
      <w:r>
        <w:rPr>
          <w:rFonts w:hint="cs"/>
          <w:rtl/>
        </w:rPr>
        <w:t>, עמ' 433-432), ואין היא משמשת "</w:t>
      </w:r>
      <w:r w:rsidRPr="0007119B">
        <w:rPr>
          <w:rFonts w:ascii="Century" w:hAnsi="Century" w:cs="Miriam" w:hint="cs"/>
          <w:b/>
          <w:spacing w:val="0"/>
          <w:szCs w:val="24"/>
          <w:rtl/>
        </w:rPr>
        <w:t>כסות ומסך להשקפותיו של בית המשפט</w:t>
      </w:r>
      <w:r>
        <w:rPr>
          <w:rFonts w:hint="cs"/>
          <w:rtl/>
        </w:rPr>
        <w:t xml:space="preserve">" (דברי השופט </w:t>
      </w:r>
      <w:r w:rsidRPr="00DF0244">
        <w:rPr>
          <w:rFonts w:ascii="Century" w:hAnsi="Century" w:cs="Miriam" w:hint="cs"/>
          <w:b/>
          <w:spacing w:val="0"/>
          <w:szCs w:val="24"/>
          <w:rtl/>
        </w:rPr>
        <w:t>א' ברק</w:t>
      </w:r>
      <w:r w:rsidRPr="00DF0244">
        <w:rPr>
          <w:rFonts w:hint="cs"/>
          <w:rtl/>
        </w:rPr>
        <w:t xml:space="preserve"> </w:t>
      </w:r>
      <w:r>
        <w:rPr>
          <w:rFonts w:hint="cs"/>
          <w:rtl/>
        </w:rPr>
        <w:t xml:space="preserve">בעניין </w:t>
      </w:r>
      <w:r w:rsidRPr="00DF0244">
        <w:rPr>
          <w:rFonts w:ascii="Century" w:hAnsi="Century" w:cs="Miriam" w:hint="cs"/>
          <w:b/>
          <w:spacing w:val="0"/>
          <w:szCs w:val="24"/>
          <w:rtl/>
        </w:rPr>
        <w:t>דפי זהב</w:t>
      </w:r>
      <w:r>
        <w:rPr>
          <w:rFonts w:hint="cs"/>
          <w:rtl/>
        </w:rPr>
        <w:t xml:space="preserve">, עמ' 440). </w:t>
      </w:r>
    </w:p>
    <w:p w14:paraId="33BF374C" w14:textId="77777777" w:rsidR="00872AD0" w:rsidRDefault="00872AD0" w:rsidP="00872AD0">
      <w:pPr>
        <w:pStyle w:val="Ruller41"/>
        <w:rPr>
          <w:rtl/>
        </w:rPr>
      </w:pPr>
    </w:p>
    <w:p w14:paraId="49B91BFA" w14:textId="77777777" w:rsidR="00872AD0" w:rsidRDefault="00872AD0" w:rsidP="00872AD0">
      <w:pPr>
        <w:pStyle w:val="Ruller41"/>
        <w:rPr>
          <w:rtl/>
        </w:rPr>
      </w:pPr>
      <w:r>
        <w:rPr>
          <w:rFonts w:hint="cs"/>
          <w:rtl/>
        </w:rPr>
        <w:t>6.</w:t>
      </w:r>
      <w:r>
        <w:rPr>
          <w:rtl/>
        </w:rPr>
        <w:tab/>
      </w:r>
      <w:r>
        <w:rPr>
          <w:rFonts w:hint="cs"/>
          <w:rtl/>
        </w:rPr>
        <w:t xml:space="preserve">במהלך השנים השתרשו בפסיקה אמות מידה להפעלתה של עילת הסבירות בהקשרים שונים (ראו מני רבים: בג"ץ 5263/16 </w:t>
      </w:r>
      <w:r w:rsidRPr="008538CC">
        <w:rPr>
          <w:rFonts w:ascii="Century" w:hAnsi="Century" w:cs="Miriam" w:hint="cs"/>
          <w:b/>
          <w:spacing w:val="0"/>
          <w:szCs w:val="24"/>
          <w:rtl/>
        </w:rPr>
        <w:t xml:space="preserve">נשר </w:t>
      </w:r>
      <w:r w:rsidRPr="008538CC">
        <w:rPr>
          <w:rFonts w:ascii="Century" w:hAnsi="Century" w:cs="Miriam"/>
          <w:b/>
          <w:spacing w:val="0"/>
          <w:szCs w:val="24"/>
          <w:rtl/>
        </w:rPr>
        <w:t>–</w:t>
      </w:r>
      <w:r w:rsidRPr="008538CC">
        <w:rPr>
          <w:rFonts w:ascii="Century" w:hAnsi="Century" w:cs="Miriam" w:hint="cs"/>
          <w:b/>
          <w:spacing w:val="0"/>
          <w:szCs w:val="24"/>
          <w:rtl/>
        </w:rPr>
        <w:t xml:space="preserve"> מפעלי מלט ישראליים בע"מ נ' המשרד להגנת הסביבה</w:t>
      </w:r>
      <w:r>
        <w:rPr>
          <w:rFonts w:hint="cs"/>
          <w:rtl/>
        </w:rPr>
        <w:t xml:space="preserve">, פסקה 11 (23.7.2018); </w:t>
      </w:r>
      <w:r w:rsidRPr="008538CC">
        <w:rPr>
          <w:rFonts w:hint="eastAsia"/>
          <w:rtl/>
        </w:rPr>
        <w:t>בג</w:t>
      </w:r>
      <w:r w:rsidRPr="008538CC">
        <w:rPr>
          <w:rtl/>
        </w:rPr>
        <w:t>"</w:t>
      </w:r>
      <w:r w:rsidRPr="008538CC">
        <w:rPr>
          <w:rFonts w:hint="eastAsia"/>
          <w:rtl/>
        </w:rPr>
        <w:t>ץ</w:t>
      </w:r>
      <w:r w:rsidRPr="008538CC">
        <w:rPr>
          <w:rtl/>
        </w:rPr>
        <w:t xml:space="preserve"> 6271/11 </w:t>
      </w:r>
      <w:r w:rsidRPr="008538CC">
        <w:rPr>
          <w:rFonts w:ascii="Century" w:hAnsi="Century" w:cs="Miriam" w:hint="eastAsia"/>
          <w:b/>
          <w:spacing w:val="0"/>
          <w:szCs w:val="24"/>
          <w:rtl/>
        </w:rPr>
        <w:t>דלק</w:t>
      </w:r>
      <w:r w:rsidRPr="008538CC">
        <w:rPr>
          <w:rFonts w:ascii="Century" w:hAnsi="Century" w:cs="Miriam"/>
          <w:b/>
          <w:spacing w:val="0"/>
          <w:szCs w:val="24"/>
          <w:rtl/>
        </w:rPr>
        <w:t xml:space="preserve"> </w:t>
      </w:r>
      <w:r w:rsidRPr="008538CC">
        <w:rPr>
          <w:rFonts w:ascii="Century" w:hAnsi="Century" w:cs="Miriam" w:hint="eastAsia"/>
          <w:b/>
          <w:spacing w:val="0"/>
          <w:szCs w:val="24"/>
          <w:rtl/>
        </w:rPr>
        <w:t>חברת</w:t>
      </w:r>
      <w:r w:rsidRPr="008538CC">
        <w:rPr>
          <w:rFonts w:ascii="Century" w:hAnsi="Century" w:cs="Miriam"/>
          <w:b/>
          <w:spacing w:val="0"/>
          <w:szCs w:val="24"/>
          <w:rtl/>
        </w:rPr>
        <w:t xml:space="preserve"> </w:t>
      </w:r>
      <w:r w:rsidRPr="008538CC">
        <w:rPr>
          <w:rFonts w:ascii="Century" w:hAnsi="Century" w:cs="Miriam" w:hint="eastAsia"/>
          <w:b/>
          <w:spacing w:val="0"/>
          <w:szCs w:val="24"/>
          <w:rtl/>
        </w:rPr>
        <w:t>הדלק</w:t>
      </w:r>
      <w:r w:rsidRPr="008538CC">
        <w:rPr>
          <w:rFonts w:ascii="Century" w:hAnsi="Century" w:cs="Miriam"/>
          <w:b/>
          <w:spacing w:val="0"/>
          <w:szCs w:val="24"/>
          <w:rtl/>
        </w:rPr>
        <w:t xml:space="preserve"> </w:t>
      </w:r>
      <w:r w:rsidRPr="008538CC">
        <w:rPr>
          <w:rFonts w:ascii="Century" w:hAnsi="Century" w:cs="Miriam" w:hint="eastAsia"/>
          <w:b/>
          <w:spacing w:val="0"/>
          <w:szCs w:val="24"/>
          <w:rtl/>
        </w:rPr>
        <w:t>הישראלית</w:t>
      </w:r>
      <w:r w:rsidRPr="008538CC">
        <w:rPr>
          <w:rFonts w:ascii="Century" w:hAnsi="Century" w:cs="Miriam"/>
          <w:b/>
          <w:spacing w:val="0"/>
          <w:szCs w:val="24"/>
          <w:rtl/>
        </w:rPr>
        <w:t xml:space="preserve"> </w:t>
      </w:r>
      <w:r w:rsidRPr="008538CC">
        <w:rPr>
          <w:rFonts w:ascii="Century" w:hAnsi="Century" w:cs="Miriam" w:hint="eastAsia"/>
          <w:b/>
          <w:spacing w:val="0"/>
          <w:szCs w:val="24"/>
          <w:rtl/>
        </w:rPr>
        <w:t>בע</w:t>
      </w:r>
      <w:r w:rsidRPr="008538CC">
        <w:rPr>
          <w:rFonts w:ascii="Century" w:hAnsi="Century" w:cs="Miriam"/>
          <w:b/>
          <w:spacing w:val="0"/>
          <w:szCs w:val="24"/>
          <w:rtl/>
        </w:rPr>
        <w:t>"</w:t>
      </w:r>
      <w:r w:rsidRPr="008538CC">
        <w:rPr>
          <w:rFonts w:ascii="Century" w:hAnsi="Century" w:cs="Miriam" w:hint="eastAsia"/>
          <w:b/>
          <w:spacing w:val="0"/>
          <w:szCs w:val="24"/>
          <w:rtl/>
        </w:rPr>
        <w:t>מ</w:t>
      </w:r>
      <w:r w:rsidRPr="008538CC">
        <w:rPr>
          <w:rFonts w:ascii="Century" w:hAnsi="Century" w:cs="Miriam"/>
          <w:b/>
          <w:spacing w:val="0"/>
          <w:szCs w:val="24"/>
          <w:rtl/>
        </w:rPr>
        <w:t xml:space="preserve"> </w:t>
      </w:r>
      <w:r w:rsidRPr="008538CC">
        <w:rPr>
          <w:rFonts w:ascii="Century" w:hAnsi="Century" w:cs="Miriam" w:hint="eastAsia"/>
          <w:b/>
          <w:spacing w:val="0"/>
          <w:szCs w:val="24"/>
          <w:rtl/>
        </w:rPr>
        <w:t>נ</w:t>
      </w:r>
      <w:r w:rsidRPr="008538CC">
        <w:rPr>
          <w:rFonts w:ascii="Century" w:hAnsi="Century" w:cs="Miriam"/>
          <w:b/>
          <w:spacing w:val="0"/>
          <w:szCs w:val="24"/>
          <w:rtl/>
        </w:rPr>
        <w:t xml:space="preserve">' </w:t>
      </w:r>
      <w:r w:rsidRPr="008538CC">
        <w:rPr>
          <w:rFonts w:ascii="Century" w:hAnsi="Century" w:cs="Miriam" w:hint="eastAsia"/>
          <w:b/>
          <w:spacing w:val="0"/>
          <w:szCs w:val="24"/>
          <w:rtl/>
        </w:rPr>
        <w:t>שר</w:t>
      </w:r>
      <w:r w:rsidRPr="008538CC">
        <w:rPr>
          <w:rFonts w:ascii="Century" w:hAnsi="Century" w:cs="Miriam"/>
          <w:b/>
          <w:spacing w:val="0"/>
          <w:szCs w:val="24"/>
          <w:rtl/>
        </w:rPr>
        <w:t xml:space="preserve"> </w:t>
      </w:r>
      <w:r w:rsidRPr="008538CC">
        <w:rPr>
          <w:rFonts w:ascii="Century" w:hAnsi="Century" w:cs="Miriam" w:hint="eastAsia"/>
          <w:b/>
          <w:spacing w:val="0"/>
          <w:szCs w:val="24"/>
          <w:rtl/>
        </w:rPr>
        <w:t>האוצר</w:t>
      </w:r>
      <w:r w:rsidRPr="008538CC">
        <w:rPr>
          <w:rtl/>
        </w:rPr>
        <w:t xml:space="preserve"> (‏26.11.2012)</w:t>
      </w:r>
      <w:r>
        <w:rPr>
          <w:rFonts w:hint="cs"/>
          <w:rtl/>
        </w:rPr>
        <w:t xml:space="preserve">; בג"ץ 88/10 </w:t>
      </w:r>
      <w:r w:rsidRPr="006246D7">
        <w:rPr>
          <w:rFonts w:ascii="Century" w:hAnsi="Century" w:cs="Miriam" w:hint="cs"/>
          <w:b/>
          <w:spacing w:val="0"/>
          <w:szCs w:val="24"/>
          <w:rtl/>
        </w:rPr>
        <w:t>שוורץ נ' היועץ המשפטי לממשלה</w:t>
      </w:r>
      <w:r>
        <w:rPr>
          <w:rFonts w:hint="cs"/>
          <w:rtl/>
        </w:rPr>
        <w:t xml:space="preserve">, פסקאות 11-10 (12.7.2010); דפנה ברק-ארז </w:t>
      </w:r>
      <w:r>
        <w:rPr>
          <w:rFonts w:ascii="Century" w:hAnsi="Century" w:cs="Miriam" w:hint="cs"/>
          <w:b/>
          <w:spacing w:val="0"/>
          <w:szCs w:val="24"/>
          <w:rtl/>
        </w:rPr>
        <w:t>משפט מינהלי</w:t>
      </w:r>
      <w:r>
        <w:rPr>
          <w:rFonts w:hint="cs"/>
          <w:rtl/>
        </w:rPr>
        <w:t xml:space="preserve"> כרך ב 769-729 (2010)). הכלל המנחה העובר כחוט השני בפסיקה הענפה הוא שיש לעשות בעילה זו שימוש בזהירות יתרה ומתוך כבוד לעקרון הפרדת הרשויות: </w:t>
      </w:r>
    </w:p>
    <w:p w14:paraId="5D731697" w14:textId="77777777" w:rsidR="00872AD0" w:rsidRDefault="00872AD0" w:rsidP="00872AD0">
      <w:pPr>
        <w:pStyle w:val="Ruller41"/>
        <w:spacing w:line="240" w:lineRule="auto"/>
        <w:rPr>
          <w:rtl/>
        </w:rPr>
      </w:pPr>
    </w:p>
    <w:p w14:paraId="233697B8" w14:textId="77777777" w:rsidR="00872AD0" w:rsidRDefault="00872AD0" w:rsidP="00872AD0">
      <w:pPr>
        <w:pStyle w:val="Ruller5"/>
        <w:rPr>
          <w:rtl/>
        </w:rPr>
      </w:pPr>
      <w:r>
        <w:rPr>
          <w:rFonts w:hint="cs"/>
          <w:rtl/>
        </w:rPr>
        <w:t>"</w:t>
      </w:r>
      <w:r>
        <w:rPr>
          <w:rtl/>
        </w:rPr>
        <w:t xml:space="preserve">מכאן האחריות הכבדה המוטלת על בית המשפט, אשר חייב להבחין בין הפתרון הנראה לו כרצוי לבין הפתרון, שרשות סבירה עשויה לקבלו. לעתים קיימת חפיפה בין השניים, שכן הפתרון הנראה </w:t>
      </w:r>
      <w:r>
        <w:rPr>
          <w:rFonts w:hint="cs"/>
          <w:rtl/>
        </w:rPr>
        <w:t>ל</w:t>
      </w:r>
      <w:r>
        <w:rPr>
          <w:rtl/>
        </w:rPr>
        <w:t>בית המשפט כרצוי הוא גם הפתרון היחיד שרשות סבירה עשויה לקבל. אך לעתים קרובות אין זהות בין השניים, שכן הפתרון הנראה לבית המשפט כרצוי הוא רק אחד הפתרונות, שרשות סבירה עשויה לקבלו. במקרה זה על בית המשפט לרסן עצמו, ועליו לאפשר לרשות המינהלית לבחור באופציה הנראית לה כראויה</w:t>
      </w:r>
      <w:r>
        <w:rPr>
          <w:rFonts w:hint="cs"/>
          <w:rtl/>
        </w:rPr>
        <w:t xml:space="preserve">.." (עניין </w:t>
      </w:r>
      <w:r w:rsidRPr="00DF0244">
        <w:rPr>
          <w:rFonts w:ascii="Century" w:hAnsi="Century" w:cs="Miriam" w:hint="cs"/>
          <w:b/>
          <w:spacing w:val="0"/>
          <w:szCs w:val="24"/>
          <w:rtl/>
        </w:rPr>
        <w:t>דפי זהב</w:t>
      </w:r>
      <w:r>
        <w:rPr>
          <w:rFonts w:hint="cs"/>
          <w:rtl/>
        </w:rPr>
        <w:t xml:space="preserve">, שם). </w:t>
      </w:r>
    </w:p>
    <w:p w14:paraId="006720CD" w14:textId="77777777" w:rsidR="00872AD0" w:rsidRDefault="00872AD0" w:rsidP="00872AD0">
      <w:pPr>
        <w:pStyle w:val="Ruller41"/>
        <w:rPr>
          <w:rtl/>
        </w:rPr>
      </w:pPr>
      <w:r>
        <w:rPr>
          <w:rtl/>
        </w:rPr>
        <w:tab/>
      </w:r>
    </w:p>
    <w:p w14:paraId="0F61F95F" w14:textId="77777777" w:rsidR="00872AD0" w:rsidRDefault="00872AD0" w:rsidP="00872AD0">
      <w:pPr>
        <w:pStyle w:val="Ruller41"/>
        <w:rPr>
          <w:rtl/>
        </w:rPr>
      </w:pPr>
      <w:r>
        <w:rPr>
          <w:rFonts w:hint="cs"/>
          <w:rtl/>
        </w:rPr>
        <w:lastRenderedPageBreak/>
        <w:t>7.</w:t>
      </w:r>
      <w:r>
        <w:rPr>
          <w:rtl/>
        </w:rPr>
        <w:tab/>
      </w:r>
      <w:r>
        <w:rPr>
          <w:rFonts w:hint="cs"/>
          <w:rtl/>
        </w:rPr>
        <w:t>ומתחולתה הכללית של עילת הסבירות, להחלתה בהקשר של סמכות ראש הממשלה למנות שרים ולהעבירם מתפקידם.</w:t>
      </w:r>
    </w:p>
    <w:p w14:paraId="3CA85B06" w14:textId="77777777" w:rsidR="00872AD0" w:rsidRDefault="00872AD0" w:rsidP="00872AD0">
      <w:pPr>
        <w:pStyle w:val="Ruller41"/>
        <w:rPr>
          <w:rtl/>
        </w:rPr>
      </w:pPr>
    </w:p>
    <w:p w14:paraId="21B8CF27" w14:textId="77777777" w:rsidR="00872AD0" w:rsidRDefault="00872AD0" w:rsidP="00872AD0">
      <w:pPr>
        <w:pStyle w:val="Ruller41"/>
        <w:rPr>
          <w:rtl/>
        </w:rPr>
      </w:pPr>
      <w:r>
        <w:rPr>
          <w:rtl/>
        </w:rPr>
        <w:tab/>
      </w:r>
      <w:r>
        <w:rPr>
          <w:rFonts w:hint="cs"/>
          <w:rtl/>
        </w:rPr>
        <w:t xml:space="preserve">סעיף 6 לחוק-יסוד: הממשלה (להלן: </w:t>
      </w:r>
      <w:r w:rsidRPr="00BB55BD">
        <w:rPr>
          <w:rFonts w:ascii="Century" w:hAnsi="Century" w:cs="Miriam" w:hint="cs"/>
          <w:b/>
          <w:spacing w:val="0"/>
          <w:szCs w:val="24"/>
          <w:rtl/>
        </w:rPr>
        <w:t>חוק היסוד</w:t>
      </w:r>
      <w:r>
        <w:rPr>
          <w:rFonts w:hint="cs"/>
          <w:rtl/>
        </w:rPr>
        <w:t>) קובע תנאי כשירות לתפקיד שר בממשלת ישראל. על פי ההלכה הידועה כ</w:t>
      </w:r>
      <w:r w:rsidRPr="006A7083">
        <w:rPr>
          <w:rFonts w:ascii="Century" w:hAnsi="Century" w:cs="Miriam" w:hint="cs"/>
          <w:b/>
          <w:spacing w:val="0"/>
          <w:szCs w:val="24"/>
          <w:rtl/>
        </w:rPr>
        <w:t>הלכת דרעי-פנחסי</w:t>
      </w:r>
      <w:r>
        <w:rPr>
          <w:rFonts w:hint="cs"/>
          <w:rtl/>
        </w:rPr>
        <w:t xml:space="preserve">, תנאי הכשירות קובעים אך </w:t>
      </w:r>
      <w:r w:rsidRPr="002A65BE">
        <w:rPr>
          <w:rFonts w:ascii="Century" w:hAnsi="Century" w:cs="Miriam" w:hint="cs"/>
          <w:b/>
          <w:spacing w:val="0"/>
          <w:szCs w:val="24"/>
          <w:rtl/>
        </w:rPr>
        <w:t>מניעות סף</w:t>
      </w:r>
      <w:r w:rsidRPr="002A65BE">
        <w:rPr>
          <w:rFonts w:hint="cs"/>
          <w:rtl/>
        </w:rPr>
        <w:t xml:space="preserve"> </w:t>
      </w:r>
      <w:r>
        <w:rPr>
          <w:rFonts w:hint="cs"/>
          <w:rtl/>
        </w:rPr>
        <w:t>לכהונה בתפקיד של שר; והמשמעות היא כי "</w:t>
      </w:r>
      <w:r w:rsidRPr="002A65BE">
        <w:rPr>
          <w:rFonts w:ascii="Century" w:hAnsi="Century" w:cs="Miriam" w:hint="cs"/>
          <w:b/>
          <w:spacing w:val="0"/>
          <w:szCs w:val="24"/>
          <w:rtl/>
        </w:rPr>
        <w:t>היעדרה של הוראה בדבר אי כשירות לכהן במשרה בתנאים מסוימים (קיום חקירה, הגשת כתב-אישום, הרשעה) אינו שולל את הסמכות והחובה להתחשב בתנאים אלה (חקירה, הגשת כתב-אישום, הרשעה) בגדר שיקול הדעת של הרשות בעלת הסמכות למנות לכהונה או להפסיק המינוי</w:t>
      </w:r>
      <w:r>
        <w:rPr>
          <w:rFonts w:hint="cs"/>
          <w:rtl/>
        </w:rPr>
        <w:t xml:space="preserve">" (בג"ץ 4267/93 </w:t>
      </w:r>
      <w:r w:rsidRPr="002A65BE">
        <w:rPr>
          <w:rFonts w:ascii="Century" w:hAnsi="Century" w:cs="Miriam" w:hint="cs"/>
          <w:b/>
          <w:spacing w:val="0"/>
          <w:szCs w:val="24"/>
          <w:rtl/>
        </w:rPr>
        <w:t xml:space="preserve">אמיתי </w:t>
      </w:r>
      <w:r w:rsidRPr="002A65BE">
        <w:rPr>
          <w:rFonts w:ascii="Century" w:hAnsi="Century" w:cs="Miriam"/>
          <w:b/>
          <w:spacing w:val="0"/>
          <w:szCs w:val="24"/>
          <w:rtl/>
        </w:rPr>
        <w:t>–</w:t>
      </w:r>
      <w:r w:rsidRPr="002A65BE">
        <w:rPr>
          <w:rFonts w:ascii="Century" w:hAnsi="Century" w:cs="Miriam" w:hint="cs"/>
          <w:b/>
          <w:spacing w:val="0"/>
          <w:szCs w:val="24"/>
          <w:rtl/>
        </w:rPr>
        <w:t xml:space="preserve"> אזרחים למען מינהל תקין וטוהר המידות נ' יצחק רבין, ראש ממשלת ישראל</w:t>
      </w:r>
      <w:r>
        <w:rPr>
          <w:rFonts w:hint="cs"/>
          <w:rtl/>
        </w:rPr>
        <w:t xml:space="preserve">, פ"ד מז(5) 441, 457-458 (1993); כן ראו: דברי השופטת </w:t>
      </w:r>
      <w:r w:rsidRPr="000F1513">
        <w:rPr>
          <w:rFonts w:ascii="Century" w:hAnsi="Century" w:cs="Miriam" w:hint="cs"/>
          <w:b/>
          <w:spacing w:val="0"/>
          <w:szCs w:val="24"/>
          <w:rtl/>
        </w:rPr>
        <w:t>א' פרוקצ'יה</w:t>
      </w:r>
      <w:r>
        <w:rPr>
          <w:rFonts w:hint="cs"/>
          <w:rtl/>
        </w:rPr>
        <w:t xml:space="preserve"> ב-בג"ץ 5853/07 </w:t>
      </w:r>
      <w:r>
        <w:rPr>
          <w:rFonts w:ascii="Century" w:hAnsi="Century" w:cs="Miriam" w:hint="cs"/>
          <w:b/>
          <w:spacing w:val="0"/>
          <w:szCs w:val="24"/>
          <w:rtl/>
        </w:rPr>
        <w:t xml:space="preserve">אמונה </w:t>
      </w:r>
      <w:r>
        <w:rPr>
          <w:rFonts w:ascii="Century" w:hAnsi="Century" w:cs="Miriam"/>
          <w:b/>
          <w:spacing w:val="0"/>
          <w:szCs w:val="24"/>
          <w:rtl/>
        </w:rPr>
        <w:t>–</w:t>
      </w:r>
      <w:r>
        <w:rPr>
          <w:rFonts w:ascii="Century" w:hAnsi="Century" w:cs="Miriam" w:hint="cs"/>
          <w:b/>
          <w:spacing w:val="0"/>
          <w:szCs w:val="24"/>
          <w:rtl/>
        </w:rPr>
        <w:t xml:space="preserve"> </w:t>
      </w:r>
      <w:r w:rsidRPr="000F1513">
        <w:rPr>
          <w:rFonts w:ascii="Century" w:hAnsi="Century" w:cs="Miriam" w:hint="cs"/>
          <w:b/>
          <w:spacing w:val="0"/>
          <w:szCs w:val="24"/>
          <w:rtl/>
        </w:rPr>
        <w:t>תנועת האישה הדתית לאומית נ' ראש הממשלה</w:t>
      </w:r>
      <w:r>
        <w:rPr>
          <w:rFonts w:hint="cs"/>
          <w:rtl/>
        </w:rPr>
        <w:t xml:space="preserve"> </w:t>
      </w:r>
      <w:r w:rsidRPr="008C7C30">
        <w:rPr>
          <w:rFonts w:ascii="Century" w:hAnsi="Century" w:cs="Miriam" w:hint="cs"/>
          <w:b/>
          <w:spacing w:val="0"/>
          <w:szCs w:val="24"/>
          <w:rtl/>
        </w:rPr>
        <w:t>אהוד אולמרט</w:t>
      </w:r>
      <w:r>
        <w:rPr>
          <w:rFonts w:hint="cs"/>
          <w:rtl/>
        </w:rPr>
        <w:t xml:space="preserve">, פ"ד סב(3) 445, 471-468 (2007), להלן: </w:t>
      </w:r>
      <w:r w:rsidRPr="002B3D76">
        <w:rPr>
          <w:rFonts w:ascii="Century" w:hAnsi="Century" w:cs="Miriam" w:hint="cs"/>
          <w:b/>
          <w:spacing w:val="0"/>
          <w:szCs w:val="24"/>
          <w:rtl/>
        </w:rPr>
        <w:t>עניין אמונה</w:t>
      </w:r>
      <w:r>
        <w:rPr>
          <w:rFonts w:hint="cs"/>
          <w:rtl/>
        </w:rPr>
        <w:t xml:space="preserve">). </w:t>
      </w:r>
    </w:p>
    <w:p w14:paraId="49EFCC48" w14:textId="77777777" w:rsidR="00872AD0" w:rsidRDefault="00872AD0" w:rsidP="00872AD0">
      <w:pPr>
        <w:pStyle w:val="Ruller41"/>
        <w:rPr>
          <w:rtl/>
        </w:rPr>
      </w:pPr>
    </w:p>
    <w:p w14:paraId="0F7CBA14" w14:textId="77777777" w:rsidR="00872AD0" w:rsidRDefault="00872AD0" w:rsidP="00872AD0">
      <w:pPr>
        <w:pStyle w:val="Ruller41"/>
        <w:rPr>
          <w:rtl/>
        </w:rPr>
      </w:pPr>
      <w:r>
        <w:rPr>
          <w:rtl/>
        </w:rPr>
        <w:tab/>
      </w:r>
      <w:r>
        <w:rPr>
          <w:rFonts w:hint="cs"/>
          <w:rtl/>
        </w:rPr>
        <w:t xml:space="preserve">במילים אחרות, </w:t>
      </w:r>
      <w:r>
        <w:rPr>
          <w:rFonts w:hint="cs"/>
          <w:color w:val="000000"/>
          <w:sz w:val="28"/>
          <w:rtl/>
        </w:rPr>
        <w:t>לצד עמידתו של המועמד לתפקיד שר</w:t>
      </w:r>
      <w:r w:rsidRPr="000A1340">
        <w:rPr>
          <w:rFonts w:hint="cs"/>
          <w:color w:val="000000"/>
          <w:sz w:val="28"/>
          <w:rtl/>
        </w:rPr>
        <w:t xml:space="preserve"> בתנאי הכשירות, נדרש </w:t>
      </w:r>
      <w:r>
        <w:rPr>
          <w:rFonts w:hint="cs"/>
          <w:color w:val="000000"/>
          <w:sz w:val="28"/>
          <w:rtl/>
        </w:rPr>
        <w:t>ראש הממשלה</w:t>
      </w:r>
      <w:r w:rsidRPr="000A1340">
        <w:rPr>
          <w:rFonts w:hint="cs"/>
          <w:color w:val="000000"/>
          <w:sz w:val="28"/>
          <w:rtl/>
        </w:rPr>
        <w:t xml:space="preserve"> להפעיל שיקול דעת בדבר התאמת המועמד לתפקיד</w:t>
      </w:r>
      <w:r>
        <w:rPr>
          <w:rFonts w:hint="cs"/>
          <w:color w:val="000000"/>
          <w:sz w:val="28"/>
          <w:rtl/>
        </w:rPr>
        <w:t>;</w:t>
      </w:r>
      <w:r w:rsidRPr="000A1340">
        <w:rPr>
          <w:rFonts w:hint="cs"/>
          <w:color w:val="000000"/>
          <w:sz w:val="28"/>
          <w:rtl/>
        </w:rPr>
        <w:t xml:space="preserve"> ו</w:t>
      </w:r>
      <w:r>
        <w:rPr>
          <w:rFonts w:hint="cs"/>
          <w:color w:val="000000"/>
          <w:sz w:val="28"/>
          <w:rtl/>
        </w:rPr>
        <w:t>"</w:t>
      </w:r>
      <w:r w:rsidRPr="00D60E82">
        <w:rPr>
          <w:rFonts w:ascii="Century" w:hAnsi="Century" w:cs="Miriam" w:hint="cs"/>
          <w:b/>
          <w:spacing w:val="0"/>
          <w:szCs w:val="24"/>
          <w:rtl/>
        </w:rPr>
        <w:t>לשם כך עליו</w:t>
      </w:r>
      <w:r w:rsidRPr="00D60E82">
        <w:rPr>
          <w:rFonts w:ascii="Century" w:hAnsi="Century" w:cs="Miriam"/>
          <w:b/>
          <w:spacing w:val="0"/>
          <w:szCs w:val="24"/>
          <w:rtl/>
        </w:rPr>
        <w:t xml:space="preserve"> </w:t>
      </w:r>
      <w:r w:rsidRPr="00D60E82">
        <w:rPr>
          <w:rFonts w:ascii="Century" w:hAnsi="Century" w:cs="Miriam" w:hint="cs"/>
          <w:b/>
          <w:spacing w:val="0"/>
          <w:szCs w:val="24"/>
          <w:rtl/>
        </w:rPr>
        <w:t>להעניק משקל נכבד לשיקולים הנוגעים להבטחת אמון הציבור במוסדות השלטון ולכך שנציגיו עושים את מלאכתם למען הכלל ביושר ובניקיון כפיים</w:t>
      </w:r>
      <w:r>
        <w:rPr>
          <w:rFonts w:hint="cs"/>
          <w:rtl/>
        </w:rPr>
        <w:t xml:space="preserve">" (בג"ץ 2592/20 </w:t>
      </w:r>
      <w:r w:rsidRPr="00D60E82">
        <w:rPr>
          <w:rFonts w:ascii="Century" w:hAnsi="Century" w:cs="Miriam" w:hint="cs"/>
          <w:b/>
          <w:spacing w:val="0"/>
          <w:szCs w:val="24"/>
          <w:rtl/>
        </w:rPr>
        <w:t>התנועה למען איכות השלטון בישראל נ' היועץ המשפטי לממשלה</w:t>
      </w:r>
      <w:r>
        <w:rPr>
          <w:rFonts w:hint="cs"/>
          <w:rtl/>
        </w:rPr>
        <w:t xml:space="preserve">, פסקה 9 (6.5.2020), להלן: </w:t>
      </w:r>
      <w:r w:rsidRPr="0060541B">
        <w:rPr>
          <w:rFonts w:ascii="Century" w:hAnsi="Century" w:cs="Miriam" w:hint="cs"/>
          <w:b/>
          <w:spacing w:val="0"/>
          <w:szCs w:val="24"/>
          <w:rtl/>
        </w:rPr>
        <w:t xml:space="preserve">עניין </w:t>
      </w:r>
      <w:r>
        <w:rPr>
          <w:rFonts w:ascii="Century" w:hAnsi="Century" w:cs="Miriam" w:hint="cs"/>
          <w:b/>
          <w:spacing w:val="0"/>
          <w:szCs w:val="24"/>
          <w:rtl/>
        </w:rPr>
        <w:t>הטלת המנדט</w:t>
      </w:r>
      <w:r>
        <w:rPr>
          <w:rFonts w:hint="cs"/>
          <w:rtl/>
        </w:rPr>
        <w:t>). זהו כלל ה"כשירות לחוד ושיקול דעת לחוד". כלל זה הוחל בפסיקה על מינוי לתפקידים שונים בשירות הציבורי; ובהקשר של כהונת שרים משמעותו היא שבנסיבות מסוימות נדרש ראש הממשלה להימנע ממינוי של מועמד לתפקיד שר, או</w:t>
      </w:r>
      <w:r w:rsidRPr="000A1340">
        <w:rPr>
          <w:rFonts w:ascii="FrankRuehl" w:hAnsi="FrankRuehl" w:hint="cs"/>
          <w:sz w:val="28"/>
          <w:rtl/>
        </w:rPr>
        <w:t xml:space="preserve"> להעביר מתפקידו שר </w:t>
      </w:r>
      <w:r>
        <w:rPr>
          <w:rFonts w:ascii="FrankRuehl" w:hAnsi="FrankRuehl" w:hint="cs"/>
          <w:sz w:val="28"/>
          <w:rtl/>
        </w:rPr>
        <w:t>מכהן</w:t>
      </w:r>
      <w:r>
        <w:rPr>
          <w:rFonts w:ascii="Century" w:hAnsi="Century" w:hint="cs"/>
          <w:rtl/>
        </w:rPr>
        <w:t xml:space="preserve">. </w:t>
      </w:r>
      <w:r>
        <w:rPr>
          <w:rFonts w:hint="cs"/>
          <w:rtl/>
        </w:rPr>
        <w:t xml:space="preserve">כך, באותם מקרים </w:t>
      </w:r>
      <w:r w:rsidRPr="000A1340">
        <w:rPr>
          <w:rtl/>
        </w:rPr>
        <w:t>ש</w:t>
      </w:r>
      <w:r>
        <w:rPr>
          <w:rFonts w:hint="cs"/>
          <w:rtl/>
        </w:rPr>
        <w:t>בהם כהונתו של אדם כשר</w:t>
      </w:r>
      <w:r w:rsidRPr="000A1340">
        <w:rPr>
          <w:rtl/>
        </w:rPr>
        <w:t xml:space="preserve"> אינ</w:t>
      </w:r>
      <w:r>
        <w:rPr>
          <w:rFonts w:hint="cs"/>
          <w:rtl/>
        </w:rPr>
        <w:t>ה</w:t>
      </w:r>
      <w:r w:rsidRPr="000A1340">
        <w:rPr>
          <w:rtl/>
        </w:rPr>
        <w:t xml:space="preserve"> מתיישב</w:t>
      </w:r>
      <w:r>
        <w:rPr>
          <w:rFonts w:hint="cs"/>
          <w:rtl/>
        </w:rPr>
        <w:t>ת</w:t>
      </w:r>
      <w:r w:rsidRPr="000A1340">
        <w:rPr>
          <w:rtl/>
        </w:rPr>
        <w:t xml:space="preserve"> עם ההגינות ועם טוהר המידות הנדרשים מן השירות הציבורי</w:t>
      </w:r>
      <w:r>
        <w:rPr>
          <w:rFonts w:hint="cs"/>
          <w:rtl/>
        </w:rPr>
        <w:t xml:space="preserve"> (עניין </w:t>
      </w:r>
      <w:r>
        <w:rPr>
          <w:rFonts w:ascii="Century" w:hAnsi="Century" w:cs="Miriam" w:hint="cs"/>
          <w:b/>
          <w:spacing w:val="0"/>
          <w:szCs w:val="24"/>
          <w:rtl/>
        </w:rPr>
        <w:t>הטלת המנדט</w:t>
      </w:r>
      <w:r>
        <w:rPr>
          <w:rFonts w:hint="cs"/>
          <w:rtl/>
        </w:rPr>
        <w:t>, שם;</w:t>
      </w:r>
      <w:r w:rsidRPr="000D15CB">
        <w:rPr>
          <w:rFonts w:ascii="Century" w:hAnsi="Century" w:cs="Miriam" w:hint="cs"/>
          <w:b/>
          <w:spacing w:val="0"/>
          <w:szCs w:val="24"/>
          <w:rtl/>
        </w:rPr>
        <w:t xml:space="preserve"> </w:t>
      </w:r>
      <w:r>
        <w:rPr>
          <w:rFonts w:hint="cs"/>
          <w:rtl/>
        </w:rPr>
        <w:t xml:space="preserve">עניין </w:t>
      </w:r>
      <w:r w:rsidRPr="000D15CB">
        <w:rPr>
          <w:rFonts w:ascii="Century" w:hAnsi="Century" w:cs="Miriam" w:hint="cs"/>
          <w:b/>
          <w:spacing w:val="0"/>
          <w:szCs w:val="24"/>
          <w:rtl/>
        </w:rPr>
        <w:t>דרעי 2015</w:t>
      </w:r>
      <w:r>
        <w:rPr>
          <w:rFonts w:hint="cs"/>
          <w:rtl/>
        </w:rPr>
        <w:t xml:space="preserve">, פסקה 15). </w:t>
      </w:r>
    </w:p>
    <w:p w14:paraId="3EFB5587" w14:textId="77777777" w:rsidR="00872AD0" w:rsidRDefault="00872AD0" w:rsidP="00872AD0">
      <w:pPr>
        <w:pStyle w:val="Ruller41"/>
        <w:rPr>
          <w:rtl/>
        </w:rPr>
      </w:pPr>
    </w:p>
    <w:p w14:paraId="4B0CE1BA" w14:textId="77777777" w:rsidR="00872AD0" w:rsidRDefault="00872AD0" w:rsidP="00872AD0">
      <w:pPr>
        <w:pStyle w:val="Ruller41"/>
        <w:rPr>
          <w:rtl/>
        </w:rPr>
      </w:pPr>
      <w:r>
        <w:rPr>
          <w:rtl/>
        </w:rPr>
        <w:tab/>
      </w:r>
      <w:r>
        <w:rPr>
          <w:rFonts w:hint="cs"/>
          <w:rtl/>
        </w:rPr>
        <w:t xml:space="preserve">בעניין </w:t>
      </w:r>
      <w:r>
        <w:rPr>
          <w:rFonts w:ascii="Century" w:hAnsi="Century" w:cs="Miriam" w:hint="cs"/>
          <w:b/>
          <w:spacing w:val="0"/>
          <w:szCs w:val="24"/>
          <w:rtl/>
        </w:rPr>
        <w:t>הטלת המנדט</w:t>
      </w:r>
      <w:r w:rsidRPr="001B3BFF">
        <w:rPr>
          <w:rFonts w:hint="cs"/>
          <w:rtl/>
        </w:rPr>
        <w:t xml:space="preserve"> </w:t>
      </w:r>
      <w:r>
        <w:rPr>
          <w:rFonts w:hint="cs"/>
          <w:rtl/>
        </w:rPr>
        <w:t xml:space="preserve">הבהירה הנשיאה </w:t>
      </w:r>
      <w:r w:rsidRPr="001B3BFF">
        <w:rPr>
          <w:rFonts w:ascii="Century" w:hAnsi="Century" w:cs="Miriam" w:hint="cs"/>
          <w:b/>
          <w:spacing w:val="0"/>
          <w:szCs w:val="24"/>
          <w:rtl/>
        </w:rPr>
        <w:t>א' חיות</w:t>
      </w:r>
      <w:r w:rsidRPr="001B3BFF">
        <w:rPr>
          <w:rFonts w:hint="cs"/>
          <w:rtl/>
        </w:rPr>
        <w:t xml:space="preserve"> </w:t>
      </w:r>
      <w:r>
        <w:rPr>
          <w:rFonts w:hint="cs"/>
          <w:rtl/>
        </w:rPr>
        <w:t xml:space="preserve">כי כלל ה"כשירות לחוד ושיקול דעת לחוד" שנקבע בהלכה הפסוקה קודם לחקיקתו של חוק היסוד בשנת 2001, עודנו שריר ותקף גם לאחר מעשה חקיקה זה (שם, פסקה 9). לא למותר להוסיף ולציין כי לנוכח נסיבותיו הייחודיות, באותו עניין כלל ה"כשירות לחוד ושיקול דעת לחוד" לא יושם וממילא לא הביא לקבלת העתירה. זאת משום שבמוקד עניין </w:t>
      </w:r>
      <w:r>
        <w:rPr>
          <w:rFonts w:ascii="Century" w:hAnsi="Century" w:cs="Miriam" w:hint="cs"/>
          <w:b/>
          <w:spacing w:val="0"/>
          <w:szCs w:val="24"/>
          <w:rtl/>
        </w:rPr>
        <w:t>הטלת המנדט</w:t>
      </w:r>
      <w:r w:rsidRPr="00666B1F">
        <w:rPr>
          <w:rFonts w:hint="cs"/>
          <w:rtl/>
        </w:rPr>
        <w:t xml:space="preserve"> </w:t>
      </w:r>
      <w:r>
        <w:rPr>
          <w:rFonts w:hint="cs"/>
          <w:rtl/>
        </w:rPr>
        <w:t xml:space="preserve">עמדה החלטת </w:t>
      </w:r>
      <w:r w:rsidRPr="00666B1F">
        <w:rPr>
          <w:rFonts w:ascii="Century" w:hAnsi="Century" w:cs="Miriam" w:hint="cs"/>
          <w:b/>
          <w:spacing w:val="0"/>
          <w:szCs w:val="24"/>
          <w:rtl/>
        </w:rPr>
        <w:t>הכנסת</w:t>
      </w:r>
      <w:r w:rsidRPr="00666B1F">
        <w:rPr>
          <w:rFonts w:hint="cs"/>
          <w:rtl/>
        </w:rPr>
        <w:t xml:space="preserve"> </w:t>
      </w:r>
      <w:r>
        <w:rPr>
          <w:rFonts w:hint="cs"/>
          <w:rtl/>
        </w:rPr>
        <w:t xml:space="preserve">להטיל על חבר הכנסת בנימין נתניהו את המנדט להרכבת ממשלה, ומדובר בהחלטה פרלמנטרית להבדיל מהפעלת סמכות מינהלית. כפי שציין גם המשנה לנשיאה </w:t>
      </w:r>
      <w:r w:rsidRPr="00D00EB3">
        <w:rPr>
          <w:rFonts w:ascii="Century" w:hAnsi="Century" w:cs="Miriam" w:hint="cs"/>
          <w:b/>
          <w:spacing w:val="0"/>
          <w:szCs w:val="24"/>
          <w:rtl/>
        </w:rPr>
        <w:lastRenderedPageBreak/>
        <w:t>ע' פוגלמן</w:t>
      </w:r>
      <w:r>
        <w:rPr>
          <w:rFonts w:hint="cs"/>
          <w:rtl/>
        </w:rPr>
        <w:t xml:space="preserve">, הביקורת השיפוטית על החלטת הכנסת שונה בתכלית מן הביקורת השיפוטית על ההחלטה המינהלית (ראו בפסקה 2 לפסק דינו).    </w:t>
      </w:r>
    </w:p>
    <w:p w14:paraId="483C7390" w14:textId="77777777" w:rsidR="00872AD0" w:rsidRDefault="00872AD0" w:rsidP="00872AD0">
      <w:pPr>
        <w:pStyle w:val="Ruller41"/>
        <w:rPr>
          <w:rtl/>
        </w:rPr>
      </w:pPr>
    </w:p>
    <w:p w14:paraId="522A30BB" w14:textId="77777777" w:rsidR="00872AD0" w:rsidRDefault="00872AD0" w:rsidP="00872AD0">
      <w:pPr>
        <w:pStyle w:val="Ruller41"/>
        <w:rPr>
          <w:rtl/>
        </w:rPr>
      </w:pPr>
      <w:r>
        <w:rPr>
          <w:rFonts w:hint="cs"/>
          <w:rtl/>
        </w:rPr>
        <w:t>8.</w:t>
      </w:r>
      <w:r>
        <w:rPr>
          <w:rtl/>
        </w:rPr>
        <w:tab/>
      </w:r>
      <w:r>
        <w:rPr>
          <w:rFonts w:hint="cs"/>
          <w:rtl/>
        </w:rPr>
        <w:t xml:space="preserve">בפסיקה שיצאה מלפני בית משפט זה במרוצת השנים, פורטו השיקולים שנדרש ראש הממשלה לשקול בבואו להחליט על מינוי אדם שנפל דופי בעברו לתפקיד שר (או בבואו להחליט אם יש מקום להפסיק את כהונתו בתפקיד זה). בתוך כך, יש לתת את הדעת לעברו הפלילי של המועמד; לחומרת הפגם המוסרי שדבק בהתנהלותו; לחלוף הזמן מעת ביצוע העבירות; לשאלה אם דבק בהן קלון; למידת חיוניותו של המועמד לתפקיד ולהרכבת הממשלה; ולאינטרס הציבורי בשיקום וחזרה למוטב (עניין </w:t>
      </w:r>
      <w:r w:rsidRPr="00164DB4">
        <w:rPr>
          <w:rFonts w:ascii="Century" w:hAnsi="Century" w:cs="Miriam" w:hint="cs"/>
          <w:b/>
          <w:spacing w:val="0"/>
          <w:szCs w:val="24"/>
          <w:rtl/>
        </w:rPr>
        <w:t>הנגבי 2015</w:t>
      </w:r>
      <w:r>
        <w:rPr>
          <w:rFonts w:hint="cs"/>
          <w:rtl/>
        </w:rPr>
        <w:t xml:space="preserve">, פסקה 27 לפסק דינו של הנשיא (בדימ') </w:t>
      </w:r>
      <w:r w:rsidRPr="00164DB4">
        <w:rPr>
          <w:rFonts w:ascii="Century" w:hAnsi="Century" w:cs="Miriam" w:hint="cs"/>
          <w:b/>
          <w:spacing w:val="0"/>
          <w:szCs w:val="24"/>
          <w:rtl/>
        </w:rPr>
        <w:t>א' גרוניס</w:t>
      </w:r>
      <w:r>
        <w:rPr>
          <w:rFonts w:hint="cs"/>
          <w:rtl/>
        </w:rPr>
        <w:t xml:space="preserve">; עניין </w:t>
      </w:r>
      <w:r w:rsidRPr="009C311C">
        <w:rPr>
          <w:rFonts w:ascii="Century" w:hAnsi="Century" w:cs="Miriam" w:hint="cs"/>
          <w:b/>
          <w:spacing w:val="0"/>
          <w:szCs w:val="24"/>
          <w:rtl/>
        </w:rPr>
        <w:t>אמונה</w:t>
      </w:r>
      <w:r>
        <w:rPr>
          <w:rFonts w:hint="cs"/>
          <w:rtl/>
        </w:rPr>
        <w:t xml:space="preserve">, עמ' 474-471; עניין </w:t>
      </w:r>
      <w:r w:rsidRPr="00784FD0">
        <w:rPr>
          <w:rFonts w:ascii="Century" w:hAnsi="Century" w:cs="Miriam" w:hint="cs"/>
          <w:b/>
          <w:spacing w:val="0"/>
          <w:szCs w:val="24"/>
          <w:rtl/>
        </w:rPr>
        <w:t>דרעי 2015</w:t>
      </w:r>
      <w:r>
        <w:rPr>
          <w:rFonts w:hint="cs"/>
          <w:rtl/>
        </w:rPr>
        <w:t xml:space="preserve">, פסקה 15). </w:t>
      </w:r>
    </w:p>
    <w:p w14:paraId="379C5279" w14:textId="77777777" w:rsidR="00872AD0" w:rsidRDefault="00872AD0" w:rsidP="00872AD0">
      <w:pPr>
        <w:pStyle w:val="Ruller41"/>
        <w:rPr>
          <w:rtl/>
        </w:rPr>
      </w:pPr>
    </w:p>
    <w:p w14:paraId="0314ABF3" w14:textId="77777777" w:rsidR="00872AD0" w:rsidRDefault="00872AD0" w:rsidP="00872AD0">
      <w:pPr>
        <w:pStyle w:val="Ruller41"/>
        <w:rPr>
          <w:rtl/>
        </w:rPr>
      </w:pPr>
      <w:r>
        <w:rPr>
          <w:rtl/>
        </w:rPr>
        <w:tab/>
      </w:r>
      <w:r>
        <w:rPr>
          <w:rFonts w:hint="cs"/>
          <w:rtl/>
        </w:rPr>
        <w:t xml:space="preserve">אין לכחד, סמכותו של ראש הממשלה למנות שרים נושאת מאפיינים ייחודיים ואופי פוליטי מובהק; היא נועדה לאפשר לו להגשים את המנדט שנתן לו הציבור ולהרכיב ממשלה שתפעל באופן אפקטיבי ותוציא לפועל את מדיניותה (בג"ץ 232/16 </w:t>
      </w:r>
      <w:r w:rsidRPr="00C632EB">
        <w:rPr>
          <w:rFonts w:ascii="Century" w:hAnsi="Century" w:cs="Miriam" w:hint="cs"/>
          <w:b/>
          <w:spacing w:val="0"/>
          <w:szCs w:val="24"/>
          <w:rtl/>
        </w:rPr>
        <w:t>התנועה לאיכות השלטון בישראל נ' ראש ממשלת ישראל</w:t>
      </w:r>
      <w:r>
        <w:rPr>
          <w:rFonts w:hint="cs"/>
          <w:rtl/>
        </w:rPr>
        <w:t>, פסקה 28 לפסק דינו של השופט</w:t>
      </w:r>
      <w:r w:rsidRPr="00C632EB">
        <w:rPr>
          <w:rFonts w:ascii="Century" w:hAnsi="Century" w:cs="Miriam" w:hint="cs"/>
          <w:b/>
          <w:spacing w:val="0"/>
          <w:szCs w:val="24"/>
          <w:rtl/>
        </w:rPr>
        <w:t xml:space="preserve"> ס' ג'ובראן</w:t>
      </w:r>
      <w:r>
        <w:rPr>
          <w:rFonts w:hint="cs"/>
          <w:rtl/>
        </w:rPr>
        <w:t xml:space="preserve"> (8.5.2016), להלן: </w:t>
      </w:r>
      <w:r w:rsidRPr="00C632EB">
        <w:rPr>
          <w:rFonts w:ascii="Century" w:hAnsi="Century" w:cs="Miriam" w:hint="cs"/>
          <w:b/>
          <w:spacing w:val="0"/>
          <w:szCs w:val="24"/>
          <w:rtl/>
        </w:rPr>
        <w:t>עניין דרעי 2016</w:t>
      </w:r>
      <w:r>
        <w:rPr>
          <w:rFonts w:hint="cs"/>
          <w:rtl/>
        </w:rPr>
        <w:t>)). ואולם לא ניתן להסכין עם מינוי שאינו הולם את מעמדה של הממשלה ופוגע במראית פניה הציבוריים; "</w:t>
      </w:r>
      <w:r w:rsidRPr="00221447">
        <w:rPr>
          <w:rFonts w:ascii="Century" w:hAnsi="Century" w:cs="Miriam" w:hint="cs"/>
          <w:b/>
          <w:spacing w:val="0"/>
          <w:szCs w:val="24"/>
          <w:rtl/>
        </w:rPr>
        <w:t>ועיקר העיקרים, כאשר הדבר משליך על אמון הציבור בשיטת הממשל והשלטון שלנו, בערכים שעליהם בנויה שיטתנו השלטונית והחוקית ובחובות של האזרח מן השורה הקמות ועולות מכך</w:t>
      </w:r>
      <w:r>
        <w:rPr>
          <w:rFonts w:hint="cs"/>
          <w:rtl/>
        </w:rPr>
        <w:t xml:space="preserve">" (בג"ץ 3094/93 </w:t>
      </w:r>
      <w:r w:rsidRPr="00221447">
        <w:rPr>
          <w:rFonts w:ascii="Century" w:hAnsi="Century" w:cs="Miriam" w:hint="cs"/>
          <w:b/>
          <w:spacing w:val="0"/>
          <w:szCs w:val="24"/>
          <w:rtl/>
        </w:rPr>
        <w:t>התנועה למען איכות השלטון בישראל נ' ממשלת ישראל</w:t>
      </w:r>
      <w:r>
        <w:rPr>
          <w:rFonts w:hint="cs"/>
          <w:rtl/>
        </w:rPr>
        <w:t>, פ"ד מז(5) 404, 422 (1993)). באספקלריה זו אנו נדרשים לבחון את החלטת ראש הממשלה למנות את דרעי לשר הפנים ולשר הבריאות בממשלה ה-37, ולכך אפנה כעת.</w:t>
      </w:r>
    </w:p>
    <w:p w14:paraId="4B154166" w14:textId="77777777" w:rsidR="00872AD0" w:rsidRDefault="00872AD0" w:rsidP="00872AD0">
      <w:pPr>
        <w:pStyle w:val="Ruller41"/>
        <w:spacing w:line="240" w:lineRule="auto"/>
        <w:rPr>
          <w:rtl/>
        </w:rPr>
      </w:pPr>
    </w:p>
    <w:p w14:paraId="097AC1C6" w14:textId="77777777" w:rsidR="00872AD0" w:rsidRPr="000D7822" w:rsidRDefault="00872AD0" w:rsidP="00872AD0">
      <w:pPr>
        <w:pStyle w:val="Ruller41"/>
        <w:rPr>
          <w:rFonts w:ascii="Century" w:hAnsi="Century" w:cs="Miriam"/>
          <w:b/>
          <w:spacing w:val="0"/>
          <w:szCs w:val="24"/>
          <w:rtl/>
        </w:rPr>
      </w:pPr>
      <w:r w:rsidRPr="000D7822">
        <w:rPr>
          <w:rFonts w:ascii="Century" w:hAnsi="Century" w:cs="Miriam" w:hint="cs"/>
          <w:b/>
          <w:spacing w:val="0"/>
          <w:szCs w:val="24"/>
          <w:rtl/>
        </w:rPr>
        <w:t>עניינו של דרעי</w:t>
      </w:r>
    </w:p>
    <w:p w14:paraId="456879A2" w14:textId="77777777" w:rsidR="00872AD0" w:rsidRDefault="00872AD0" w:rsidP="00872AD0">
      <w:pPr>
        <w:pStyle w:val="Ruller41"/>
        <w:spacing w:line="240" w:lineRule="auto"/>
        <w:rPr>
          <w:rtl/>
        </w:rPr>
      </w:pPr>
    </w:p>
    <w:p w14:paraId="540F183D" w14:textId="77777777" w:rsidR="00872AD0" w:rsidRDefault="00872AD0" w:rsidP="00872AD0">
      <w:pPr>
        <w:pStyle w:val="Ruller41"/>
        <w:rPr>
          <w:rtl/>
        </w:rPr>
      </w:pPr>
      <w:r>
        <w:rPr>
          <w:rFonts w:hint="cs"/>
          <w:rtl/>
        </w:rPr>
        <w:t>9.</w:t>
      </w:r>
      <w:r>
        <w:rPr>
          <w:rtl/>
        </w:rPr>
        <w:tab/>
      </w:r>
      <w:r>
        <w:rPr>
          <w:rFonts w:hint="cs"/>
          <w:rtl/>
        </w:rPr>
        <w:t>ערב הקמתה של הממשלה ה-37, דרעי לא עמד בתנאי הכשירות שהיו קבועים בסעיף 6(ג)(1) לחוק היסוד בנוסחו דאז:</w:t>
      </w:r>
    </w:p>
    <w:p w14:paraId="6221B493" w14:textId="77777777" w:rsidR="00872AD0" w:rsidRDefault="00872AD0" w:rsidP="00872AD0">
      <w:pPr>
        <w:pStyle w:val="Ruller41"/>
        <w:spacing w:line="240" w:lineRule="auto"/>
        <w:rPr>
          <w:rtl/>
        </w:rPr>
      </w:pPr>
    </w:p>
    <w:p w14:paraId="42195221" w14:textId="77777777" w:rsidR="00872AD0" w:rsidRPr="00407E40" w:rsidRDefault="00872AD0" w:rsidP="00872AD0">
      <w:pPr>
        <w:pStyle w:val="Ruller5"/>
        <w:rPr>
          <w:rFonts w:ascii="Century" w:hAnsi="Century"/>
          <w:rtl/>
        </w:rPr>
      </w:pPr>
      <w:r w:rsidRPr="00407E40">
        <w:rPr>
          <w:rFonts w:ascii="Century" w:hAnsi="Century" w:hint="cs"/>
          <w:rtl/>
        </w:rPr>
        <w:t>(1)</w:t>
      </w:r>
      <w:r w:rsidRPr="00407E40">
        <w:rPr>
          <w:rFonts w:ascii="Century" w:hAnsi="Century"/>
          <w:rtl/>
        </w:rPr>
        <w:tab/>
      </w:r>
      <w:r w:rsidRPr="00407E40">
        <w:rPr>
          <w:rFonts w:ascii="Century" w:hAnsi="Century" w:hint="eastAsia"/>
          <w:rtl/>
        </w:rPr>
        <w:t>לא</w:t>
      </w:r>
      <w:r w:rsidRPr="00407E40">
        <w:rPr>
          <w:rFonts w:ascii="Century" w:hAnsi="Century"/>
          <w:rtl/>
        </w:rPr>
        <w:t xml:space="preserve"> </w:t>
      </w:r>
      <w:r w:rsidRPr="00407E40">
        <w:rPr>
          <w:rFonts w:ascii="Century" w:hAnsi="Century" w:hint="eastAsia"/>
          <w:rtl/>
        </w:rPr>
        <w:t>יתמנה</w:t>
      </w:r>
      <w:r w:rsidRPr="00407E40">
        <w:rPr>
          <w:rFonts w:ascii="Century" w:hAnsi="Century"/>
          <w:rtl/>
        </w:rPr>
        <w:t xml:space="preserve"> </w:t>
      </w:r>
      <w:r w:rsidRPr="00407E40">
        <w:rPr>
          <w:rFonts w:ascii="Century" w:hAnsi="Century" w:hint="eastAsia"/>
          <w:rtl/>
        </w:rPr>
        <w:t>לשר</w:t>
      </w:r>
      <w:r w:rsidRPr="00407E40">
        <w:rPr>
          <w:rFonts w:ascii="Century" w:hAnsi="Century"/>
          <w:rtl/>
        </w:rPr>
        <w:t xml:space="preserve"> </w:t>
      </w:r>
      <w:r w:rsidRPr="00407E40">
        <w:rPr>
          <w:rFonts w:ascii="Century" w:hAnsi="Century" w:hint="eastAsia"/>
          <w:rtl/>
        </w:rPr>
        <w:t>מי</w:t>
      </w:r>
      <w:r w:rsidRPr="00407E40">
        <w:rPr>
          <w:rFonts w:ascii="Century" w:hAnsi="Century"/>
          <w:rtl/>
        </w:rPr>
        <w:t xml:space="preserve"> </w:t>
      </w:r>
      <w:r w:rsidRPr="00407E40">
        <w:rPr>
          <w:rFonts w:ascii="Century" w:hAnsi="Century" w:hint="eastAsia"/>
          <w:rtl/>
        </w:rPr>
        <w:t>שהורשע</w:t>
      </w:r>
      <w:r w:rsidRPr="00407E40">
        <w:rPr>
          <w:rFonts w:ascii="Century" w:hAnsi="Century"/>
          <w:rtl/>
        </w:rPr>
        <w:t xml:space="preserve"> </w:t>
      </w:r>
      <w:r w:rsidRPr="00407E40">
        <w:rPr>
          <w:rFonts w:ascii="Century" w:hAnsi="Century" w:hint="eastAsia"/>
          <w:rtl/>
        </w:rPr>
        <w:t>בעבירה</w:t>
      </w:r>
      <w:r w:rsidRPr="00407E40">
        <w:rPr>
          <w:rFonts w:ascii="Century" w:hAnsi="Century"/>
          <w:rtl/>
        </w:rPr>
        <w:t xml:space="preserve"> </w:t>
      </w:r>
      <w:r w:rsidRPr="00407E40">
        <w:rPr>
          <w:rFonts w:ascii="Century" w:hAnsi="Century" w:hint="eastAsia"/>
          <w:rtl/>
        </w:rPr>
        <w:t>ונידון</w:t>
      </w:r>
      <w:r w:rsidRPr="00407E40">
        <w:rPr>
          <w:rFonts w:ascii="Century" w:hAnsi="Century"/>
          <w:rtl/>
        </w:rPr>
        <w:t xml:space="preserve"> </w:t>
      </w:r>
      <w:r w:rsidRPr="00407E40">
        <w:rPr>
          <w:rFonts w:ascii="Century" w:hAnsi="Century" w:hint="eastAsia"/>
          <w:rtl/>
        </w:rPr>
        <w:t>לעונש</w:t>
      </w:r>
      <w:r w:rsidRPr="00407E40">
        <w:rPr>
          <w:rFonts w:ascii="Century" w:hAnsi="Century"/>
          <w:rtl/>
        </w:rPr>
        <w:t xml:space="preserve"> </w:t>
      </w:r>
      <w:r w:rsidRPr="00407E40">
        <w:rPr>
          <w:rFonts w:ascii="Century" w:hAnsi="Century" w:cs="Miriam" w:hint="eastAsia"/>
          <w:b/>
          <w:spacing w:val="0"/>
          <w:szCs w:val="24"/>
          <w:rtl/>
        </w:rPr>
        <w:t>מאסר</w:t>
      </w:r>
      <w:r w:rsidRPr="00407E40">
        <w:rPr>
          <w:rFonts w:ascii="Century" w:hAnsi="Century"/>
          <w:rtl/>
        </w:rPr>
        <w:t xml:space="preserve"> </w:t>
      </w:r>
      <w:r w:rsidRPr="00407E40">
        <w:rPr>
          <w:rFonts w:ascii="Century" w:hAnsi="Century" w:hint="eastAsia"/>
          <w:rtl/>
        </w:rPr>
        <w:t>וביום</w:t>
      </w:r>
      <w:r w:rsidRPr="00407E40">
        <w:rPr>
          <w:rFonts w:ascii="Century" w:hAnsi="Century"/>
          <w:rtl/>
        </w:rPr>
        <w:t xml:space="preserve"> </w:t>
      </w:r>
      <w:r w:rsidRPr="00407E40">
        <w:rPr>
          <w:rFonts w:ascii="Century" w:hAnsi="Century" w:hint="eastAsia"/>
          <w:rtl/>
        </w:rPr>
        <w:t>מינויו</w:t>
      </w:r>
      <w:r w:rsidRPr="00407E40">
        <w:rPr>
          <w:rFonts w:ascii="Century" w:hAnsi="Century"/>
          <w:rtl/>
        </w:rPr>
        <w:t xml:space="preserve"> </w:t>
      </w:r>
      <w:r w:rsidRPr="00407E40">
        <w:rPr>
          <w:rFonts w:ascii="Century" w:hAnsi="Century" w:hint="eastAsia"/>
          <w:rtl/>
        </w:rPr>
        <w:t>טרם</w:t>
      </w:r>
      <w:r w:rsidRPr="00407E40">
        <w:rPr>
          <w:rFonts w:ascii="Century" w:hAnsi="Century"/>
          <w:rtl/>
        </w:rPr>
        <w:t xml:space="preserve"> </w:t>
      </w:r>
      <w:r w:rsidRPr="00407E40">
        <w:rPr>
          <w:rFonts w:ascii="Century" w:hAnsi="Century" w:hint="eastAsia"/>
          <w:rtl/>
        </w:rPr>
        <w:t>עברו</w:t>
      </w:r>
      <w:r w:rsidRPr="00407E40">
        <w:rPr>
          <w:rFonts w:ascii="Century" w:hAnsi="Century"/>
          <w:rtl/>
        </w:rPr>
        <w:t xml:space="preserve"> </w:t>
      </w:r>
      <w:r w:rsidRPr="00407E40">
        <w:rPr>
          <w:rFonts w:ascii="Century" w:hAnsi="Century" w:hint="eastAsia"/>
          <w:rtl/>
        </w:rPr>
        <w:t>שבע</w:t>
      </w:r>
      <w:r w:rsidRPr="00407E40">
        <w:rPr>
          <w:rFonts w:ascii="Century" w:hAnsi="Century"/>
          <w:rtl/>
        </w:rPr>
        <w:t xml:space="preserve"> </w:t>
      </w:r>
      <w:r w:rsidRPr="00407E40">
        <w:rPr>
          <w:rFonts w:ascii="Century" w:hAnsi="Century" w:hint="eastAsia"/>
          <w:rtl/>
        </w:rPr>
        <w:t>שנים</w:t>
      </w:r>
      <w:r w:rsidRPr="00407E40">
        <w:rPr>
          <w:rFonts w:ascii="Century" w:hAnsi="Century"/>
          <w:rtl/>
        </w:rPr>
        <w:t xml:space="preserve"> </w:t>
      </w:r>
      <w:r w:rsidRPr="00407E40">
        <w:rPr>
          <w:rFonts w:ascii="Century" w:hAnsi="Century" w:hint="eastAsia"/>
          <w:rtl/>
        </w:rPr>
        <w:t>מהיום</w:t>
      </w:r>
      <w:r w:rsidRPr="00407E40">
        <w:rPr>
          <w:rFonts w:ascii="Century" w:hAnsi="Century"/>
          <w:rtl/>
        </w:rPr>
        <w:t xml:space="preserve"> </w:t>
      </w:r>
      <w:r w:rsidRPr="00407E40">
        <w:rPr>
          <w:rFonts w:ascii="Century" w:hAnsi="Century" w:hint="eastAsia"/>
          <w:rtl/>
        </w:rPr>
        <w:t>שגמר</w:t>
      </w:r>
      <w:r w:rsidRPr="00407E40">
        <w:rPr>
          <w:rFonts w:ascii="Century" w:hAnsi="Century"/>
          <w:rtl/>
        </w:rPr>
        <w:t xml:space="preserve"> </w:t>
      </w:r>
      <w:r w:rsidRPr="00407E40">
        <w:rPr>
          <w:rFonts w:ascii="Century" w:hAnsi="Century" w:hint="eastAsia"/>
          <w:rtl/>
        </w:rPr>
        <w:t>לרצות</w:t>
      </w:r>
      <w:r w:rsidRPr="00407E40">
        <w:rPr>
          <w:rFonts w:ascii="Century" w:hAnsi="Century"/>
          <w:rtl/>
        </w:rPr>
        <w:t xml:space="preserve"> </w:t>
      </w:r>
      <w:r w:rsidRPr="00407E40">
        <w:rPr>
          <w:rFonts w:ascii="Century" w:hAnsi="Century" w:hint="eastAsia"/>
          <w:rtl/>
        </w:rPr>
        <w:t>את</w:t>
      </w:r>
      <w:r w:rsidRPr="00407E40">
        <w:rPr>
          <w:rFonts w:ascii="Century" w:hAnsi="Century"/>
          <w:rtl/>
        </w:rPr>
        <w:t xml:space="preserve"> </w:t>
      </w:r>
      <w:r w:rsidRPr="00407E40">
        <w:rPr>
          <w:rFonts w:ascii="Century" w:hAnsi="Century" w:hint="eastAsia"/>
          <w:rtl/>
        </w:rPr>
        <w:t>עונש</w:t>
      </w:r>
      <w:r w:rsidRPr="00407E40">
        <w:rPr>
          <w:rFonts w:ascii="Century" w:hAnsi="Century"/>
          <w:rtl/>
        </w:rPr>
        <w:t xml:space="preserve"> </w:t>
      </w:r>
      <w:r w:rsidRPr="00407E40">
        <w:rPr>
          <w:rFonts w:ascii="Century" w:hAnsi="Century" w:hint="eastAsia"/>
          <w:rtl/>
        </w:rPr>
        <w:t>המאסר</w:t>
      </w:r>
      <w:r w:rsidRPr="00407E40">
        <w:rPr>
          <w:rFonts w:ascii="Century" w:hAnsi="Century"/>
          <w:rtl/>
        </w:rPr>
        <w:t xml:space="preserve"> </w:t>
      </w:r>
      <w:r w:rsidRPr="00407E40">
        <w:rPr>
          <w:rFonts w:ascii="Century" w:hAnsi="Century" w:cs="Miriam" w:hint="cs"/>
          <w:b/>
          <w:spacing w:val="0"/>
          <w:szCs w:val="24"/>
          <w:rtl/>
        </w:rPr>
        <w:t>או מיום מתן פסק הדין</w:t>
      </w:r>
      <w:r w:rsidRPr="00407E40">
        <w:rPr>
          <w:rFonts w:ascii="Century" w:hAnsi="Century"/>
          <w:rtl/>
        </w:rPr>
        <w:t xml:space="preserve">, </w:t>
      </w:r>
      <w:r w:rsidRPr="00407E40">
        <w:rPr>
          <w:rFonts w:ascii="Century" w:hAnsi="Century" w:hint="cs"/>
          <w:rtl/>
        </w:rPr>
        <w:t xml:space="preserve">לפי המאוחר, </w:t>
      </w:r>
      <w:r w:rsidRPr="00407E40">
        <w:rPr>
          <w:rFonts w:ascii="Century" w:hAnsi="Century" w:hint="eastAsia"/>
          <w:rtl/>
        </w:rPr>
        <w:t>אלא</w:t>
      </w:r>
      <w:r w:rsidRPr="00407E40">
        <w:rPr>
          <w:rFonts w:ascii="Century" w:hAnsi="Century"/>
          <w:rtl/>
        </w:rPr>
        <w:t xml:space="preserve"> </w:t>
      </w:r>
      <w:r w:rsidRPr="00407E40">
        <w:rPr>
          <w:rFonts w:ascii="Century" w:hAnsi="Century" w:hint="eastAsia"/>
          <w:rtl/>
        </w:rPr>
        <w:t>אם</w:t>
      </w:r>
      <w:r w:rsidRPr="00407E40">
        <w:rPr>
          <w:rFonts w:ascii="Century" w:hAnsi="Century"/>
          <w:rtl/>
        </w:rPr>
        <w:t xml:space="preserve"> </w:t>
      </w:r>
      <w:r w:rsidRPr="00407E40">
        <w:rPr>
          <w:rFonts w:ascii="Century" w:hAnsi="Century" w:hint="eastAsia"/>
          <w:rtl/>
        </w:rPr>
        <w:t>כן</w:t>
      </w:r>
      <w:r w:rsidRPr="00407E40">
        <w:rPr>
          <w:rFonts w:ascii="Century" w:hAnsi="Century"/>
          <w:rtl/>
        </w:rPr>
        <w:t xml:space="preserve"> </w:t>
      </w:r>
      <w:r w:rsidRPr="00407E40">
        <w:rPr>
          <w:rFonts w:ascii="Century" w:hAnsi="Century" w:hint="eastAsia"/>
          <w:rtl/>
        </w:rPr>
        <w:t>קבע</w:t>
      </w:r>
      <w:r w:rsidRPr="00407E40">
        <w:rPr>
          <w:rFonts w:ascii="Century" w:hAnsi="Century"/>
          <w:rtl/>
        </w:rPr>
        <w:t xml:space="preserve"> </w:t>
      </w:r>
      <w:r w:rsidRPr="00407E40">
        <w:rPr>
          <w:rFonts w:ascii="Century" w:hAnsi="Century" w:hint="eastAsia"/>
          <w:rtl/>
        </w:rPr>
        <w:t>יושב</w:t>
      </w:r>
      <w:r w:rsidRPr="00407E40">
        <w:rPr>
          <w:rFonts w:ascii="Century" w:hAnsi="Century"/>
          <w:rtl/>
        </w:rPr>
        <w:t xml:space="preserve"> </w:t>
      </w:r>
      <w:r w:rsidRPr="00407E40">
        <w:rPr>
          <w:rFonts w:ascii="Century" w:hAnsi="Century" w:hint="eastAsia"/>
          <w:rtl/>
        </w:rPr>
        <w:t>ראש</w:t>
      </w:r>
      <w:r w:rsidRPr="00407E40">
        <w:rPr>
          <w:rFonts w:ascii="Century" w:hAnsi="Century"/>
          <w:rtl/>
        </w:rPr>
        <w:t xml:space="preserve"> </w:t>
      </w:r>
      <w:r w:rsidRPr="00407E40">
        <w:rPr>
          <w:rFonts w:ascii="Century" w:hAnsi="Century" w:hint="eastAsia"/>
          <w:rtl/>
        </w:rPr>
        <w:t>ועדת</w:t>
      </w:r>
      <w:r w:rsidRPr="00407E40">
        <w:rPr>
          <w:rFonts w:ascii="Century" w:hAnsi="Century"/>
          <w:rtl/>
        </w:rPr>
        <w:t xml:space="preserve"> </w:t>
      </w:r>
      <w:r w:rsidRPr="00407E40">
        <w:rPr>
          <w:rFonts w:ascii="Century" w:hAnsi="Century" w:hint="eastAsia"/>
          <w:rtl/>
        </w:rPr>
        <w:t>הבחירות</w:t>
      </w:r>
      <w:r w:rsidRPr="00407E40">
        <w:rPr>
          <w:rFonts w:ascii="Century" w:hAnsi="Century"/>
          <w:rtl/>
        </w:rPr>
        <w:t xml:space="preserve"> </w:t>
      </w:r>
      <w:r w:rsidRPr="00407E40">
        <w:rPr>
          <w:rFonts w:ascii="Century" w:hAnsi="Century" w:hint="eastAsia"/>
          <w:rtl/>
        </w:rPr>
        <w:t>המרכזית</w:t>
      </w:r>
      <w:r w:rsidRPr="00407E40">
        <w:rPr>
          <w:rFonts w:ascii="Century" w:hAnsi="Century"/>
          <w:rtl/>
        </w:rPr>
        <w:t xml:space="preserve"> </w:t>
      </w:r>
      <w:r w:rsidRPr="00407E40">
        <w:rPr>
          <w:rFonts w:ascii="Century" w:hAnsi="Century" w:hint="eastAsia"/>
          <w:rtl/>
        </w:rPr>
        <w:t>כי</w:t>
      </w:r>
      <w:r w:rsidRPr="00407E40">
        <w:rPr>
          <w:rFonts w:ascii="Century" w:hAnsi="Century"/>
          <w:rtl/>
        </w:rPr>
        <w:t xml:space="preserve"> </w:t>
      </w:r>
      <w:r w:rsidRPr="00407E40">
        <w:rPr>
          <w:rFonts w:ascii="Century" w:hAnsi="Century" w:hint="eastAsia"/>
          <w:rtl/>
        </w:rPr>
        <w:t>אין</w:t>
      </w:r>
      <w:r w:rsidRPr="00407E40">
        <w:rPr>
          <w:rFonts w:ascii="Century" w:hAnsi="Century"/>
          <w:rtl/>
        </w:rPr>
        <w:t xml:space="preserve"> </w:t>
      </w:r>
      <w:r w:rsidRPr="00407E40">
        <w:rPr>
          <w:rFonts w:ascii="Century" w:hAnsi="Century" w:hint="eastAsia"/>
          <w:rtl/>
        </w:rPr>
        <w:t>עם</w:t>
      </w:r>
      <w:r w:rsidRPr="00407E40">
        <w:rPr>
          <w:rFonts w:ascii="Century" w:hAnsi="Century"/>
          <w:rtl/>
        </w:rPr>
        <w:t xml:space="preserve"> </w:t>
      </w:r>
      <w:r w:rsidRPr="00407E40">
        <w:rPr>
          <w:rFonts w:ascii="Century" w:hAnsi="Century" w:hint="eastAsia"/>
          <w:rtl/>
        </w:rPr>
        <w:t>העבירה</w:t>
      </w:r>
      <w:r w:rsidRPr="00407E40">
        <w:rPr>
          <w:rFonts w:ascii="Century" w:hAnsi="Century"/>
          <w:rtl/>
        </w:rPr>
        <w:t xml:space="preserve"> </w:t>
      </w:r>
      <w:r w:rsidRPr="00407E40">
        <w:rPr>
          <w:rFonts w:ascii="Century" w:hAnsi="Century" w:hint="eastAsia"/>
          <w:rtl/>
        </w:rPr>
        <w:t>שבה</w:t>
      </w:r>
      <w:r w:rsidRPr="00407E40">
        <w:rPr>
          <w:rFonts w:ascii="Century" w:hAnsi="Century"/>
          <w:rtl/>
        </w:rPr>
        <w:t xml:space="preserve"> </w:t>
      </w:r>
      <w:r w:rsidRPr="00407E40">
        <w:rPr>
          <w:rFonts w:ascii="Century" w:hAnsi="Century" w:hint="eastAsia"/>
          <w:rtl/>
        </w:rPr>
        <w:t>הורשע</w:t>
      </w:r>
      <w:r w:rsidRPr="00407E40">
        <w:rPr>
          <w:rFonts w:ascii="Century" w:hAnsi="Century"/>
          <w:rtl/>
        </w:rPr>
        <w:t xml:space="preserve">, </w:t>
      </w:r>
      <w:r w:rsidRPr="00407E40">
        <w:rPr>
          <w:rFonts w:ascii="Century" w:hAnsi="Century" w:hint="eastAsia"/>
          <w:rtl/>
        </w:rPr>
        <w:t>בנסיבות</w:t>
      </w:r>
      <w:r w:rsidRPr="00407E40">
        <w:rPr>
          <w:rFonts w:ascii="Century" w:hAnsi="Century"/>
          <w:rtl/>
        </w:rPr>
        <w:t xml:space="preserve"> </w:t>
      </w:r>
      <w:r w:rsidRPr="00407E40">
        <w:rPr>
          <w:rFonts w:ascii="Century" w:hAnsi="Century" w:hint="eastAsia"/>
          <w:rtl/>
        </w:rPr>
        <w:t>הענין</w:t>
      </w:r>
      <w:r w:rsidRPr="00407E40">
        <w:rPr>
          <w:rFonts w:ascii="Century" w:hAnsi="Century"/>
          <w:rtl/>
        </w:rPr>
        <w:t xml:space="preserve">, </w:t>
      </w:r>
      <w:r w:rsidRPr="00407E40">
        <w:rPr>
          <w:rFonts w:ascii="Century" w:hAnsi="Century" w:hint="eastAsia"/>
          <w:rtl/>
        </w:rPr>
        <w:t>משום</w:t>
      </w:r>
      <w:r w:rsidRPr="00407E40">
        <w:rPr>
          <w:rFonts w:ascii="Century" w:hAnsi="Century"/>
          <w:rtl/>
        </w:rPr>
        <w:t xml:space="preserve"> </w:t>
      </w:r>
      <w:r w:rsidRPr="00407E40">
        <w:rPr>
          <w:rFonts w:ascii="Century" w:hAnsi="Century" w:hint="eastAsia"/>
          <w:rtl/>
        </w:rPr>
        <w:t>קלון</w:t>
      </w:r>
      <w:r w:rsidRPr="00407E40">
        <w:rPr>
          <w:rFonts w:ascii="Century" w:hAnsi="Century"/>
          <w:rtl/>
        </w:rPr>
        <w:t>;</w:t>
      </w:r>
    </w:p>
    <w:p w14:paraId="607096F3" w14:textId="77777777" w:rsidR="00872AD0" w:rsidRDefault="00872AD0" w:rsidP="00872AD0">
      <w:pPr>
        <w:pStyle w:val="Ruller5"/>
        <w:rPr>
          <w:rFonts w:ascii="Century" w:hAnsi="Century"/>
          <w:rtl/>
        </w:rPr>
      </w:pPr>
    </w:p>
    <w:p w14:paraId="5A5BD5BF" w14:textId="77777777" w:rsidR="00872AD0" w:rsidRPr="00407E40" w:rsidRDefault="00872AD0" w:rsidP="00872AD0">
      <w:pPr>
        <w:pStyle w:val="Ruller5"/>
        <w:rPr>
          <w:rFonts w:ascii="Century" w:hAnsi="Century"/>
          <w:rtl/>
        </w:rPr>
      </w:pPr>
      <w:r w:rsidRPr="00407E40">
        <w:rPr>
          <w:rFonts w:ascii="Century" w:hAnsi="Century" w:hint="cs"/>
          <w:rtl/>
        </w:rPr>
        <w:lastRenderedPageBreak/>
        <w:t>(2)</w:t>
      </w:r>
      <w:r w:rsidRPr="00407E40">
        <w:rPr>
          <w:rFonts w:ascii="Century" w:hAnsi="Century" w:hint="cs"/>
          <w:rtl/>
        </w:rPr>
        <w:tab/>
        <w:t>יושב ראש ועדת הבחירות המרכזית לא יקבע כאמור בפסקה (1) אם קבע בית המשפט, לפי דין, כי יש עם העבירה שבה הורשע קלון.</w:t>
      </w:r>
      <w:r w:rsidRPr="00047A4D">
        <w:rPr>
          <w:rFonts w:ascii="Century" w:hAnsi="Century" w:hint="cs"/>
          <w:rtl/>
        </w:rPr>
        <w:t xml:space="preserve"> </w:t>
      </w:r>
      <w:r>
        <w:rPr>
          <w:rFonts w:ascii="Century" w:hAnsi="Century" w:hint="cs"/>
          <w:rtl/>
        </w:rPr>
        <w:t xml:space="preserve"> (ההדגשות שלי-</w:t>
      </w:r>
      <w:proofErr w:type="spellStart"/>
      <w:r>
        <w:rPr>
          <w:rFonts w:ascii="Century" w:hAnsi="Century" w:hint="cs"/>
          <w:rtl/>
        </w:rPr>
        <w:t>ע'ב</w:t>
      </w:r>
      <w:proofErr w:type="spellEnd"/>
      <w:r>
        <w:rPr>
          <w:rFonts w:ascii="Century" w:hAnsi="Century" w:hint="cs"/>
          <w:rtl/>
        </w:rPr>
        <w:t>').</w:t>
      </w:r>
    </w:p>
    <w:p w14:paraId="1023E8B1" w14:textId="77777777" w:rsidR="00872AD0" w:rsidRDefault="00872AD0" w:rsidP="00872AD0">
      <w:pPr>
        <w:pStyle w:val="Ruller5"/>
        <w:rPr>
          <w:rFonts w:ascii="Century" w:hAnsi="Century"/>
          <w:rtl/>
        </w:rPr>
      </w:pPr>
    </w:p>
    <w:p w14:paraId="4CA27BC8" w14:textId="77777777" w:rsidR="00872AD0" w:rsidRDefault="00872AD0" w:rsidP="00872AD0">
      <w:pPr>
        <w:pStyle w:val="Ruller41"/>
        <w:rPr>
          <w:rtl/>
        </w:rPr>
      </w:pPr>
      <w:r>
        <w:rPr>
          <w:rtl/>
        </w:rPr>
        <w:tab/>
      </w:r>
      <w:r>
        <w:rPr>
          <w:rFonts w:hint="cs"/>
          <w:rtl/>
        </w:rPr>
        <w:t xml:space="preserve">בעת הרכבת הממשלה ה-37 חלפה </w:t>
      </w:r>
      <w:r w:rsidRPr="003257DA">
        <w:rPr>
          <w:rFonts w:ascii="Century" w:hAnsi="Century" w:cs="Miriam" w:hint="cs"/>
          <w:b/>
          <w:spacing w:val="0"/>
          <w:szCs w:val="24"/>
          <w:rtl/>
        </w:rPr>
        <w:t>פחות משנה</w:t>
      </w:r>
      <w:r w:rsidRPr="003257DA">
        <w:rPr>
          <w:rFonts w:hint="cs"/>
          <w:rtl/>
        </w:rPr>
        <w:t xml:space="preserve"> </w:t>
      </w:r>
      <w:r>
        <w:rPr>
          <w:rFonts w:hint="cs"/>
          <w:rtl/>
        </w:rPr>
        <w:t xml:space="preserve">מאז הורשע דרעי בביצוע עבירות המס ונגזר עליו עונש </w:t>
      </w:r>
      <w:r w:rsidRPr="00C01457">
        <w:rPr>
          <w:rFonts w:ascii="Century" w:hAnsi="Century" w:cs="Miriam" w:hint="cs"/>
          <w:b/>
          <w:spacing w:val="0"/>
          <w:szCs w:val="24"/>
          <w:rtl/>
        </w:rPr>
        <w:t>מאסר על תנאי</w:t>
      </w:r>
      <w:r w:rsidRPr="00C01457">
        <w:rPr>
          <w:rFonts w:hint="cs"/>
          <w:rtl/>
        </w:rPr>
        <w:t xml:space="preserve"> </w:t>
      </w:r>
      <w:r>
        <w:rPr>
          <w:rFonts w:hint="cs"/>
          <w:rtl/>
        </w:rPr>
        <w:t xml:space="preserve">וקנס. בית משפט השלום שהרשיע את דרעי וגזר את דינו </w:t>
      </w:r>
      <w:r w:rsidRPr="003257DA">
        <w:rPr>
          <w:rFonts w:ascii="Century" w:hAnsi="Century" w:cs="Miriam" w:hint="cs"/>
          <w:b/>
          <w:spacing w:val="0"/>
          <w:szCs w:val="24"/>
          <w:rtl/>
        </w:rPr>
        <w:t>לא דן בשאלת הקלון</w:t>
      </w:r>
      <w:r>
        <w:rPr>
          <w:rFonts w:hint="cs"/>
          <w:rtl/>
        </w:rPr>
        <w:t xml:space="preserve">, ויושב ראש ועדת הבחירות המרכזית לא נתבקש אף הוא להכריע בסוגיה זו. פשיטא כי באותו מועד לא ניתן היה למנות את דרעי כשר. על מנת להתגבר על מכשול זה, סעיף 6(ג)(1) לחוק היסוד תוקן סמוך לאחר הבחירות תוך שנתפרה לדרעי "חליפת כשירות" התואמת את מידותיו </w:t>
      </w:r>
      <w:r>
        <w:rPr>
          <w:rtl/>
        </w:rPr>
        <w:t>–</w:t>
      </w:r>
      <w:r>
        <w:rPr>
          <w:rFonts w:hint="cs"/>
          <w:rtl/>
        </w:rPr>
        <w:t xml:space="preserve"> קרי: </w:t>
      </w:r>
      <w:r w:rsidR="00254E89">
        <w:rPr>
          <w:rFonts w:hint="cs"/>
          <w:rtl/>
        </w:rPr>
        <w:t xml:space="preserve">תואמת </w:t>
      </w:r>
      <w:r>
        <w:rPr>
          <w:rFonts w:hint="cs"/>
          <w:rtl/>
        </w:rPr>
        <w:t>לעונש שהושת עליו בגזר הדין בעבירות המס. בתמצית, התיבה "</w:t>
      </w:r>
      <w:r w:rsidRPr="002F0D0D">
        <w:rPr>
          <w:rFonts w:ascii="Century" w:hAnsi="Century" w:cs="Miriam" w:hint="cs"/>
          <w:b/>
          <w:spacing w:val="0"/>
          <w:szCs w:val="24"/>
          <w:rtl/>
        </w:rPr>
        <w:t>מאסר</w:t>
      </w:r>
      <w:r>
        <w:rPr>
          <w:rFonts w:hint="cs"/>
          <w:rtl/>
        </w:rPr>
        <w:t xml:space="preserve">" שכללה עד לאותה עת גם </w:t>
      </w:r>
      <w:r w:rsidRPr="002F0D0D">
        <w:rPr>
          <w:rFonts w:ascii="Century" w:hAnsi="Century" w:cs="Miriam" w:hint="cs"/>
          <w:b/>
          <w:spacing w:val="0"/>
          <w:szCs w:val="24"/>
          <w:rtl/>
        </w:rPr>
        <w:t>מאסר על תנאי</w:t>
      </w:r>
      <w:r>
        <w:rPr>
          <w:rFonts w:hint="cs"/>
          <w:rtl/>
        </w:rPr>
        <w:t>, שונתה ל"</w:t>
      </w:r>
      <w:r w:rsidRPr="002F0D0D">
        <w:rPr>
          <w:rFonts w:ascii="Century" w:hAnsi="Century" w:cs="Miriam" w:hint="cs"/>
          <w:b/>
          <w:spacing w:val="0"/>
          <w:szCs w:val="24"/>
          <w:rtl/>
        </w:rPr>
        <w:t>מאסר בפועל</w:t>
      </w:r>
      <w:r>
        <w:rPr>
          <w:rFonts w:hint="cs"/>
          <w:rtl/>
        </w:rPr>
        <w:t xml:space="preserve">"; וההוראה שלפיה תקופת שבע השנים תחל להימנות ממועד סיום תקופת המאסר (כשמדובר במאסר בפועל) </w:t>
      </w:r>
      <w:r w:rsidRPr="005926AD">
        <w:rPr>
          <w:rFonts w:ascii="Century" w:hAnsi="Century" w:cs="Miriam" w:hint="cs"/>
          <w:b/>
          <w:spacing w:val="0"/>
          <w:szCs w:val="24"/>
          <w:rtl/>
        </w:rPr>
        <w:t>או</w:t>
      </w:r>
      <w:r w:rsidRPr="005926AD">
        <w:rPr>
          <w:rFonts w:hint="cs"/>
          <w:rtl/>
        </w:rPr>
        <w:t xml:space="preserve"> </w:t>
      </w:r>
      <w:r>
        <w:rPr>
          <w:rFonts w:hint="cs"/>
          <w:rtl/>
        </w:rPr>
        <w:t xml:space="preserve">מיום מתן פסק הדין (כשמדובר במאסר על תנאי) שונתה בהתאם, תוך השמטת החלופה המתייחסת למניין שבע השנים במקרה של מאסר על תנאי. בהתאם לנוסחו המתוקן של חוק היסוד, עונש המאסר על תנאי שהושת על דרעי בגין עבירות המס לא היווה עוד מניעות סף למינויו כשר. </w:t>
      </w:r>
    </w:p>
    <w:p w14:paraId="10738B50" w14:textId="77777777" w:rsidR="00872AD0" w:rsidRDefault="00872AD0" w:rsidP="00872AD0">
      <w:pPr>
        <w:pStyle w:val="Ruller41"/>
        <w:rPr>
          <w:rtl/>
        </w:rPr>
      </w:pPr>
    </w:p>
    <w:p w14:paraId="3BB445DE" w14:textId="77777777" w:rsidR="00872AD0" w:rsidRDefault="00872AD0" w:rsidP="00872AD0">
      <w:pPr>
        <w:pStyle w:val="Ruller41"/>
        <w:rPr>
          <w:rtl/>
        </w:rPr>
      </w:pPr>
      <w:r>
        <w:rPr>
          <w:rtl/>
        </w:rPr>
        <w:tab/>
      </w:r>
      <w:r>
        <w:rPr>
          <w:rFonts w:hint="cs"/>
          <w:rtl/>
        </w:rPr>
        <w:t xml:space="preserve">ואולם אפילו נצא מנקודת הנחה שמדובר בתיקון חוקתי ולגיטימי של חוק היסוד, ברי כי תיקון זה אינו יכול למרק בדיעבד את עברו הפלילי של דרעי או להלבין את אי-המוסריות שבהתנהלותו לאורך כהונתו הציבורית. על כן גם אם נכון לעת הזו דרעי צולח את תנאי הכשירות שבחוק היסוד </w:t>
      </w:r>
      <w:r>
        <w:rPr>
          <w:rtl/>
        </w:rPr>
        <w:t>–</w:t>
      </w:r>
      <w:r>
        <w:rPr>
          <w:rFonts w:hint="cs"/>
          <w:rtl/>
        </w:rPr>
        <w:t xml:space="preserve"> מינויו לשר חותר תחת ערכים בסיסיים של שלטון החוק, ועל כן טובל עמוק במימי אי-הסבירות. ואפרט.</w:t>
      </w:r>
    </w:p>
    <w:p w14:paraId="0DE92C45" w14:textId="77777777" w:rsidR="00872AD0" w:rsidRDefault="00872AD0" w:rsidP="00872AD0">
      <w:pPr>
        <w:pStyle w:val="Ruller41"/>
        <w:rPr>
          <w:rtl/>
        </w:rPr>
      </w:pPr>
    </w:p>
    <w:p w14:paraId="455405A5" w14:textId="77777777" w:rsidR="00872AD0" w:rsidRDefault="00872AD0" w:rsidP="00872AD0">
      <w:pPr>
        <w:pStyle w:val="Ruller41"/>
        <w:rPr>
          <w:rtl/>
        </w:rPr>
      </w:pPr>
      <w:r>
        <w:rPr>
          <w:rFonts w:hint="cs"/>
          <w:rtl/>
        </w:rPr>
        <w:t>10.</w:t>
      </w:r>
      <w:r>
        <w:rPr>
          <w:rtl/>
        </w:rPr>
        <w:tab/>
      </w:r>
      <w:r>
        <w:rPr>
          <w:rFonts w:hint="cs"/>
          <w:rtl/>
        </w:rPr>
        <w:t xml:space="preserve">עברו הפלילי של דרעי פורט בהרחבה בהליכים קודמים שהתנהלו בעניינו, בעתירה שהוגשה בעקבות מינויו לשר הכלכלה ופיתוח הנגב והגליל בממשלה ה-34 (עניין </w:t>
      </w:r>
      <w:r w:rsidRPr="007C621E">
        <w:rPr>
          <w:rFonts w:ascii="Century" w:hAnsi="Century" w:cs="Miriam" w:hint="cs"/>
          <w:b/>
          <w:spacing w:val="0"/>
          <w:szCs w:val="24"/>
          <w:rtl/>
        </w:rPr>
        <w:t>דרעי 2015</w:t>
      </w:r>
      <w:r>
        <w:rPr>
          <w:rFonts w:hint="cs"/>
          <w:rtl/>
        </w:rPr>
        <w:t xml:space="preserve">, פסקאות 5-3), ובעתירה נוספת שהוגשה עם מינויו לתפקיד שר הפנים באותה ממשלה (עניין </w:t>
      </w:r>
      <w:r w:rsidRPr="007C621E">
        <w:rPr>
          <w:rFonts w:ascii="Century" w:hAnsi="Century" w:cs="Miriam" w:hint="cs"/>
          <w:b/>
          <w:spacing w:val="0"/>
          <w:szCs w:val="24"/>
          <w:rtl/>
        </w:rPr>
        <w:t>דרעי 2016</w:t>
      </w:r>
      <w:r>
        <w:rPr>
          <w:rFonts w:hint="cs"/>
          <w:rtl/>
        </w:rPr>
        <w:t xml:space="preserve">, פסקאות 4-2 לפסק דינו של השופט </w:t>
      </w:r>
      <w:r w:rsidRPr="00445F95">
        <w:rPr>
          <w:rFonts w:ascii="Century" w:hAnsi="Century" w:cs="Miriam" w:hint="cs"/>
          <w:b/>
          <w:spacing w:val="0"/>
          <w:szCs w:val="24"/>
          <w:rtl/>
        </w:rPr>
        <w:t>ס' ג'ובראן</w:t>
      </w:r>
      <w:r>
        <w:rPr>
          <w:rFonts w:hint="cs"/>
          <w:rtl/>
        </w:rPr>
        <w:t>). בשנות ה-80 וה-90 של המאה הקודמת היה דרעי מעורב בשלוש פרשות פליליות חמורות. בפרשת "</w:t>
      </w:r>
      <w:r w:rsidRPr="00F76657">
        <w:rPr>
          <w:rFonts w:ascii="Century" w:hAnsi="Century" w:cs="Miriam" w:hint="cs"/>
          <w:b/>
          <w:spacing w:val="0"/>
          <w:szCs w:val="24"/>
          <w:rtl/>
        </w:rPr>
        <w:t>התיק האישי</w:t>
      </w:r>
      <w:r>
        <w:rPr>
          <w:rFonts w:hint="cs"/>
          <w:rtl/>
        </w:rPr>
        <w:t xml:space="preserve">", דרעי הורשע בעבירות שוחד, מרמה והפרת אמונים וקבלת דבר במרמה בנסיבות מחמירות, עבירות שביצע לאורך ימים ושנים ובעת ששימש בתפקידים ציבוריים בכירים במשרד הפנים ואף כשר הפנים. לאחר דיון בערעור, ב"תיק האישי" הושת על דרעי ביום 12.7.2000 עונש של שלוש שנות מאסר בפועל (ע"פ 3575/99 </w:t>
      </w:r>
      <w:r w:rsidRPr="00F76657">
        <w:rPr>
          <w:rFonts w:ascii="Century" w:hAnsi="Century" w:cs="Miriam" w:hint="cs"/>
          <w:b/>
          <w:spacing w:val="0"/>
          <w:szCs w:val="24"/>
          <w:rtl/>
        </w:rPr>
        <w:t>דרעי נ' מדינת ישראל</w:t>
      </w:r>
      <w:r>
        <w:rPr>
          <w:rFonts w:hint="cs"/>
          <w:rtl/>
        </w:rPr>
        <w:t xml:space="preserve">, פ"ד נד(2) 721 (2000), להלן: </w:t>
      </w:r>
      <w:r w:rsidRPr="00A1301B">
        <w:rPr>
          <w:rFonts w:ascii="Century" w:hAnsi="Century" w:cs="Miriam" w:hint="cs"/>
          <w:b/>
          <w:spacing w:val="0"/>
          <w:szCs w:val="24"/>
          <w:rtl/>
        </w:rPr>
        <w:t xml:space="preserve">פסק הדין </w:t>
      </w:r>
      <w:r>
        <w:rPr>
          <w:rFonts w:ascii="Century" w:hAnsi="Century" w:cs="Miriam" w:hint="cs"/>
          <w:b/>
          <w:spacing w:val="0"/>
          <w:szCs w:val="24"/>
          <w:rtl/>
        </w:rPr>
        <w:t>בתיק האישי</w:t>
      </w:r>
      <w:r>
        <w:rPr>
          <w:rFonts w:hint="cs"/>
          <w:rtl/>
        </w:rPr>
        <w:t xml:space="preserve">), </w:t>
      </w:r>
      <w:r>
        <w:rPr>
          <w:rFonts w:hint="cs"/>
          <w:b/>
          <w:rtl/>
        </w:rPr>
        <w:t>תוך שבית המשפט עמד על "אווירת השוחד" שיצר דרעי בסביבותיו ועל החומרה היתרה שדבקה במעשיו:</w:t>
      </w:r>
      <w:r>
        <w:rPr>
          <w:rFonts w:hint="cs"/>
          <w:rtl/>
        </w:rPr>
        <w:t xml:space="preserve"> </w:t>
      </w:r>
    </w:p>
    <w:p w14:paraId="436955B8" w14:textId="77777777" w:rsidR="00872AD0" w:rsidRDefault="00872AD0" w:rsidP="00872AD0">
      <w:pPr>
        <w:pStyle w:val="Ruller41"/>
        <w:spacing w:line="240" w:lineRule="auto"/>
        <w:rPr>
          <w:b/>
          <w:rtl/>
        </w:rPr>
      </w:pPr>
    </w:p>
    <w:p w14:paraId="3B0A5853" w14:textId="77777777" w:rsidR="00872AD0" w:rsidRDefault="00872AD0" w:rsidP="00872AD0">
      <w:pPr>
        <w:pStyle w:val="Ruller5"/>
        <w:rPr>
          <w:rtl/>
        </w:rPr>
      </w:pPr>
      <w:r>
        <w:rPr>
          <w:rFonts w:hint="cs"/>
          <w:rtl/>
        </w:rPr>
        <w:t>"...</w:t>
      </w:r>
      <w:r>
        <w:rPr>
          <w:rtl/>
        </w:rPr>
        <w:t xml:space="preserve">ליחסי השוחד שהתקיימו בין דרעי לבין המערערים האחרים הייתה מתכונת מיוחדת: לא היה זה שוחד </w:t>
      </w:r>
      <w:r>
        <w:rPr>
          <w:rFonts w:hint="cs"/>
          <w:rtl/>
        </w:rPr>
        <w:t>'</w:t>
      </w:r>
      <w:r>
        <w:rPr>
          <w:rtl/>
        </w:rPr>
        <w:t>בין זרים</w:t>
      </w:r>
      <w:r>
        <w:rPr>
          <w:rFonts w:hint="cs"/>
          <w:rtl/>
        </w:rPr>
        <w:t>'</w:t>
      </w:r>
      <w:r>
        <w:rPr>
          <w:rtl/>
        </w:rPr>
        <w:t xml:space="preserve">, שבעל עניין מעניקו לעובד הציבור מכיסו תמורת </w:t>
      </w:r>
      <w:r w:rsidRPr="0097337F">
        <w:rPr>
          <w:rFonts w:ascii="Century" w:hAnsi="Century"/>
          <w:rtl/>
        </w:rPr>
        <w:t xml:space="preserve">פעולה מסוימת, אלא שוחד בין חברי קבוצה מלוכדת, הניתן מכספי הציבור לאחד מהם שעלה לגדולה, על-מנת שישתמש בכוחו ובמעמדו למתן סיוע לקבוצה ולחבריה. </w:t>
      </w:r>
      <w:r w:rsidRPr="00C332CA">
        <w:rPr>
          <w:rFonts w:ascii="Century" w:hAnsi="Century" w:cs="Miriam"/>
          <w:b/>
          <w:spacing w:val="0"/>
          <w:szCs w:val="24"/>
          <w:rtl/>
        </w:rPr>
        <w:t>דרעי היה מנהיגה של הקבוצה, בעוד שהמערערים האחרים היו משמשיו הסרים לפקודתו ובמידה רבה אף שבויים בידיו</w:t>
      </w:r>
      <w:r w:rsidRPr="0097337F">
        <w:rPr>
          <w:rFonts w:ascii="Century" w:hAnsi="Century"/>
          <w:rtl/>
        </w:rPr>
        <w:t>. כמוסבר לעיל (</w:t>
      </w:r>
      <w:proofErr w:type="spellStart"/>
      <w:r w:rsidRPr="0097337F">
        <w:rPr>
          <w:rFonts w:ascii="Century" w:hAnsi="Century"/>
          <w:rtl/>
        </w:rPr>
        <w:t>בפיסקה</w:t>
      </w:r>
      <w:proofErr w:type="spellEnd"/>
      <w:r w:rsidRPr="0097337F">
        <w:rPr>
          <w:rFonts w:ascii="Century" w:hAnsi="Century"/>
          <w:rtl/>
        </w:rPr>
        <w:t xml:space="preserve"> 38), בלב-בנים </w:t>
      </w:r>
      <w:r w:rsidRPr="0097337F">
        <w:rPr>
          <w:rFonts w:ascii="Century" w:hAnsi="Century" w:hint="cs"/>
          <w:rtl/>
        </w:rPr>
        <w:t xml:space="preserve">(עמותה </w:t>
      </w:r>
      <w:r>
        <w:rPr>
          <w:rFonts w:ascii="Century" w:hAnsi="Century" w:hint="cs"/>
          <w:rtl/>
        </w:rPr>
        <w:t>שהיה לדרעי עניין אישי בה</w:t>
      </w:r>
      <w:r w:rsidRPr="0097337F">
        <w:rPr>
          <w:rFonts w:ascii="Century" w:hAnsi="Century" w:hint="cs"/>
          <w:rtl/>
        </w:rPr>
        <w:t>-</w:t>
      </w:r>
      <w:proofErr w:type="spellStart"/>
      <w:r w:rsidRPr="0097337F">
        <w:rPr>
          <w:rFonts w:ascii="Century" w:hAnsi="Century" w:hint="cs"/>
          <w:rtl/>
        </w:rPr>
        <w:t>ע'ב</w:t>
      </w:r>
      <w:proofErr w:type="spellEnd"/>
      <w:r w:rsidRPr="0097337F">
        <w:rPr>
          <w:rFonts w:ascii="Century" w:hAnsi="Century" w:hint="cs"/>
          <w:rtl/>
        </w:rPr>
        <w:t xml:space="preserve">') </w:t>
      </w:r>
      <w:r w:rsidRPr="0097337F">
        <w:rPr>
          <w:rFonts w:ascii="Century" w:hAnsi="Century"/>
          <w:rtl/>
        </w:rPr>
        <w:t xml:space="preserve">שרתה </w:t>
      </w:r>
      <w:r w:rsidRPr="0097337F">
        <w:rPr>
          <w:rFonts w:ascii="Century" w:hAnsi="Century" w:hint="cs"/>
          <w:rtl/>
        </w:rPr>
        <w:t>'</w:t>
      </w:r>
      <w:r w:rsidRPr="0097337F">
        <w:rPr>
          <w:rFonts w:ascii="Century" w:hAnsi="Century"/>
          <w:rtl/>
        </w:rPr>
        <w:t>אווירה של שוחד</w:t>
      </w:r>
      <w:r w:rsidRPr="0097337F">
        <w:rPr>
          <w:rFonts w:ascii="Century" w:hAnsi="Century" w:hint="cs"/>
          <w:rtl/>
        </w:rPr>
        <w:t>'</w:t>
      </w:r>
      <w:r w:rsidRPr="0097337F">
        <w:rPr>
          <w:rFonts w:ascii="Century" w:hAnsi="Century"/>
          <w:rtl/>
        </w:rPr>
        <w:t>. אווירה זו, אשר נבעה מן השליטה שהייתה לדרעי בלב-בנים, ושדרעי עצמו תרם לא במעט ליצירתה, היא שהביאה מחד לשעבוד המערערים האחרים לרצונו של דרעי, ומאידך להשתרשות התודעה, בקרב נושאי התפקידים בלב-בנים, שיש מקום לתגמל את דרעי כמי שביכולתו לגייס כספים ללב-בנים. אכן, בהיותו מנהיגם של המערערים האחרים, שתחת להתרחק בעצמו ממעשי השחיתות ולהרחיק מהם גם את הכפופים לו, תרם ליצירת האווירה שאפשרה אותם וניצל אותה להפקת טובות הנאה פסולות לעצמו, ראוי דרעי להיענש על-פי אמת-מידה מחמירה בהרבה מזו שעל-פיה נקצבו עונשיהם של המערערים האחרים</w:t>
      </w:r>
      <w:r w:rsidRPr="0097337F">
        <w:rPr>
          <w:rFonts w:ascii="Century" w:hAnsi="Century" w:hint="cs"/>
          <w:rtl/>
        </w:rPr>
        <w:t>"</w:t>
      </w:r>
      <w:r>
        <w:rPr>
          <w:rFonts w:hint="cs"/>
          <w:rtl/>
        </w:rPr>
        <w:t xml:space="preserve"> (ההדגשה שלי-</w:t>
      </w:r>
      <w:proofErr w:type="spellStart"/>
      <w:r>
        <w:rPr>
          <w:rFonts w:hint="cs"/>
          <w:rtl/>
        </w:rPr>
        <w:t>ע'ב</w:t>
      </w:r>
      <w:proofErr w:type="spellEnd"/>
      <w:r>
        <w:rPr>
          <w:rFonts w:hint="cs"/>
          <w:rtl/>
        </w:rPr>
        <w:t>')</w:t>
      </w:r>
      <w:r w:rsidRPr="0097337F">
        <w:rPr>
          <w:rtl/>
        </w:rPr>
        <w:t xml:space="preserve"> </w:t>
      </w:r>
      <w:r>
        <w:rPr>
          <w:rFonts w:hint="cs"/>
          <w:rtl/>
        </w:rPr>
        <w:t xml:space="preserve">(שם, עמ' 836).  </w:t>
      </w:r>
    </w:p>
    <w:p w14:paraId="16EB31E2" w14:textId="77777777" w:rsidR="00872AD0" w:rsidRDefault="00872AD0" w:rsidP="00872AD0">
      <w:pPr>
        <w:pStyle w:val="Ruller41"/>
        <w:rPr>
          <w:rtl/>
        </w:rPr>
      </w:pPr>
      <w:r>
        <w:rPr>
          <w:rtl/>
        </w:rPr>
        <w:tab/>
      </w:r>
      <w:r>
        <w:rPr>
          <w:rFonts w:hint="cs"/>
          <w:rtl/>
        </w:rPr>
        <w:t xml:space="preserve"> </w:t>
      </w:r>
    </w:p>
    <w:p w14:paraId="57E57AC0" w14:textId="77777777" w:rsidR="00872AD0" w:rsidRDefault="00872AD0" w:rsidP="00872AD0">
      <w:pPr>
        <w:pStyle w:val="Ruller41"/>
        <w:rPr>
          <w:rtl/>
        </w:rPr>
      </w:pPr>
      <w:r>
        <w:rPr>
          <w:rFonts w:hint="cs"/>
          <w:rtl/>
        </w:rPr>
        <w:t>11.</w:t>
      </w:r>
      <w:r>
        <w:rPr>
          <w:rtl/>
        </w:rPr>
        <w:tab/>
      </w:r>
      <w:r>
        <w:rPr>
          <w:rFonts w:hint="cs"/>
          <w:rtl/>
        </w:rPr>
        <w:t>בפרשת "</w:t>
      </w:r>
      <w:r w:rsidRPr="00D31E93">
        <w:rPr>
          <w:rFonts w:ascii="Century" w:hAnsi="Century" w:cs="Miriam" w:hint="cs"/>
          <w:b/>
          <w:spacing w:val="0"/>
          <w:szCs w:val="24"/>
          <w:rtl/>
        </w:rPr>
        <w:t>התיק הציבורי</w:t>
      </w:r>
      <w:r>
        <w:rPr>
          <w:rFonts w:hint="cs"/>
          <w:rtl/>
        </w:rPr>
        <w:t xml:space="preserve">", ביום 24.9.2003 הורשע דרעי בבית משפט השלום בביצוע עבירה של הפרת אמונים </w:t>
      </w:r>
      <w:r>
        <w:rPr>
          <w:rtl/>
        </w:rPr>
        <w:t>–</w:t>
      </w:r>
      <w:r>
        <w:rPr>
          <w:rFonts w:hint="cs"/>
          <w:rtl/>
        </w:rPr>
        <w:t xml:space="preserve"> בגין כך </w:t>
      </w:r>
      <w:proofErr w:type="spellStart"/>
      <w:r>
        <w:rPr>
          <w:rFonts w:hint="cs"/>
          <w:rtl/>
        </w:rPr>
        <w:t>שבהיותו</w:t>
      </w:r>
      <w:proofErr w:type="spellEnd"/>
      <w:r>
        <w:rPr>
          <w:rFonts w:hint="cs"/>
          <w:rtl/>
        </w:rPr>
        <w:t xml:space="preserve"> שר הפנים בשנת 1989, פעל להסדרת תמיכה בסכום של 400,000 ש"ח, באמצעות עירית ירושלים, לטובת עמותה נוספת שהיה לו בה עניין אישי (ת"פ (שלום י-ם) 1872/99 </w:t>
      </w:r>
      <w:r w:rsidRPr="008E59E4">
        <w:rPr>
          <w:rFonts w:ascii="Century" w:hAnsi="Century" w:cs="Miriam" w:hint="cs"/>
          <w:b/>
          <w:spacing w:val="0"/>
          <w:szCs w:val="24"/>
          <w:rtl/>
        </w:rPr>
        <w:t>מדינת ישראל נ' דרעי</w:t>
      </w:r>
      <w:r>
        <w:rPr>
          <w:rFonts w:hint="cs"/>
          <w:rtl/>
        </w:rPr>
        <w:t>). בתיק זה הושת על דרעי עונש של שלושה חודשי מאסר על תנאי וקנס בגובה 10,000 ש"ח, תוך שבית משפט השלום הדגיש כי דרעי אינו מכיר באי המוסריות שדבקה בהתנהלותו:</w:t>
      </w:r>
    </w:p>
    <w:p w14:paraId="19A2F4D0" w14:textId="77777777" w:rsidR="00872AD0" w:rsidRDefault="00872AD0" w:rsidP="00872AD0">
      <w:pPr>
        <w:pStyle w:val="Ruller41"/>
        <w:spacing w:line="240" w:lineRule="auto"/>
        <w:rPr>
          <w:rtl/>
        </w:rPr>
      </w:pPr>
    </w:p>
    <w:p w14:paraId="1B9699F8" w14:textId="77777777" w:rsidR="00872AD0" w:rsidRDefault="00872AD0" w:rsidP="00872AD0">
      <w:pPr>
        <w:pStyle w:val="Ruller5"/>
        <w:rPr>
          <w:rtl/>
        </w:rPr>
      </w:pPr>
      <w:r>
        <w:rPr>
          <w:rFonts w:hint="cs"/>
          <w:rtl/>
        </w:rPr>
        <w:t>"</w:t>
      </w:r>
      <w:r>
        <w:rPr>
          <w:rFonts w:hint="eastAsia"/>
          <w:rtl/>
        </w:rPr>
        <w:t>דווקא</w:t>
      </w:r>
      <w:r>
        <w:rPr>
          <w:rtl/>
        </w:rPr>
        <w:t xml:space="preserve"> </w:t>
      </w:r>
      <w:r>
        <w:rPr>
          <w:rFonts w:hint="eastAsia"/>
          <w:rtl/>
        </w:rPr>
        <w:t>הנאשם</w:t>
      </w:r>
      <w:r>
        <w:rPr>
          <w:rtl/>
        </w:rPr>
        <w:t xml:space="preserve"> – </w:t>
      </w:r>
      <w:r>
        <w:rPr>
          <w:rFonts w:hint="eastAsia"/>
          <w:rtl/>
        </w:rPr>
        <w:t>במעמדו</w:t>
      </w:r>
      <w:r>
        <w:rPr>
          <w:rtl/>
        </w:rPr>
        <w:t xml:space="preserve"> </w:t>
      </w:r>
      <w:r>
        <w:rPr>
          <w:rFonts w:hint="eastAsia"/>
          <w:rtl/>
        </w:rPr>
        <w:t>ועם</w:t>
      </w:r>
      <w:r>
        <w:rPr>
          <w:rtl/>
        </w:rPr>
        <w:t xml:space="preserve"> </w:t>
      </w:r>
      <w:r>
        <w:rPr>
          <w:rFonts w:hint="eastAsia"/>
          <w:rtl/>
        </w:rPr>
        <w:t>סגולותיו</w:t>
      </w:r>
      <w:r>
        <w:rPr>
          <w:rtl/>
        </w:rPr>
        <w:t xml:space="preserve"> </w:t>
      </w:r>
      <w:r>
        <w:rPr>
          <w:rFonts w:hint="eastAsia"/>
          <w:rtl/>
        </w:rPr>
        <w:t>האישיות</w:t>
      </w:r>
      <w:r>
        <w:rPr>
          <w:rtl/>
        </w:rPr>
        <w:t xml:space="preserve"> </w:t>
      </w:r>
      <w:r>
        <w:rPr>
          <w:rFonts w:hint="eastAsia"/>
          <w:rtl/>
        </w:rPr>
        <w:t>המיוחדות</w:t>
      </w:r>
      <w:r>
        <w:rPr>
          <w:rtl/>
        </w:rPr>
        <w:t xml:space="preserve"> – </w:t>
      </w:r>
      <w:r>
        <w:rPr>
          <w:rFonts w:hint="eastAsia"/>
          <w:rtl/>
        </w:rPr>
        <w:t>לא</w:t>
      </w:r>
      <w:r>
        <w:rPr>
          <w:rtl/>
        </w:rPr>
        <w:t xml:space="preserve"> </w:t>
      </w:r>
      <w:r>
        <w:rPr>
          <w:rFonts w:hint="eastAsia"/>
          <w:rtl/>
        </w:rPr>
        <w:t>היה</w:t>
      </w:r>
      <w:r>
        <w:rPr>
          <w:rtl/>
        </w:rPr>
        <w:t xml:space="preserve"> </w:t>
      </w:r>
      <w:r>
        <w:rPr>
          <w:rFonts w:hint="eastAsia"/>
          <w:rtl/>
        </w:rPr>
        <w:t>צריך</w:t>
      </w:r>
      <w:r>
        <w:rPr>
          <w:rtl/>
        </w:rPr>
        <w:t xml:space="preserve"> </w:t>
      </w:r>
      <w:r>
        <w:rPr>
          <w:rFonts w:hint="eastAsia"/>
          <w:rtl/>
        </w:rPr>
        <w:t>לה</w:t>
      </w:r>
      <w:r>
        <w:rPr>
          <w:rFonts w:hint="cs"/>
          <w:rtl/>
        </w:rPr>
        <w:t>י</w:t>
      </w:r>
      <w:r>
        <w:rPr>
          <w:rFonts w:hint="eastAsia"/>
          <w:rtl/>
        </w:rPr>
        <w:t>כשל</w:t>
      </w:r>
      <w:r>
        <w:rPr>
          <w:rtl/>
        </w:rPr>
        <w:t xml:space="preserve"> </w:t>
      </w:r>
      <w:r>
        <w:rPr>
          <w:rFonts w:hint="eastAsia"/>
          <w:rtl/>
        </w:rPr>
        <w:t>במעשה</w:t>
      </w:r>
      <w:r>
        <w:rPr>
          <w:rtl/>
        </w:rPr>
        <w:t xml:space="preserve"> </w:t>
      </w:r>
      <w:r>
        <w:rPr>
          <w:rFonts w:hint="eastAsia"/>
          <w:rtl/>
        </w:rPr>
        <w:t>העבירה</w:t>
      </w:r>
      <w:r>
        <w:rPr>
          <w:rtl/>
        </w:rPr>
        <w:t xml:space="preserve">. </w:t>
      </w:r>
      <w:r>
        <w:rPr>
          <w:rFonts w:hint="eastAsia"/>
          <w:rtl/>
        </w:rPr>
        <w:t>יתר</w:t>
      </w:r>
      <w:r>
        <w:rPr>
          <w:rtl/>
        </w:rPr>
        <w:t xml:space="preserve"> </w:t>
      </w:r>
      <w:r>
        <w:rPr>
          <w:rFonts w:hint="eastAsia"/>
          <w:rtl/>
        </w:rPr>
        <w:t>על</w:t>
      </w:r>
      <w:r>
        <w:rPr>
          <w:rtl/>
        </w:rPr>
        <w:t xml:space="preserve"> </w:t>
      </w:r>
      <w:r>
        <w:rPr>
          <w:rFonts w:hint="eastAsia"/>
          <w:rtl/>
        </w:rPr>
        <w:t>כן</w:t>
      </w:r>
      <w:r>
        <w:rPr>
          <w:rtl/>
        </w:rPr>
        <w:t xml:space="preserve">, </w:t>
      </w:r>
      <w:r>
        <w:rPr>
          <w:rFonts w:hint="eastAsia"/>
          <w:rtl/>
        </w:rPr>
        <w:t>היה</w:t>
      </w:r>
      <w:r>
        <w:rPr>
          <w:rtl/>
        </w:rPr>
        <w:t xml:space="preserve"> </w:t>
      </w:r>
      <w:r>
        <w:rPr>
          <w:rFonts w:hint="eastAsia"/>
          <w:rtl/>
        </w:rPr>
        <w:t>עליו</w:t>
      </w:r>
      <w:r>
        <w:rPr>
          <w:rtl/>
        </w:rPr>
        <w:t xml:space="preserve"> </w:t>
      </w:r>
      <w:r>
        <w:rPr>
          <w:rFonts w:hint="eastAsia"/>
          <w:rtl/>
        </w:rPr>
        <w:t>להפנים</w:t>
      </w:r>
      <w:r>
        <w:rPr>
          <w:rtl/>
        </w:rPr>
        <w:t xml:space="preserve"> </w:t>
      </w:r>
      <w:r>
        <w:rPr>
          <w:rFonts w:hint="eastAsia"/>
          <w:rtl/>
        </w:rPr>
        <w:t>את</w:t>
      </w:r>
      <w:r>
        <w:rPr>
          <w:rtl/>
        </w:rPr>
        <w:t xml:space="preserve"> </w:t>
      </w:r>
      <w:r>
        <w:rPr>
          <w:rFonts w:hint="eastAsia"/>
          <w:rtl/>
        </w:rPr>
        <w:t>משמעותה</w:t>
      </w:r>
      <w:r>
        <w:rPr>
          <w:rtl/>
        </w:rPr>
        <w:t xml:space="preserve">, </w:t>
      </w:r>
      <w:r>
        <w:rPr>
          <w:rFonts w:hint="eastAsia"/>
          <w:rtl/>
        </w:rPr>
        <w:t>לפחות</w:t>
      </w:r>
      <w:r>
        <w:rPr>
          <w:rtl/>
        </w:rPr>
        <w:t xml:space="preserve"> </w:t>
      </w:r>
      <w:r>
        <w:rPr>
          <w:rFonts w:hint="eastAsia"/>
          <w:rtl/>
        </w:rPr>
        <w:t>מן</w:t>
      </w:r>
      <w:r>
        <w:rPr>
          <w:rtl/>
        </w:rPr>
        <w:t xml:space="preserve"> </w:t>
      </w:r>
      <w:r>
        <w:rPr>
          <w:rFonts w:hint="eastAsia"/>
          <w:rtl/>
        </w:rPr>
        <w:t>השלב</w:t>
      </w:r>
      <w:r>
        <w:rPr>
          <w:rtl/>
        </w:rPr>
        <w:t xml:space="preserve"> </w:t>
      </w:r>
      <w:r>
        <w:rPr>
          <w:rFonts w:hint="eastAsia"/>
          <w:rtl/>
        </w:rPr>
        <w:t>שבו</w:t>
      </w:r>
      <w:r>
        <w:rPr>
          <w:rtl/>
        </w:rPr>
        <w:t xml:space="preserve"> </w:t>
      </w:r>
      <w:r>
        <w:rPr>
          <w:rFonts w:hint="eastAsia"/>
          <w:rtl/>
        </w:rPr>
        <w:t>ניתן</w:t>
      </w:r>
      <w:r>
        <w:rPr>
          <w:rtl/>
        </w:rPr>
        <w:t xml:space="preserve"> </w:t>
      </w:r>
      <w:r>
        <w:rPr>
          <w:rFonts w:hint="eastAsia"/>
          <w:rtl/>
        </w:rPr>
        <w:t>פסק</w:t>
      </w:r>
      <w:r>
        <w:rPr>
          <w:rtl/>
        </w:rPr>
        <w:t xml:space="preserve"> </w:t>
      </w:r>
      <w:r>
        <w:rPr>
          <w:rFonts w:hint="eastAsia"/>
          <w:rtl/>
        </w:rPr>
        <w:t>הדין</w:t>
      </w:r>
      <w:r>
        <w:rPr>
          <w:rtl/>
        </w:rPr>
        <w:t xml:space="preserve"> </w:t>
      </w:r>
      <w:r>
        <w:rPr>
          <w:rFonts w:hint="eastAsia"/>
          <w:rtl/>
        </w:rPr>
        <w:t>בערעורו</w:t>
      </w:r>
      <w:r>
        <w:rPr>
          <w:rtl/>
        </w:rPr>
        <w:t xml:space="preserve">, </w:t>
      </w:r>
      <w:r>
        <w:rPr>
          <w:rFonts w:hint="eastAsia"/>
          <w:rtl/>
        </w:rPr>
        <w:t>וממנו</w:t>
      </w:r>
      <w:r>
        <w:rPr>
          <w:rtl/>
        </w:rPr>
        <w:t xml:space="preserve"> </w:t>
      </w:r>
      <w:r>
        <w:rPr>
          <w:rFonts w:hint="eastAsia"/>
          <w:rtl/>
        </w:rPr>
        <w:t>יכול</w:t>
      </w:r>
      <w:r>
        <w:rPr>
          <w:rtl/>
        </w:rPr>
        <w:t xml:space="preserve"> </w:t>
      </w:r>
      <w:r>
        <w:rPr>
          <w:rFonts w:hint="eastAsia"/>
          <w:rtl/>
        </w:rPr>
        <w:t>היה</w:t>
      </w:r>
      <w:r>
        <w:rPr>
          <w:rtl/>
        </w:rPr>
        <w:t xml:space="preserve"> </w:t>
      </w:r>
      <w:r>
        <w:rPr>
          <w:rFonts w:hint="eastAsia"/>
          <w:rtl/>
        </w:rPr>
        <w:t>ללמוד</w:t>
      </w:r>
      <w:r>
        <w:rPr>
          <w:rtl/>
        </w:rPr>
        <w:t xml:space="preserve">, </w:t>
      </w:r>
      <w:r>
        <w:rPr>
          <w:rFonts w:hint="eastAsia"/>
          <w:rtl/>
        </w:rPr>
        <w:t>שגם</w:t>
      </w:r>
      <w:r>
        <w:rPr>
          <w:rtl/>
        </w:rPr>
        <w:t xml:space="preserve"> </w:t>
      </w:r>
      <w:r>
        <w:rPr>
          <w:rFonts w:hint="eastAsia"/>
          <w:rtl/>
        </w:rPr>
        <w:t>במקרה</w:t>
      </w:r>
      <w:r>
        <w:rPr>
          <w:rtl/>
        </w:rPr>
        <w:t xml:space="preserve"> </w:t>
      </w:r>
      <w:r>
        <w:rPr>
          <w:rFonts w:hint="eastAsia"/>
          <w:rtl/>
        </w:rPr>
        <w:t>הנידון</w:t>
      </w:r>
      <w:r>
        <w:rPr>
          <w:rtl/>
        </w:rPr>
        <w:t xml:space="preserve"> </w:t>
      </w:r>
      <w:r>
        <w:rPr>
          <w:rFonts w:hint="eastAsia"/>
          <w:rtl/>
        </w:rPr>
        <w:t>ביצע</w:t>
      </w:r>
      <w:r>
        <w:rPr>
          <w:rtl/>
        </w:rPr>
        <w:t xml:space="preserve"> </w:t>
      </w:r>
      <w:r>
        <w:rPr>
          <w:rFonts w:hint="eastAsia"/>
          <w:rtl/>
        </w:rPr>
        <w:t>עבירה</w:t>
      </w:r>
      <w:r>
        <w:rPr>
          <w:rtl/>
        </w:rPr>
        <w:t xml:space="preserve"> </w:t>
      </w:r>
      <w:r>
        <w:rPr>
          <w:rFonts w:hint="eastAsia"/>
          <w:rtl/>
        </w:rPr>
        <w:t>שלא</w:t>
      </w:r>
      <w:r>
        <w:rPr>
          <w:rtl/>
        </w:rPr>
        <w:t xml:space="preserve"> </w:t>
      </w:r>
      <w:r>
        <w:rPr>
          <w:rFonts w:hint="eastAsia"/>
          <w:rtl/>
        </w:rPr>
        <w:t>היה</w:t>
      </w:r>
      <w:r>
        <w:rPr>
          <w:rtl/>
        </w:rPr>
        <w:t xml:space="preserve"> </w:t>
      </w:r>
      <w:r>
        <w:rPr>
          <w:rFonts w:hint="eastAsia"/>
          <w:rtl/>
        </w:rPr>
        <w:t>לו</w:t>
      </w:r>
      <w:r>
        <w:rPr>
          <w:rtl/>
        </w:rPr>
        <w:t xml:space="preserve"> </w:t>
      </w:r>
      <w:r>
        <w:rPr>
          <w:rFonts w:hint="eastAsia"/>
          <w:rtl/>
        </w:rPr>
        <w:t>לבצעה</w:t>
      </w:r>
      <w:r>
        <w:rPr>
          <w:rtl/>
        </w:rPr>
        <w:t>.</w:t>
      </w:r>
      <w:r>
        <w:rPr>
          <w:rFonts w:hint="cs"/>
          <w:rtl/>
        </w:rPr>
        <w:t xml:space="preserve"> </w:t>
      </w:r>
      <w:r w:rsidRPr="00C332CA">
        <w:rPr>
          <w:rFonts w:ascii="Century" w:hAnsi="Century" w:cs="Miriam" w:hint="eastAsia"/>
          <w:b/>
          <w:spacing w:val="0"/>
          <w:szCs w:val="24"/>
          <w:rtl/>
        </w:rPr>
        <w:t>כפירתו</w:t>
      </w:r>
      <w:r w:rsidRPr="00C332CA">
        <w:rPr>
          <w:rFonts w:ascii="Century" w:hAnsi="Century" w:cs="Miriam"/>
          <w:b/>
          <w:spacing w:val="0"/>
          <w:szCs w:val="24"/>
          <w:rtl/>
        </w:rPr>
        <w:t xml:space="preserve"> </w:t>
      </w:r>
      <w:r w:rsidRPr="00C332CA">
        <w:rPr>
          <w:rFonts w:ascii="Century" w:hAnsi="Century" w:cs="Miriam" w:hint="eastAsia"/>
          <w:b/>
          <w:spacing w:val="0"/>
          <w:szCs w:val="24"/>
          <w:rtl/>
        </w:rPr>
        <w:t>של</w:t>
      </w:r>
      <w:r w:rsidRPr="00C332CA">
        <w:rPr>
          <w:rFonts w:ascii="Century" w:hAnsi="Century" w:cs="Miriam"/>
          <w:b/>
          <w:spacing w:val="0"/>
          <w:szCs w:val="24"/>
          <w:rtl/>
        </w:rPr>
        <w:t xml:space="preserve"> </w:t>
      </w:r>
      <w:r w:rsidRPr="00C332CA">
        <w:rPr>
          <w:rFonts w:ascii="Century" w:hAnsi="Century" w:cs="Miriam" w:hint="eastAsia"/>
          <w:b/>
          <w:spacing w:val="0"/>
          <w:szCs w:val="24"/>
          <w:rtl/>
        </w:rPr>
        <w:t>הנאשם</w:t>
      </w:r>
      <w:r w:rsidRPr="00C332CA">
        <w:rPr>
          <w:rFonts w:ascii="Century" w:hAnsi="Century" w:cs="Miriam"/>
          <w:b/>
          <w:spacing w:val="0"/>
          <w:szCs w:val="24"/>
          <w:rtl/>
        </w:rPr>
        <w:t xml:space="preserve"> </w:t>
      </w:r>
      <w:r w:rsidRPr="00C332CA">
        <w:rPr>
          <w:rFonts w:ascii="Century" w:hAnsi="Century" w:cs="Miriam" w:hint="eastAsia"/>
          <w:b/>
          <w:spacing w:val="0"/>
          <w:szCs w:val="24"/>
          <w:rtl/>
        </w:rPr>
        <w:t>בעבירה</w:t>
      </w:r>
      <w:r w:rsidRPr="00C332CA">
        <w:rPr>
          <w:rFonts w:ascii="Century" w:hAnsi="Century" w:cs="Miriam"/>
          <w:b/>
          <w:spacing w:val="0"/>
          <w:szCs w:val="24"/>
          <w:rtl/>
        </w:rPr>
        <w:t xml:space="preserve"> </w:t>
      </w:r>
      <w:r w:rsidRPr="00C332CA">
        <w:rPr>
          <w:rFonts w:ascii="Century" w:hAnsi="Century" w:cs="Miriam" w:hint="eastAsia"/>
          <w:b/>
          <w:spacing w:val="0"/>
          <w:szCs w:val="24"/>
          <w:rtl/>
        </w:rPr>
        <w:t>זו</w:t>
      </w:r>
      <w:r w:rsidRPr="00C332CA">
        <w:rPr>
          <w:rFonts w:ascii="Century" w:hAnsi="Century" w:cs="Miriam"/>
          <w:b/>
          <w:spacing w:val="0"/>
          <w:szCs w:val="24"/>
          <w:rtl/>
        </w:rPr>
        <w:t xml:space="preserve"> </w:t>
      </w:r>
      <w:r w:rsidRPr="00C332CA">
        <w:rPr>
          <w:rFonts w:ascii="Century" w:hAnsi="Century" w:cs="Miriam" w:hint="eastAsia"/>
          <w:b/>
          <w:spacing w:val="0"/>
          <w:szCs w:val="24"/>
          <w:rtl/>
        </w:rPr>
        <w:t>ודבריו</w:t>
      </w:r>
      <w:r w:rsidRPr="00C332CA">
        <w:rPr>
          <w:rFonts w:ascii="Century" w:hAnsi="Century" w:cs="Miriam"/>
          <w:b/>
          <w:spacing w:val="0"/>
          <w:szCs w:val="24"/>
          <w:rtl/>
        </w:rPr>
        <w:t xml:space="preserve"> </w:t>
      </w:r>
      <w:r w:rsidRPr="00C332CA">
        <w:rPr>
          <w:rFonts w:ascii="Century" w:hAnsi="Century" w:cs="Miriam" w:hint="eastAsia"/>
          <w:b/>
          <w:spacing w:val="0"/>
          <w:szCs w:val="24"/>
          <w:rtl/>
        </w:rPr>
        <w:t>בעדותו</w:t>
      </w:r>
      <w:r w:rsidRPr="00C332CA">
        <w:rPr>
          <w:rFonts w:ascii="Century" w:hAnsi="Century" w:cs="Miriam"/>
          <w:b/>
          <w:spacing w:val="0"/>
          <w:szCs w:val="24"/>
          <w:rtl/>
        </w:rPr>
        <w:t xml:space="preserve"> </w:t>
      </w:r>
      <w:r w:rsidRPr="00C332CA">
        <w:rPr>
          <w:rFonts w:ascii="Century" w:hAnsi="Century" w:cs="Miriam" w:hint="eastAsia"/>
          <w:b/>
          <w:spacing w:val="0"/>
          <w:szCs w:val="24"/>
          <w:rtl/>
        </w:rPr>
        <w:t>לפנינו</w:t>
      </w:r>
      <w:r w:rsidRPr="00C332CA">
        <w:rPr>
          <w:rFonts w:ascii="Century" w:hAnsi="Century" w:cs="Miriam"/>
          <w:b/>
          <w:spacing w:val="0"/>
          <w:szCs w:val="24"/>
          <w:rtl/>
        </w:rPr>
        <w:t xml:space="preserve"> </w:t>
      </w:r>
      <w:r w:rsidRPr="00C332CA">
        <w:rPr>
          <w:rFonts w:ascii="Century" w:hAnsi="Century" w:cs="Miriam" w:hint="eastAsia"/>
          <w:b/>
          <w:spacing w:val="0"/>
          <w:szCs w:val="24"/>
          <w:rtl/>
        </w:rPr>
        <w:t>מלמדים</w:t>
      </w:r>
      <w:r w:rsidRPr="00C332CA">
        <w:rPr>
          <w:rFonts w:ascii="Century" w:hAnsi="Century" w:cs="Miriam"/>
          <w:b/>
          <w:spacing w:val="0"/>
          <w:szCs w:val="24"/>
          <w:rtl/>
        </w:rPr>
        <w:t xml:space="preserve"> </w:t>
      </w:r>
      <w:r w:rsidRPr="00C332CA">
        <w:rPr>
          <w:rFonts w:ascii="Century" w:hAnsi="Century" w:cs="Miriam" w:hint="eastAsia"/>
          <w:b/>
          <w:spacing w:val="0"/>
          <w:szCs w:val="24"/>
          <w:rtl/>
        </w:rPr>
        <w:t>כי</w:t>
      </w:r>
      <w:r w:rsidRPr="00C332CA">
        <w:rPr>
          <w:rFonts w:ascii="Century" w:hAnsi="Century" w:cs="Miriam"/>
          <w:b/>
          <w:spacing w:val="0"/>
          <w:szCs w:val="24"/>
          <w:rtl/>
        </w:rPr>
        <w:t xml:space="preserve"> </w:t>
      </w:r>
      <w:r w:rsidRPr="00C332CA">
        <w:rPr>
          <w:rFonts w:ascii="Century" w:hAnsi="Century" w:cs="Miriam" w:hint="eastAsia"/>
          <w:b/>
          <w:spacing w:val="0"/>
          <w:szCs w:val="24"/>
          <w:rtl/>
        </w:rPr>
        <w:t>הנאשם</w:t>
      </w:r>
      <w:r w:rsidRPr="00C332CA">
        <w:rPr>
          <w:rFonts w:ascii="Century" w:hAnsi="Century" w:cs="Miriam"/>
          <w:b/>
          <w:spacing w:val="0"/>
          <w:szCs w:val="24"/>
          <w:rtl/>
        </w:rPr>
        <w:t xml:space="preserve"> </w:t>
      </w:r>
      <w:r w:rsidRPr="00C332CA">
        <w:rPr>
          <w:rFonts w:ascii="Century" w:hAnsi="Century" w:cs="Miriam" w:hint="eastAsia"/>
          <w:b/>
          <w:spacing w:val="0"/>
          <w:szCs w:val="24"/>
          <w:rtl/>
        </w:rPr>
        <w:t>עדין</w:t>
      </w:r>
      <w:r w:rsidRPr="00C332CA">
        <w:rPr>
          <w:rFonts w:ascii="Century" w:hAnsi="Century" w:cs="Miriam"/>
          <w:b/>
          <w:spacing w:val="0"/>
          <w:szCs w:val="24"/>
          <w:rtl/>
        </w:rPr>
        <w:t xml:space="preserve"> </w:t>
      </w:r>
      <w:r w:rsidRPr="00C332CA">
        <w:rPr>
          <w:rFonts w:ascii="Century" w:hAnsi="Century" w:cs="Miriam" w:hint="eastAsia"/>
          <w:b/>
          <w:spacing w:val="0"/>
          <w:szCs w:val="24"/>
          <w:rtl/>
        </w:rPr>
        <w:t>לא</w:t>
      </w:r>
      <w:r w:rsidRPr="00C332CA">
        <w:rPr>
          <w:rFonts w:ascii="Century" w:hAnsi="Century" w:cs="Miriam"/>
          <w:b/>
          <w:spacing w:val="0"/>
          <w:szCs w:val="24"/>
          <w:rtl/>
        </w:rPr>
        <w:t xml:space="preserve"> </w:t>
      </w:r>
      <w:r w:rsidRPr="00C332CA">
        <w:rPr>
          <w:rFonts w:ascii="Century" w:hAnsi="Century" w:cs="Miriam" w:hint="eastAsia"/>
          <w:b/>
          <w:spacing w:val="0"/>
          <w:szCs w:val="24"/>
          <w:rtl/>
        </w:rPr>
        <w:t>קיבל</w:t>
      </w:r>
      <w:r w:rsidRPr="00C332CA">
        <w:rPr>
          <w:rFonts w:ascii="Century" w:hAnsi="Century" w:cs="Miriam"/>
          <w:b/>
          <w:spacing w:val="0"/>
          <w:szCs w:val="24"/>
          <w:rtl/>
        </w:rPr>
        <w:t xml:space="preserve"> </w:t>
      </w:r>
      <w:r w:rsidRPr="00C332CA">
        <w:rPr>
          <w:rFonts w:ascii="Century" w:hAnsi="Century" w:cs="Miriam" w:hint="eastAsia"/>
          <w:b/>
          <w:spacing w:val="0"/>
          <w:szCs w:val="24"/>
          <w:rtl/>
        </w:rPr>
        <w:t>עליו</w:t>
      </w:r>
      <w:r w:rsidRPr="00C332CA">
        <w:rPr>
          <w:rFonts w:ascii="Century" w:hAnsi="Century" w:cs="Miriam"/>
          <w:b/>
          <w:spacing w:val="0"/>
          <w:szCs w:val="24"/>
          <w:rtl/>
        </w:rPr>
        <w:t xml:space="preserve">, </w:t>
      </w:r>
      <w:r w:rsidRPr="00C332CA">
        <w:rPr>
          <w:rFonts w:ascii="Century" w:hAnsi="Century" w:cs="Miriam" w:hint="eastAsia"/>
          <w:b/>
          <w:spacing w:val="0"/>
          <w:szCs w:val="24"/>
          <w:rtl/>
        </w:rPr>
        <w:t>באופן</w:t>
      </w:r>
      <w:r w:rsidRPr="00C332CA">
        <w:rPr>
          <w:rFonts w:ascii="Century" w:hAnsi="Century" w:cs="Miriam"/>
          <w:b/>
          <w:spacing w:val="0"/>
          <w:szCs w:val="24"/>
          <w:rtl/>
        </w:rPr>
        <w:t xml:space="preserve"> </w:t>
      </w:r>
      <w:r w:rsidRPr="00C332CA">
        <w:rPr>
          <w:rFonts w:ascii="Century" w:hAnsi="Century" w:cs="Miriam" w:hint="eastAsia"/>
          <w:b/>
          <w:spacing w:val="0"/>
          <w:szCs w:val="24"/>
          <w:rtl/>
        </w:rPr>
        <w:t>מלא</w:t>
      </w:r>
      <w:r w:rsidRPr="00C332CA">
        <w:rPr>
          <w:rFonts w:ascii="Century" w:hAnsi="Century" w:cs="Miriam"/>
          <w:b/>
          <w:spacing w:val="0"/>
          <w:szCs w:val="24"/>
          <w:rtl/>
        </w:rPr>
        <w:t xml:space="preserve"> </w:t>
      </w:r>
      <w:r w:rsidRPr="00C332CA">
        <w:rPr>
          <w:rFonts w:ascii="Century" w:hAnsi="Century" w:cs="Miriam" w:hint="eastAsia"/>
          <w:b/>
          <w:spacing w:val="0"/>
          <w:szCs w:val="24"/>
          <w:rtl/>
        </w:rPr>
        <w:t>וללא</w:t>
      </w:r>
      <w:r w:rsidRPr="00C332CA">
        <w:rPr>
          <w:rFonts w:ascii="Century" w:hAnsi="Century" w:cs="Miriam"/>
          <w:b/>
          <w:spacing w:val="0"/>
          <w:szCs w:val="24"/>
          <w:rtl/>
        </w:rPr>
        <w:t xml:space="preserve"> </w:t>
      </w:r>
      <w:r w:rsidRPr="00C332CA">
        <w:rPr>
          <w:rFonts w:ascii="Century" w:hAnsi="Century" w:cs="Miriam" w:hint="eastAsia"/>
          <w:b/>
          <w:spacing w:val="0"/>
          <w:szCs w:val="24"/>
          <w:rtl/>
        </w:rPr>
        <w:t>כל</w:t>
      </w:r>
      <w:r w:rsidRPr="00C332CA">
        <w:rPr>
          <w:rFonts w:ascii="Century" w:hAnsi="Century" w:cs="Miriam"/>
          <w:b/>
          <w:spacing w:val="0"/>
          <w:szCs w:val="24"/>
          <w:rtl/>
        </w:rPr>
        <w:t xml:space="preserve"> </w:t>
      </w:r>
      <w:r w:rsidRPr="00C332CA">
        <w:rPr>
          <w:rFonts w:ascii="Century" w:hAnsi="Century" w:cs="Miriam" w:hint="eastAsia"/>
          <w:b/>
          <w:spacing w:val="0"/>
          <w:szCs w:val="24"/>
          <w:rtl/>
        </w:rPr>
        <w:t>הסת</w:t>
      </w:r>
      <w:r w:rsidRPr="00C332CA">
        <w:rPr>
          <w:rFonts w:ascii="Century" w:hAnsi="Century" w:cs="Miriam" w:hint="cs"/>
          <w:b/>
          <w:spacing w:val="0"/>
          <w:szCs w:val="24"/>
          <w:rtl/>
        </w:rPr>
        <w:t>י</w:t>
      </w:r>
      <w:r w:rsidRPr="00C332CA">
        <w:rPr>
          <w:rFonts w:ascii="Century" w:hAnsi="Century" w:cs="Miriam" w:hint="eastAsia"/>
          <w:b/>
          <w:spacing w:val="0"/>
          <w:szCs w:val="24"/>
          <w:rtl/>
        </w:rPr>
        <w:t>יגויות</w:t>
      </w:r>
      <w:r w:rsidRPr="00C332CA">
        <w:rPr>
          <w:rFonts w:ascii="Century" w:hAnsi="Century" w:cs="Miriam"/>
          <w:b/>
          <w:spacing w:val="0"/>
          <w:szCs w:val="24"/>
          <w:rtl/>
        </w:rPr>
        <w:t xml:space="preserve">, </w:t>
      </w:r>
      <w:r w:rsidRPr="00C332CA">
        <w:rPr>
          <w:rFonts w:ascii="Century" w:hAnsi="Century" w:cs="Miriam" w:hint="eastAsia"/>
          <w:b/>
          <w:spacing w:val="0"/>
          <w:szCs w:val="24"/>
          <w:rtl/>
        </w:rPr>
        <w:t>את</w:t>
      </w:r>
      <w:r w:rsidRPr="00C332CA">
        <w:rPr>
          <w:rFonts w:ascii="Century" w:hAnsi="Century" w:cs="Miriam"/>
          <w:b/>
          <w:spacing w:val="0"/>
          <w:szCs w:val="24"/>
          <w:rtl/>
        </w:rPr>
        <w:t xml:space="preserve"> </w:t>
      </w:r>
      <w:r w:rsidRPr="00C332CA">
        <w:rPr>
          <w:rFonts w:ascii="Century" w:hAnsi="Century" w:cs="Miriam" w:hint="eastAsia"/>
          <w:b/>
          <w:spacing w:val="0"/>
          <w:szCs w:val="24"/>
          <w:rtl/>
        </w:rPr>
        <w:t>הדרישה</w:t>
      </w:r>
      <w:r w:rsidRPr="00C332CA">
        <w:rPr>
          <w:rFonts w:ascii="Century" w:hAnsi="Century" w:cs="Miriam"/>
          <w:b/>
          <w:spacing w:val="0"/>
          <w:szCs w:val="24"/>
          <w:rtl/>
        </w:rPr>
        <w:t xml:space="preserve"> </w:t>
      </w:r>
      <w:r w:rsidRPr="00C332CA">
        <w:rPr>
          <w:rFonts w:ascii="Century" w:hAnsi="Century" w:cs="Miriam" w:hint="eastAsia"/>
          <w:b/>
          <w:spacing w:val="0"/>
          <w:szCs w:val="24"/>
          <w:rtl/>
        </w:rPr>
        <w:t>החד</w:t>
      </w:r>
      <w:r w:rsidRPr="00C332CA">
        <w:rPr>
          <w:rFonts w:ascii="Century" w:hAnsi="Century" w:cs="Miriam"/>
          <w:b/>
          <w:spacing w:val="0"/>
          <w:szCs w:val="24"/>
          <w:rtl/>
        </w:rPr>
        <w:t xml:space="preserve"> </w:t>
      </w:r>
      <w:r w:rsidRPr="00C332CA">
        <w:rPr>
          <w:rFonts w:ascii="Century" w:hAnsi="Century" w:cs="Miriam" w:hint="eastAsia"/>
          <w:b/>
          <w:spacing w:val="0"/>
          <w:szCs w:val="24"/>
          <w:rtl/>
        </w:rPr>
        <w:t>משמעית</w:t>
      </w:r>
      <w:r w:rsidRPr="00C332CA">
        <w:rPr>
          <w:rFonts w:ascii="Century" w:hAnsi="Century" w:cs="Miriam"/>
          <w:b/>
          <w:spacing w:val="0"/>
          <w:szCs w:val="24"/>
          <w:rtl/>
        </w:rPr>
        <w:t xml:space="preserve"> </w:t>
      </w:r>
      <w:r w:rsidRPr="00C332CA">
        <w:rPr>
          <w:rFonts w:ascii="Century" w:hAnsi="Century" w:cs="Miriam" w:hint="eastAsia"/>
          <w:b/>
          <w:spacing w:val="0"/>
          <w:szCs w:val="24"/>
          <w:rtl/>
        </w:rPr>
        <w:t>וחסרת</w:t>
      </w:r>
      <w:r w:rsidRPr="00C332CA">
        <w:rPr>
          <w:rFonts w:ascii="Century" w:hAnsi="Century" w:cs="Miriam"/>
          <w:b/>
          <w:spacing w:val="0"/>
          <w:szCs w:val="24"/>
          <w:rtl/>
        </w:rPr>
        <w:t xml:space="preserve"> </w:t>
      </w:r>
      <w:r w:rsidRPr="00C332CA">
        <w:rPr>
          <w:rFonts w:ascii="Century" w:hAnsi="Century" w:cs="Miriam" w:hint="eastAsia"/>
          <w:b/>
          <w:spacing w:val="0"/>
          <w:szCs w:val="24"/>
          <w:rtl/>
        </w:rPr>
        <w:t>הפשרות</w:t>
      </w:r>
      <w:r w:rsidRPr="00C332CA">
        <w:rPr>
          <w:rFonts w:ascii="Century" w:hAnsi="Century" w:cs="Miriam"/>
          <w:b/>
          <w:spacing w:val="0"/>
          <w:szCs w:val="24"/>
          <w:rtl/>
        </w:rPr>
        <w:t xml:space="preserve"> </w:t>
      </w:r>
      <w:r w:rsidRPr="00C332CA">
        <w:rPr>
          <w:rFonts w:ascii="Century" w:hAnsi="Century" w:cs="Miriam" w:hint="eastAsia"/>
          <w:b/>
          <w:spacing w:val="0"/>
          <w:szCs w:val="24"/>
          <w:rtl/>
        </w:rPr>
        <w:t>מעובד</w:t>
      </w:r>
      <w:r w:rsidRPr="00C332CA">
        <w:rPr>
          <w:rFonts w:ascii="Century" w:hAnsi="Century" w:cs="Miriam"/>
          <w:b/>
          <w:spacing w:val="0"/>
          <w:szCs w:val="24"/>
          <w:rtl/>
        </w:rPr>
        <w:t xml:space="preserve"> </w:t>
      </w:r>
      <w:r w:rsidRPr="00C332CA">
        <w:rPr>
          <w:rFonts w:ascii="Century" w:hAnsi="Century" w:cs="Miriam" w:hint="eastAsia"/>
          <w:b/>
          <w:spacing w:val="0"/>
          <w:szCs w:val="24"/>
          <w:rtl/>
        </w:rPr>
        <w:t>הציבור</w:t>
      </w:r>
      <w:r w:rsidRPr="00C332CA">
        <w:rPr>
          <w:rFonts w:ascii="Century" w:hAnsi="Century" w:cs="Miriam"/>
          <w:b/>
          <w:spacing w:val="0"/>
          <w:szCs w:val="24"/>
          <w:rtl/>
        </w:rPr>
        <w:t xml:space="preserve"> </w:t>
      </w:r>
      <w:r w:rsidRPr="00C332CA">
        <w:rPr>
          <w:rFonts w:ascii="Century" w:hAnsi="Century" w:cs="Miriam" w:hint="eastAsia"/>
          <w:b/>
          <w:spacing w:val="0"/>
          <w:szCs w:val="24"/>
          <w:rtl/>
        </w:rPr>
        <w:t>לנהוג</w:t>
      </w:r>
      <w:r w:rsidRPr="00C332CA">
        <w:rPr>
          <w:rFonts w:ascii="Century" w:hAnsi="Century" w:cs="Miriam"/>
          <w:b/>
          <w:spacing w:val="0"/>
          <w:szCs w:val="24"/>
          <w:rtl/>
        </w:rPr>
        <w:t xml:space="preserve"> </w:t>
      </w:r>
      <w:r w:rsidRPr="00C332CA">
        <w:rPr>
          <w:rFonts w:ascii="Century" w:hAnsi="Century" w:cs="Miriam" w:hint="eastAsia"/>
          <w:b/>
          <w:spacing w:val="0"/>
          <w:szCs w:val="24"/>
          <w:rtl/>
        </w:rPr>
        <w:t>בטוהר</w:t>
      </w:r>
      <w:r w:rsidRPr="00C332CA">
        <w:rPr>
          <w:rFonts w:ascii="Century" w:hAnsi="Century" w:cs="Miriam"/>
          <w:b/>
          <w:spacing w:val="0"/>
          <w:szCs w:val="24"/>
          <w:rtl/>
        </w:rPr>
        <w:t>-</w:t>
      </w:r>
      <w:r w:rsidRPr="00C332CA">
        <w:rPr>
          <w:rFonts w:ascii="Century" w:hAnsi="Century" w:cs="Miriam" w:hint="eastAsia"/>
          <w:b/>
          <w:spacing w:val="0"/>
          <w:szCs w:val="24"/>
          <w:rtl/>
        </w:rPr>
        <w:t>מידות</w:t>
      </w:r>
      <w:r w:rsidRPr="00C332CA">
        <w:rPr>
          <w:rFonts w:ascii="Century" w:hAnsi="Century" w:cs="Miriam"/>
          <w:b/>
          <w:spacing w:val="0"/>
          <w:szCs w:val="24"/>
          <w:rtl/>
        </w:rPr>
        <w:t xml:space="preserve"> </w:t>
      </w:r>
      <w:r w:rsidRPr="00C332CA">
        <w:rPr>
          <w:rFonts w:ascii="Century" w:hAnsi="Century" w:cs="Miriam" w:hint="eastAsia"/>
          <w:b/>
          <w:spacing w:val="0"/>
          <w:szCs w:val="24"/>
          <w:rtl/>
        </w:rPr>
        <w:t>מוחלט</w:t>
      </w:r>
      <w:r>
        <w:rPr>
          <w:rFonts w:hint="cs"/>
          <w:rtl/>
        </w:rPr>
        <w:t>" (ההדגשה שלי-</w:t>
      </w:r>
      <w:proofErr w:type="spellStart"/>
      <w:r>
        <w:rPr>
          <w:rFonts w:hint="cs"/>
          <w:rtl/>
        </w:rPr>
        <w:t>ע'ב</w:t>
      </w:r>
      <w:proofErr w:type="spellEnd"/>
      <w:r>
        <w:rPr>
          <w:rFonts w:hint="cs"/>
          <w:rtl/>
        </w:rPr>
        <w:t>') (פסקה 13 לגזר הדין מיום 20.11.2003).</w:t>
      </w:r>
    </w:p>
    <w:p w14:paraId="7B9D80BA" w14:textId="77777777" w:rsidR="00872AD0" w:rsidRDefault="00872AD0" w:rsidP="00872AD0">
      <w:pPr>
        <w:pStyle w:val="Ruller41"/>
        <w:spacing w:line="240" w:lineRule="auto"/>
        <w:rPr>
          <w:rtl/>
        </w:rPr>
      </w:pPr>
    </w:p>
    <w:p w14:paraId="64606444" w14:textId="77777777" w:rsidR="00636252" w:rsidRDefault="00636252" w:rsidP="00872AD0">
      <w:pPr>
        <w:pStyle w:val="Ruller41"/>
        <w:spacing w:line="240" w:lineRule="auto"/>
        <w:rPr>
          <w:rtl/>
        </w:rPr>
      </w:pPr>
    </w:p>
    <w:p w14:paraId="60F378EA" w14:textId="77777777" w:rsidR="00872AD0" w:rsidRDefault="00872AD0" w:rsidP="00872AD0">
      <w:pPr>
        <w:pStyle w:val="Ruller41"/>
        <w:rPr>
          <w:rtl/>
        </w:rPr>
      </w:pPr>
      <w:r>
        <w:rPr>
          <w:rFonts w:hint="cs"/>
          <w:rtl/>
        </w:rPr>
        <w:tab/>
        <w:t>בפרשת "</w:t>
      </w:r>
      <w:r w:rsidRPr="00C176C5">
        <w:rPr>
          <w:rFonts w:ascii="Century" w:hAnsi="Century" w:cs="Miriam" w:hint="cs"/>
          <w:b/>
          <w:spacing w:val="0"/>
          <w:szCs w:val="24"/>
          <w:rtl/>
        </w:rPr>
        <w:t>בר</w:t>
      </w:r>
      <w:r>
        <w:rPr>
          <w:rFonts w:ascii="Century" w:hAnsi="Century" w:cs="Miriam" w:hint="cs"/>
          <w:b/>
          <w:spacing w:val="0"/>
          <w:szCs w:val="24"/>
          <w:rtl/>
        </w:rPr>
        <w:t>-און</w:t>
      </w:r>
      <w:r>
        <w:rPr>
          <w:rFonts w:ascii="Century" w:hAnsi="Century" w:cs="Miriam"/>
          <w:b/>
          <w:spacing w:val="0"/>
          <w:szCs w:val="24"/>
          <w:rtl/>
        </w:rPr>
        <w:t>–</w:t>
      </w:r>
      <w:r w:rsidRPr="00C176C5">
        <w:rPr>
          <w:rFonts w:ascii="Century" w:hAnsi="Century" w:cs="Miriam" w:hint="cs"/>
          <w:b/>
          <w:spacing w:val="0"/>
          <w:szCs w:val="24"/>
          <w:rtl/>
        </w:rPr>
        <w:t>חברון</w:t>
      </w:r>
      <w:r>
        <w:rPr>
          <w:rFonts w:hint="cs"/>
          <w:rtl/>
        </w:rPr>
        <w:t xml:space="preserve">", דרעי נחשד כי עשה שימוש פסול בכוחו הפוליטי לצורך קידום מינויו של עו"ד רוני בר-און לתפקיד היועץ המשפטי לממשלה </w:t>
      </w:r>
      <w:r>
        <w:rPr>
          <w:rtl/>
        </w:rPr>
        <w:t>–</w:t>
      </w:r>
      <w:r>
        <w:rPr>
          <w:rFonts w:hint="cs"/>
          <w:rtl/>
        </w:rPr>
        <w:t xml:space="preserve"> זאת על </w:t>
      </w:r>
      <w:r>
        <w:rPr>
          <w:rFonts w:hint="cs"/>
          <w:rtl/>
        </w:rPr>
        <w:lastRenderedPageBreak/>
        <w:t xml:space="preserve">יסוד הבטחה לכאורה שניתנה לדרעי כי מינוי זה ייטיב עם ענייניו הפליליים (ב"תיק האישי"). בין היתר, דרעי נחשד שהתנה את תמיכת ש"ס בהסכם הידוע כ"כהסכם חברון", בהוצאתו לפועל של מינוי זה. פרקליטת המדינה המליצה להעמיד את דרעי לדין בעבירות מרמה והפרת אמונים, סחיטה באיומים ושיבוש מהלכי משפט (בכפוף לקיום שימוע ולהסרת חסינותו) </w:t>
      </w:r>
      <w:r>
        <w:rPr>
          <w:rtl/>
        </w:rPr>
        <w:t>–</w:t>
      </w:r>
      <w:r>
        <w:rPr>
          <w:rFonts w:hint="cs"/>
          <w:rtl/>
        </w:rPr>
        <w:t xml:space="preserve"> ואולם ביום 16.12.2001 הורה היועץ המשפטי לממשלה על סגירת התיק, זאת על רקע הרשעתו ב"תיק האישי" והתקדמות ההליכים ב"תיק הציבורי". כפי שצוין בעניין </w:t>
      </w:r>
      <w:r w:rsidRPr="00C176C5">
        <w:rPr>
          <w:rFonts w:ascii="Century" w:hAnsi="Century" w:cs="Miriam" w:hint="cs"/>
          <w:b/>
          <w:spacing w:val="0"/>
          <w:szCs w:val="24"/>
          <w:rtl/>
        </w:rPr>
        <w:t>דרעי 2015</w:t>
      </w:r>
      <w:r>
        <w:rPr>
          <w:rFonts w:hint="cs"/>
          <w:rtl/>
        </w:rPr>
        <w:t>, היועץ המשפטי לממשלה הבהיר כי החשדות שהועלו נגד דרעי בפרשה זו לא הופרכו ויש לראות בהם משום ראיות מנהליות לחובתו (שם, פסקה 17).</w:t>
      </w:r>
    </w:p>
    <w:p w14:paraId="77729EA4" w14:textId="77777777" w:rsidR="00872AD0" w:rsidRDefault="00872AD0" w:rsidP="00872AD0">
      <w:pPr>
        <w:pStyle w:val="Ruller41"/>
        <w:rPr>
          <w:rtl/>
        </w:rPr>
      </w:pPr>
    </w:p>
    <w:p w14:paraId="033D0087" w14:textId="77777777" w:rsidR="00872AD0" w:rsidRDefault="00872AD0" w:rsidP="00872AD0">
      <w:pPr>
        <w:pStyle w:val="Ruller41"/>
        <w:rPr>
          <w:rtl/>
        </w:rPr>
      </w:pPr>
      <w:r>
        <w:rPr>
          <w:rFonts w:hint="cs"/>
          <w:rtl/>
        </w:rPr>
        <w:t>12.</w:t>
      </w:r>
      <w:r>
        <w:rPr>
          <w:rFonts w:hint="cs"/>
          <w:rtl/>
        </w:rPr>
        <w:tab/>
        <w:t xml:space="preserve">מן האמור לעיל מצטיירת תמונה ברורה, שלפיה בעודו נושא בתפקידים ציבוריים בכירים ומשמש כנאמן הציבור </w:t>
      </w:r>
      <w:r>
        <w:rPr>
          <w:rtl/>
        </w:rPr>
        <w:t>–</w:t>
      </w:r>
      <w:r>
        <w:rPr>
          <w:rFonts w:hint="cs"/>
          <w:rtl/>
        </w:rPr>
        <w:t xml:space="preserve"> דרעי מעל פעם אחר פעם באמון הציבורי שניתן בו ושלח ידו במעשי שחיתות. המעשים החמורים שביצע "</w:t>
      </w:r>
      <w:r w:rsidRPr="000609CC">
        <w:rPr>
          <w:rFonts w:ascii="Century" w:hAnsi="Century" w:cs="Miriam" w:hint="cs"/>
          <w:b/>
          <w:spacing w:val="0"/>
          <w:szCs w:val="24"/>
          <w:rtl/>
        </w:rPr>
        <w:t>הטביעו חותם קשה על מערכות הציבור בישראל</w:t>
      </w:r>
      <w:r>
        <w:rPr>
          <w:rFonts w:hint="cs"/>
          <w:rtl/>
        </w:rPr>
        <w:t xml:space="preserve">" (ראו: </w:t>
      </w:r>
      <w:r w:rsidRPr="00A1301B">
        <w:rPr>
          <w:rFonts w:ascii="Century" w:hAnsi="Century" w:cs="Miriam" w:hint="cs"/>
          <w:b/>
          <w:spacing w:val="0"/>
          <w:szCs w:val="24"/>
          <w:rtl/>
        </w:rPr>
        <w:t xml:space="preserve">פסק הדין </w:t>
      </w:r>
      <w:r>
        <w:rPr>
          <w:rFonts w:ascii="Century" w:hAnsi="Century" w:cs="Miriam" w:hint="cs"/>
          <w:b/>
          <w:spacing w:val="0"/>
          <w:szCs w:val="24"/>
          <w:rtl/>
        </w:rPr>
        <w:t>בתיק האישי</w:t>
      </w:r>
      <w:r>
        <w:rPr>
          <w:rFonts w:hint="cs"/>
          <w:rtl/>
        </w:rPr>
        <w:t>, עמ' 835); וכבר נפסק כי אמון הציבור במערכת השלטונית "</w:t>
      </w:r>
      <w:r w:rsidRPr="00503F0F">
        <w:rPr>
          <w:rFonts w:ascii="Century" w:hAnsi="Century" w:cs="Miriam" w:hint="cs"/>
          <w:b/>
          <w:spacing w:val="0"/>
          <w:szCs w:val="24"/>
          <w:rtl/>
        </w:rPr>
        <w:t>חיוני לקיום חיים דמוקרטיים תקינים ו</w:t>
      </w:r>
      <w:r>
        <w:rPr>
          <w:rFonts w:ascii="Century" w:hAnsi="Century" w:cs="Miriam" w:hint="cs"/>
          <w:b/>
          <w:spacing w:val="0"/>
          <w:szCs w:val="24"/>
          <w:rtl/>
        </w:rPr>
        <w:t>[</w:t>
      </w:r>
      <w:r w:rsidRPr="00503F0F">
        <w:rPr>
          <w:rFonts w:ascii="Century" w:hAnsi="Century" w:cs="Miriam" w:hint="cs"/>
          <w:b/>
          <w:spacing w:val="0"/>
          <w:szCs w:val="24"/>
          <w:rtl/>
        </w:rPr>
        <w:t>ש</w:t>
      </w:r>
      <w:r>
        <w:rPr>
          <w:rFonts w:ascii="Century" w:hAnsi="Century" w:cs="Miriam" w:hint="cs"/>
          <w:b/>
          <w:spacing w:val="0"/>
          <w:szCs w:val="24"/>
          <w:rtl/>
        </w:rPr>
        <w:t>]</w:t>
      </w:r>
      <w:r w:rsidRPr="00503F0F">
        <w:rPr>
          <w:rFonts w:ascii="Century" w:hAnsi="Century" w:cs="Miriam" w:hint="cs"/>
          <w:b/>
          <w:spacing w:val="0"/>
          <w:szCs w:val="24"/>
          <w:rtl/>
        </w:rPr>
        <w:t>עלול להיפגע אם השירות הציבורי ייתפס בעיני הציבור כמושחת וכמי שעובדיו נוהגים לקבל שוחד</w:t>
      </w:r>
      <w:r>
        <w:rPr>
          <w:rFonts w:hint="cs"/>
          <w:rtl/>
        </w:rPr>
        <w:t xml:space="preserve">" (דנ"פ 10987/07 </w:t>
      </w:r>
      <w:r w:rsidRPr="00625F58">
        <w:rPr>
          <w:rFonts w:ascii="Century" w:hAnsi="Century" w:cs="Miriam" w:hint="cs"/>
          <w:b/>
          <w:spacing w:val="0"/>
          <w:szCs w:val="24"/>
          <w:rtl/>
        </w:rPr>
        <w:t>מדינת ישראל נ' כהן</w:t>
      </w:r>
      <w:r>
        <w:rPr>
          <w:rFonts w:hint="cs"/>
          <w:rtl/>
        </w:rPr>
        <w:t>, פסקה 14 (2.3.2009)).</w:t>
      </w:r>
    </w:p>
    <w:p w14:paraId="5649F3C3" w14:textId="77777777" w:rsidR="00872AD0" w:rsidRDefault="00872AD0" w:rsidP="00872AD0">
      <w:pPr>
        <w:pStyle w:val="Ruller41"/>
        <w:rPr>
          <w:rtl/>
        </w:rPr>
      </w:pPr>
    </w:p>
    <w:p w14:paraId="6E196CEF" w14:textId="77777777" w:rsidR="00872AD0" w:rsidRDefault="00872AD0" w:rsidP="00872AD0">
      <w:pPr>
        <w:pStyle w:val="Ruller41"/>
        <w:rPr>
          <w:rtl/>
        </w:rPr>
      </w:pPr>
      <w:r>
        <w:rPr>
          <w:rtl/>
        </w:rPr>
        <w:tab/>
      </w:r>
      <w:r>
        <w:rPr>
          <w:rFonts w:hint="cs"/>
          <w:rtl/>
        </w:rPr>
        <w:t xml:space="preserve">כפי שביארה הנשיאה </w:t>
      </w:r>
      <w:r w:rsidRPr="008159CB">
        <w:rPr>
          <w:rFonts w:ascii="Century" w:hAnsi="Century" w:cs="Miriam" w:hint="cs"/>
          <w:b/>
          <w:spacing w:val="0"/>
          <w:szCs w:val="24"/>
          <w:rtl/>
        </w:rPr>
        <w:t>א' חיות</w:t>
      </w:r>
      <w:r>
        <w:rPr>
          <w:rFonts w:hint="cs"/>
          <w:rtl/>
        </w:rPr>
        <w:t xml:space="preserve"> בפסק דינה, הרשעותיו של דרעי ב"תיק האישי" </w:t>
      </w:r>
      <w:proofErr w:type="spellStart"/>
      <w:r>
        <w:rPr>
          <w:rFonts w:hint="cs"/>
          <w:rtl/>
        </w:rPr>
        <w:t>וב"תיק</w:t>
      </w:r>
      <w:proofErr w:type="spellEnd"/>
      <w:r>
        <w:rPr>
          <w:rFonts w:hint="cs"/>
          <w:rtl/>
        </w:rPr>
        <w:t xml:space="preserve"> הציבורי" עברו מסטטוס של "התיישנות" לסטטוס של "מחיקה" בהתאם להוראותיו של חוק המידע הפלילי ותקנת השבים, התשע"ט-2019. ואולם הכללים הקבועים בחוק זה ונוגעים למחיקת עבירות מהמרשם הפלילי אינם חלים במקרה של </w:t>
      </w:r>
      <w:r w:rsidRPr="00132FDC">
        <w:rPr>
          <w:rFonts w:ascii="Century" w:hAnsi="Century" w:cs="Miriam" w:hint="cs"/>
          <w:b/>
          <w:spacing w:val="0"/>
          <w:szCs w:val="24"/>
          <w:rtl/>
        </w:rPr>
        <w:t>מינוי בעלי תפקיד בשירות הציבורי</w:t>
      </w:r>
      <w:r w:rsidRPr="00132FDC">
        <w:rPr>
          <w:rFonts w:hint="cs"/>
          <w:rtl/>
        </w:rPr>
        <w:t xml:space="preserve"> </w:t>
      </w:r>
      <w:r>
        <w:rPr>
          <w:rtl/>
        </w:rPr>
        <w:t>–</w:t>
      </w:r>
      <w:r>
        <w:rPr>
          <w:rFonts w:hint="cs"/>
          <w:rtl/>
        </w:rPr>
        <w:t xml:space="preserve"> לא כל שכן במקרה של מינוי שר בממשלה (ראו סעיפים 60-59 לפסק דינה של הנשיאה). עברו הפלילי של דרעי, הגם שמדובר בעבר רחוק למדי, הוא שיקול משמעותי בבחינת סבירות מינויו לשר </w:t>
      </w:r>
      <w:r>
        <w:rPr>
          <w:rtl/>
        </w:rPr>
        <w:t>–</w:t>
      </w:r>
      <w:r>
        <w:rPr>
          <w:rFonts w:hint="cs"/>
          <w:rtl/>
        </w:rPr>
        <w:t xml:space="preserve"> לא כל שכן בשים לב לחומרת העבירות, לזיקתן לתפקידו הציבורי, וביתר שאת לנוכח העובדה שברבות השנים חזר דרעי והורשע בפלילים, כפי שיפורט בהמשך.</w:t>
      </w:r>
    </w:p>
    <w:p w14:paraId="60750FA6" w14:textId="77777777" w:rsidR="00872AD0" w:rsidRDefault="00872AD0" w:rsidP="00872AD0">
      <w:pPr>
        <w:pStyle w:val="Ruller41"/>
        <w:rPr>
          <w:rtl/>
        </w:rPr>
      </w:pPr>
    </w:p>
    <w:p w14:paraId="05E632D8" w14:textId="77777777" w:rsidR="00872AD0" w:rsidRDefault="00872AD0" w:rsidP="00872AD0">
      <w:pPr>
        <w:pStyle w:val="Ruller41"/>
        <w:rPr>
          <w:rtl/>
        </w:rPr>
      </w:pPr>
      <w:r>
        <w:rPr>
          <w:rtl/>
        </w:rPr>
        <w:tab/>
      </w:r>
      <w:r>
        <w:rPr>
          <w:rFonts w:hint="cs"/>
          <w:rtl/>
        </w:rPr>
        <w:t xml:space="preserve">מכל מקום, לאחר חזרתו של דרעי לחיים הפוליטיים בשנת 2013, ועם בחירתו לחבר כנסת בכנסת ה-19, התעוררו ספקות בנוגע לסבירות מינויו כשר בממשלה ה-34 ואלה קיבלו ביטוי בעתירות שהוגשו בעניין </w:t>
      </w:r>
      <w:r w:rsidRPr="006C4347">
        <w:rPr>
          <w:rFonts w:ascii="Century" w:hAnsi="Century" w:cs="Miriam" w:hint="cs"/>
          <w:b/>
          <w:spacing w:val="0"/>
          <w:szCs w:val="24"/>
          <w:rtl/>
        </w:rPr>
        <w:t>דרעי 2015</w:t>
      </w:r>
      <w:r>
        <w:rPr>
          <w:rFonts w:hint="cs"/>
          <w:rtl/>
        </w:rPr>
        <w:t xml:space="preserve"> ובעניין </w:t>
      </w:r>
      <w:r w:rsidRPr="006C4347">
        <w:rPr>
          <w:rFonts w:ascii="Century" w:hAnsi="Century" w:cs="Miriam" w:hint="cs"/>
          <w:b/>
          <w:spacing w:val="0"/>
          <w:szCs w:val="24"/>
          <w:rtl/>
        </w:rPr>
        <w:t>דרעי 2016</w:t>
      </w:r>
      <w:r>
        <w:rPr>
          <w:rFonts w:hint="cs"/>
          <w:rtl/>
        </w:rPr>
        <w:t xml:space="preserve">. אמנם לא היתה מחלוקת שדרעי עמד בתנאי הכשירות שהיו קבועים באותה עת בסעיף 6(ג) לחוק היסוד, שלפיהם לא ניתן למנות לתפקיד שר אדם שהורשע בעבירה שיש עימה קלון והוטל עליו עונש מאסר אלא בחלוף 7 שנים ממועד סיום ריצוי העונש. כך, משום שבעת מינויו כשר </w:t>
      </w:r>
      <w:r>
        <w:rPr>
          <w:rFonts w:hint="cs"/>
          <w:rtl/>
        </w:rPr>
        <w:lastRenderedPageBreak/>
        <w:t xml:space="preserve">חלפו כ-13 שנים מסיום ריצוי עונש המאסר שהושת עליו ב"תיק האישי", וכ-12 שנים מאז שניתן גזר הדין ב"תיק הציבורי". עם זאת, בשים לב לטיב העבירות שבהן הורשע בעבר, חומרתן והיקפן, על מינויו של דרעי כשר בממשלה העיב צל כבד. סופו של דבר, וחרף עברו הפלילי המכביד, בעניין </w:t>
      </w:r>
      <w:r w:rsidRPr="009350E7">
        <w:rPr>
          <w:rFonts w:ascii="Century" w:hAnsi="Century" w:cs="Miriam" w:hint="cs"/>
          <w:b/>
          <w:spacing w:val="0"/>
          <w:szCs w:val="24"/>
          <w:rtl/>
        </w:rPr>
        <w:t>דרעי 2015</w:t>
      </w:r>
      <w:r>
        <w:rPr>
          <w:rFonts w:hint="cs"/>
          <w:rtl/>
        </w:rPr>
        <w:t xml:space="preserve"> נקבע כי אין להתערב בהחלטת ראש הממשלה למנות את דרעי לשר הכלכלה ופיתוח הנגב והגליל. השיקול המרכזי שהוביל לתוצאה זו היה חלוף פרק הזמן המשמעותי מעת ביצוע העבירות ומהמועד שבו סיים דרעי לרצות את עונשו (שם, פסקאות 20-19); עם זאת הובהר, כי "</w:t>
      </w:r>
      <w:r w:rsidRPr="00EC2ABD">
        <w:rPr>
          <w:rFonts w:ascii="Century" w:hAnsi="Century" w:cs="Miriam" w:hint="cs"/>
          <w:b/>
          <w:spacing w:val="0"/>
          <w:szCs w:val="24"/>
          <w:rtl/>
        </w:rPr>
        <w:t>מינויו של דרעי לתפקיד שר מצוי על גבול מתחם הסבירות</w:t>
      </w:r>
      <w:r>
        <w:rPr>
          <w:rFonts w:hint="cs"/>
          <w:rtl/>
        </w:rPr>
        <w:t xml:space="preserve">" (שם, פסקה 23). בהמשך לכך, בעניין </w:t>
      </w:r>
      <w:r w:rsidRPr="003B292D">
        <w:rPr>
          <w:rFonts w:ascii="Century" w:hAnsi="Century" w:cs="Miriam" w:hint="cs"/>
          <w:b/>
          <w:spacing w:val="0"/>
          <w:szCs w:val="24"/>
          <w:rtl/>
        </w:rPr>
        <w:t>דרעי 2016</w:t>
      </w:r>
      <w:r>
        <w:rPr>
          <w:rFonts w:hint="cs"/>
          <w:rtl/>
        </w:rPr>
        <w:t xml:space="preserve"> נקבע כי אין מקום להתערב גם בהחלטת ראש הממשלה למנות את דרעי לשר הפנים בממשלה ה-34 (בדעת רוב של השופטים </w:t>
      </w:r>
      <w:r w:rsidRPr="003B292D">
        <w:rPr>
          <w:rFonts w:ascii="Century" w:hAnsi="Century" w:cs="Miriam" w:hint="cs"/>
          <w:b/>
          <w:spacing w:val="0"/>
          <w:szCs w:val="24"/>
          <w:rtl/>
        </w:rPr>
        <w:t>ס' ג'ובראן</w:t>
      </w:r>
      <w:r>
        <w:rPr>
          <w:rFonts w:hint="cs"/>
          <w:rtl/>
        </w:rPr>
        <w:t xml:space="preserve"> ו-</w:t>
      </w:r>
      <w:r w:rsidRPr="003B292D">
        <w:rPr>
          <w:rFonts w:ascii="Century" w:hAnsi="Century" w:cs="Miriam" w:hint="cs"/>
          <w:b/>
          <w:spacing w:val="0"/>
          <w:szCs w:val="24"/>
          <w:rtl/>
        </w:rPr>
        <w:t>י' דנציגר</w:t>
      </w:r>
      <w:r>
        <w:rPr>
          <w:rFonts w:hint="cs"/>
          <w:rtl/>
        </w:rPr>
        <w:t xml:space="preserve">, כנגד דעתו החולקת של השופט </w:t>
      </w:r>
      <w:r w:rsidRPr="003B292D">
        <w:rPr>
          <w:rFonts w:ascii="Century" w:hAnsi="Century" w:cs="Miriam" w:hint="cs"/>
          <w:b/>
          <w:spacing w:val="0"/>
          <w:szCs w:val="24"/>
          <w:rtl/>
        </w:rPr>
        <w:t>נ' הנדל</w:t>
      </w:r>
      <w:r>
        <w:rPr>
          <w:rFonts w:hint="cs"/>
          <w:rtl/>
        </w:rPr>
        <w:t xml:space="preserve">). </w:t>
      </w:r>
    </w:p>
    <w:p w14:paraId="6B392C48" w14:textId="77777777" w:rsidR="00872AD0" w:rsidRDefault="00872AD0" w:rsidP="00872AD0">
      <w:pPr>
        <w:pStyle w:val="Ruller41"/>
        <w:rPr>
          <w:rtl/>
        </w:rPr>
      </w:pPr>
    </w:p>
    <w:p w14:paraId="0B64BF9E" w14:textId="77777777" w:rsidR="00872AD0" w:rsidRDefault="00872AD0" w:rsidP="00872AD0">
      <w:pPr>
        <w:pStyle w:val="Ruller41"/>
        <w:rPr>
          <w:rtl/>
        </w:rPr>
      </w:pPr>
      <w:r>
        <w:rPr>
          <w:rFonts w:hint="cs"/>
          <w:rtl/>
        </w:rPr>
        <w:t>13.</w:t>
      </w:r>
      <w:r>
        <w:rPr>
          <w:rtl/>
        </w:rPr>
        <w:tab/>
      </w:r>
      <w:r>
        <w:rPr>
          <w:rFonts w:hint="cs"/>
          <w:rtl/>
        </w:rPr>
        <w:t xml:space="preserve">בדיעבד מתברר, כי במקביל לחזרתו לחיים הפוליטיים דרעי ביצע עבירות פליליות נוספות </w:t>
      </w:r>
      <w:r>
        <w:rPr>
          <w:rtl/>
        </w:rPr>
        <w:t>–</w:t>
      </w:r>
      <w:r>
        <w:rPr>
          <w:rFonts w:hint="cs"/>
          <w:rtl/>
        </w:rPr>
        <w:t xml:space="preserve"> עבירות המס כהגדרתן לעיל. עובדה זו לא היתה ידועה בעת שניתנו פסקי הדין בעניין </w:t>
      </w:r>
      <w:r w:rsidRPr="00104B4B">
        <w:rPr>
          <w:rFonts w:ascii="Century" w:hAnsi="Century" w:cs="Miriam" w:hint="cs"/>
          <w:b/>
          <w:spacing w:val="0"/>
          <w:szCs w:val="24"/>
          <w:rtl/>
        </w:rPr>
        <w:t>דרעי 2015</w:t>
      </w:r>
      <w:r>
        <w:rPr>
          <w:rFonts w:hint="cs"/>
          <w:rtl/>
        </w:rPr>
        <w:t xml:space="preserve"> ובעניין </w:t>
      </w:r>
      <w:r w:rsidRPr="00104B4B">
        <w:rPr>
          <w:rFonts w:ascii="Century" w:hAnsi="Century" w:cs="Miriam" w:hint="cs"/>
          <w:b/>
          <w:spacing w:val="0"/>
          <w:szCs w:val="24"/>
          <w:rtl/>
        </w:rPr>
        <w:t>דרעי 2016</w:t>
      </w:r>
      <w:r>
        <w:rPr>
          <w:rFonts w:hint="cs"/>
          <w:rtl/>
        </w:rPr>
        <w:t xml:space="preserve">, שכן החקירה הפלילית בנדון נפתחה רק בחודש מרץ 2016. במהלך השנים 2013 עד 2015 נמנע דרעי מלדווח למס הכנסה על הכנסות שהיו לחברה שבבעלותו, בסכום כולל של מאות אלפי שקלים; וכן סייע לאחיו לדווח דיווח פיקטיבי לרשויות המס, בנוגע לשווי עסקת מקרקעין שביצעו דרעי והאח בזכויות בנכס שהיה בבעלותו של דרעי. ביום 26.12.2021 הוגש הסדר טיעון לאישורו של בית משפט השלום בירושלים (הנשיא </w:t>
      </w:r>
      <w:r w:rsidRPr="00E854AE">
        <w:rPr>
          <w:rFonts w:ascii="Century" w:hAnsi="Century" w:cs="Miriam" w:hint="cs"/>
          <w:b/>
          <w:spacing w:val="0"/>
          <w:szCs w:val="24"/>
          <w:rtl/>
        </w:rPr>
        <w:t>ש' הרבסט</w:t>
      </w:r>
      <w:r>
        <w:rPr>
          <w:rFonts w:hint="cs"/>
          <w:rtl/>
        </w:rPr>
        <w:t>) שכלל את המעשים המתוארים (ת"פ (שלום י-ם) 56231-12-21); ביום 25.1.2022 הרשיע בית המשפט את דרעי בעבירות שיוחסו לו ושבהן הודה; וביום 1.2.2022 השית בית המשפט על דרעי עונש של 12 חודשי מאסר על תנאי, שירוצו</w:t>
      </w:r>
      <w:r w:rsidR="0040136B">
        <w:rPr>
          <w:rFonts w:hint="cs"/>
          <w:rtl/>
        </w:rPr>
        <w:t xml:space="preserve"> בפועל</w:t>
      </w:r>
      <w:r>
        <w:rPr>
          <w:rFonts w:hint="cs"/>
          <w:rtl/>
        </w:rPr>
        <w:t xml:space="preserve"> אם יעבור תוך שלוש שנים על איזה מהעבירות שבהן הורשע, וכן קנס בסך 180,000 ש"ח.</w:t>
      </w:r>
    </w:p>
    <w:p w14:paraId="3317D4CF" w14:textId="77777777" w:rsidR="00872AD0" w:rsidRDefault="00872AD0" w:rsidP="00872AD0">
      <w:pPr>
        <w:pStyle w:val="Ruller41"/>
        <w:rPr>
          <w:rtl/>
        </w:rPr>
      </w:pPr>
    </w:p>
    <w:p w14:paraId="344BDCD2" w14:textId="77777777" w:rsidR="00872AD0" w:rsidRDefault="00872AD0" w:rsidP="00872AD0">
      <w:pPr>
        <w:pStyle w:val="Ruller41"/>
        <w:rPr>
          <w:rtl/>
        </w:rPr>
      </w:pPr>
      <w:r>
        <w:rPr>
          <w:rtl/>
        </w:rPr>
        <w:tab/>
      </w:r>
      <w:r>
        <w:rPr>
          <w:rFonts w:hint="cs"/>
          <w:rtl/>
        </w:rPr>
        <w:t xml:space="preserve">במערכה זו מופיע לראשונה "האקדח של </w:t>
      </w:r>
      <w:proofErr w:type="spellStart"/>
      <w:r>
        <w:rPr>
          <w:rFonts w:hint="cs"/>
          <w:rtl/>
        </w:rPr>
        <w:t>צ'כוב</w:t>
      </w:r>
      <w:proofErr w:type="spellEnd"/>
      <w:r>
        <w:rPr>
          <w:rFonts w:hint="cs"/>
          <w:rtl/>
        </w:rPr>
        <w:t xml:space="preserve">" </w:t>
      </w:r>
      <w:r>
        <w:rPr>
          <w:rtl/>
        </w:rPr>
        <w:t>–</w:t>
      </w:r>
      <w:r>
        <w:rPr>
          <w:rFonts w:hint="cs"/>
          <w:rtl/>
        </w:rPr>
        <w:t xml:space="preserve"> הוא שאלת </w:t>
      </w:r>
      <w:r w:rsidRPr="00A61859">
        <w:rPr>
          <w:rFonts w:ascii="Century" w:hAnsi="Century" w:cs="Miriam" w:hint="cs"/>
          <w:b/>
          <w:spacing w:val="0"/>
          <w:szCs w:val="24"/>
          <w:rtl/>
        </w:rPr>
        <w:t>הקלון</w:t>
      </w:r>
      <w:r>
        <w:rPr>
          <w:rFonts w:hint="cs"/>
          <w:rtl/>
        </w:rPr>
        <w:t xml:space="preserve">, שתחזור ותופיע גם במערכה הבאה. בעת הדיון בהסדר הטיעון, הודיע דרעי לבית משפט השלום כי התפטר מכהונתו כחבר כנסת והציג לו את מכתב התפטרותו. מעמדת היועצת המשפטית לממשלה בעתירות שלפנינו עולה, כי בעת ההיא סבר היועץ המשפטי לממשלה כי בעבירות המס דבק קלון </w:t>
      </w:r>
      <w:r>
        <w:rPr>
          <w:rtl/>
        </w:rPr>
        <w:t>–</w:t>
      </w:r>
      <w:r>
        <w:rPr>
          <w:rFonts w:hint="cs"/>
          <w:rtl/>
        </w:rPr>
        <w:t xml:space="preserve"> אולם לנוכח התפטרותו של דרעי מהכנסת, היועץ המשפטי לממשלה נמנע מלטעון בעניין זה בבית משפט השלום (הדברים קיבלו ביטוי מפורש בסעיף 4 להסדר הטיעון). כך, בשים לב להוראת סעיף 42א(א) לחוק-יסוד: הכנסת שזו לשונה:</w:t>
      </w:r>
    </w:p>
    <w:p w14:paraId="5D63330A" w14:textId="77777777" w:rsidR="00872AD0" w:rsidRDefault="00872AD0" w:rsidP="00872AD0">
      <w:pPr>
        <w:pStyle w:val="Ruller41"/>
        <w:spacing w:line="240" w:lineRule="auto"/>
        <w:rPr>
          <w:rtl/>
        </w:rPr>
      </w:pPr>
    </w:p>
    <w:p w14:paraId="41A9DCCD" w14:textId="77777777" w:rsidR="00872AD0" w:rsidRPr="008024CB" w:rsidRDefault="00872AD0" w:rsidP="00872AD0">
      <w:pPr>
        <w:pStyle w:val="Ruller5"/>
        <w:rPr>
          <w:rFonts w:ascii="Century" w:hAnsi="Century"/>
          <w:rtl/>
        </w:rPr>
      </w:pPr>
      <w:r w:rsidRPr="008024CB">
        <w:rPr>
          <w:rStyle w:val="default"/>
          <w:rFonts w:ascii="Century" w:hAnsi="Century" w:hint="cs"/>
          <w:rtl/>
        </w:rPr>
        <w:lastRenderedPageBreak/>
        <w:t xml:space="preserve">חבר הכנסת שהורשע בפסק דין </w:t>
      </w:r>
      <w:r w:rsidRPr="008024CB">
        <w:rPr>
          <w:rStyle w:val="default"/>
          <w:rFonts w:ascii="Century" w:hAnsi="Century"/>
          <w:rtl/>
        </w:rPr>
        <w:t>ס</w:t>
      </w:r>
      <w:r w:rsidRPr="008024CB">
        <w:rPr>
          <w:rStyle w:val="default"/>
          <w:rFonts w:ascii="Century" w:hAnsi="Century" w:hint="cs"/>
          <w:rtl/>
        </w:rPr>
        <w:t>ופי בעבירה פלילית, וקבע בית המשפט, ביוזמתו או לבקשת היועץ המשפטי לממשלה, שיש עם העבירה קלון, תיפסק חברותו בכנסת ביום שפסק הדין נעשה סופי, ואין נפקא מינה אם העבירה נעברה בזמן שהיה חבר אותה הכנסת, חבר כנסת קודמת או לפני שהיה לחבר הכנסת.</w:t>
      </w:r>
    </w:p>
    <w:p w14:paraId="2C8879F8" w14:textId="77777777" w:rsidR="00872AD0" w:rsidRDefault="00872AD0" w:rsidP="00872AD0">
      <w:pPr>
        <w:pStyle w:val="Ruller41"/>
        <w:rPr>
          <w:rtl/>
        </w:rPr>
      </w:pPr>
    </w:p>
    <w:p w14:paraId="0ABBDC3D" w14:textId="77777777" w:rsidR="00872AD0" w:rsidRDefault="00872AD0" w:rsidP="00872AD0">
      <w:pPr>
        <w:pStyle w:val="Ruller41"/>
        <w:rPr>
          <w:rtl/>
        </w:rPr>
      </w:pPr>
      <w:r>
        <w:rPr>
          <w:rtl/>
        </w:rPr>
        <w:tab/>
      </w:r>
      <w:r>
        <w:rPr>
          <w:rFonts w:hint="cs"/>
          <w:rtl/>
        </w:rPr>
        <w:t xml:space="preserve">הנה כי כן, התפטרותו של דרעי מהכנסת הביאה לכך שבית משפט השלום לא נדרש לשאלת הקלון.  </w:t>
      </w:r>
    </w:p>
    <w:p w14:paraId="63FCCC07" w14:textId="77777777" w:rsidR="00872AD0" w:rsidRDefault="00872AD0" w:rsidP="00872AD0">
      <w:pPr>
        <w:pStyle w:val="Ruller41"/>
        <w:rPr>
          <w:rtl/>
        </w:rPr>
      </w:pPr>
    </w:p>
    <w:p w14:paraId="742C0766" w14:textId="77777777" w:rsidR="00872AD0" w:rsidRDefault="00872AD0" w:rsidP="00872AD0">
      <w:pPr>
        <w:pStyle w:val="Ruller41"/>
        <w:rPr>
          <w:rtl/>
        </w:rPr>
      </w:pPr>
      <w:r>
        <w:rPr>
          <w:rFonts w:hint="cs"/>
          <w:rtl/>
        </w:rPr>
        <w:t>14.</w:t>
      </w:r>
      <w:r>
        <w:rPr>
          <w:rtl/>
        </w:rPr>
        <w:tab/>
      </w:r>
      <w:r>
        <w:rPr>
          <w:rFonts w:hint="cs"/>
          <w:rtl/>
        </w:rPr>
        <w:t>בגזר הדין אימץ בית משפט השלום את העונש שעליו הסכימו הצדדים בהסדר הטיעון. בהקשר זה צוין, מצד אחד, כי העבירות המיוחסות לדרעי אינן כוללות זדון או כוונה להונות את רשויות המס, וכי חלקו בביצוען היה פאסיבי. מצד שני, נקבע כי בביצוע עבירות אלה פגע דרעי "</w:t>
      </w:r>
      <w:r w:rsidRPr="00B64D97">
        <w:rPr>
          <w:rFonts w:ascii="Century" w:hAnsi="Century" w:cs="Miriam" w:hint="cs"/>
          <w:b/>
          <w:spacing w:val="0"/>
          <w:szCs w:val="24"/>
          <w:rtl/>
        </w:rPr>
        <w:t>ביכולתן של רשויות המס להביט אל תוך קירבה וכרעיה של הפעילות העסקית המתקיימת, וגזירת חיוב המס העולה מתוכה</w:t>
      </w:r>
      <w:r>
        <w:rPr>
          <w:rFonts w:hint="cs"/>
          <w:rtl/>
        </w:rPr>
        <w:t>"; ועוד צוין כי מעשיו מנעו מרשויות המס להשית על דרעי מס אמת, ובכך נוצר פוטנציאל לפגיעה בקופה הציבורית.</w:t>
      </w:r>
    </w:p>
    <w:p w14:paraId="5824D29C" w14:textId="77777777" w:rsidR="00872AD0" w:rsidRDefault="00872AD0" w:rsidP="00872AD0">
      <w:pPr>
        <w:pStyle w:val="Ruller41"/>
        <w:rPr>
          <w:rtl/>
        </w:rPr>
      </w:pPr>
    </w:p>
    <w:p w14:paraId="17B07C92" w14:textId="77777777" w:rsidR="00872AD0" w:rsidRDefault="00872AD0" w:rsidP="00872AD0">
      <w:pPr>
        <w:pStyle w:val="Ruller41"/>
        <w:rPr>
          <w:rtl/>
        </w:rPr>
      </w:pPr>
      <w:r>
        <w:rPr>
          <w:rtl/>
        </w:rPr>
        <w:tab/>
      </w:r>
      <w:r>
        <w:rPr>
          <w:rFonts w:hint="cs"/>
          <w:rtl/>
        </w:rPr>
        <w:t xml:space="preserve">עוד עולה מגזר הדין, ומפרוטוקול הדיון שקדם לו, כי בקביעת העונש ייחס בית משפט השלום משקל משמעותי לקולא לעובדה שדרעי בחר להתפטר מתפקידו כחבר כנסת ולסיים את דרכו בזירה הפוליטית. החלטה זו הוצגה על ידי בא כוחו של דרעי כלקיחת אחריות על מעשיו הפליליים תוך מוכנות לשאת במחיר אישי כבד. הדברים צוטטו במלואם בחוות דעתם של חבריי הנשיאה </w:t>
      </w:r>
      <w:r w:rsidRPr="00C87277">
        <w:rPr>
          <w:rFonts w:ascii="Century" w:hAnsi="Century" w:cs="Miriam" w:hint="cs"/>
          <w:b/>
          <w:spacing w:val="0"/>
          <w:szCs w:val="24"/>
          <w:rtl/>
        </w:rPr>
        <w:t>א' חיות</w:t>
      </w:r>
      <w:r>
        <w:rPr>
          <w:rFonts w:hint="cs"/>
          <w:rtl/>
        </w:rPr>
        <w:t xml:space="preserve">, השופטת </w:t>
      </w:r>
      <w:r w:rsidRPr="00B608A7">
        <w:rPr>
          <w:rFonts w:ascii="Century" w:hAnsi="Century" w:cs="Miriam" w:hint="cs"/>
          <w:b/>
          <w:spacing w:val="0"/>
          <w:szCs w:val="24"/>
          <w:rtl/>
        </w:rPr>
        <w:t>ד' ברק-ארז</w:t>
      </w:r>
      <w:r>
        <w:rPr>
          <w:rFonts w:ascii="Century" w:hAnsi="Century" w:cs="Miriam" w:hint="cs"/>
          <w:b/>
          <w:spacing w:val="0"/>
          <w:szCs w:val="24"/>
          <w:rtl/>
        </w:rPr>
        <w:t xml:space="preserve"> </w:t>
      </w:r>
      <w:r w:rsidRPr="00C87277">
        <w:rPr>
          <w:rFonts w:ascii="Century" w:hAnsi="Century" w:hint="cs"/>
          <w:rtl/>
        </w:rPr>
        <w:t>והשופט</w:t>
      </w:r>
      <w:r w:rsidRPr="00C87277">
        <w:rPr>
          <w:rFonts w:ascii="Century" w:hAnsi="Century" w:cs="Miriam" w:hint="cs"/>
          <w:b/>
          <w:spacing w:val="0"/>
          <w:szCs w:val="24"/>
          <w:rtl/>
        </w:rPr>
        <w:t xml:space="preserve"> </w:t>
      </w:r>
      <w:r>
        <w:rPr>
          <w:rFonts w:ascii="Century" w:hAnsi="Century" w:cs="Miriam" w:hint="cs"/>
          <w:b/>
          <w:spacing w:val="0"/>
          <w:szCs w:val="24"/>
          <w:rtl/>
        </w:rPr>
        <w:t>א' שטיין</w:t>
      </w:r>
      <w:r>
        <w:rPr>
          <w:rFonts w:hint="cs"/>
          <w:rtl/>
        </w:rPr>
        <w:t xml:space="preserve">; וניכר מהדברים כי התפטרותו של דרעי נתפשה על ידי הערכאה הדיונית הן כוויתור משמעותי מצידו על כל פעילות ציבורית בכנסת או בממשלה, הן כאקט מניעתי המפחית באופן ממשי כל סיכון עתידי לפגיעה מצידו של דרעי בקופה הציבורית. </w:t>
      </w:r>
    </w:p>
    <w:p w14:paraId="68A7B4F8" w14:textId="77777777" w:rsidR="00872AD0" w:rsidRDefault="00872AD0" w:rsidP="00872AD0">
      <w:pPr>
        <w:pStyle w:val="Ruller41"/>
        <w:rPr>
          <w:rtl/>
        </w:rPr>
      </w:pPr>
    </w:p>
    <w:p w14:paraId="04D67653" w14:textId="77777777" w:rsidR="00872AD0" w:rsidRDefault="00872AD0" w:rsidP="00872AD0">
      <w:pPr>
        <w:pStyle w:val="Ruller41"/>
        <w:rPr>
          <w:rtl/>
        </w:rPr>
      </w:pPr>
      <w:r>
        <w:rPr>
          <w:rtl/>
        </w:rPr>
        <w:tab/>
      </w:r>
      <w:r>
        <w:rPr>
          <w:rFonts w:hint="cs"/>
          <w:rtl/>
        </w:rPr>
        <w:t xml:space="preserve">אלא שבחלוף יממה בלבד מעת שנגזר דינו, חזר בו דרעי באופן פומבי ומפורש מהצהרתו בנוגע לפרישה מהחיים הפוליטיים. מדובר בהתנערות מוחלטת מהמצג שהציג לבית המשפט, לאחר שמצג זה הביא לכך שנגזר עליו העונש שהוסכם בהסדר הטיעון ולכך שההליך הפלילי בעניינו הסתיים מבלי להידרש לשאלת הקלון, וכל זאת טרם שיבשה הדיו על גזר הדין. התנהלות זו מקוממת, מעידה על זלזול בבית המשפט, מבזה את סמכותו וחותרת תחת תוקפן המחייב של החלטותיו.   </w:t>
      </w:r>
    </w:p>
    <w:p w14:paraId="3285F4AB" w14:textId="77777777" w:rsidR="00872AD0" w:rsidRDefault="00872AD0" w:rsidP="00872AD0">
      <w:pPr>
        <w:pStyle w:val="Ruller41"/>
        <w:rPr>
          <w:rtl/>
        </w:rPr>
      </w:pPr>
    </w:p>
    <w:p w14:paraId="58080588" w14:textId="77777777" w:rsidR="00872AD0" w:rsidRDefault="00872AD0" w:rsidP="00872AD0">
      <w:pPr>
        <w:pStyle w:val="Ruller41"/>
        <w:rPr>
          <w:rtl/>
        </w:rPr>
      </w:pPr>
      <w:r>
        <w:rPr>
          <w:rFonts w:hint="cs"/>
          <w:rtl/>
        </w:rPr>
        <w:t>15.</w:t>
      </w:r>
      <w:r>
        <w:rPr>
          <w:rtl/>
        </w:rPr>
        <w:tab/>
      </w:r>
      <w:r>
        <w:rPr>
          <w:rFonts w:hint="cs"/>
          <w:rtl/>
        </w:rPr>
        <w:t xml:space="preserve">במערכה הבאה, שנפתחה פחות משנה לאחר שניתן גזר הדין בעבירות המס,  ביום 1.11.2022 דרעי התמודד בבחירות לכנסת ה-25 כראש מפלגת ש"ס ומפלגתו זכתה </w:t>
      </w:r>
      <w:r>
        <w:rPr>
          <w:rFonts w:hint="cs"/>
          <w:rtl/>
        </w:rPr>
        <w:lastRenderedPageBreak/>
        <w:t xml:space="preserve">לכ-400,000 קולות מן הציבור ול-11 מנדטים. בניגוד לעמדת היועצת המשפטית לממשלה מיום 17.11.2022, ראש הממשלה המיועד מר בנימין נתניהו נמנע מלפעול בהתאם למתווה שבסעיף 3 לחוק הממשלה, התשס"א-2001 </w:t>
      </w:r>
      <w:r>
        <w:rPr>
          <w:rtl/>
        </w:rPr>
        <w:t>–</w:t>
      </w:r>
      <w:r>
        <w:rPr>
          <w:rFonts w:hint="cs"/>
          <w:rtl/>
        </w:rPr>
        <w:t xml:space="preserve"> שלפיו היה עליו לפנות </w:t>
      </w:r>
      <w:r w:rsidRPr="005B2903">
        <w:rPr>
          <w:rFonts w:hint="eastAsia"/>
          <w:rtl/>
        </w:rPr>
        <w:t>ליושב</w:t>
      </w:r>
      <w:r w:rsidRPr="005B2903">
        <w:rPr>
          <w:rtl/>
        </w:rPr>
        <w:t xml:space="preserve"> </w:t>
      </w:r>
      <w:r w:rsidRPr="005B2903">
        <w:rPr>
          <w:rFonts w:hint="eastAsia"/>
          <w:rtl/>
        </w:rPr>
        <w:t>ראש</w:t>
      </w:r>
      <w:r w:rsidRPr="005B2903">
        <w:rPr>
          <w:rtl/>
        </w:rPr>
        <w:t xml:space="preserve"> </w:t>
      </w:r>
      <w:r w:rsidRPr="005B2903">
        <w:rPr>
          <w:rFonts w:hint="eastAsia"/>
          <w:rtl/>
        </w:rPr>
        <w:t>ועדת</w:t>
      </w:r>
      <w:r w:rsidRPr="005B2903">
        <w:rPr>
          <w:rtl/>
        </w:rPr>
        <w:t xml:space="preserve"> </w:t>
      </w:r>
      <w:r w:rsidRPr="005B2903">
        <w:rPr>
          <w:rFonts w:hint="eastAsia"/>
          <w:rtl/>
        </w:rPr>
        <w:t>הבחירות</w:t>
      </w:r>
      <w:r w:rsidRPr="005B2903">
        <w:rPr>
          <w:rtl/>
        </w:rPr>
        <w:t xml:space="preserve"> </w:t>
      </w:r>
      <w:r w:rsidRPr="005B2903">
        <w:rPr>
          <w:rFonts w:hint="eastAsia"/>
          <w:rtl/>
        </w:rPr>
        <w:t>המרכזית</w:t>
      </w:r>
      <w:r w:rsidRPr="005B2903">
        <w:rPr>
          <w:rtl/>
        </w:rPr>
        <w:t xml:space="preserve"> </w:t>
      </w:r>
      <w:r>
        <w:rPr>
          <w:rFonts w:hint="cs"/>
          <w:rtl/>
        </w:rPr>
        <w:t xml:space="preserve">על מנת שיקבע </w:t>
      </w:r>
      <w:r w:rsidRPr="00341035">
        <w:rPr>
          <w:rFonts w:ascii="Century" w:hAnsi="Century" w:hint="cs"/>
          <w:rtl/>
        </w:rPr>
        <w:t>אם</w:t>
      </w:r>
      <w:r w:rsidRPr="00341035">
        <w:rPr>
          <w:rFonts w:ascii="Century" w:hAnsi="Century"/>
          <w:rtl/>
        </w:rPr>
        <w:t xml:space="preserve"> </w:t>
      </w:r>
      <w:r>
        <w:rPr>
          <w:rFonts w:ascii="Century" w:hAnsi="Century" w:hint="cs"/>
          <w:rtl/>
        </w:rPr>
        <w:t>בעבירות המס שבהן הורשע</w:t>
      </w:r>
      <w:r w:rsidRPr="00341035">
        <w:rPr>
          <w:rFonts w:ascii="Century" w:hAnsi="Century" w:hint="cs"/>
          <w:rtl/>
        </w:rPr>
        <w:t xml:space="preserve"> דרעי</w:t>
      </w:r>
      <w:r w:rsidRPr="00341035">
        <w:rPr>
          <w:rFonts w:ascii="Century" w:hAnsi="Century" w:cs="Miriam" w:hint="cs"/>
          <w:b/>
          <w:spacing w:val="0"/>
          <w:szCs w:val="24"/>
          <w:rtl/>
        </w:rPr>
        <w:t xml:space="preserve"> </w:t>
      </w:r>
      <w:r>
        <w:rPr>
          <w:rFonts w:ascii="Century" w:hAnsi="Century" w:cs="Miriam" w:hint="cs"/>
          <w:b/>
          <w:spacing w:val="0"/>
          <w:szCs w:val="24"/>
          <w:rtl/>
        </w:rPr>
        <w:t>"</w:t>
      </w:r>
      <w:r w:rsidRPr="00A034C8">
        <w:rPr>
          <w:rFonts w:ascii="Century" w:hAnsi="Century" w:cs="Miriam" w:hint="eastAsia"/>
          <w:b/>
          <w:spacing w:val="0"/>
          <w:szCs w:val="24"/>
          <w:rtl/>
        </w:rPr>
        <w:t>אין</w:t>
      </w:r>
      <w:r w:rsidRPr="00A034C8">
        <w:rPr>
          <w:rFonts w:ascii="Century" w:hAnsi="Century" w:cs="Miriam"/>
          <w:b/>
          <w:spacing w:val="0"/>
          <w:szCs w:val="24"/>
          <w:rtl/>
        </w:rPr>
        <w:t xml:space="preserve"> </w:t>
      </w:r>
      <w:r w:rsidRPr="00A034C8">
        <w:rPr>
          <w:rFonts w:ascii="Century" w:hAnsi="Century" w:cs="Miriam" w:hint="eastAsia"/>
          <w:b/>
          <w:spacing w:val="0"/>
          <w:szCs w:val="24"/>
          <w:rtl/>
        </w:rPr>
        <w:t>משום</w:t>
      </w:r>
      <w:r w:rsidRPr="00A034C8">
        <w:rPr>
          <w:rFonts w:ascii="Century" w:hAnsi="Century" w:cs="Miriam"/>
          <w:b/>
          <w:spacing w:val="0"/>
          <w:szCs w:val="24"/>
          <w:rtl/>
        </w:rPr>
        <w:t xml:space="preserve"> </w:t>
      </w:r>
      <w:r w:rsidRPr="00A034C8">
        <w:rPr>
          <w:rFonts w:ascii="Century" w:hAnsi="Century" w:cs="Miriam" w:hint="eastAsia"/>
          <w:b/>
          <w:spacing w:val="0"/>
          <w:szCs w:val="24"/>
          <w:rtl/>
        </w:rPr>
        <w:t>קלון</w:t>
      </w:r>
      <w:r>
        <w:rPr>
          <w:rFonts w:ascii="Century" w:hAnsi="Century" w:cs="Miriam" w:hint="cs"/>
          <w:b/>
          <w:spacing w:val="0"/>
          <w:szCs w:val="24"/>
          <w:rtl/>
        </w:rPr>
        <w:t>"</w:t>
      </w:r>
      <w:r>
        <w:rPr>
          <w:rFonts w:hint="cs"/>
          <w:rtl/>
        </w:rPr>
        <w:t xml:space="preserve"> (כלשון סעיף 6(ג)(1) לחוק היסוד). תחת זאת, ביום 12.12.2022 הונחה על שולחן הכנסת הצעה לתיקון סעיף 6(ג)(1) לחוק היסוד </w:t>
      </w:r>
      <w:r>
        <w:rPr>
          <w:rtl/>
        </w:rPr>
        <w:t>–</w:t>
      </w:r>
      <w:r>
        <w:rPr>
          <w:rFonts w:hint="cs"/>
          <w:rtl/>
        </w:rPr>
        <w:t xml:space="preserve"> כך שהגבלת הכשירות שקבועה בו תחול רק ביחס למועמד לתפקיד שר שהושת עליו עונש מאסר </w:t>
      </w:r>
      <w:r w:rsidRPr="008A6EAE">
        <w:rPr>
          <w:rFonts w:ascii="Century" w:hAnsi="Century" w:cs="Miriam" w:hint="cs"/>
          <w:b/>
          <w:spacing w:val="0"/>
          <w:szCs w:val="24"/>
          <w:rtl/>
        </w:rPr>
        <w:t>בפועל</w:t>
      </w:r>
      <w:r>
        <w:rPr>
          <w:rFonts w:hint="cs"/>
          <w:rtl/>
        </w:rPr>
        <w:t xml:space="preserve">, כמפורט לעיל. בפסק דינה מפרטת הנשיאה </w:t>
      </w:r>
      <w:r w:rsidRPr="007A4639">
        <w:rPr>
          <w:rFonts w:ascii="Century" w:hAnsi="Century" w:cs="Miriam" w:hint="cs"/>
          <w:b/>
          <w:spacing w:val="0"/>
          <w:szCs w:val="24"/>
          <w:rtl/>
        </w:rPr>
        <w:t>א' חיות</w:t>
      </w:r>
      <w:r w:rsidRPr="007A4639">
        <w:rPr>
          <w:rFonts w:hint="cs"/>
          <w:rtl/>
        </w:rPr>
        <w:t xml:space="preserve"> </w:t>
      </w:r>
      <w:r>
        <w:rPr>
          <w:rFonts w:hint="cs"/>
          <w:rtl/>
        </w:rPr>
        <w:t xml:space="preserve">את הליך הבזק שבו נחקק התיקון לחוק היסוד ואת הוראת התחולה הייחודית שנקבעה בו (ראו שם, בסעיפים 21-16), ואין צורך לחזור ולפרט את האמור שם. </w:t>
      </w:r>
    </w:p>
    <w:p w14:paraId="46C92233" w14:textId="77777777" w:rsidR="00872AD0" w:rsidRDefault="00872AD0" w:rsidP="00872AD0">
      <w:pPr>
        <w:pStyle w:val="Ruller41"/>
        <w:rPr>
          <w:rtl/>
        </w:rPr>
      </w:pPr>
    </w:p>
    <w:p w14:paraId="2D31D8AB" w14:textId="77777777" w:rsidR="00872AD0" w:rsidRDefault="00872AD0" w:rsidP="00442AB3">
      <w:pPr>
        <w:pStyle w:val="Ruller41"/>
        <w:rPr>
          <w:rtl/>
        </w:rPr>
      </w:pPr>
      <w:r>
        <w:rPr>
          <w:rFonts w:hint="cs"/>
          <w:rtl/>
        </w:rPr>
        <w:t xml:space="preserve"> </w:t>
      </w:r>
      <w:r>
        <w:rPr>
          <w:rtl/>
        </w:rPr>
        <w:tab/>
      </w:r>
      <w:r>
        <w:rPr>
          <w:rFonts w:hint="cs"/>
          <w:rtl/>
        </w:rPr>
        <w:t>אבהיר כי תמימת דעים אני עם חברתי הנשיאה, כי התיקון לחוק היסוד "</w:t>
      </w:r>
      <w:r w:rsidRPr="006170E9">
        <w:rPr>
          <w:rFonts w:ascii="Century" w:hAnsi="Century" w:cs="Miriam" w:hint="cs"/>
          <w:b/>
          <w:spacing w:val="0"/>
          <w:szCs w:val="24"/>
          <w:rtl/>
        </w:rPr>
        <w:t>מדיף ריח חריף של פרסונליות משום שהוא נועד בראש ובראשונה כדי לסלול את הדרך למינוי</w:t>
      </w:r>
      <w:r w:rsidR="00497765">
        <w:rPr>
          <w:rFonts w:ascii="Century" w:hAnsi="Century" w:cs="Miriam" w:hint="cs"/>
          <w:b/>
          <w:spacing w:val="0"/>
          <w:szCs w:val="24"/>
          <w:rtl/>
        </w:rPr>
        <w:t>ו</w:t>
      </w:r>
      <w:r w:rsidRPr="006170E9">
        <w:rPr>
          <w:rFonts w:ascii="Century" w:hAnsi="Century" w:cs="Miriam" w:hint="cs"/>
          <w:b/>
          <w:spacing w:val="0"/>
          <w:szCs w:val="24"/>
          <w:rtl/>
        </w:rPr>
        <w:t xml:space="preserve"> של דרעי </w:t>
      </w:r>
      <w:r w:rsidR="00442AB3">
        <w:rPr>
          <w:rFonts w:ascii="Century" w:hAnsi="Century" w:cs="Miriam" w:hint="cs"/>
          <w:b/>
          <w:spacing w:val="0"/>
          <w:szCs w:val="24"/>
          <w:rtl/>
        </w:rPr>
        <w:t>ל</w:t>
      </w:r>
      <w:r w:rsidRPr="006170E9">
        <w:rPr>
          <w:rFonts w:ascii="Century" w:hAnsi="Century" w:cs="Miriam" w:hint="cs"/>
          <w:b/>
          <w:spacing w:val="0"/>
          <w:szCs w:val="24"/>
          <w:rtl/>
        </w:rPr>
        <w:t>שר</w:t>
      </w:r>
      <w:r>
        <w:rPr>
          <w:rFonts w:hint="cs"/>
          <w:rtl/>
        </w:rPr>
        <w:t>" (פסקה 42 לפסק דינה); וכי חקיקה מסוג זה גורמת ל"</w:t>
      </w:r>
      <w:r w:rsidRPr="00E411FD">
        <w:rPr>
          <w:rFonts w:ascii="Century" w:hAnsi="Century" w:cs="Miriam" w:hint="cs"/>
          <w:b/>
          <w:spacing w:val="0"/>
          <w:szCs w:val="24"/>
          <w:rtl/>
        </w:rPr>
        <w:t>שחיקה ולזילות מסוכנת במעמדם של חוקי היסוד</w:t>
      </w:r>
      <w:r>
        <w:rPr>
          <w:rFonts w:hint="cs"/>
          <w:rtl/>
        </w:rPr>
        <w:t xml:space="preserve"> </w:t>
      </w:r>
      <w:r w:rsidRPr="006170E9">
        <w:rPr>
          <w:rFonts w:ascii="Century" w:hAnsi="Century" w:cs="Miriam" w:hint="cs"/>
          <w:b/>
          <w:spacing w:val="0"/>
          <w:szCs w:val="24"/>
          <w:rtl/>
        </w:rPr>
        <w:t>שנועדו להיות פרקים מפוארים במפעל החוקה הישראלית</w:t>
      </w:r>
      <w:r>
        <w:rPr>
          <w:rFonts w:hint="cs"/>
          <w:rtl/>
        </w:rPr>
        <w:t>" (פסקה 43 לפסק דינה). ואולם כחבריי אף אני סבורה כי לא זה המקום לביקורת שיפוטית על חקיקת יסוד, שהיא כידוע חריגה ושמורה למקרים ייחודיים של שימוש לרעה בסמכות המכוננת (</w:t>
      </w:r>
      <w:r w:rsidRPr="00441412">
        <w:rPr>
          <w:rFonts w:hint="eastAsia"/>
          <w:rtl/>
        </w:rPr>
        <w:t>בג</w:t>
      </w:r>
      <w:r w:rsidRPr="00441412">
        <w:rPr>
          <w:rtl/>
        </w:rPr>
        <w:t>"</w:t>
      </w:r>
      <w:r w:rsidRPr="00441412">
        <w:rPr>
          <w:rFonts w:hint="eastAsia"/>
          <w:rtl/>
        </w:rPr>
        <w:t>ץ</w:t>
      </w:r>
      <w:r w:rsidRPr="00441412">
        <w:rPr>
          <w:rtl/>
        </w:rPr>
        <w:t xml:space="preserve"> 5969/20 </w:t>
      </w:r>
      <w:r w:rsidRPr="007F34C0">
        <w:rPr>
          <w:rFonts w:ascii="Century" w:hAnsi="Century" w:cs="Miriam" w:hint="eastAsia"/>
          <w:b/>
          <w:spacing w:val="0"/>
          <w:szCs w:val="24"/>
          <w:rtl/>
        </w:rPr>
        <w:t>שפיר</w:t>
      </w:r>
      <w:r w:rsidRPr="007F34C0">
        <w:rPr>
          <w:rFonts w:ascii="Century" w:hAnsi="Century" w:cs="Miriam"/>
          <w:b/>
          <w:spacing w:val="0"/>
          <w:szCs w:val="24"/>
          <w:rtl/>
        </w:rPr>
        <w:t xml:space="preserve"> </w:t>
      </w:r>
      <w:r w:rsidRPr="007F34C0">
        <w:rPr>
          <w:rFonts w:ascii="Century" w:hAnsi="Century" w:cs="Miriam" w:hint="eastAsia"/>
          <w:b/>
          <w:spacing w:val="0"/>
          <w:szCs w:val="24"/>
          <w:rtl/>
        </w:rPr>
        <w:t>נ</w:t>
      </w:r>
      <w:r w:rsidRPr="007F34C0">
        <w:rPr>
          <w:rFonts w:ascii="Century" w:hAnsi="Century" w:cs="Miriam"/>
          <w:b/>
          <w:spacing w:val="0"/>
          <w:szCs w:val="24"/>
          <w:rtl/>
        </w:rPr>
        <w:t xml:space="preserve">' </w:t>
      </w:r>
      <w:r w:rsidRPr="007F34C0">
        <w:rPr>
          <w:rFonts w:ascii="Century" w:hAnsi="Century" w:cs="Miriam" w:hint="eastAsia"/>
          <w:b/>
          <w:spacing w:val="0"/>
          <w:szCs w:val="24"/>
          <w:rtl/>
        </w:rPr>
        <w:t>הכנסת</w:t>
      </w:r>
      <w:r>
        <w:rPr>
          <w:rFonts w:hint="cs"/>
          <w:rtl/>
        </w:rPr>
        <w:t xml:space="preserve">, פסקאות 45-28 לפסק דינה של הנשיאה </w:t>
      </w:r>
      <w:r w:rsidRPr="007F34C0">
        <w:rPr>
          <w:rFonts w:ascii="Century" w:hAnsi="Century" w:cs="Miriam" w:hint="cs"/>
          <w:b/>
          <w:spacing w:val="0"/>
          <w:szCs w:val="24"/>
          <w:rtl/>
        </w:rPr>
        <w:t>א' חיות</w:t>
      </w:r>
      <w:r w:rsidRPr="007F34C0">
        <w:rPr>
          <w:rtl/>
        </w:rPr>
        <w:t xml:space="preserve"> </w:t>
      </w:r>
      <w:r>
        <w:rPr>
          <w:rtl/>
        </w:rPr>
        <w:t>(23.5.2021)</w:t>
      </w:r>
      <w:r>
        <w:rPr>
          <w:rFonts w:hint="cs"/>
          <w:rtl/>
        </w:rPr>
        <w:t xml:space="preserve">; בג"ץ 2905/20 </w:t>
      </w:r>
      <w:r w:rsidRPr="000E22C2">
        <w:rPr>
          <w:rFonts w:ascii="Century" w:hAnsi="Century" w:cs="Miriam" w:hint="cs"/>
          <w:b/>
          <w:spacing w:val="0"/>
          <w:szCs w:val="24"/>
          <w:rtl/>
        </w:rPr>
        <w:t xml:space="preserve">התנועה למען איכות השלטון בישראל נ' הכנסת </w:t>
      </w:r>
      <w:r>
        <w:rPr>
          <w:rFonts w:hint="cs"/>
          <w:rtl/>
        </w:rPr>
        <w:t xml:space="preserve">(12.7.2021), פסקה 10 לפסק דינו של השופט </w:t>
      </w:r>
      <w:r w:rsidRPr="000E22C2">
        <w:rPr>
          <w:rFonts w:ascii="Century" w:hAnsi="Century" w:cs="Miriam" w:hint="cs"/>
          <w:b/>
          <w:spacing w:val="0"/>
          <w:szCs w:val="24"/>
          <w:rtl/>
        </w:rPr>
        <w:t>נ' הנדל</w:t>
      </w:r>
      <w:r>
        <w:rPr>
          <w:rFonts w:hint="cs"/>
          <w:rtl/>
        </w:rPr>
        <w:t xml:space="preserve">). עילת הסבירות, לעומת זאת, היא תלם חרוש היטב ובו נכון שנצעד, בזהירות המתבקשת.  </w:t>
      </w:r>
    </w:p>
    <w:p w14:paraId="6C51DF4D" w14:textId="77777777" w:rsidR="00872AD0" w:rsidRDefault="00872AD0" w:rsidP="00872AD0">
      <w:pPr>
        <w:pStyle w:val="Ruller41"/>
        <w:rPr>
          <w:rtl/>
        </w:rPr>
      </w:pPr>
    </w:p>
    <w:p w14:paraId="1BF07C3E" w14:textId="77777777" w:rsidR="00872AD0" w:rsidRDefault="00872AD0" w:rsidP="00872AD0">
      <w:pPr>
        <w:pStyle w:val="Ruller41"/>
        <w:rPr>
          <w:rtl/>
        </w:rPr>
      </w:pPr>
      <w:r>
        <w:rPr>
          <w:rtl/>
        </w:rPr>
        <w:tab/>
      </w:r>
      <w:r>
        <w:rPr>
          <w:rFonts w:hint="cs"/>
          <w:rtl/>
        </w:rPr>
        <w:t xml:space="preserve">ובחזרה לענייננו. פעם ועוד פעם עלה בידו של דרעי לחמוק מהכרעה בסוגיית הקלון שבעבירות המס שבהן הורשע: פעם אחת במסגרת ההליך הפלילי עצמו, כאשר החליט להתפטר לשם כך מהכנסת והודיע על פרישתו מהחיים הפוליטיים; פעם שנייה לאחר שחזר בו מהתחייבות זו, ערב מינויו כשר לממשלה ה-37. כך, הגם ששאלת הקלון שבעבירות היא שאלה רבת משקל לעניין כשירותו לשמש כשר וכך גם לעניין סבירות המינוי. </w:t>
      </w:r>
    </w:p>
    <w:p w14:paraId="73DB2652" w14:textId="77777777" w:rsidR="00872AD0" w:rsidRDefault="00872AD0" w:rsidP="00872AD0">
      <w:pPr>
        <w:pStyle w:val="Ruller41"/>
        <w:spacing w:line="240" w:lineRule="auto"/>
        <w:rPr>
          <w:rtl/>
        </w:rPr>
      </w:pPr>
    </w:p>
    <w:p w14:paraId="395A02CA" w14:textId="77777777" w:rsidR="00872AD0" w:rsidRPr="00583436" w:rsidRDefault="00872AD0" w:rsidP="00872AD0">
      <w:pPr>
        <w:pStyle w:val="Ruller41"/>
        <w:rPr>
          <w:rFonts w:ascii="Century" w:hAnsi="Century" w:cs="Miriam"/>
          <w:b/>
          <w:spacing w:val="0"/>
          <w:szCs w:val="24"/>
          <w:rtl/>
        </w:rPr>
      </w:pPr>
      <w:r>
        <w:rPr>
          <w:rFonts w:ascii="Century" w:hAnsi="Century" w:cs="Miriam" w:hint="cs"/>
          <w:b/>
          <w:spacing w:val="0"/>
          <w:szCs w:val="24"/>
          <w:rtl/>
        </w:rPr>
        <w:t>איזון השיקולים ו</w:t>
      </w:r>
      <w:r w:rsidRPr="00583436">
        <w:rPr>
          <w:rFonts w:ascii="Century" w:hAnsi="Century" w:cs="Miriam" w:hint="cs"/>
          <w:b/>
          <w:spacing w:val="0"/>
          <w:szCs w:val="24"/>
          <w:rtl/>
        </w:rPr>
        <w:t xml:space="preserve">המסקנה </w:t>
      </w:r>
      <w:r>
        <w:rPr>
          <w:rFonts w:ascii="Century" w:hAnsi="Century" w:cs="Miriam" w:hint="cs"/>
          <w:b/>
          <w:spacing w:val="0"/>
          <w:szCs w:val="24"/>
          <w:rtl/>
        </w:rPr>
        <w:t>המתחייבת</w:t>
      </w:r>
    </w:p>
    <w:p w14:paraId="4D29C18B" w14:textId="77777777" w:rsidR="00872AD0" w:rsidRDefault="00872AD0" w:rsidP="00872AD0">
      <w:pPr>
        <w:pStyle w:val="Ruller41"/>
        <w:spacing w:line="240" w:lineRule="auto"/>
        <w:rPr>
          <w:rtl/>
        </w:rPr>
      </w:pPr>
    </w:p>
    <w:p w14:paraId="55F2DA3F" w14:textId="77777777" w:rsidR="00872AD0" w:rsidRDefault="00872AD0" w:rsidP="00872AD0">
      <w:pPr>
        <w:pStyle w:val="Ruller41"/>
        <w:rPr>
          <w:rtl/>
        </w:rPr>
      </w:pPr>
      <w:r>
        <w:rPr>
          <w:rFonts w:hint="cs"/>
          <w:rtl/>
        </w:rPr>
        <w:t>16.</w:t>
      </w:r>
      <w:r>
        <w:rPr>
          <w:rFonts w:hint="cs"/>
          <w:rtl/>
        </w:rPr>
        <w:tab/>
        <w:t xml:space="preserve"> נקודת המוצא לדיון בסבירות מינויו של דרעי כשר בממשלה ה-37 היא שמדובר באדם רב זכויות, שבמשך שנים רבות הקדיש את עצמו לעשייה ציבורית ענפה וצבר ניסיון פוליטי שלא יסולא בפז בתפקידים בכירים. דרעי ידוע כאדם כריזמטי, שמו הולך לפניו, ותוצאות הבחירות האחרונות לכנסת מעידות יותר מכל על כך שחלק נכבד </w:t>
      </w:r>
      <w:r>
        <w:rPr>
          <w:rFonts w:hint="cs"/>
          <w:rtl/>
        </w:rPr>
        <w:lastRenderedPageBreak/>
        <w:t xml:space="preserve">מהציבור רואה בו מנהיג. ברי כי יש תועלת ציבורית משמעותית במינויו כשר בממשלה, בשים לב לניסיונו ולכישוריו, וניכר כי מינוי זה אף נתפס על ידי ראש הממשלה כהכרחי להרכבת הממשלה. שיקולים אלה רבי-חשיבות בבחינת סבירות מינויו לתפקיד שר. </w:t>
      </w:r>
    </w:p>
    <w:p w14:paraId="60AB7A2D" w14:textId="77777777" w:rsidR="00872AD0" w:rsidRDefault="00872AD0" w:rsidP="00872AD0">
      <w:pPr>
        <w:pStyle w:val="Ruller41"/>
        <w:rPr>
          <w:rtl/>
        </w:rPr>
      </w:pPr>
    </w:p>
    <w:p w14:paraId="2D7B01A4" w14:textId="77777777" w:rsidR="00872AD0" w:rsidRDefault="00872AD0" w:rsidP="00872AD0">
      <w:pPr>
        <w:pStyle w:val="Ruller41"/>
        <w:rPr>
          <w:rtl/>
        </w:rPr>
      </w:pPr>
      <w:r>
        <w:rPr>
          <w:rtl/>
        </w:rPr>
        <w:tab/>
      </w:r>
      <w:r>
        <w:rPr>
          <w:rFonts w:hint="cs"/>
          <w:rtl/>
        </w:rPr>
        <w:t xml:space="preserve">עם זאת, מינויו של דרעי לשר חותר תחת עקרונות יסוד של הגינות שלטונית ושלטון החוק, באופן שאינו מאפשר לעבור לסדר היום. כמפורט לעיל, בראשית דרכו הציבורית ובמשך תקופה ארוכה של ימים ושנים, הנהיג דרעי "אווירת שוחד" בסביבותיו ועל כך הורשע בעבירות חמורות מתחום טוהר המידות. ישנן ראיות מנהליות לכך שבניסיון להיחלץ מליתן את הדין על מעשי שחיתות אלה, דרעי עשה שימוש פסול בכוחו הפוליטי כדי להביא למינויו של יועץ משפטי לממשלה שימתיק את הדין עבורו. זאת, תחת קבלת מרותו של הדין והכרה בחומרת המעשים שבהם שלח את ידו. לאחר שסיים לרצות את עונשו, ניתן היה לצפות מדרעי כי ירחיק עצמו מהדרך הרעה ויקפיד על טוהר המידות, </w:t>
      </w:r>
      <w:r w:rsidR="00EC73DD">
        <w:rPr>
          <w:rFonts w:hint="cs"/>
          <w:rtl/>
        </w:rPr>
        <w:t xml:space="preserve">על </w:t>
      </w:r>
      <w:r>
        <w:rPr>
          <w:rFonts w:hint="cs"/>
          <w:rtl/>
        </w:rPr>
        <w:t xml:space="preserve">קלה כחמורה. אלא שמתברר כי בד בבד עם חזרתו לחיים הפוליטיים בשנת 2013 חזר דרעי לסורו מעת שביצע את עבירות המס. עבירות אלה שבהן הורשע חותרות תחת עקרון השוויון בנטל המס שבו נושאים אזרחי המדינה. הן מצויות אמנם ברף נמוך יותר של חומרה מוסרית ביחס לעבירות השוחד והפרת האמונים שבהן הורשע דרעי בעבר הרחוק </w:t>
      </w:r>
      <w:r>
        <w:rPr>
          <w:rtl/>
        </w:rPr>
        <w:t>–</w:t>
      </w:r>
      <w:r>
        <w:rPr>
          <w:rFonts w:hint="cs"/>
          <w:rtl/>
        </w:rPr>
        <w:t xml:space="preserve"> ואולם לא מן הנמנע כי גם בהן דבק קלון; ויצוין כי לעמדת היועצת המשפטית לממשלה, כפי שהובאה לפנינו במסגרת הדיון בעתירות, בעבירות המס יש אמנם קלון וזו גם היתה עמדת היועץ המשפטי לממשלה ב"זמן אמת". מכל מקום, שאלת הקלון לא הוכרעה </w:t>
      </w:r>
      <w:r>
        <w:rPr>
          <w:rtl/>
        </w:rPr>
        <w:t>–</w:t>
      </w:r>
      <w:r>
        <w:rPr>
          <w:rFonts w:hint="cs"/>
          <w:rtl/>
        </w:rPr>
        <w:t xml:space="preserve"> לא על ידי בית המשפט שהרשיע את דרעי בעבירות המס, לא על ידי יושב ראש ועדת הבחירות; והימנעותו של דרעי מלהביא סוגיה זו להכרעה בהתאם למתווה שבחוק היסוד זועקת דרשני. ולבסוף, חזרתו הבוטה מהתחייבותו לפרוש מהחיים הפוליטיים, על פי המצג שהציג בפני בית משפט השלום ושהביא לאישור הסדר הטיעון שבו חפץ, מבזה את בית המשפט ומעידה על אי הפנמה של חומרת מעשיו.</w:t>
      </w:r>
    </w:p>
    <w:p w14:paraId="62FABCA1" w14:textId="77777777" w:rsidR="00872AD0" w:rsidRDefault="00872AD0" w:rsidP="00872AD0">
      <w:pPr>
        <w:pStyle w:val="Ruller41"/>
        <w:rPr>
          <w:rFonts w:ascii="FrankRuehl" w:hAnsi="FrankRuehl"/>
          <w:sz w:val="28"/>
          <w:rtl/>
        </w:rPr>
      </w:pPr>
    </w:p>
    <w:p w14:paraId="48235457" w14:textId="77777777" w:rsidR="00872AD0" w:rsidRDefault="00872AD0" w:rsidP="00872AD0">
      <w:pPr>
        <w:pStyle w:val="Ruller41"/>
        <w:rPr>
          <w:rFonts w:cs="Arial TUR"/>
          <w:szCs w:val="22"/>
        </w:rPr>
      </w:pPr>
      <w:r>
        <w:rPr>
          <w:rFonts w:ascii="FrankRuehl" w:hAnsi="FrankRuehl" w:hint="cs"/>
          <w:sz w:val="28"/>
          <w:rtl/>
        </w:rPr>
        <w:t>17.</w:t>
      </w:r>
      <w:r>
        <w:rPr>
          <w:rFonts w:ascii="FrankRuehl" w:hAnsi="FrankRuehl"/>
          <w:sz w:val="28"/>
          <w:rtl/>
        </w:rPr>
        <w:t xml:space="preserve">          מונח לנגד </w:t>
      </w:r>
      <w:r>
        <w:rPr>
          <w:rFonts w:ascii="FrankRuehl" w:hAnsi="FrankRuehl" w:hint="cs"/>
          <w:sz w:val="28"/>
          <w:rtl/>
        </w:rPr>
        <w:t>עינינו</w:t>
      </w:r>
      <w:r>
        <w:rPr>
          <w:rFonts w:ascii="FrankRuehl" w:hAnsi="FrankRuehl"/>
          <w:sz w:val="28"/>
          <w:rtl/>
        </w:rPr>
        <w:t xml:space="preserve"> צבר של הפרות חוק ואמון, שרשרת של חציית קווים אדומים. נדמה היה שהדברים מדברים בעד עצמם, </w:t>
      </w:r>
      <w:r>
        <w:rPr>
          <w:rFonts w:ascii="FrankRuehl" w:hAnsi="FrankRuehl" w:hint="cs"/>
          <w:sz w:val="28"/>
          <w:rtl/>
        </w:rPr>
        <w:t>אך</w:t>
      </w:r>
      <w:r>
        <w:rPr>
          <w:rFonts w:ascii="FrankRuehl" w:hAnsi="FrankRuehl"/>
          <w:sz w:val="28"/>
          <w:rtl/>
        </w:rPr>
        <w:t xml:space="preserve"> למרבה האבסורד היוצרות התהפכו כך </w:t>
      </w:r>
      <w:r>
        <w:rPr>
          <w:rFonts w:ascii="FrankRuehl" w:hAnsi="FrankRuehl" w:hint="cs"/>
          <w:sz w:val="28"/>
          <w:rtl/>
        </w:rPr>
        <w:t>שנדרשים הסברים</w:t>
      </w:r>
      <w:r>
        <w:rPr>
          <w:rFonts w:ascii="FrankRuehl" w:hAnsi="FrankRuehl"/>
          <w:sz w:val="28"/>
          <w:rtl/>
        </w:rPr>
        <w:t xml:space="preserve"> </w:t>
      </w:r>
      <w:r>
        <w:rPr>
          <w:rFonts w:ascii="FrankRuehl" w:hAnsi="FrankRuehl" w:hint="cs"/>
          <w:sz w:val="28"/>
          <w:rtl/>
        </w:rPr>
        <w:t>ל</w:t>
      </w:r>
      <w:r>
        <w:rPr>
          <w:rFonts w:ascii="FrankRuehl" w:hAnsi="FrankRuehl"/>
          <w:sz w:val="28"/>
          <w:rtl/>
        </w:rPr>
        <w:t>אי-הסבירות שבמינוי. לא נית</w:t>
      </w:r>
      <w:r>
        <w:rPr>
          <w:rFonts w:ascii="FrankRuehl" w:hAnsi="FrankRuehl" w:hint="cs"/>
          <w:sz w:val="28"/>
          <w:rtl/>
        </w:rPr>
        <w:t>ַ</w:t>
      </w:r>
      <w:r>
        <w:rPr>
          <w:rFonts w:ascii="FrankRuehl" w:hAnsi="FrankRuehl"/>
          <w:sz w:val="28"/>
          <w:rtl/>
        </w:rPr>
        <w:t>ן ל</w:t>
      </w:r>
      <w:r>
        <w:rPr>
          <w:rFonts w:ascii="FrankRuehl" w:hAnsi="FrankRuehl" w:hint="cs"/>
          <w:sz w:val="28"/>
          <w:rtl/>
        </w:rPr>
        <w:t>תת</w:t>
      </w:r>
      <w:r>
        <w:rPr>
          <w:rFonts w:ascii="FrankRuehl" w:hAnsi="FrankRuehl"/>
          <w:sz w:val="28"/>
          <w:rtl/>
        </w:rPr>
        <w:t xml:space="preserve"> </w:t>
      </w:r>
      <w:r>
        <w:rPr>
          <w:rFonts w:ascii="FrankRuehl" w:hAnsi="FrankRuehl" w:hint="cs"/>
          <w:sz w:val="28"/>
          <w:rtl/>
        </w:rPr>
        <w:t>יד</w:t>
      </w:r>
      <w:r>
        <w:rPr>
          <w:rFonts w:ascii="FrankRuehl" w:hAnsi="FrankRuehl"/>
          <w:sz w:val="28"/>
          <w:rtl/>
        </w:rPr>
        <w:t xml:space="preserve"> </w:t>
      </w:r>
      <w:r>
        <w:rPr>
          <w:rFonts w:ascii="FrankRuehl" w:hAnsi="FrankRuehl" w:hint="cs"/>
          <w:sz w:val="28"/>
          <w:rtl/>
        </w:rPr>
        <w:t>ל</w:t>
      </w:r>
      <w:r>
        <w:rPr>
          <w:rFonts w:ascii="FrankRuehl" w:hAnsi="FrankRuehl"/>
          <w:sz w:val="28"/>
          <w:rtl/>
        </w:rPr>
        <w:t xml:space="preserve">"נירמול" מצב </w:t>
      </w:r>
      <w:r>
        <w:rPr>
          <w:rFonts w:ascii="FrankRuehl" w:hAnsi="FrankRuehl" w:hint="cs"/>
          <w:sz w:val="28"/>
          <w:rtl/>
        </w:rPr>
        <w:t>ש</w:t>
      </w:r>
      <w:r>
        <w:rPr>
          <w:rFonts w:ascii="FrankRuehl" w:hAnsi="FrankRuehl"/>
          <w:sz w:val="28"/>
          <w:rtl/>
        </w:rPr>
        <w:t xml:space="preserve">בו מי שנושא </w:t>
      </w:r>
      <w:r>
        <w:rPr>
          <w:rFonts w:ascii="FrankRuehl" w:hAnsi="FrankRuehl" w:hint="cs"/>
          <w:sz w:val="28"/>
          <w:rtl/>
        </w:rPr>
        <w:t xml:space="preserve">על גבו </w:t>
      </w:r>
      <w:r>
        <w:rPr>
          <w:rFonts w:ascii="FrankRuehl" w:hAnsi="FrankRuehl"/>
          <w:sz w:val="28"/>
          <w:rtl/>
        </w:rPr>
        <w:t xml:space="preserve">מטען פלילי חורג לפי כל קנה מידה, </w:t>
      </w:r>
      <w:r>
        <w:rPr>
          <w:rFonts w:ascii="FrankRuehl" w:hAnsi="FrankRuehl" w:hint="cs"/>
          <w:sz w:val="28"/>
          <w:rtl/>
        </w:rPr>
        <w:t xml:space="preserve">ומבזה את בית המשפט בהצגת מצג שווא בנוגע לפרישתו מהחיים הפוליטיים, </w:t>
      </w:r>
      <w:r>
        <w:rPr>
          <w:rFonts w:ascii="FrankRuehl" w:hAnsi="FrankRuehl"/>
          <w:sz w:val="28"/>
          <w:rtl/>
        </w:rPr>
        <w:t xml:space="preserve">יכהן בתפקיד </w:t>
      </w:r>
      <w:r>
        <w:rPr>
          <w:rFonts w:ascii="FrankRuehl" w:hAnsi="FrankRuehl" w:hint="cs"/>
          <w:sz w:val="28"/>
          <w:rtl/>
        </w:rPr>
        <w:t>שר בישראל</w:t>
      </w:r>
      <w:r>
        <w:rPr>
          <w:rFonts w:ascii="FrankRuehl" w:hAnsi="FrankRuehl"/>
          <w:sz w:val="28"/>
          <w:rtl/>
        </w:rPr>
        <w:t xml:space="preserve">. תוצאה אחרת </w:t>
      </w:r>
      <w:r>
        <w:rPr>
          <w:rFonts w:ascii="FrankRuehl" w:hAnsi="FrankRuehl" w:hint="cs"/>
          <w:sz w:val="28"/>
          <w:rtl/>
        </w:rPr>
        <w:t>תביא</w:t>
      </w:r>
      <w:r>
        <w:rPr>
          <w:rFonts w:ascii="FrankRuehl" w:hAnsi="FrankRuehl"/>
          <w:sz w:val="28"/>
          <w:rtl/>
        </w:rPr>
        <w:t xml:space="preserve"> ל</w:t>
      </w:r>
      <w:r>
        <w:rPr>
          <w:rFonts w:ascii="FrankRuehl" w:hAnsi="FrankRuehl" w:hint="cs"/>
          <w:sz w:val="28"/>
          <w:rtl/>
        </w:rPr>
        <w:t>זילות ערכי היסוד של שלטון</w:t>
      </w:r>
      <w:r>
        <w:rPr>
          <w:rFonts w:ascii="FrankRuehl" w:hAnsi="FrankRuehl"/>
          <w:sz w:val="28"/>
          <w:rtl/>
        </w:rPr>
        <w:t xml:space="preserve"> </w:t>
      </w:r>
      <w:r>
        <w:rPr>
          <w:rFonts w:ascii="FrankRuehl" w:hAnsi="FrankRuehl" w:hint="cs"/>
          <w:sz w:val="28"/>
          <w:rtl/>
        </w:rPr>
        <w:t xml:space="preserve">החוק וטוהר מידות שלטוני, </w:t>
      </w:r>
      <w:r>
        <w:rPr>
          <w:rFonts w:ascii="FrankRuehl" w:hAnsi="FrankRuehl"/>
          <w:sz w:val="28"/>
          <w:rtl/>
        </w:rPr>
        <w:t xml:space="preserve">שהם </w:t>
      </w:r>
      <w:r>
        <w:rPr>
          <w:rFonts w:ascii="FrankRuehl" w:hAnsi="FrankRuehl" w:hint="cs"/>
          <w:sz w:val="28"/>
          <w:rtl/>
        </w:rPr>
        <w:t>מ</w:t>
      </w:r>
      <w:r>
        <w:rPr>
          <w:rFonts w:ascii="FrankRuehl" w:hAnsi="FrankRuehl"/>
          <w:sz w:val="28"/>
          <w:rtl/>
        </w:rPr>
        <w:t>אבני</w:t>
      </w:r>
      <w:r>
        <w:rPr>
          <w:rFonts w:ascii="FrankRuehl" w:hAnsi="FrankRuehl" w:hint="cs"/>
          <w:sz w:val="28"/>
          <w:rtl/>
        </w:rPr>
        <w:t xml:space="preserve"> הבניין</w:t>
      </w:r>
      <w:r>
        <w:rPr>
          <w:rFonts w:ascii="FrankRuehl" w:hAnsi="FrankRuehl"/>
          <w:sz w:val="28"/>
          <w:rtl/>
        </w:rPr>
        <w:t xml:space="preserve"> </w:t>
      </w:r>
      <w:r>
        <w:rPr>
          <w:rFonts w:ascii="FrankRuehl" w:hAnsi="FrankRuehl" w:hint="cs"/>
          <w:sz w:val="28"/>
          <w:rtl/>
        </w:rPr>
        <w:t xml:space="preserve">שעליהן מושתתת </w:t>
      </w:r>
      <w:r>
        <w:rPr>
          <w:rFonts w:ascii="FrankRuehl" w:hAnsi="FrankRuehl"/>
          <w:sz w:val="28"/>
          <w:rtl/>
        </w:rPr>
        <w:t>הדמוקרטיה בישראל.</w:t>
      </w:r>
    </w:p>
    <w:p w14:paraId="0E675E02" w14:textId="77777777" w:rsidR="00872AD0" w:rsidRDefault="00872AD0" w:rsidP="00872AD0">
      <w:pPr>
        <w:pStyle w:val="Ruller41"/>
        <w:rPr>
          <w:rtl/>
        </w:rPr>
      </w:pPr>
    </w:p>
    <w:p w14:paraId="2E8E2262" w14:textId="77777777" w:rsidR="00872AD0" w:rsidRDefault="00872AD0" w:rsidP="00872AD0">
      <w:pPr>
        <w:pStyle w:val="Ruller41"/>
        <w:rPr>
          <w:rtl/>
        </w:rPr>
      </w:pPr>
      <w:r>
        <w:rPr>
          <w:rtl/>
        </w:rPr>
        <w:lastRenderedPageBreak/>
        <w:tab/>
      </w:r>
      <w:r>
        <w:rPr>
          <w:rFonts w:hint="cs"/>
          <w:rtl/>
        </w:rPr>
        <w:t xml:space="preserve">סופו של דבר, אני מצטרפת לתוצאה המוצעת על ידי הנשיאה </w:t>
      </w:r>
      <w:r w:rsidRPr="007B02FB">
        <w:rPr>
          <w:rFonts w:ascii="Century" w:hAnsi="Century" w:cs="Miriam" w:hint="cs"/>
          <w:b/>
          <w:spacing w:val="0"/>
          <w:szCs w:val="24"/>
          <w:rtl/>
        </w:rPr>
        <w:t>א' חיות</w:t>
      </w:r>
      <w:r>
        <w:rPr>
          <w:rFonts w:hint="cs"/>
          <w:rtl/>
        </w:rPr>
        <w:t xml:space="preserve"> שלפיה נורה לראש הממשלה להפעיל את סמכותו ולהעביר את דרעי מתפקידיו כשר הפנים ושר הבריאות.</w:t>
      </w:r>
    </w:p>
    <w:p w14:paraId="1DC9D129" w14:textId="77777777" w:rsidR="00EF114E" w:rsidRDefault="00EF114E" w:rsidP="00EF114E">
      <w:pPr>
        <w:pStyle w:val="BODYVERDICT"/>
        <w:rPr>
          <w:rFonts w:cs="Miriam"/>
          <w:b/>
          <w:bCs/>
          <w:sz w:val="24"/>
          <w:szCs w:val="24"/>
          <w:rtl/>
        </w:rPr>
      </w:pPr>
    </w:p>
    <w:p w14:paraId="6269D747"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r w:rsidR="00872AD0">
        <w:rPr>
          <w:rFonts w:ascii="FrankRuehl" w:hAnsi="FrankRuehl" w:hint="cs"/>
          <w:sz w:val="28"/>
          <w:rtl/>
        </w:rPr>
        <w:t xml:space="preserve"> ת </w:t>
      </w:r>
    </w:p>
    <w:p w14:paraId="1174A047" w14:textId="77777777" w:rsidR="00EF114E" w:rsidRDefault="00EF114E" w:rsidP="00EF114E">
      <w:pPr>
        <w:pStyle w:val="BODYVERDICT"/>
        <w:rPr>
          <w:rFonts w:ascii="FrankRuehl" w:hAnsi="FrankRuehl"/>
          <w:sz w:val="28"/>
          <w:rtl/>
        </w:rPr>
      </w:pPr>
    </w:p>
    <w:p w14:paraId="42358355" w14:textId="77777777" w:rsidR="00B65D90" w:rsidRDefault="00B65D90" w:rsidP="0045550F">
      <w:pPr>
        <w:pStyle w:val="BODYVERDICT"/>
        <w:rPr>
          <w:rFonts w:cs="Miriam"/>
          <w:sz w:val="24"/>
          <w:szCs w:val="24"/>
          <w:u w:val="single"/>
          <w:rtl/>
        </w:rPr>
      </w:pPr>
    </w:p>
    <w:p w14:paraId="19FC2EEB" w14:textId="77777777" w:rsidR="00EF114E" w:rsidRDefault="00EF114E" w:rsidP="0045550F">
      <w:pPr>
        <w:pStyle w:val="BODYVERDICT"/>
        <w:rPr>
          <w:rFonts w:cs="Miriam"/>
          <w:sz w:val="24"/>
          <w:szCs w:val="24"/>
          <w:u w:val="single"/>
          <w:rtl/>
        </w:rPr>
      </w:pPr>
      <w:r w:rsidRPr="0083330E">
        <w:rPr>
          <w:rFonts w:cs="Miriam"/>
          <w:sz w:val="24"/>
          <w:szCs w:val="24"/>
          <w:u w:val="single"/>
          <w:rtl/>
        </w:rPr>
        <w:t>ה</w:t>
      </w:r>
      <w:r>
        <w:rPr>
          <w:rFonts w:cs="Miriam" w:hint="cs"/>
          <w:sz w:val="24"/>
          <w:szCs w:val="24"/>
          <w:u w:val="single"/>
          <w:rtl/>
        </w:rPr>
        <w:t>שופט ע</w:t>
      </w:r>
      <w:r w:rsidR="0045550F">
        <w:rPr>
          <w:rFonts w:cs="Miriam" w:hint="cs"/>
          <w:sz w:val="24"/>
          <w:szCs w:val="24"/>
          <w:u w:val="single"/>
          <w:rtl/>
        </w:rPr>
        <w:t>'</w:t>
      </w:r>
      <w:r>
        <w:rPr>
          <w:rFonts w:cs="Miriam" w:hint="cs"/>
          <w:sz w:val="24"/>
          <w:szCs w:val="24"/>
          <w:u w:val="single"/>
          <w:rtl/>
        </w:rPr>
        <w:t xml:space="preserve"> גרוסקופף:</w:t>
      </w:r>
    </w:p>
    <w:p w14:paraId="7AA0BB71" w14:textId="77777777" w:rsidR="001B1382" w:rsidRDefault="001B1382" w:rsidP="001B1382">
      <w:pPr>
        <w:pStyle w:val="Ruller41"/>
        <w:rPr>
          <w:rtl/>
        </w:rPr>
      </w:pPr>
    </w:p>
    <w:p w14:paraId="0343E899" w14:textId="77777777" w:rsidR="001B1382" w:rsidRDefault="001B1382" w:rsidP="001B1382">
      <w:pPr>
        <w:spacing w:line="360" w:lineRule="auto"/>
        <w:ind w:firstLine="720"/>
        <w:jc w:val="both"/>
        <w:rPr>
          <w:rFonts w:ascii="Arial TUR" w:hAnsi="Arial TUR" w:cs="FrankRuehl"/>
          <w:spacing w:val="10"/>
          <w:szCs w:val="28"/>
          <w:rtl/>
        </w:rPr>
      </w:pPr>
      <w:r w:rsidRPr="005E2BA6">
        <w:rPr>
          <w:rFonts w:ascii="Arial TUR" w:hAnsi="Arial TUR" w:cs="FrankRuehl" w:hint="cs"/>
          <w:spacing w:val="10"/>
          <w:szCs w:val="28"/>
          <w:rtl/>
        </w:rPr>
        <w:t>אני מצטרף לעמד</w:t>
      </w:r>
      <w:r>
        <w:rPr>
          <w:rFonts w:ascii="Arial TUR" w:hAnsi="Arial TUR" w:cs="FrankRuehl" w:hint="cs"/>
          <w:spacing w:val="10"/>
          <w:szCs w:val="28"/>
          <w:rtl/>
        </w:rPr>
        <w:t xml:space="preserve">ה </w:t>
      </w:r>
      <w:r w:rsidRPr="005E2BA6">
        <w:rPr>
          <w:rFonts w:ascii="Arial TUR" w:hAnsi="Arial TUR" w:cs="FrankRuehl" w:hint="cs"/>
          <w:spacing w:val="10"/>
          <w:szCs w:val="28"/>
          <w:rtl/>
        </w:rPr>
        <w:t xml:space="preserve">לפיה יש לקבל את העתירות, כמוצע בפסקה 77 לחוות דעתה של חברתי, הנשיאה </w:t>
      </w:r>
      <w:r w:rsidRPr="00D140AE">
        <w:rPr>
          <w:rFonts w:ascii="Century" w:hAnsi="Century" w:cs="Miriam" w:hint="eastAsia"/>
          <w:b/>
          <w:rtl/>
        </w:rPr>
        <w:t>אסתר</w:t>
      </w:r>
      <w:r w:rsidRPr="00D140AE">
        <w:rPr>
          <w:rFonts w:ascii="Century" w:hAnsi="Century" w:cs="Miriam"/>
          <w:b/>
          <w:rtl/>
        </w:rPr>
        <w:t xml:space="preserve"> </w:t>
      </w:r>
      <w:r w:rsidRPr="00D140AE">
        <w:rPr>
          <w:rFonts w:ascii="Century" w:hAnsi="Century" w:cs="Miriam" w:hint="eastAsia"/>
          <w:b/>
          <w:rtl/>
        </w:rPr>
        <w:t>חיות</w:t>
      </w:r>
      <w:r w:rsidRPr="005E2BA6">
        <w:rPr>
          <w:rFonts w:ascii="Arial TUR" w:hAnsi="Arial TUR" w:cs="FrankRuehl" w:hint="cs"/>
          <w:spacing w:val="10"/>
          <w:szCs w:val="28"/>
          <w:rtl/>
        </w:rPr>
        <w:t xml:space="preserve">. חברותיי וחבריי הרחיבו והעמיקו בניתוח הדברים, ועל כן אוכל לצמצם </w:t>
      </w:r>
      <w:r>
        <w:rPr>
          <w:rFonts w:ascii="Arial TUR" w:hAnsi="Arial TUR" w:cs="FrankRuehl" w:hint="cs"/>
          <w:spacing w:val="10"/>
          <w:szCs w:val="28"/>
          <w:rtl/>
        </w:rPr>
        <w:t xml:space="preserve">את </w:t>
      </w:r>
      <w:r w:rsidRPr="005E2BA6">
        <w:rPr>
          <w:rFonts w:ascii="Arial TUR" w:hAnsi="Arial TUR" w:cs="FrankRuehl" w:hint="cs"/>
          <w:spacing w:val="10"/>
          <w:szCs w:val="28"/>
          <w:rtl/>
        </w:rPr>
        <w:t>התייחסותי למספר הערות קצרות.</w:t>
      </w:r>
    </w:p>
    <w:p w14:paraId="5F3EE383" w14:textId="77777777" w:rsidR="001B1382" w:rsidRDefault="001B1382" w:rsidP="001B1382">
      <w:pPr>
        <w:spacing w:line="360" w:lineRule="auto"/>
        <w:rPr>
          <w:rFonts w:ascii="Arial TUR" w:hAnsi="Arial TUR" w:cs="FrankRuehl"/>
          <w:spacing w:val="10"/>
          <w:szCs w:val="28"/>
          <w:rtl/>
        </w:rPr>
      </w:pPr>
    </w:p>
    <w:p w14:paraId="0AAAFFB2" w14:textId="77777777" w:rsidR="001B1382" w:rsidRDefault="001B1382" w:rsidP="001B1382">
      <w:pPr>
        <w:spacing w:line="360" w:lineRule="auto"/>
        <w:jc w:val="both"/>
        <w:rPr>
          <w:rFonts w:ascii="Arial TUR" w:hAnsi="Arial TUR" w:cs="FrankRuehl"/>
          <w:spacing w:val="10"/>
          <w:szCs w:val="28"/>
          <w:rtl/>
        </w:rPr>
      </w:pPr>
      <w:r>
        <w:rPr>
          <w:rFonts w:ascii="Arial TUR" w:hAnsi="Arial TUR" w:cs="FrankRuehl" w:hint="cs"/>
          <w:spacing w:val="10"/>
          <w:szCs w:val="28"/>
          <w:rtl/>
        </w:rPr>
        <w:t>1.</w:t>
      </w:r>
      <w:r>
        <w:rPr>
          <w:rFonts w:ascii="Arial TUR" w:hAnsi="Arial TUR" w:cs="FrankRuehl"/>
          <w:spacing w:val="10"/>
          <w:szCs w:val="28"/>
          <w:rtl/>
        </w:rPr>
        <w:tab/>
      </w:r>
      <w:r>
        <w:rPr>
          <w:rFonts w:ascii="Arial TUR" w:hAnsi="Arial TUR" w:cs="FrankRuehl" w:hint="cs"/>
          <w:spacing w:val="10"/>
          <w:szCs w:val="28"/>
          <w:rtl/>
        </w:rPr>
        <w:t>ב</w:t>
      </w:r>
      <w:r w:rsidRPr="00D140AE">
        <w:rPr>
          <w:rFonts w:ascii="Century" w:hAnsi="Century" w:cs="Miriam" w:hint="eastAsia"/>
          <w:b/>
          <w:rtl/>
        </w:rPr>
        <w:t>מישור</w:t>
      </w:r>
      <w:r w:rsidRPr="00D140AE">
        <w:rPr>
          <w:rFonts w:ascii="Century" w:hAnsi="Century" w:cs="Miriam"/>
          <w:b/>
          <w:rtl/>
        </w:rPr>
        <w:t xml:space="preserve"> </w:t>
      </w:r>
      <w:proofErr w:type="spellStart"/>
      <w:r w:rsidRPr="00D140AE">
        <w:rPr>
          <w:rFonts w:ascii="Century" w:hAnsi="Century" w:cs="Miriam" w:hint="eastAsia"/>
          <w:b/>
          <w:rtl/>
        </w:rPr>
        <w:t>הדוקטרינ</w:t>
      </w:r>
      <w:r>
        <w:rPr>
          <w:rFonts w:ascii="Century" w:hAnsi="Century" w:cs="Miriam" w:hint="cs"/>
          <w:b/>
          <w:rtl/>
        </w:rPr>
        <w:t>רי</w:t>
      </w:r>
      <w:proofErr w:type="spellEnd"/>
      <w:r>
        <w:rPr>
          <w:rFonts w:ascii="Arial TUR" w:hAnsi="Arial TUR" w:cs="FrankRuehl" w:hint="cs"/>
          <w:spacing w:val="10"/>
          <w:szCs w:val="28"/>
          <w:rtl/>
        </w:rPr>
        <w:t xml:space="preserve">, </w:t>
      </w:r>
      <w:r w:rsidRPr="005E2BA6">
        <w:rPr>
          <w:rFonts w:ascii="Arial TUR" w:hAnsi="Arial TUR" w:cs="FrankRuehl" w:hint="cs"/>
          <w:spacing w:val="10"/>
          <w:szCs w:val="28"/>
          <w:rtl/>
        </w:rPr>
        <w:t xml:space="preserve">קבלת העתירות מנומקת על ידי </w:t>
      </w:r>
      <w:r>
        <w:rPr>
          <w:rFonts w:ascii="Arial TUR" w:hAnsi="Arial TUR" w:cs="FrankRuehl" w:hint="cs"/>
          <w:spacing w:val="10"/>
          <w:szCs w:val="28"/>
          <w:rtl/>
        </w:rPr>
        <w:t xml:space="preserve">חברותיי וחבריי בשני קווי הנמקה </w:t>
      </w:r>
      <w:r w:rsidRPr="005E2BA6">
        <w:rPr>
          <w:rFonts w:ascii="Arial TUR" w:hAnsi="Arial TUR" w:cs="FrankRuehl" w:hint="cs"/>
          <w:spacing w:val="10"/>
          <w:szCs w:val="28"/>
          <w:rtl/>
        </w:rPr>
        <w:t>שונים:</w:t>
      </w:r>
      <w:r>
        <w:rPr>
          <w:rFonts w:ascii="Arial TUR" w:hAnsi="Arial TUR" w:cs="FrankRuehl" w:hint="cs"/>
          <w:spacing w:val="10"/>
          <w:szCs w:val="28"/>
          <w:rtl/>
        </w:rPr>
        <w:t xml:space="preserve"> קו ההנמקה האחד, אותו מובילה</w:t>
      </w:r>
      <w:r w:rsidRPr="005E2BA6">
        <w:rPr>
          <w:rFonts w:ascii="Arial TUR" w:hAnsi="Arial TUR" w:cs="FrankRuehl" w:hint="cs"/>
          <w:spacing w:val="10"/>
          <w:szCs w:val="28"/>
          <w:rtl/>
        </w:rPr>
        <w:t xml:space="preserve"> הנשיאה</w:t>
      </w:r>
      <w:r>
        <w:rPr>
          <w:rFonts w:ascii="Arial TUR" w:hAnsi="Arial TUR" w:cs="FrankRuehl" w:hint="cs"/>
          <w:spacing w:val="10"/>
          <w:szCs w:val="28"/>
          <w:rtl/>
        </w:rPr>
        <w:t xml:space="preserve"> </w:t>
      </w:r>
      <w:r w:rsidRPr="00D140AE">
        <w:rPr>
          <w:rFonts w:ascii="Century" w:hAnsi="Century" w:cs="Miriam" w:hint="eastAsia"/>
          <w:b/>
          <w:rtl/>
        </w:rPr>
        <w:t>אסתר</w:t>
      </w:r>
      <w:r w:rsidRPr="00D140AE">
        <w:rPr>
          <w:rFonts w:ascii="Century" w:hAnsi="Century" w:cs="Miriam"/>
          <w:b/>
          <w:rtl/>
        </w:rPr>
        <w:t xml:space="preserve"> </w:t>
      </w:r>
      <w:r w:rsidRPr="00D140AE">
        <w:rPr>
          <w:rFonts w:ascii="Century" w:hAnsi="Century" w:cs="Miriam" w:hint="eastAsia"/>
          <w:b/>
          <w:rtl/>
        </w:rPr>
        <w:t>חיות</w:t>
      </w:r>
      <w:r w:rsidRPr="005E2BA6">
        <w:rPr>
          <w:rFonts w:ascii="Arial TUR" w:hAnsi="Arial TUR" w:cs="FrankRuehl" w:hint="cs"/>
          <w:spacing w:val="10"/>
          <w:szCs w:val="28"/>
          <w:rtl/>
        </w:rPr>
        <w:t>, נסמ</w:t>
      </w:r>
      <w:r>
        <w:rPr>
          <w:rFonts w:ascii="Arial TUR" w:hAnsi="Arial TUR" w:cs="FrankRuehl" w:hint="cs"/>
          <w:spacing w:val="10"/>
          <w:szCs w:val="28"/>
          <w:rtl/>
        </w:rPr>
        <w:t>ך</w:t>
      </w:r>
      <w:r w:rsidRPr="005E2BA6">
        <w:rPr>
          <w:rFonts w:ascii="Arial TUR" w:hAnsi="Arial TUR" w:cs="FrankRuehl" w:hint="cs"/>
          <w:spacing w:val="10"/>
          <w:szCs w:val="28"/>
          <w:rtl/>
        </w:rPr>
        <w:t xml:space="preserve"> על עילת הסבירות, ומעמיד במרכז הבמה את שלוש הרשעותיו הפליליות של </w:t>
      </w:r>
      <w:r>
        <w:rPr>
          <w:rFonts w:ascii="Arial TUR" w:hAnsi="Arial TUR" w:cs="FrankRuehl" w:hint="cs"/>
          <w:spacing w:val="10"/>
          <w:szCs w:val="28"/>
          <w:rtl/>
        </w:rPr>
        <w:t>חבר הכנסת הרב אריה מכלוף</w:t>
      </w:r>
      <w:r w:rsidRPr="005E2BA6">
        <w:rPr>
          <w:rFonts w:ascii="Arial TUR" w:hAnsi="Arial TUR" w:cs="FrankRuehl" w:hint="cs"/>
          <w:spacing w:val="10"/>
          <w:szCs w:val="28"/>
          <w:rtl/>
        </w:rPr>
        <w:t xml:space="preserve"> דרעי</w:t>
      </w:r>
      <w:r>
        <w:rPr>
          <w:rFonts w:ascii="Arial TUR" w:hAnsi="Arial TUR" w:cs="FrankRuehl" w:hint="cs"/>
          <w:spacing w:val="10"/>
          <w:szCs w:val="28"/>
          <w:rtl/>
        </w:rPr>
        <w:t xml:space="preserve"> (להלן: </w:t>
      </w:r>
      <w:r w:rsidRPr="00D140AE">
        <w:rPr>
          <w:rFonts w:ascii="Century" w:hAnsi="Century" w:cs="Miriam" w:hint="eastAsia"/>
          <w:b/>
          <w:rtl/>
        </w:rPr>
        <w:t>חה</w:t>
      </w:r>
      <w:r w:rsidRPr="00D140AE">
        <w:rPr>
          <w:rFonts w:ascii="Century" w:hAnsi="Century" w:cs="Miriam"/>
          <w:b/>
          <w:rtl/>
        </w:rPr>
        <w:t>"כ</w:t>
      </w:r>
      <w:r w:rsidRPr="008E3EA9">
        <w:rPr>
          <w:rFonts w:ascii="Arial TUR" w:hAnsi="Arial TUR" w:cs="FrankRuehl" w:hint="cs"/>
          <w:spacing w:val="10"/>
          <w:szCs w:val="28"/>
          <w:rtl/>
        </w:rPr>
        <w:t xml:space="preserve"> </w:t>
      </w:r>
      <w:r w:rsidRPr="00D140AE">
        <w:rPr>
          <w:rFonts w:ascii="Century" w:hAnsi="Century" w:cs="Miriam" w:hint="eastAsia"/>
          <w:b/>
          <w:rtl/>
        </w:rPr>
        <w:t>דרעי</w:t>
      </w:r>
      <w:r>
        <w:rPr>
          <w:rFonts w:ascii="Arial TUR" w:hAnsi="Arial TUR" w:cs="FrankRuehl" w:hint="cs"/>
          <w:spacing w:val="10"/>
          <w:szCs w:val="28"/>
          <w:rtl/>
        </w:rPr>
        <w:t>)</w:t>
      </w:r>
      <w:r w:rsidRPr="005E2BA6">
        <w:rPr>
          <w:rFonts w:ascii="Arial TUR" w:hAnsi="Arial TUR" w:cs="FrankRuehl" w:hint="cs"/>
          <w:spacing w:val="10"/>
          <w:szCs w:val="28"/>
          <w:rtl/>
        </w:rPr>
        <w:t xml:space="preserve">, וכשחקן משנה את התנהלותו הפגומה במסגרת ההליך הפלילי שהתנהל בעניינו באחרונה; </w:t>
      </w:r>
      <w:r>
        <w:rPr>
          <w:rFonts w:ascii="Arial TUR" w:hAnsi="Arial TUR" w:cs="FrankRuehl" w:hint="cs"/>
          <w:spacing w:val="10"/>
          <w:szCs w:val="28"/>
          <w:rtl/>
        </w:rPr>
        <w:t>קו ההנמקה השני, המוצג ב</w:t>
      </w:r>
      <w:r w:rsidRPr="005E2BA6">
        <w:rPr>
          <w:rFonts w:ascii="Arial TUR" w:hAnsi="Arial TUR" w:cs="FrankRuehl" w:hint="cs"/>
          <w:spacing w:val="10"/>
          <w:szCs w:val="28"/>
          <w:rtl/>
        </w:rPr>
        <w:t>עמד</w:t>
      </w:r>
      <w:r>
        <w:rPr>
          <w:rFonts w:ascii="Arial TUR" w:hAnsi="Arial TUR" w:cs="FrankRuehl" w:hint="cs"/>
          <w:spacing w:val="10"/>
          <w:szCs w:val="28"/>
          <w:rtl/>
        </w:rPr>
        <w:t>ותיהם של</w:t>
      </w:r>
      <w:r w:rsidRPr="005E2BA6">
        <w:rPr>
          <w:rFonts w:ascii="Arial TUR" w:hAnsi="Arial TUR" w:cs="FrankRuehl" w:hint="cs"/>
          <w:spacing w:val="10"/>
          <w:szCs w:val="28"/>
          <w:rtl/>
        </w:rPr>
        <w:t xml:space="preserve"> השופטת </w:t>
      </w:r>
      <w:r w:rsidRPr="00D140AE">
        <w:rPr>
          <w:rFonts w:ascii="Century" w:hAnsi="Century" w:cs="Miriam" w:hint="eastAsia"/>
          <w:b/>
          <w:rtl/>
        </w:rPr>
        <w:t>דפנה</w:t>
      </w:r>
      <w:r w:rsidRPr="00D140AE">
        <w:rPr>
          <w:rFonts w:ascii="Century" w:hAnsi="Century" w:cs="Miriam"/>
          <w:b/>
          <w:rtl/>
        </w:rPr>
        <w:t xml:space="preserve"> </w:t>
      </w:r>
      <w:r w:rsidRPr="00D140AE">
        <w:rPr>
          <w:rFonts w:ascii="Century" w:hAnsi="Century" w:cs="Miriam" w:hint="eastAsia"/>
          <w:b/>
          <w:rtl/>
        </w:rPr>
        <w:t>ברק</w:t>
      </w:r>
      <w:r w:rsidRPr="00D140AE">
        <w:rPr>
          <w:rFonts w:ascii="Century" w:hAnsi="Century" w:cs="Miriam"/>
          <w:b/>
          <w:rtl/>
        </w:rPr>
        <w:t>-ארז</w:t>
      </w:r>
      <w:r w:rsidRPr="005E2BA6">
        <w:rPr>
          <w:rFonts w:ascii="Arial TUR" w:hAnsi="Arial TUR" w:cs="FrankRuehl" w:hint="cs"/>
          <w:spacing w:val="10"/>
          <w:szCs w:val="28"/>
          <w:rtl/>
        </w:rPr>
        <w:t xml:space="preserve"> והשופט </w:t>
      </w:r>
      <w:r w:rsidRPr="00D140AE">
        <w:rPr>
          <w:rFonts w:ascii="Century" w:hAnsi="Century" w:cs="Miriam" w:hint="eastAsia"/>
          <w:b/>
          <w:rtl/>
        </w:rPr>
        <w:t>אלכס</w:t>
      </w:r>
      <w:r w:rsidRPr="00D140AE">
        <w:rPr>
          <w:rFonts w:ascii="Century" w:hAnsi="Century" w:cs="Miriam"/>
          <w:b/>
          <w:rtl/>
        </w:rPr>
        <w:t xml:space="preserve"> </w:t>
      </w:r>
      <w:r w:rsidRPr="00D140AE">
        <w:rPr>
          <w:rFonts w:ascii="Century" w:hAnsi="Century" w:cs="Miriam" w:hint="eastAsia"/>
          <w:b/>
          <w:rtl/>
        </w:rPr>
        <w:t>שטיין</w:t>
      </w:r>
      <w:r w:rsidRPr="005E2BA6">
        <w:rPr>
          <w:rFonts w:ascii="Arial TUR" w:hAnsi="Arial TUR" w:cs="FrankRuehl" w:hint="cs"/>
          <w:spacing w:val="10"/>
          <w:szCs w:val="28"/>
          <w:rtl/>
        </w:rPr>
        <w:t xml:space="preserve">, </w:t>
      </w:r>
      <w:r>
        <w:rPr>
          <w:rFonts w:ascii="Arial TUR" w:hAnsi="Arial TUR" w:cs="FrankRuehl" w:hint="cs"/>
          <w:spacing w:val="10"/>
          <w:szCs w:val="28"/>
          <w:rtl/>
        </w:rPr>
        <w:t xml:space="preserve">נסמך </w:t>
      </w:r>
      <w:r w:rsidRPr="005E2BA6">
        <w:rPr>
          <w:rFonts w:ascii="Arial TUR" w:hAnsi="Arial TUR" w:cs="FrankRuehl" w:hint="cs"/>
          <w:spacing w:val="10"/>
          <w:szCs w:val="28"/>
          <w:rtl/>
        </w:rPr>
        <w:t xml:space="preserve">על עילת המניעות או </w:t>
      </w:r>
      <w:r>
        <w:rPr>
          <w:rFonts w:ascii="Arial TUR" w:hAnsi="Arial TUR" w:cs="FrankRuehl" w:hint="cs"/>
          <w:spacing w:val="10"/>
          <w:szCs w:val="28"/>
          <w:rtl/>
        </w:rPr>
        <w:t>ה</w:t>
      </w:r>
      <w:r w:rsidRPr="005E2BA6">
        <w:rPr>
          <w:rFonts w:ascii="Arial TUR" w:hAnsi="Arial TUR" w:cs="FrankRuehl" w:hint="cs"/>
          <w:spacing w:val="10"/>
          <w:szCs w:val="28"/>
          <w:rtl/>
        </w:rPr>
        <w:t xml:space="preserve">השתק, </w:t>
      </w:r>
      <w:r>
        <w:rPr>
          <w:rFonts w:ascii="Arial TUR" w:hAnsi="Arial TUR" w:cs="FrankRuehl" w:hint="cs"/>
          <w:spacing w:val="10"/>
          <w:szCs w:val="28"/>
          <w:rtl/>
        </w:rPr>
        <w:t>ו</w:t>
      </w:r>
      <w:r w:rsidRPr="005E2BA6">
        <w:rPr>
          <w:rFonts w:ascii="Arial TUR" w:hAnsi="Arial TUR" w:cs="FrankRuehl" w:hint="cs"/>
          <w:spacing w:val="10"/>
          <w:szCs w:val="28"/>
          <w:rtl/>
        </w:rPr>
        <w:t>מציב כהצגת יחיד את המצגים שיצר חה"כ דרעי במסגרת אישור עסקת הטיעון בבית משפט השלום לפני פחות משנה</w:t>
      </w:r>
      <w:r w:rsidRPr="008D32FF">
        <w:rPr>
          <w:rFonts w:ascii="Arial TUR" w:hAnsi="Arial TUR" w:cs="FrankRuehl" w:hint="cs"/>
          <w:spacing w:val="10"/>
          <w:szCs w:val="28"/>
          <w:rtl/>
        </w:rPr>
        <w:t xml:space="preserve"> </w:t>
      </w:r>
      <w:r w:rsidRPr="008D32FF">
        <w:rPr>
          <w:rFonts w:ascii="Arial TUR" w:hAnsi="Arial TUR" w:cs="FrankRuehl"/>
          <w:spacing w:val="10"/>
          <w:szCs w:val="28"/>
          <w:rtl/>
        </w:rPr>
        <w:t xml:space="preserve">(ת"פ (שלום </w:t>
      </w:r>
      <w:r w:rsidRPr="00D140AE">
        <w:rPr>
          <w:rFonts w:ascii="Arial TUR" w:hAnsi="Arial TUR" w:cs="FrankRuehl" w:hint="eastAsia"/>
          <w:spacing w:val="10"/>
          <w:szCs w:val="28"/>
          <w:rtl/>
        </w:rPr>
        <w:t>י</w:t>
      </w:r>
      <w:r w:rsidRPr="00D140AE">
        <w:rPr>
          <w:rFonts w:ascii="Arial TUR" w:hAnsi="Arial TUR" w:cs="FrankRuehl"/>
          <w:spacing w:val="10"/>
          <w:szCs w:val="28"/>
          <w:rtl/>
        </w:rPr>
        <w:t>-ם) 56231-12-21)</w:t>
      </w:r>
      <w:r w:rsidRPr="00D140AE">
        <w:rPr>
          <w:rFonts w:ascii="Arial TUR" w:hAnsi="Arial TUR" w:cs="FrankRuehl" w:hint="cs"/>
          <w:spacing w:val="10"/>
          <w:szCs w:val="28"/>
          <w:rtl/>
        </w:rPr>
        <w:t xml:space="preserve">. </w:t>
      </w:r>
    </w:p>
    <w:p w14:paraId="5D2017BE" w14:textId="77777777" w:rsidR="001B1382" w:rsidRDefault="001B1382" w:rsidP="001B1382">
      <w:pPr>
        <w:spacing w:line="360" w:lineRule="auto"/>
        <w:jc w:val="both"/>
        <w:rPr>
          <w:rFonts w:ascii="Arial TUR" w:hAnsi="Arial TUR" w:cs="FrankRuehl"/>
          <w:spacing w:val="10"/>
          <w:szCs w:val="28"/>
          <w:rtl/>
        </w:rPr>
      </w:pPr>
    </w:p>
    <w:p w14:paraId="333BCA30" w14:textId="77777777" w:rsidR="001B1382" w:rsidRDefault="001B1382" w:rsidP="001B1382">
      <w:pPr>
        <w:spacing w:line="360" w:lineRule="auto"/>
        <w:ind w:firstLine="720"/>
        <w:jc w:val="both"/>
        <w:rPr>
          <w:rFonts w:ascii="Arial TUR" w:hAnsi="Arial TUR" w:cs="FrankRuehl"/>
          <w:spacing w:val="10"/>
          <w:szCs w:val="28"/>
          <w:rtl/>
        </w:rPr>
      </w:pPr>
      <w:r w:rsidRPr="005E2BA6">
        <w:rPr>
          <w:rFonts w:ascii="Arial TUR" w:hAnsi="Arial TUR" w:cs="FrankRuehl" w:hint="cs"/>
          <w:spacing w:val="10"/>
          <w:szCs w:val="28"/>
          <w:rtl/>
        </w:rPr>
        <w:t xml:space="preserve">כשלעצמי, שתי העילות הללו לא רק שאינן מוציאות זו את זו, אלא שהן תומכות האחת </w:t>
      </w:r>
      <w:r>
        <w:rPr>
          <w:rFonts w:ascii="Arial TUR" w:hAnsi="Arial TUR" w:cs="FrankRuehl" w:hint="cs"/>
          <w:spacing w:val="10"/>
          <w:szCs w:val="28"/>
          <w:rtl/>
        </w:rPr>
        <w:t>ב</w:t>
      </w:r>
      <w:r w:rsidRPr="005E2BA6">
        <w:rPr>
          <w:rFonts w:ascii="Arial TUR" w:hAnsi="Arial TUR" w:cs="FrankRuehl" w:hint="cs"/>
          <w:spacing w:val="10"/>
          <w:szCs w:val="28"/>
          <w:rtl/>
        </w:rPr>
        <w:t>שנייה</w:t>
      </w:r>
      <w:r>
        <w:rPr>
          <w:rFonts w:ascii="Arial TUR" w:hAnsi="Arial TUR" w:cs="FrankRuehl" w:hint="cs"/>
          <w:spacing w:val="10"/>
          <w:szCs w:val="28"/>
          <w:rtl/>
        </w:rPr>
        <w:t>:</w:t>
      </w:r>
      <w:r w:rsidRPr="005E2BA6">
        <w:rPr>
          <w:rFonts w:ascii="Arial TUR" w:hAnsi="Arial TUR" w:cs="FrankRuehl" w:hint="cs"/>
          <w:spacing w:val="10"/>
          <w:szCs w:val="28"/>
          <w:rtl/>
        </w:rPr>
        <w:t xml:space="preserve"> עברו הפלילי המכביד של חה"כ דרעי</w:t>
      </w:r>
      <w:r>
        <w:rPr>
          <w:rFonts w:ascii="Arial TUR" w:hAnsi="Arial TUR" w:cs="FrankRuehl" w:hint="cs"/>
          <w:spacing w:val="10"/>
          <w:szCs w:val="28"/>
          <w:rtl/>
        </w:rPr>
        <w:t xml:space="preserve"> במהלך כהונתו בתפקידים ציבוריים בכירים</w:t>
      </w:r>
      <w:r w:rsidRPr="005E2BA6">
        <w:rPr>
          <w:rFonts w:ascii="Arial TUR" w:hAnsi="Arial TUR" w:cs="FrankRuehl" w:hint="cs"/>
          <w:spacing w:val="10"/>
          <w:szCs w:val="28"/>
          <w:rtl/>
        </w:rPr>
        <w:t>, בצירוף התנהלותו הפגומה בקשר להליך הפלילי האחרון, אכן הופכים את מינויו לבלתי סביר מבחינה משפטית</w:t>
      </w:r>
      <w:r>
        <w:rPr>
          <w:rFonts w:ascii="Arial TUR" w:hAnsi="Arial TUR" w:cs="FrankRuehl" w:hint="cs"/>
          <w:spacing w:val="10"/>
          <w:szCs w:val="28"/>
          <w:rtl/>
        </w:rPr>
        <w:t>, וזאת בראי שלטון החוק וטוהר המידות בשירות הציבורי</w:t>
      </w:r>
      <w:r w:rsidRPr="005E2BA6">
        <w:rPr>
          <w:rFonts w:ascii="Arial TUR" w:hAnsi="Arial TUR" w:cs="FrankRuehl" w:hint="cs"/>
          <w:spacing w:val="10"/>
          <w:szCs w:val="28"/>
          <w:rtl/>
        </w:rPr>
        <w:t>; מצג הפרישה מהחיים הפוליטיים שיצר לפני בית משפט השלום</w:t>
      </w:r>
      <w:r>
        <w:rPr>
          <w:rFonts w:ascii="Arial TUR" w:hAnsi="Arial TUR" w:cs="FrankRuehl" w:hint="cs"/>
          <w:spacing w:val="10"/>
          <w:szCs w:val="28"/>
          <w:rtl/>
        </w:rPr>
        <w:t xml:space="preserve"> </w:t>
      </w:r>
      <w:r w:rsidRPr="008D32FF">
        <w:rPr>
          <w:rFonts w:ascii="Arial TUR" w:hAnsi="Arial TUR" w:cs="FrankRuehl"/>
          <w:spacing w:val="10"/>
          <w:szCs w:val="28"/>
          <w:rtl/>
        </w:rPr>
        <w:t xml:space="preserve">(בין </w:t>
      </w:r>
      <w:r w:rsidRPr="008D32FF">
        <w:rPr>
          <w:rFonts w:ascii="Arial TUR" w:hAnsi="Arial TUR" w:cs="FrankRuehl" w:hint="eastAsia"/>
          <w:spacing w:val="10"/>
          <w:szCs w:val="28"/>
          <w:rtl/>
        </w:rPr>
        <w:t>אם</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לתקופה</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מוגבלת</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ובין</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אם</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לצמיתות</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ואיננו</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נדרשים</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להכריע</w:t>
      </w:r>
      <w:r w:rsidRPr="00D140AE">
        <w:rPr>
          <w:rFonts w:ascii="Arial TUR" w:hAnsi="Arial TUR" w:cs="FrankRuehl"/>
          <w:spacing w:val="10"/>
          <w:szCs w:val="28"/>
          <w:rtl/>
        </w:rPr>
        <w:t xml:space="preserve"> </w:t>
      </w:r>
      <w:r w:rsidRPr="00D140AE">
        <w:rPr>
          <w:rFonts w:ascii="Arial TUR" w:hAnsi="Arial TUR" w:cs="FrankRuehl" w:hint="eastAsia"/>
          <w:spacing w:val="10"/>
          <w:szCs w:val="28"/>
          <w:rtl/>
        </w:rPr>
        <w:t>בכך</w:t>
      </w:r>
      <w:r w:rsidRPr="00D140AE">
        <w:rPr>
          <w:rFonts w:ascii="Arial TUR" w:hAnsi="Arial TUR" w:cs="FrankRuehl"/>
          <w:spacing w:val="10"/>
          <w:szCs w:val="28"/>
          <w:rtl/>
        </w:rPr>
        <w:t>)</w:t>
      </w:r>
      <w:r w:rsidRPr="005E2BA6">
        <w:rPr>
          <w:rFonts w:ascii="Arial TUR" w:hAnsi="Arial TUR" w:cs="FrankRuehl" w:hint="cs"/>
          <w:spacing w:val="10"/>
          <w:szCs w:val="28"/>
          <w:rtl/>
        </w:rPr>
        <w:t>, אשר נדרש לו על מנת ל</w:t>
      </w:r>
      <w:r>
        <w:rPr>
          <w:rFonts w:ascii="Arial TUR" w:hAnsi="Arial TUR" w:cs="FrankRuehl" w:hint="cs"/>
          <w:spacing w:val="10"/>
          <w:szCs w:val="28"/>
          <w:rtl/>
        </w:rPr>
        <w:t>הביא לאישורו של</w:t>
      </w:r>
      <w:r w:rsidRPr="005E2BA6">
        <w:rPr>
          <w:rFonts w:ascii="Arial TUR" w:hAnsi="Arial TUR" w:cs="FrankRuehl" w:hint="cs"/>
          <w:spacing w:val="10"/>
          <w:szCs w:val="28"/>
          <w:rtl/>
        </w:rPr>
        <w:t xml:space="preserve"> הסדר טיעון מקל נוכח עבר פלילי מכביד, אכן יוצר מניעות מלהציג בתוך פחות משנה מועמדות לתפקיד שר. </w:t>
      </w:r>
      <w:r>
        <w:rPr>
          <w:rFonts w:ascii="Arial TUR" w:hAnsi="Arial TUR" w:cs="FrankRuehl" w:hint="cs"/>
          <w:spacing w:val="10"/>
          <w:szCs w:val="28"/>
          <w:rtl/>
        </w:rPr>
        <w:t xml:space="preserve">ויובהר, </w:t>
      </w:r>
      <w:r w:rsidRPr="005E2BA6">
        <w:rPr>
          <w:rFonts w:ascii="Arial TUR" w:hAnsi="Arial TUR" w:cs="FrankRuehl" w:hint="cs"/>
          <w:spacing w:val="10"/>
          <w:szCs w:val="28"/>
          <w:rtl/>
        </w:rPr>
        <w:t>אף אם</w:t>
      </w:r>
      <w:r>
        <w:rPr>
          <w:rFonts w:ascii="Arial TUR" w:hAnsi="Arial TUR" w:cs="FrankRuehl" w:hint="cs"/>
          <w:spacing w:val="10"/>
          <w:szCs w:val="28"/>
          <w:rtl/>
        </w:rPr>
        <w:t xml:space="preserve"> אחד </w:t>
      </w:r>
      <w:r w:rsidRPr="005E2BA6">
        <w:rPr>
          <w:rFonts w:ascii="Arial TUR" w:hAnsi="Arial TUR" w:cs="FrankRuehl" w:hint="cs"/>
          <w:spacing w:val="10"/>
          <w:szCs w:val="28"/>
          <w:rtl/>
        </w:rPr>
        <w:t xml:space="preserve">מקווי הטיעון </w:t>
      </w:r>
      <w:r>
        <w:rPr>
          <w:rFonts w:ascii="Arial TUR" w:hAnsi="Arial TUR" w:cs="FrankRuehl" w:hint="cs"/>
          <w:spacing w:val="10"/>
          <w:szCs w:val="28"/>
          <w:rtl/>
        </w:rPr>
        <w:t>הללו איננו נקי מספקות, כפי שסבורים חלק מחבריי</w:t>
      </w:r>
      <w:r w:rsidRPr="005E2BA6">
        <w:rPr>
          <w:rFonts w:ascii="Arial TUR" w:hAnsi="Arial TUR" w:cs="FrankRuehl" w:hint="cs"/>
          <w:spacing w:val="10"/>
          <w:szCs w:val="28"/>
          <w:rtl/>
        </w:rPr>
        <w:t>, הרי משנצטברו שניהם</w:t>
      </w:r>
      <w:r>
        <w:rPr>
          <w:rFonts w:ascii="Arial TUR" w:hAnsi="Arial TUR" w:cs="FrankRuehl" w:hint="cs"/>
          <w:spacing w:val="10"/>
          <w:szCs w:val="28"/>
          <w:rtl/>
        </w:rPr>
        <w:t xml:space="preserve"> גם יחד</w:t>
      </w:r>
      <w:r w:rsidRPr="005E2BA6">
        <w:rPr>
          <w:rFonts w:ascii="Arial TUR" w:hAnsi="Arial TUR" w:cs="FrankRuehl" w:hint="cs"/>
          <w:spacing w:val="10"/>
          <w:szCs w:val="28"/>
          <w:rtl/>
        </w:rPr>
        <w:t>, אין מינויו של חה"כ דרעי יכול לעמוד על מכ</w:t>
      </w:r>
      <w:r w:rsidRPr="00053777">
        <w:rPr>
          <w:rFonts w:ascii="Arial TUR" w:hAnsi="Arial TUR" w:cs="FrankRuehl" w:hint="cs"/>
          <w:spacing w:val="10"/>
          <w:szCs w:val="28"/>
          <w:rtl/>
        </w:rPr>
        <w:t>ונו</w:t>
      </w:r>
      <w:r>
        <w:rPr>
          <w:rFonts w:ascii="Arial TUR" w:hAnsi="Arial TUR" w:cs="FrankRuehl" w:hint="cs"/>
          <w:spacing w:val="10"/>
          <w:szCs w:val="28"/>
          <w:rtl/>
        </w:rPr>
        <w:t>.</w:t>
      </w:r>
    </w:p>
    <w:p w14:paraId="17C85813" w14:textId="77777777" w:rsidR="001B1382" w:rsidRDefault="001B1382" w:rsidP="001B1382">
      <w:pPr>
        <w:spacing w:line="360" w:lineRule="auto"/>
        <w:jc w:val="both"/>
        <w:rPr>
          <w:rFonts w:ascii="Arial TUR" w:hAnsi="Arial TUR" w:cs="FrankRuehl"/>
          <w:spacing w:val="10"/>
          <w:szCs w:val="28"/>
          <w:rtl/>
        </w:rPr>
      </w:pPr>
    </w:p>
    <w:p w14:paraId="7BE79310" w14:textId="77777777" w:rsidR="001B1382" w:rsidRDefault="001B1382" w:rsidP="00DD5676">
      <w:pPr>
        <w:spacing w:line="360" w:lineRule="auto"/>
        <w:jc w:val="both"/>
        <w:rPr>
          <w:rFonts w:ascii="Arial TUR" w:hAnsi="Arial TUR" w:cs="FrankRuehl"/>
          <w:spacing w:val="10"/>
          <w:szCs w:val="28"/>
          <w:rtl/>
        </w:rPr>
      </w:pPr>
      <w:r>
        <w:rPr>
          <w:rFonts w:ascii="Arial TUR" w:hAnsi="Arial TUR" w:cs="FrankRuehl" w:hint="cs"/>
          <w:spacing w:val="10"/>
          <w:szCs w:val="28"/>
          <w:rtl/>
        </w:rPr>
        <w:t>2.</w:t>
      </w:r>
      <w:r>
        <w:rPr>
          <w:rFonts w:ascii="Arial TUR" w:hAnsi="Arial TUR" w:cs="FrankRuehl" w:hint="cs"/>
          <w:spacing w:val="10"/>
          <w:szCs w:val="28"/>
          <w:rtl/>
        </w:rPr>
        <w:tab/>
        <w:t>העתירות שלפנינו מעלות גם מספר סוגיות ב</w:t>
      </w:r>
      <w:r w:rsidRPr="00D140AE">
        <w:rPr>
          <w:rFonts w:ascii="Century" w:hAnsi="Century" w:cs="Miriam" w:hint="eastAsia"/>
          <w:b/>
          <w:rtl/>
        </w:rPr>
        <w:t>מישור</w:t>
      </w:r>
      <w:r w:rsidRPr="00D140AE">
        <w:rPr>
          <w:rFonts w:ascii="Century" w:hAnsi="Century" w:cs="Miriam"/>
          <w:b/>
          <w:rtl/>
        </w:rPr>
        <w:t xml:space="preserve"> </w:t>
      </w:r>
      <w:r w:rsidRPr="00D140AE">
        <w:rPr>
          <w:rFonts w:ascii="Century" w:hAnsi="Century" w:cs="Miriam" w:hint="eastAsia"/>
          <w:b/>
          <w:rtl/>
        </w:rPr>
        <w:t>היחסים</w:t>
      </w:r>
      <w:r w:rsidRPr="00D140AE">
        <w:rPr>
          <w:rFonts w:ascii="Century" w:hAnsi="Century" w:cs="Miriam"/>
          <w:b/>
          <w:rtl/>
        </w:rPr>
        <w:t xml:space="preserve"> שבין המשפט </w:t>
      </w:r>
      <w:r w:rsidRPr="00D140AE">
        <w:rPr>
          <w:rFonts w:ascii="Century" w:hAnsi="Century" w:cs="Miriam" w:hint="eastAsia"/>
          <w:b/>
          <w:rtl/>
        </w:rPr>
        <w:t>לבין</w:t>
      </w:r>
      <w:r w:rsidRPr="00D140AE">
        <w:rPr>
          <w:rFonts w:ascii="Century" w:hAnsi="Century" w:cs="Miriam"/>
          <w:b/>
          <w:rtl/>
        </w:rPr>
        <w:t xml:space="preserve"> הספירה </w:t>
      </w:r>
      <w:r>
        <w:rPr>
          <w:rFonts w:ascii="Century" w:hAnsi="Century" w:cs="Miriam" w:hint="cs"/>
          <w:b/>
          <w:rtl/>
        </w:rPr>
        <w:t>הפוליטית-</w:t>
      </w:r>
      <w:r w:rsidRPr="00D140AE">
        <w:rPr>
          <w:rFonts w:ascii="Century" w:hAnsi="Century" w:cs="Miriam" w:hint="eastAsia"/>
          <w:b/>
          <w:rtl/>
        </w:rPr>
        <w:t>ציבורית</w:t>
      </w:r>
      <w:r>
        <w:rPr>
          <w:rFonts w:ascii="Arial TUR" w:hAnsi="Arial TUR" w:cs="FrankRuehl" w:hint="cs"/>
          <w:spacing w:val="10"/>
          <w:szCs w:val="28"/>
          <w:rtl/>
        </w:rPr>
        <w:t xml:space="preserve">, אשר מצאתי לנכון לייחד מספר מילים ביחס לשתיים מהן. הראשונה, עניינה בטענת </w:t>
      </w:r>
      <w:r w:rsidRPr="005E2BA6">
        <w:rPr>
          <w:rFonts w:ascii="Arial TUR" w:hAnsi="Arial TUR" w:cs="FrankRuehl" w:hint="cs"/>
          <w:spacing w:val="10"/>
          <w:szCs w:val="28"/>
          <w:rtl/>
        </w:rPr>
        <w:t>ראש הממשלה</w:t>
      </w:r>
      <w:r>
        <w:rPr>
          <w:rFonts w:ascii="Arial TUR" w:hAnsi="Arial TUR" w:cs="FrankRuehl" w:hint="cs"/>
          <w:spacing w:val="10"/>
          <w:szCs w:val="28"/>
          <w:rtl/>
        </w:rPr>
        <w:t xml:space="preserve">, חבר הכנסת בנימין נתניהו (להלן: </w:t>
      </w:r>
      <w:r w:rsidRPr="00D140AE">
        <w:rPr>
          <w:rFonts w:ascii="Century" w:hAnsi="Century" w:cs="Miriam" w:hint="eastAsia"/>
          <w:b/>
          <w:rtl/>
        </w:rPr>
        <w:t>ראש</w:t>
      </w:r>
      <w:r w:rsidRPr="00D140AE">
        <w:rPr>
          <w:rFonts w:ascii="Century" w:hAnsi="Century" w:cs="Miriam"/>
          <w:b/>
          <w:rtl/>
        </w:rPr>
        <w:t xml:space="preserve"> </w:t>
      </w:r>
      <w:r w:rsidRPr="00D140AE">
        <w:rPr>
          <w:rFonts w:ascii="Century" w:hAnsi="Century" w:cs="Miriam" w:hint="eastAsia"/>
          <w:b/>
          <w:rtl/>
        </w:rPr>
        <w:lastRenderedPageBreak/>
        <w:t>הממשלה</w:t>
      </w:r>
      <w:r>
        <w:rPr>
          <w:rFonts w:ascii="Arial TUR" w:hAnsi="Arial TUR" w:cs="FrankRuehl" w:hint="cs"/>
          <w:spacing w:val="10"/>
          <w:szCs w:val="28"/>
          <w:rtl/>
        </w:rPr>
        <w:t>),</w:t>
      </w:r>
      <w:r w:rsidRPr="005E2BA6">
        <w:rPr>
          <w:rFonts w:ascii="Arial TUR" w:hAnsi="Arial TUR" w:cs="FrankRuehl" w:hint="cs"/>
          <w:spacing w:val="10"/>
          <w:szCs w:val="28"/>
          <w:rtl/>
        </w:rPr>
        <w:t xml:space="preserve"> כי מינויו של חה"כ דרעי בעיניו </w:t>
      </w:r>
      <w:r>
        <w:rPr>
          <w:rFonts w:ascii="Arial TUR" w:hAnsi="Arial TUR" w:cs="FrankRuehl" w:hint="cs"/>
          <w:spacing w:val="10"/>
          <w:szCs w:val="28"/>
          <w:rtl/>
        </w:rPr>
        <w:t>הוא לא רק מינוי סביר "</w:t>
      </w:r>
      <w:r w:rsidRPr="00D140AE">
        <w:rPr>
          <w:rFonts w:ascii="Century" w:hAnsi="Century" w:cs="Miriam" w:hint="eastAsia"/>
          <w:b/>
          <w:rtl/>
        </w:rPr>
        <w:t>אלא</w:t>
      </w:r>
      <w:r w:rsidRPr="00D140AE">
        <w:rPr>
          <w:rFonts w:ascii="Century" w:hAnsi="Century" w:cs="Miriam"/>
          <w:b/>
          <w:rtl/>
        </w:rPr>
        <w:t xml:space="preserve"> </w:t>
      </w:r>
      <w:r w:rsidRPr="00D140AE">
        <w:rPr>
          <w:rFonts w:ascii="Century" w:hAnsi="Century" w:cs="Miriam" w:hint="eastAsia"/>
          <w:b/>
          <w:rtl/>
        </w:rPr>
        <w:t>שאם</w:t>
      </w:r>
      <w:r w:rsidRPr="00D140AE">
        <w:rPr>
          <w:rFonts w:ascii="Century" w:hAnsi="Century" w:cs="Miriam"/>
          <w:b/>
          <w:rtl/>
        </w:rPr>
        <w:t xml:space="preserve"> </w:t>
      </w:r>
      <w:r w:rsidRPr="00D140AE">
        <w:rPr>
          <w:rFonts w:ascii="Century" w:hAnsi="Century" w:cs="Miriam" w:hint="eastAsia"/>
          <w:b/>
          <w:rtl/>
        </w:rPr>
        <w:t>לא</w:t>
      </w:r>
      <w:r w:rsidRPr="00D140AE">
        <w:rPr>
          <w:rFonts w:ascii="Century" w:hAnsi="Century" w:cs="Miriam"/>
          <w:b/>
          <w:rtl/>
        </w:rPr>
        <w:t xml:space="preserve"> </w:t>
      </w:r>
      <w:r w:rsidRPr="00D140AE">
        <w:rPr>
          <w:rFonts w:ascii="Century" w:hAnsi="Century" w:cs="Miriam" w:hint="eastAsia"/>
          <w:b/>
          <w:rtl/>
        </w:rPr>
        <w:t>היה</w:t>
      </w:r>
      <w:r w:rsidRPr="00D140AE">
        <w:rPr>
          <w:rFonts w:ascii="Century" w:hAnsi="Century" w:cs="Miriam"/>
          <w:b/>
          <w:rtl/>
        </w:rPr>
        <w:t xml:space="preserve"> </w:t>
      </w:r>
      <w:r w:rsidRPr="00D140AE">
        <w:rPr>
          <w:rFonts w:ascii="Century" w:hAnsi="Century" w:cs="Miriam" w:hint="eastAsia"/>
          <w:b/>
          <w:rtl/>
        </w:rPr>
        <w:t>מביא</w:t>
      </w:r>
      <w:r w:rsidRPr="00D140AE">
        <w:rPr>
          <w:rFonts w:ascii="Century" w:hAnsi="Century" w:cs="Miriam"/>
          <w:b/>
          <w:rtl/>
        </w:rPr>
        <w:t xml:space="preserve"> </w:t>
      </w:r>
      <w:r w:rsidRPr="00D140AE">
        <w:rPr>
          <w:rFonts w:ascii="Century" w:hAnsi="Century" w:cs="Miriam" w:hint="eastAsia"/>
          <w:b/>
          <w:rtl/>
        </w:rPr>
        <w:t>את</w:t>
      </w:r>
      <w:r w:rsidRPr="00D140AE">
        <w:rPr>
          <w:rFonts w:ascii="Century" w:hAnsi="Century" w:cs="Miriam"/>
          <w:b/>
          <w:rtl/>
        </w:rPr>
        <w:t xml:space="preserve"> </w:t>
      </w:r>
      <w:r w:rsidRPr="00D140AE">
        <w:rPr>
          <w:rFonts w:ascii="Century" w:hAnsi="Century" w:cs="Miriam" w:hint="eastAsia"/>
          <w:b/>
          <w:rtl/>
        </w:rPr>
        <w:t>מינויו</w:t>
      </w:r>
      <w:r w:rsidRPr="00D140AE">
        <w:rPr>
          <w:rFonts w:ascii="Century" w:hAnsi="Century" w:cs="Miriam"/>
          <w:b/>
          <w:rtl/>
        </w:rPr>
        <w:t xml:space="preserve"> </w:t>
      </w:r>
      <w:r w:rsidRPr="00D140AE">
        <w:rPr>
          <w:rFonts w:ascii="Century" w:hAnsi="Century" w:cs="Miriam" w:hint="eastAsia"/>
          <w:b/>
          <w:rtl/>
        </w:rPr>
        <w:t>של</w:t>
      </w:r>
      <w:r w:rsidRPr="00D140AE">
        <w:rPr>
          <w:rFonts w:ascii="Century" w:hAnsi="Century" w:cs="Miriam"/>
          <w:b/>
          <w:rtl/>
        </w:rPr>
        <w:t xml:space="preserve"> </w:t>
      </w:r>
      <w:r w:rsidRPr="00D140AE">
        <w:rPr>
          <w:rFonts w:ascii="Century" w:hAnsi="Century" w:cs="Miriam" w:hint="eastAsia"/>
          <w:b/>
          <w:rtl/>
        </w:rPr>
        <w:t>חבר</w:t>
      </w:r>
      <w:r w:rsidRPr="00D140AE">
        <w:rPr>
          <w:rFonts w:ascii="Century" w:hAnsi="Century" w:cs="Miriam"/>
          <w:b/>
          <w:rtl/>
        </w:rPr>
        <w:t xml:space="preserve"> </w:t>
      </w:r>
      <w:r w:rsidRPr="00D140AE">
        <w:rPr>
          <w:rFonts w:ascii="Century" w:hAnsi="Century" w:cs="Miriam" w:hint="eastAsia"/>
          <w:b/>
          <w:rtl/>
        </w:rPr>
        <w:t>הכנסת</w:t>
      </w:r>
      <w:r w:rsidRPr="00D140AE">
        <w:rPr>
          <w:rFonts w:ascii="Century" w:hAnsi="Century" w:cs="Miriam"/>
          <w:b/>
          <w:rtl/>
        </w:rPr>
        <w:t xml:space="preserve"> </w:t>
      </w:r>
      <w:r w:rsidRPr="00D140AE">
        <w:rPr>
          <w:rFonts w:ascii="Century" w:hAnsi="Century" w:cs="Miriam" w:hint="eastAsia"/>
          <w:b/>
          <w:rtl/>
        </w:rPr>
        <w:t>דרעי</w:t>
      </w:r>
      <w:r w:rsidRPr="00D140AE">
        <w:rPr>
          <w:rFonts w:ascii="Century" w:hAnsi="Century" w:cs="Miriam"/>
          <w:b/>
          <w:rtl/>
        </w:rPr>
        <w:t xml:space="preserve"> </w:t>
      </w:r>
      <w:r w:rsidRPr="00D140AE">
        <w:rPr>
          <w:rFonts w:ascii="Century" w:hAnsi="Century" w:cs="Miriam" w:hint="eastAsia"/>
          <w:b/>
          <w:rtl/>
        </w:rPr>
        <w:t>כשר</w:t>
      </w:r>
      <w:r w:rsidRPr="00D140AE">
        <w:rPr>
          <w:rFonts w:ascii="Century" w:hAnsi="Century" w:cs="Miriam"/>
          <w:b/>
          <w:rtl/>
        </w:rPr>
        <w:t xml:space="preserve">, </w:t>
      </w:r>
      <w:r w:rsidRPr="00D140AE">
        <w:rPr>
          <w:rFonts w:ascii="Century" w:hAnsi="Century" w:cs="Miriam" w:hint="eastAsia"/>
          <w:b/>
          <w:rtl/>
        </w:rPr>
        <w:t>היה</w:t>
      </w:r>
      <w:r w:rsidRPr="00D140AE">
        <w:rPr>
          <w:rFonts w:ascii="Century" w:hAnsi="Century" w:cs="Miriam"/>
          <w:b/>
          <w:rtl/>
        </w:rPr>
        <w:t xml:space="preserve"> </w:t>
      </w:r>
      <w:r w:rsidRPr="00D140AE">
        <w:rPr>
          <w:rFonts w:ascii="Century" w:hAnsi="Century" w:cs="Miriam" w:hint="eastAsia"/>
          <w:b/>
          <w:rtl/>
        </w:rPr>
        <w:t>מדובר</w:t>
      </w:r>
      <w:r w:rsidRPr="00D140AE">
        <w:rPr>
          <w:rFonts w:ascii="Century" w:hAnsi="Century" w:cs="Miriam"/>
          <w:b/>
          <w:rtl/>
        </w:rPr>
        <w:t xml:space="preserve"> </w:t>
      </w:r>
      <w:r w:rsidRPr="00D140AE">
        <w:rPr>
          <w:rFonts w:ascii="Century" w:hAnsi="Century" w:cs="Miriam" w:hint="eastAsia"/>
          <w:b/>
          <w:rtl/>
        </w:rPr>
        <w:t>בפעולה</w:t>
      </w:r>
      <w:r w:rsidRPr="00D140AE">
        <w:rPr>
          <w:rFonts w:ascii="Century" w:hAnsi="Century" w:cs="Miriam"/>
          <w:b/>
          <w:rtl/>
        </w:rPr>
        <w:t xml:space="preserve"> </w:t>
      </w:r>
      <w:r w:rsidRPr="00D140AE">
        <w:rPr>
          <w:rFonts w:ascii="Century" w:hAnsi="Century" w:cs="Miriam" w:hint="eastAsia"/>
          <w:b/>
          <w:rtl/>
        </w:rPr>
        <w:t>בלתי</w:t>
      </w:r>
      <w:r w:rsidRPr="00D140AE">
        <w:rPr>
          <w:rFonts w:ascii="Century" w:hAnsi="Century" w:cs="Miriam"/>
          <w:b/>
          <w:rtl/>
        </w:rPr>
        <w:t xml:space="preserve"> </w:t>
      </w:r>
      <w:r w:rsidRPr="00D140AE">
        <w:rPr>
          <w:rFonts w:ascii="Century" w:hAnsi="Century" w:cs="Miriam" w:hint="eastAsia"/>
          <w:b/>
          <w:rtl/>
        </w:rPr>
        <w:t>סבירה</w:t>
      </w:r>
      <w:r>
        <w:rPr>
          <w:rFonts w:ascii="Arial TUR" w:hAnsi="Arial TUR" w:cs="FrankRuehl" w:hint="cs"/>
          <w:spacing w:val="10"/>
          <w:szCs w:val="28"/>
          <w:rtl/>
        </w:rPr>
        <w:t xml:space="preserve">" (סעיף 72 לכתב תשובתו). ראש הממשלה מנמק עמדה זו לנוכח הצורך בהשבת היציבות השלטונית לאחר המשבר הפוליטי שפקד את ישראל בשנים האחרונות, לאור התמיכה הרבה לה זכתה הקואליציה בבחירות האחרונות ובפרט סיעתו של חה"כ דרעי שהוא העומד בראשה, בהינתן הצורך להתחשב ברצון הסיעות השונות בעת הרכבת הממשלה, ומעל לכול </w:t>
      </w:r>
      <w:r>
        <w:rPr>
          <w:rFonts w:ascii="Arial TUR" w:hAnsi="Arial TUR" w:cs="FrankRuehl"/>
          <w:spacing w:val="10"/>
          <w:szCs w:val="28"/>
          <w:rtl/>
        </w:rPr>
        <w:t>–</w:t>
      </w:r>
      <w:r>
        <w:rPr>
          <w:rFonts w:ascii="Arial TUR" w:hAnsi="Arial TUR" w:cs="FrankRuehl" w:hint="cs"/>
          <w:spacing w:val="10"/>
          <w:szCs w:val="28"/>
          <w:rtl/>
        </w:rPr>
        <w:t xml:space="preserve"> בשל ניסיונו העשיר וכישוריו הרבים של חה"כ דרעי (סעיפים 76-72 לכתב תשובתו). </w:t>
      </w:r>
      <w:r w:rsidRPr="005E2BA6">
        <w:rPr>
          <w:rFonts w:ascii="Arial TUR" w:hAnsi="Arial TUR" w:cs="FrankRuehl" w:hint="cs"/>
          <w:spacing w:val="10"/>
          <w:szCs w:val="28"/>
          <w:rtl/>
        </w:rPr>
        <w:t xml:space="preserve">אינני מטיל ספק </w:t>
      </w:r>
      <w:r>
        <w:rPr>
          <w:rFonts w:ascii="Arial TUR" w:hAnsi="Arial TUR" w:cs="FrankRuehl" w:hint="cs"/>
          <w:spacing w:val="10"/>
          <w:szCs w:val="28"/>
          <w:rtl/>
        </w:rPr>
        <w:t>בעמדתו זו</w:t>
      </w:r>
      <w:r w:rsidRPr="005E2BA6">
        <w:rPr>
          <w:rFonts w:ascii="Arial TUR" w:hAnsi="Arial TUR" w:cs="FrankRuehl" w:hint="cs"/>
          <w:spacing w:val="10"/>
          <w:szCs w:val="28"/>
          <w:rtl/>
        </w:rPr>
        <w:t xml:space="preserve">. ואולם, </w:t>
      </w:r>
      <w:r>
        <w:rPr>
          <w:rFonts w:ascii="Arial TUR" w:hAnsi="Arial TUR" w:cs="FrankRuehl" w:hint="cs"/>
          <w:spacing w:val="10"/>
          <w:szCs w:val="28"/>
          <w:rtl/>
        </w:rPr>
        <w:t xml:space="preserve">שיקוליו של ראש הממשלה נטועים כולם במישור הפוליטי, בעוד </w:t>
      </w:r>
      <w:r w:rsidRPr="005E2BA6">
        <w:rPr>
          <w:rFonts w:ascii="Arial TUR" w:hAnsi="Arial TUR" w:cs="FrankRuehl" w:hint="cs"/>
          <w:spacing w:val="10"/>
          <w:szCs w:val="28"/>
          <w:rtl/>
        </w:rPr>
        <w:t>שאלת תקינותו של המינוי אינה נבחנת על יד</w:t>
      </w:r>
      <w:r>
        <w:rPr>
          <w:rFonts w:ascii="Arial TUR" w:hAnsi="Arial TUR" w:cs="FrankRuehl" w:hint="cs"/>
          <w:spacing w:val="10"/>
          <w:szCs w:val="28"/>
          <w:rtl/>
        </w:rPr>
        <w:t>י</w:t>
      </w:r>
      <w:r w:rsidRPr="005E2BA6">
        <w:rPr>
          <w:rFonts w:ascii="Arial TUR" w:hAnsi="Arial TUR" w:cs="FrankRuehl" w:hint="cs"/>
          <w:spacing w:val="10"/>
          <w:szCs w:val="28"/>
          <w:rtl/>
        </w:rPr>
        <w:t xml:space="preserve">נו מנקודת המבט הפוליטית, כי אם מנקודת המבט המשפטית. על נקל ניתן להעלות על הדעת מינוי שהוא </w:t>
      </w:r>
      <w:r>
        <w:rPr>
          <w:rFonts w:ascii="Arial TUR" w:hAnsi="Arial TUR" w:cs="FrankRuehl" w:hint="cs"/>
          <w:spacing w:val="10"/>
          <w:szCs w:val="28"/>
          <w:rtl/>
        </w:rPr>
        <w:t>נכון</w:t>
      </w:r>
      <w:r w:rsidRPr="005E2BA6">
        <w:rPr>
          <w:rFonts w:ascii="Arial TUR" w:hAnsi="Arial TUR" w:cs="FrankRuehl" w:hint="cs"/>
          <w:spacing w:val="10"/>
          <w:szCs w:val="28"/>
          <w:rtl/>
        </w:rPr>
        <w:t xml:space="preserve"> ונדרש מבחינה פוליטית, אך בלתי תקין מבחינה משפטית. למעשה, </w:t>
      </w:r>
      <w:r>
        <w:rPr>
          <w:rFonts w:ascii="Arial TUR" w:hAnsi="Arial TUR" w:cs="FrankRuehl" w:hint="cs"/>
          <w:spacing w:val="10"/>
          <w:szCs w:val="28"/>
          <w:rtl/>
        </w:rPr>
        <w:t>אין אנו</w:t>
      </w:r>
      <w:r w:rsidRPr="005E2BA6">
        <w:rPr>
          <w:rFonts w:ascii="Arial TUR" w:hAnsi="Arial TUR" w:cs="FrankRuehl" w:hint="cs"/>
          <w:spacing w:val="10"/>
          <w:szCs w:val="28"/>
          <w:rtl/>
        </w:rPr>
        <w:t xml:space="preserve"> נדרשים לשם כך להרחיק לכת מעבר לעניינו של חה"כ דרעי עצמו. </w:t>
      </w:r>
      <w:r>
        <w:rPr>
          <w:rFonts w:ascii="Arial TUR" w:hAnsi="Arial TUR" w:cs="FrankRuehl" w:hint="cs"/>
          <w:spacing w:val="10"/>
          <w:szCs w:val="28"/>
          <w:rtl/>
        </w:rPr>
        <w:t xml:space="preserve">החלטתו של </w:t>
      </w:r>
      <w:r w:rsidRPr="005E2BA6">
        <w:rPr>
          <w:rFonts w:ascii="Arial TUR" w:hAnsi="Arial TUR" w:cs="FrankRuehl" w:hint="cs"/>
          <w:spacing w:val="10"/>
          <w:szCs w:val="28"/>
          <w:rtl/>
        </w:rPr>
        <w:t>ראש הממשלה</w:t>
      </w:r>
      <w:r>
        <w:rPr>
          <w:rFonts w:ascii="Arial TUR" w:hAnsi="Arial TUR" w:cs="FrankRuehl" w:hint="cs"/>
          <w:spacing w:val="10"/>
          <w:szCs w:val="28"/>
          <w:rtl/>
        </w:rPr>
        <w:t xml:space="preserve"> דאז,</w:t>
      </w:r>
      <w:r w:rsidRPr="005E2BA6">
        <w:rPr>
          <w:rFonts w:ascii="Arial TUR" w:hAnsi="Arial TUR" w:cs="FrankRuehl" w:hint="cs"/>
          <w:spacing w:val="10"/>
          <w:szCs w:val="28"/>
          <w:rtl/>
        </w:rPr>
        <w:t xml:space="preserve"> יצחק רבין </w:t>
      </w:r>
      <w:r>
        <w:rPr>
          <w:rFonts w:ascii="Arial TUR" w:hAnsi="Arial TUR" w:cs="FrankRuehl" w:hint="cs"/>
          <w:spacing w:val="10"/>
          <w:szCs w:val="28"/>
          <w:rtl/>
        </w:rPr>
        <w:t>ז"ל, שלא לפטר את חה"כ דרעי מתפקיד שר הפנים בעקבות הגשת כתב האישום הראשון נגדו באוגוסט 1993, הייתה בשעתו, ככל הנראה,</w:t>
      </w:r>
      <w:r w:rsidRPr="005E2BA6">
        <w:rPr>
          <w:rFonts w:ascii="Arial TUR" w:hAnsi="Arial TUR" w:cs="FrankRuehl" w:hint="cs"/>
          <w:spacing w:val="10"/>
          <w:szCs w:val="28"/>
          <w:rtl/>
        </w:rPr>
        <w:t xml:space="preserve"> </w:t>
      </w:r>
      <w:r>
        <w:rPr>
          <w:rFonts w:ascii="Arial TUR" w:hAnsi="Arial TUR" w:cs="FrankRuehl" w:hint="cs"/>
          <w:spacing w:val="10"/>
          <w:szCs w:val="28"/>
          <w:rtl/>
        </w:rPr>
        <w:t xml:space="preserve">החלטה </w:t>
      </w:r>
      <w:r w:rsidRPr="005E2BA6">
        <w:rPr>
          <w:rFonts w:ascii="Arial TUR" w:hAnsi="Arial TUR" w:cs="FrankRuehl" w:hint="cs"/>
          <w:spacing w:val="10"/>
          <w:szCs w:val="28"/>
          <w:rtl/>
        </w:rPr>
        <w:t>נכו</w:t>
      </w:r>
      <w:r>
        <w:rPr>
          <w:rFonts w:ascii="Arial TUR" w:hAnsi="Arial TUR" w:cs="FrankRuehl" w:hint="cs"/>
          <w:spacing w:val="10"/>
          <w:szCs w:val="28"/>
          <w:rtl/>
        </w:rPr>
        <w:t>נה</w:t>
      </w:r>
      <w:r w:rsidRPr="005E2BA6">
        <w:rPr>
          <w:rFonts w:ascii="Arial TUR" w:hAnsi="Arial TUR" w:cs="FrankRuehl" w:hint="cs"/>
          <w:spacing w:val="10"/>
          <w:szCs w:val="28"/>
          <w:rtl/>
        </w:rPr>
        <w:t xml:space="preserve"> ונדרש</w:t>
      </w:r>
      <w:r>
        <w:rPr>
          <w:rFonts w:ascii="Arial TUR" w:hAnsi="Arial TUR" w:cs="FrankRuehl" w:hint="cs"/>
          <w:spacing w:val="10"/>
          <w:szCs w:val="28"/>
          <w:rtl/>
        </w:rPr>
        <w:t>ת</w:t>
      </w:r>
      <w:r w:rsidRPr="005E2BA6">
        <w:rPr>
          <w:rFonts w:ascii="Arial TUR" w:hAnsi="Arial TUR" w:cs="FrankRuehl" w:hint="cs"/>
          <w:spacing w:val="10"/>
          <w:szCs w:val="28"/>
          <w:rtl/>
        </w:rPr>
        <w:t xml:space="preserve"> מבחינה פוליטית</w:t>
      </w:r>
      <w:r>
        <w:rPr>
          <w:rFonts w:ascii="Arial TUR" w:hAnsi="Arial TUR" w:cs="FrankRuehl" w:hint="cs"/>
          <w:spacing w:val="10"/>
          <w:szCs w:val="28"/>
          <w:rtl/>
        </w:rPr>
        <w:t xml:space="preserve">. </w:t>
      </w:r>
      <w:r w:rsidRPr="005E2BA6">
        <w:rPr>
          <w:rFonts w:ascii="Arial TUR" w:hAnsi="Arial TUR" w:cs="FrankRuehl" w:hint="cs"/>
          <w:spacing w:val="10"/>
          <w:szCs w:val="28"/>
          <w:rtl/>
        </w:rPr>
        <w:t>לראי</w:t>
      </w:r>
      <w:r>
        <w:rPr>
          <w:rFonts w:ascii="Arial TUR" w:hAnsi="Arial TUR" w:cs="FrankRuehl" w:hint="cs"/>
          <w:spacing w:val="10"/>
          <w:szCs w:val="28"/>
          <w:rtl/>
        </w:rPr>
        <w:t>י</w:t>
      </w:r>
      <w:r w:rsidRPr="005E2BA6">
        <w:rPr>
          <w:rFonts w:ascii="Arial TUR" w:hAnsi="Arial TUR" w:cs="FrankRuehl" w:hint="cs"/>
          <w:spacing w:val="10"/>
          <w:szCs w:val="28"/>
          <w:rtl/>
        </w:rPr>
        <w:t xml:space="preserve">ה, </w:t>
      </w:r>
      <w:r w:rsidR="00DD5676">
        <w:rPr>
          <w:rFonts w:ascii="Arial TUR" w:hAnsi="Arial TUR" w:cs="FrankRuehl" w:hint="cs"/>
          <w:spacing w:val="10"/>
          <w:szCs w:val="28"/>
          <w:rtl/>
        </w:rPr>
        <w:t>התפטרותו</w:t>
      </w:r>
      <w:r w:rsidRPr="005E2BA6">
        <w:rPr>
          <w:rFonts w:ascii="Arial TUR" w:hAnsi="Arial TUR" w:cs="FrankRuehl" w:hint="cs"/>
          <w:spacing w:val="10"/>
          <w:szCs w:val="28"/>
          <w:rtl/>
        </w:rPr>
        <w:t xml:space="preserve"> בעקבות פסק דין דרעי הראשון </w:t>
      </w:r>
      <w:r>
        <w:rPr>
          <w:rFonts w:ascii="Arial TUR" w:hAnsi="Arial TUR" w:cs="FrankRuehl" w:hint="cs"/>
          <w:spacing w:val="10"/>
          <w:szCs w:val="28"/>
          <w:rtl/>
        </w:rPr>
        <w:t>(</w:t>
      </w:r>
      <w:r w:rsidRPr="008D0AF3">
        <w:rPr>
          <w:rFonts w:ascii="Arial TUR" w:hAnsi="Arial TUR" w:cs="FrankRuehl"/>
          <w:spacing w:val="10"/>
          <w:szCs w:val="28"/>
          <w:rtl/>
        </w:rPr>
        <w:t>בג"ץ 3094</w:t>
      </w:r>
      <w:r>
        <w:rPr>
          <w:rFonts w:ascii="Arial TUR" w:hAnsi="Arial TUR" w:cs="FrankRuehl" w:hint="cs"/>
          <w:spacing w:val="10"/>
          <w:szCs w:val="28"/>
          <w:rtl/>
        </w:rPr>
        <w:t>/</w:t>
      </w:r>
      <w:r w:rsidRPr="008D0AF3">
        <w:rPr>
          <w:rFonts w:ascii="Arial TUR" w:hAnsi="Arial TUR" w:cs="FrankRuehl"/>
          <w:spacing w:val="10"/>
          <w:szCs w:val="28"/>
          <w:rtl/>
        </w:rPr>
        <w:t xml:space="preserve">93 </w:t>
      </w:r>
      <w:r w:rsidRPr="00D140AE">
        <w:rPr>
          <w:rFonts w:ascii="Century" w:hAnsi="Century" w:cs="Miriam"/>
          <w:b/>
          <w:rtl/>
        </w:rPr>
        <w:t>התנועה למען איכות השלטון בישראל נ' ממשלת ישראל</w:t>
      </w:r>
      <w:r w:rsidRPr="008D0AF3">
        <w:rPr>
          <w:rFonts w:ascii="Arial TUR" w:hAnsi="Arial TUR" w:cs="FrankRuehl"/>
          <w:spacing w:val="10"/>
          <w:szCs w:val="28"/>
          <w:rtl/>
        </w:rPr>
        <w:t>,</w:t>
      </w:r>
      <w:r>
        <w:rPr>
          <w:rFonts w:ascii="Arial TUR" w:hAnsi="Arial TUR" w:cs="FrankRuehl" w:hint="cs"/>
          <w:spacing w:val="10"/>
          <w:szCs w:val="28"/>
          <w:rtl/>
        </w:rPr>
        <w:t xml:space="preserve"> פ"ד</w:t>
      </w:r>
      <w:r w:rsidRPr="008D0AF3">
        <w:rPr>
          <w:rFonts w:ascii="Arial TUR" w:hAnsi="Arial TUR" w:cs="FrankRuehl"/>
          <w:spacing w:val="10"/>
          <w:szCs w:val="28"/>
          <w:rtl/>
        </w:rPr>
        <w:t xml:space="preserve"> מז(5) 404</w:t>
      </w:r>
      <w:r>
        <w:rPr>
          <w:rFonts w:ascii="Arial TUR" w:hAnsi="Arial TUR" w:cs="FrankRuehl" w:hint="cs"/>
          <w:spacing w:val="10"/>
          <w:szCs w:val="28"/>
          <w:rtl/>
        </w:rPr>
        <w:t xml:space="preserve"> (1993)), וכן </w:t>
      </w:r>
      <w:r w:rsidR="00DD5676">
        <w:rPr>
          <w:rFonts w:ascii="Arial TUR" w:hAnsi="Arial TUR" w:cs="FrankRuehl" w:hint="cs"/>
          <w:spacing w:val="10"/>
          <w:szCs w:val="28"/>
          <w:rtl/>
        </w:rPr>
        <w:t>התפטרותו</w:t>
      </w:r>
      <w:r>
        <w:rPr>
          <w:rFonts w:ascii="Arial TUR" w:hAnsi="Arial TUR" w:cs="FrankRuehl" w:hint="cs"/>
          <w:spacing w:val="10"/>
          <w:szCs w:val="28"/>
          <w:rtl/>
        </w:rPr>
        <w:t xml:space="preserve"> של חבר הכנסת רפאל פנחסי (בעקבות </w:t>
      </w:r>
      <w:r w:rsidRPr="0047408E">
        <w:rPr>
          <w:rFonts w:ascii="Arial TUR" w:hAnsi="Arial TUR" w:cs="FrankRuehl"/>
          <w:spacing w:val="10"/>
          <w:szCs w:val="28"/>
          <w:rtl/>
        </w:rPr>
        <w:t>בג"ץ 4287</w:t>
      </w:r>
      <w:r>
        <w:rPr>
          <w:rFonts w:ascii="Arial TUR" w:hAnsi="Arial TUR" w:cs="FrankRuehl" w:hint="cs"/>
          <w:spacing w:val="10"/>
          <w:szCs w:val="28"/>
          <w:rtl/>
        </w:rPr>
        <w:t>/</w:t>
      </w:r>
      <w:r w:rsidRPr="0047408E">
        <w:rPr>
          <w:rFonts w:ascii="Arial TUR" w:hAnsi="Arial TUR" w:cs="FrankRuehl"/>
          <w:spacing w:val="10"/>
          <w:szCs w:val="28"/>
          <w:rtl/>
        </w:rPr>
        <w:t xml:space="preserve">93 </w:t>
      </w:r>
      <w:r w:rsidRPr="00D140AE">
        <w:rPr>
          <w:rFonts w:ascii="Century" w:hAnsi="Century" w:cs="Miriam"/>
          <w:b/>
          <w:rtl/>
        </w:rPr>
        <w:t>אמיתי - אזרחים למען מינהל תקין וטוהר המידות נ' יצחק רבין, ראש ממשלת ישראל</w:t>
      </w:r>
      <w:r w:rsidRPr="0047408E">
        <w:rPr>
          <w:rFonts w:ascii="Arial TUR" w:hAnsi="Arial TUR" w:cs="FrankRuehl"/>
          <w:spacing w:val="10"/>
          <w:szCs w:val="28"/>
          <w:rtl/>
        </w:rPr>
        <w:t>,</w:t>
      </w:r>
      <w:r>
        <w:rPr>
          <w:rFonts w:ascii="Arial TUR" w:hAnsi="Arial TUR" w:cs="FrankRuehl" w:hint="cs"/>
          <w:spacing w:val="10"/>
          <w:szCs w:val="28"/>
          <w:rtl/>
        </w:rPr>
        <w:t xml:space="preserve"> פ"ד</w:t>
      </w:r>
      <w:r w:rsidRPr="0047408E">
        <w:rPr>
          <w:rFonts w:ascii="Arial TUR" w:hAnsi="Arial TUR" w:cs="FrankRuehl"/>
          <w:spacing w:val="10"/>
          <w:szCs w:val="28"/>
          <w:rtl/>
        </w:rPr>
        <w:t xml:space="preserve"> מז(5) 441</w:t>
      </w:r>
      <w:r>
        <w:rPr>
          <w:rFonts w:ascii="Arial TUR" w:hAnsi="Arial TUR" w:cs="FrankRuehl" w:hint="cs"/>
          <w:spacing w:val="10"/>
          <w:szCs w:val="28"/>
          <w:rtl/>
        </w:rPr>
        <w:t xml:space="preserve"> (1993) (להלן: </w:t>
      </w:r>
      <w:r w:rsidRPr="00D140AE">
        <w:rPr>
          <w:rFonts w:ascii="Century" w:hAnsi="Century" w:cs="Miriam" w:hint="eastAsia"/>
          <w:b/>
          <w:rtl/>
        </w:rPr>
        <w:t>עניין</w:t>
      </w:r>
      <w:r w:rsidRPr="00D140AE">
        <w:rPr>
          <w:rFonts w:ascii="Century" w:hAnsi="Century" w:cs="Miriam"/>
          <w:b/>
          <w:rtl/>
        </w:rPr>
        <w:t xml:space="preserve"> </w:t>
      </w:r>
      <w:r w:rsidRPr="00D140AE">
        <w:rPr>
          <w:rFonts w:ascii="Century" w:hAnsi="Century" w:cs="Miriam" w:hint="eastAsia"/>
          <w:b/>
          <w:rtl/>
        </w:rPr>
        <w:t>פנ</w:t>
      </w:r>
      <w:r>
        <w:rPr>
          <w:rFonts w:ascii="Century" w:hAnsi="Century" w:cs="Miriam" w:hint="cs"/>
          <w:b/>
          <w:rtl/>
        </w:rPr>
        <w:t>חס</w:t>
      </w:r>
      <w:r w:rsidRPr="00D140AE">
        <w:rPr>
          <w:rFonts w:ascii="Century" w:hAnsi="Century" w:cs="Miriam" w:hint="eastAsia"/>
          <w:b/>
          <w:rtl/>
        </w:rPr>
        <w:t>י</w:t>
      </w:r>
      <w:r>
        <w:rPr>
          <w:rFonts w:ascii="Arial TUR" w:hAnsi="Arial TUR" w:cs="FrankRuehl" w:hint="cs"/>
          <w:spacing w:val="10"/>
          <w:szCs w:val="28"/>
          <w:rtl/>
        </w:rPr>
        <w:t xml:space="preserve">)), </w:t>
      </w:r>
      <w:r w:rsidRPr="005E2BA6">
        <w:rPr>
          <w:rFonts w:ascii="Arial TUR" w:hAnsi="Arial TUR" w:cs="FrankRuehl" w:hint="cs"/>
          <w:spacing w:val="10"/>
          <w:szCs w:val="28"/>
          <w:rtl/>
        </w:rPr>
        <w:t xml:space="preserve">הביאו </w:t>
      </w:r>
      <w:r>
        <w:rPr>
          <w:rFonts w:ascii="Arial TUR" w:hAnsi="Arial TUR" w:cs="FrankRuehl" w:hint="cs"/>
          <w:spacing w:val="10"/>
          <w:szCs w:val="28"/>
          <w:rtl/>
        </w:rPr>
        <w:t>לפרישת תנועת ש"ס מהממשלה, דבר שהוביל לאובדן הרוב של הקואליציה דאז ולהחלשה משמעותית בכוחה</w:t>
      </w:r>
      <w:r w:rsidRPr="005E2BA6">
        <w:rPr>
          <w:rFonts w:ascii="Arial TUR" w:hAnsi="Arial TUR" w:cs="FrankRuehl" w:hint="cs"/>
          <w:spacing w:val="10"/>
          <w:szCs w:val="28"/>
          <w:rtl/>
        </w:rPr>
        <w:t xml:space="preserve">. </w:t>
      </w:r>
      <w:r>
        <w:rPr>
          <w:rFonts w:ascii="Arial TUR" w:hAnsi="Arial TUR" w:cs="FrankRuehl" w:hint="cs"/>
          <w:spacing w:val="10"/>
          <w:szCs w:val="28"/>
          <w:rtl/>
        </w:rPr>
        <w:t>עם זאת</w:t>
      </w:r>
      <w:r w:rsidRPr="005E2BA6">
        <w:rPr>
          <w:rFonts w:ascii="Arial TUR" w:hAnsi="Arial TUR" w:cs="FrankRuehl" w:hint="cs"/>
          <w:spacing w:val="10"/>
          <w:szCs w:val="28"/>
          <w:rtl/>
        </w:rPr>
        <w:t>, בהינתן כתבי האישום ש</w:t>
      </w:r>
      <w:r>
        <w:rPr>
          <w:rFonts w:ascii="Arial TUR" w:hAnsi="Arial TUR" w:cs="FrankRuehl" w:hint="cs"/>
          <w:spacing w:val="10"/>
          <w:szCs w:val="28"/>
          <w:rtl/>
        </w:rPr>
        <w:t xml:space="preserve">הוגשו נגד </w:t>
      </w:r>
      <w:r w:rsidRPr="005E2BA6">
        <w:rPr>
          <w:rFonts w:ascii="Arial TUR" w:hAnsi="Arial TUR" w:cs="FrankRuehl" w:hint="cs"/>
          <w:spacing w:val="10"/>
          <w:szCs w:val="28"/>
          <w:rtl/>
        </w:rPr>
        <w:t xml:space="preserve">חה"כ דרעי באותה עת, </w:t>
      </w:r>
      <w:r>
        <w:rPr>
          <w:rFonts w:ascii="Arial TUR" w:hAnsi="Arial TUR" w:cs="FrankRuehl" w:hint="cs"/>
          <w:spacing w:val="10"/>
          <w:szCs w:val="28"/>
          <w:rtl/>
        </w:rPr>
        <w:t xml:space="preserve">נפסק על ידי בית משפט זה כי מדובר בהחלטה </w:t>
      </w:r>
      <w:r w:rsidRPr="005E2BA6">
        <w:rPr>
          <w:rFonts w:ascii="Arial TUR" w:hAnsi="Arial TUR" w:cs="FrankRuehl" w:hint="cs"/>
          <w:spacing w:val="10"/>
          <w:szCs w:val="28"/>
          <w:rtl/>
        </w:rPr>
        <w:t>בלתי סביר</w:t>
      </w:r>
      <w:r>
        <w:rPr>
          <w:rFonts w:ascii="Arial TUR" w:hAnsi="Arial TUR" w:cs="FrankRuehl" w:hint="cs"/>
          <w:spacing w:val="10"/>
          <w:szCs w:val="28"/>
          <w:rtl/>
        </w:rPr>
        <w:t>ה</w:t>
      </w:r>
      <w:r w:rsidRPr="005E2BA6">
        <w:rPr>
          <w:rFonts w:ascii="Arial TUR" w:hAnsi="Arial TUR" w:cs="FrankRuehl" w:hint="cs"/>
          <w:spacing w:val="10"/>
          <w:szCs w:val="28"/>
          <w:rtl/>
        </w:rPr>
        <w:t xml:space="preserve"> מבחינה משפטית. כך </w:t>
      </w:r>
      <w:r>
        <w:rPr>
          <w:rFonts w:ascii="Arial TUR" w:hAnsi="Arial TUR" w:cs="FrankRuehl" w:hint="cs"/>
          <w:spacing w:val="10"/>
          <w:szCs w:val="28"/>
          <w:rtl/>
        </w:rPr>
        <w:t>הם הדברים גם</w:t>
      </w:r>
      <w:r w:rsidRPr="005E2BA6">
        <w:rPr>
          <w:rFonts w:ascii="Arial TUR" w:hAnsi="Arial TUR" w:cs="FrankRuehl" w:hint="cs"/>
          <w:spacing w:val="10"/>
          <w:szCs w:val="28"/>
          <w:rtl/>
        </w:rPr>
        <w:t xml:space="preserve"> בעת הזו: </w:t>
      </w:r>
      <w:r>
        <w:rPr>
          <w:rFonts w:ascii="Arial TUR" w:hAnsi="Arial TUR" w:cs="FrankRuehl" w:hint="cs"/>
          <w:spacing w:val="10"/>
          <w:szCs w:val="28"/>
          <w:rtl/>
        </w:rPr>
        <w:t>י</w:t>
      </w:r>
      <w:r w:rsidRPr="005E2BA6">
        <w:rPr>
          <w:rFonts w:ascii="Arial TUR" w:hAnsi="Arial TUR" w:cs="FrankRuehl" w:hint="cs"/>
          <w:spacing w:val="10"/>
          <w:szCs w:val="28"/>
          <w:rtl/>
        </w:rPr>
        <w:t xml:space="preserve">יתכן מאד שמבחינה פוליטית חה"כ דרעי הוא חבר נדרש בממשלה; </w:t>
      </w:r>
      <w:r>
        <w:rPr>
          <w:rFonts w:ascii="Arial TUR" w:hAnsi="Arial TUR" w:cs="FrankRuehl" w:hint="cs"/>
          <w:spacing w:val="10"/>
          <w:szCs w:val="28"/>
          <w:rtl/>
        </w:rPr>
        <w:t>ברם</w:t>
      </w:r>
      <w:r w:rsidRPr="005E2BA6">
        <w:rPr>
          <w:rFonts w:ascii="Arial TUR" w:hAnsi="Arial TUR" w:cs="FrankRuehl" w:hint="cs"/>
          <w:spacing w:val="10"/>
          <w:szCs w:val="28"/>
          <w:rtl/>
        </w:rPr>
        <w:t>, מבחינה משפטית, קיימת מניעה למנותו. אכן, ה</w:t>
      </w:r>
      <w:r>
        <w:rPr>
          <w:rFonts w:ascii="Arial TUR" w:hAnsi="Arial TUR" w:cs="FrankRuehl" w:hint="cs"/>
          <w:spacing w:val="10"/>
          <w:szCs w:val="28"/>
          <w:rtl/>
        </w:rPr>
        <w:t>י</w:t>
      </w:r>
      <w:r w:rsidRPr="005E2BA6">
        <w:rPr>
          <w:rFonts w:ascii="Arial TUR" w:hAnsi="Arial TUR" w:cs="FrankRuehl" w:hint="cs"/>
          <w:spacing w:val="10"/>
          <w:szCs w:val="28"/>
          <w:rtl/>
        </w:rPr>
        <w:t>גיון פוליטי אינו ה</w:t>
      </w:r>
      <w:r>
        <w:rPr>
          <w:rFonts w:ascii="Arial TUR" w:hAnsi="Arial TUR" w:cs="FrankRuehl" w:hint="cs"/>
          <w:spacing w:val="10"/>
          <w:szCs w:val="28"/>
          <w:rtl/>
        </w:rPr>
        <w:t>י</w:t>
      </w:r>
      <w:r w:rsidRPr="005E2BA6">
        <w:rPr>
          <w:rFonts w:ascii="Arial TUR" w:hAnsi="Arial TUR" w:cs="FrankRuehl" w:hint="cs"/>
          <w:spacing w:val="10"/>
          <w:szCs w:val="28"/>
          <w:rtl/>
        </w:rPr>
        <w:t xml:space="preserve">גיון משפטי </w:t>
      </w:r>
      <w:r w:rsidRPr="005E2BA6">
        <w:rPr>
          <w:rFonts w:ascii="Arial TUR" w:hAnsi="Arial TUR" w:cs="FrankRuehl"/>
          <w:spacing w:val="10"/>
          <w:szCs w:val="28"/>
          <w:rtl/>
        </w:rPr>
        <w:t>–</w:t>
      </w:r>
      <w:r w:rsidRPr="005E2BA6">
        <w:rPr>
          <w:rFonts w:ascii="Arial TUR" w:hAnsi="Arial TUR" w:cs="FrankRuehl" w:hint="cs"/>
          <w:spacing w:val="10"/>
          <w:szCs w:val="28"/>
          <w:rtl/>
        </w:rPr>
        <w:t xml:space="preserve"> הסמכות להכריע האם נכון </w:t>
      </w:r>
      <w:r w:rsidRPr="00D140AE">
        <w:rPr>
          <w:rFonts w:ascii="Century" w:hAnsi="Century" w:cs="Miriam" w:hint="eastAsia"/>
          <w:b/>
          <w:rtl/>
        </w:rPr>
        <w:t>מבחינה</w:t>
      </w:r>
      <w:r w:rsidRPr="00D140AE">
        <w:rPr>
          <w:rFonts w:ascii="Century" w:hAnsi="Century" w:cs="Miriam"/>
          <w:b/>
          <w:rtl/>
        </w:rPr>
        <w:t xml:space="preserve"> </w:t>
      </w:r>
      <w:r w:rsidRPr="00D140AE">
        <w:rPr>
          <w:rFonts w:ascii="Century" w:hAnsi="Century" w:cs="Miriam" w:hint="eastAsia"/>
          <w:b/>
          <w:rtl/>
        </w:rPr>
        <w:t>פוליטית</w:t>
      </w:r>
      <w:r w:rsidRPr="000F79EE">
        <w:rPr>
          <w:rFonts w:ascii="Arial TUR" w:hAnsi="Arial TUR" w:cs="FrankRuehl" w:hint="cs"/>
          <w:spacing w:val="10"/>
          <w:szCs w:val="28"/>
          <w:rtl/>
        </w:rPr>
        <w:t xml:space="preserve"> </w:t>
      </w:r>
      <w:r w:rsidRPr="005E2BA6">
        <w:rPr>
          <w:rFonts w:ascii="Arial TUR" w:hAnsi="Arial TUR" w:cs="FrankRuehl" w:hint="cs"/>
          <w:spacing w:val="10"/>
          <w:szCs w:val="28"/>
          <w:rtl/>
        </w:rPr>
        <w:t>ל</w:t>
      </w:r>
      <w:r>
        <w:rPr>
          <w:rFonts w:ascii="Arial TUR" w:hAnsi="Arial TUR" w:cs="FrankRuehl" w:hint="cs"/>
          <w:spacing w:val="10"/>
          <w:szCs w:val="28"/>
          <w:rtl/>
        </w:rPr>
        <w:t>מנות ול</w:t>
      </w:r>
      <w:r w:rsidRPr="005E2BA6">
        <w:rPr>
          <w:rFonts w:ascii="Arial TUR" w:hAnsi="Arial TUR" w:cs="FrankRuehl" w:hint="cs"/>
          <w:spacing w:val="10"/>
          <w:szCs w:val="28"/>
          <w:rtl/>
        </w:rPr>
        <w:t xml:space="preserve">הותיר את חה"כ דרעי בתפקיד שר נתונה לראש הממשלה, ולו בלבד. בהפעלת שיקול דעת זה אין לבית המשפט לא יומרה ולא סמכות להתערב; לעומת זאת, הסמכות להכריע האם ניתן </w:t>
      </w:r>
      <w:r w:rsidRPr="00D140AE">
        <w:rPr>
          <w:rFonts w:ascii="Century" w:hAnsi="Century" w:cs="Miriam" w:hint="eastAsia"/>
          <w:b/>
          <w:rtl/>
        </w:rPr>
        <w:t>מבחינה</w:t>
      </w:r>
      <w:r w:rsidRPr="00D140AE">
        <w:rPr>
          <w:rFonts w:ascii="Century" w:hAnsi="Century" w:cs="Miriam"/>
          <w:b/>
          <w:rtl/>
        </w:rPr>
        <w:t xml:space="preserve"> </w:t>
      </w:r>
      <w:r w:rsidRPr="00D140AE">
        <w:rPr>
          <w:rFonts w:ascii="Century" w:hAnsi="Century" w:cs="Miriam" w:hint="eastAsia"/>
          <w:b/>
          <w:rtl/>
        </w:rPr>
        <w:t>משפטית</w:t>
      </w:r>
      <w:r w:rsidRPr="005E2BA6">
        <w:rPr>
          <w:rFonts w:ascii="Arial TUR" w:hAnsi="Arial TUR" w:cs="FrankRuehl" w:hint="cs"/>
          <w:spacing w:val="10"/>
          <w:szCs w:val="28"/>
          <w:rtl/>
        </w:rPr>
        <w:t xml:space="preserve"> להותיר את חה"כ דרעי בתפקיד שר מסורה לבית המ</w:t>
      </w:r>
      <w:r>
        <w:rPr>
          <w:rFonts w:ascii="Arial TUR" w:hAnsi="Arial TUR" w:cs="FrankRuehl" w:hint="cs"/>
          <w:spacing w:val="10"/>
          <w:szCs w:val="28"/>
          <w:rtl/>
        </w:rPr>
        <w:t>שפט, ובה, ורק בה, אנו מכריעים.</w:t>
      </w:r>
    </w:p>
    <w:p w14:paraId="7E01B58F" w14:textId="77777777" w:rsidR="001B1382" w:rsidRDefault="001B1382" w:rsidP="001B1382">
      <w:pPr>
        <w:spacing w:line="360" w:lineRule="auto"/>
        <w:jc w:val="both"/>
        <w:rPr>
          <w:rFonts w:ascii="Arial TUR" w:hAnsi="Arial TUR" w:cs="FrankRuehl"/>
          <w:spacing w:val="10"/>
          <w:szCs w:val="28"/>
          <w:rtl/>
        </w:rPr>
      </w:pPr>
    </w:p>
    <w:p w14:paraId="229F2CC2" w14:textId="77777777" w:rsidR="001B1382" w:rsidRDefault="001B1382" w:rsidP="001B1382">
      <w:pPr>
        <w:spacing w:line="360" w:lineRule="auto"/>
        <w:jc w:val="both"/>
        <w:rPr>
          <w:rFonts w:ascii="Century" w:hAnsi="Century" w:cs="FrankRuehl"/>
          <w:spacing w:val="10"/>
          <w:szCs w:val="28"/>
          <w:rtl/>
        </w:rPr>
      </w:pPr>
      <w:r>
        <w:rPr>
          <w:rFonts w:ascii="Century" w:hAnsi="Century" w:cs="FrankRuehl" w:hint="cs"/>
          <w:spacing w:val="10"/>
          <w:szCs w:val="28"/>
          <w:rtl/>
        </w:rPr>
        <w:t>3.</w:t>
      </w:r>
      <w:r>
        <w:rPr>
          <w:rFonts w:ascii="Century" w:hAnsi="Century" w:cs="FrankRuehl" w:hint="cs"/>
          <w:spacing w:val="10"/>
          <w:szCs w:val="28"/>
          <w:rtl/>
        </w:rPr>
        <w:tab/>
      </w:r>
      <w:r w:rsidRPr="005E2BA6">
        <w:rPr>
          <w:rFonts w:ascii="Century" w:hAnsi="Century" w:cs="FrankRuehl" w:hint="cs"/>
          <w:spacing w:val="10"/>
          <w:szCs w:val="28"/>
          <w:rtl/>
        </w:rPr>
        <w:t xml:space="preserve">דברים </w:t>
      </w:r>
      <w:r>
        <w:rPr>
          <w:rFonts w:ascii="Century" w:hAnsi="Century" w:cs="FrankRuehl" w:hint="cs"/>
          <w:spacing w:val="10"/>
          <w:szCs w:val="28"/>
          <w:rtl/>
        </w:rPr>
        <w:t xml:space="preserve">ברוח זו </w:t>
      </w:r>
      <w:r w:rsidRPr="005E2BA6">
        <w:rPr>
          <w:rFonts w:ascii="Century" w:hAnsi="Century" w:cs="FrankRuehl" w:hint="cs"/>
          <w:spacing w:val="10"/>
          <w:szCs w:val="28"/>
          <w:rtl/>
        </w:rPr>
        <w:t xml:space="preserve">אמורים </w:t>
      </w:r>
      <w:r>
        <w:rPr>
          <w:rFonts w:ascii="Century" w:hAnsi="Century" w:cs="FrankRuehl" w:hint="cs"/>
          <w:spacing w:val="10"/>
          <w:szCs w:val="28"/>
          <w:rtl/>
        </w:rPr>
        <w:t xml:space="preserve">גם </w:t>
      </w:r>
      <w:r w:rsidRPr="005E2BA6">
        <w:rPr>
          <w:rFonts w:ascii="Century" w:hAnsi="Century" w:cs="FrankRuehl" w:hint="cs"/>
          <w:spacing w:val="10"/>
          <w:szCs w:val="28"/>
          <w:rtl/>
        </w:rPr>
        <w:t>ביחס לתקינות המינוי</w:t>
      </w:r>
      <w:r>
        <w:rPr>
          <w:rFonts w:ascii="Century" w:hAnsi="Century" w:cs="FrankRuehl" w:hint="cs"/>
          <w:spacing w:val="10"/>
          <w:szCs w:val="28"/>
          <w:rtl/>
        </w:rPr>
        <w:t xml:space="preserve"> של חה"כ דרעי</w:t>
      </w:r>
      <w:r w:rsidRPr="005E2BA6">
        <w:rPr>
          <w:rFonts w:ascii="Century" w:hAnsi="Century" w:cs="FrankRuehl" w:hint="cs"/>
          <w:spacing w:val="10"/>
          <w:szCs w:val="28"/>
          <w:rtl/>
        </w:rPr>
        <w:t xml:space="preserve"> במבחן דעת הקהל. </w:t>
      </w:r>
      <w:r>
        <w:rPr>
          <w:rFonts w:ascii="Century" w:hAnsi="Century" w:cs="FrankRuehl" w:hint="cs"/>
          <w:spacing w:val="10"/>
          <w:szCs w:val="28"/>
          <w:rtl/>
        </w:rPr>
        <w:t xml:space="preserve">המתנגדים לקבלת העתירות הדגישו כי </w:t>
      </w:r>
      <w:r w:rsidRPr="005E2BA6">
        <w:rPr>
          <w:rFonts w:ascii="Century" w:hAnsi="Century" w:cs="FrankRuehl" w:hint="cs"/>
          <w:spacing w:val="10"/>
          <w:szCs w:val="28"/>
          <w:rtl/>
        </w:rPr>
        <w:t>קבוצה גדולה של א</w:t>
      </w:r>
      <w:r>
        <w:rPr>
          <w:rFonts w:ascii="Century" w:hAnsi="Century" w:cs="FrankRuehl" w:hint="cs"/>
          <w:spacing w:val="10"/>
          <w:szCs w:val="28"/>
          <w:rtl/>
        </w:rPr>
        <w:t>זרחיות וא</w:t>
      </w:r>
      <w:r w:rsidRPr="005E2BA6">
        <w:rPr>
          <w:rFonts w:ascii="Century" w:hAnsi="Century" w:cs="FrankRuehl" w:hint="cs"/>
          <w:spacing w:val="10"/>
          <w:szCs w:val="28"/>
          <w:rtl/>
        </w:rPr>
        <w:t>זרחים</w:t>
      </w:r>
      <w:r>
        <w:rPr>
          <w:rFonts w:ascii="Century" w:hAnsi="Century" w:cs="FrankRuehl" w:hint="cs"/>
          <w:spacing w:val="10"/>
          <w:szCs w:val="28"/>
          <w:rtl/>
        </w:rPr>
        <w:t xml:space="preserve">, כ- 400,000 אישה ואיש, </w:t>
      </w:r>
      <w:r w:rsidRPr="005E2BA6">
        <w:rPr>
          <w:rFonts w:ascii="Century" w:hAnsi="Century" w:cs="FrankRuehl" w:hint="cs"/>
          <w:spacing w:val="10"/>
          <w:szCs w:val="28"/>
          <w:rtl/>
        </w:rPr>
        <w:t>הצביעו בעבור תנועת ש"ס</w:t>
      </w:r>
      <w:r>
        <w:rPr>
          <w:rFonts w:ascii="Century" w:hAnsi="Century" w:cs="FrankRuehl" w:hint="cs"/>
          <w:spacing w:val="10"/>
          <w:szCs w:val="28"/>
          <w:rtl/>
        </w:rPr>
        <w:t>, אשר חה"כ דרעי עומד בראשה</w:t>
      </w:r>
      <w:r w:rsidRPr="005E2BA6">
        <w:rPr>
          <w:rFonts w:ascii="Century" w:hAnsi="Century" w:cs="FrankRuehl" w:hint="cs"/>
          <w:spacing w:val="10"/>
          <w:szCs w:val="28"/>
          <w:rtl/>
        </w:rPr>
        <w:t xml:space="preserve">, </w:t>
      </w:r>
      <w:r>
        <w:rPr>
          <w:rFonts w:ascii="Century" w:hAnsi="Century" w:cs="FrankRuehl" w:hint="cs"/>
          <w:spacing w:val="10"/>
          <w:szCs w:val="28"/>
          <w:rtl/>
        </w:rPr>
        <w:t xml:space="preserve">בבחירות שהתקיימו באחרונה. עוד טענו, כי ניתן לשער </w:t>
      </w:r>
      <w:r w:rsidRPr="005E2BA6">
        <w:rPr>
          <w:rFonts w:ascii="Century" w:hAnsi="Century" w:cs="FrankRuehl" w:hint="cs"/>
          <w:spacing w:val="10"/>
          <w:szCs w:val="28"/>
          <w:rtl/>
        </w:rPr>
        <w:t xml:space="preserve">כי </w:t>
      </w:r>
      <w:r>
        <w:rPr>
          <w:rFonts w:ascii="Century" w:hAnsi="Century" w:cs="FrankRuehl" w:hint="cs"/>
          <w:spacing w:val="10"/>
          <w:szCs w:val="28"/>
          <w:rtl/>
        </w:rPr>
        <w:t xml:space="preserve">הצבעתם זו משקפת גם את רצון רובם ככולם כי </w:t>
      </w:r>
      <w:r w:rsidRPr="005E2BA6">
        <w:rPr>
          <w:rFonts w:ascii="Century" w:hAnsi="Century" w:cs="FrankRuehl" w:hint="cs"/>
          <w:spacing w:val="10"/>
          <w:szCs w:val="28"/>
          <w:rtl/>
        </w:rPr>
        <w:t xml:space="preserve">חה"כ דרעי ישמש כשר </w:t>
      </w:r>
      <w:r>
        <w:rPr>
          <w:rFonts w:ascii="Century" w:hAnsi="Century" w:cs="FrankRuehl" w:hint="cs"/>
          <w:spacing w:val="10"/>
          <w:szCs w:val="28"/>
          <w:rtl/>
        </w:rPr>
        <w:t xml:space="preserve">בכיר </w:t>
      </w:r>
      <w:r w:rsidRPr="005E2BA6">
        <w:rPr>
          <w:rFonts w:ascii="Century" w:hAnsi="Century" w:cs="FrankRuehl" w:hint="cs"/>
          <w:spacing w:val="10"/>
          <w:szCs w:val="28"/>
          <w:rtl/>
        </w:rPr>
        <w:t xml:space="preserve">בממשלה. </w:t>
      </w:r>
      <w:r>
        <w:rPr>
          <w:rFonts w:ascii="Century" w:hAnsi="Century" w:cs="FrankRuehl" w:hint="cs"/>
          <w:spacing w:val="10"/>
          <w:szCs w:val="28"/>
          <w:rtl/>
        </w:rPr>
        <w:t xml:space="preserve">אף </w:t>
      </w:r>
      <w:r w:rsidRPr="005E2BA6">
        <w:rPr>
          <w:rFonts w:ascii="Century" w:hAnsi="Century" w:cs="FrankRuehl" w:hint="cs"/>
          <w:spacing w:val="10"/>
          <w:szCs w:val="28"/>
          <w:rtl/>
        </w:rPr>
        <w:t xml:space="preserve">ניתן להניח כי גם </w:t>
      </w:r>
      <w:r>
        <w:rPr>
          <w:rFonts w:ascii="Century" w:hAnsi="Century" w:cs="FrankRuehl" w:hint="cs"/>
          <w:spacing w:val="10"/>
          <w:szCs w:val="28"/>
          <w:rtl/>
        </w:rPr>
        <w:lastRenderedPageBreak/>
        <w:t>אזרחיות ו</w:t>
      </w:r>
      <w:r w:rsidRPr="005E2BA6">
        <w:rPr>
          <w:rFonts w:ascii="Century" w:hAnsi="Century" w:cs="FrankRuehl" w:hint="cs"/>
          <w:spacing w:val="10"/>
          <w:szCs w:val="28"/>
          <w:rtl/>
        </w:rPr>
        <w:t xml:space="preserve">אזרחים רבים שלא הצביעו בעבור </w:t>
      </w:r>
      <w:r>
        <w:rPr>
          <w:rFonts w:ascii="Century" w:hAnsi="Century" w:cs="FrankRuehl" w:hint="cs"/>
          <w:spacing w:val="10"/>
          <w:szCs w:val="28"/>
          <w:rtl/>
        </w:rPr>
        <w:t xml:space="preserve">תנועת </w:t>
      </w:r>
      <w:r w:rsidRPr="005E2BA6">
        <w:rPr>
          <w:rFonts w:ascii="Century" w:hAnsi="Century" w:cs="FrankRuehl" w:hint="cs"/>
          <w:spacing w:val="10"/>
          <w:szCs w:val="28"/>
          <w:rtl/>
        </w:rPr>
        <w:t>ש"ס מחזיקים ב</w:t>
      </w:r>
      <w:r>
        <w:rPr>
          <w:rFonts w:ascii="Century" w:hAnsi="Century" w:cs="FrankRuehl" w:hint="cs"/>
          <w:spacing w:val="10"/>
          <w:szCs w:val="28"/>
          <w:rtl/>
        </w:rPr>
        <w:t>רצון דומה</w:t>
      </w:r>
      <w:r w:rsidRPr="005E2BA6">
        <w:rPr>
          <w:rFonts w:ascii="Century" w:hAnsi="Century" w:cs="FrankRuehl" w:hint="cs"/>
          <w:spacing w:val="10"/>
          <w:szCs w:val="28"/>
          <w:rtl/>
        </w:rPr>
        <w:t xml:space="preserve">. </w:t>
      </w:r>
      <w:r>
        <w:rPr>
          <w:rFonts w:ascii="Century" w:hAnsi="Century" w:cs="FrankRuehl" w:hint="cs"/>
          <w:spacing w:val="10"/>
          <w:szCs w:val="28"/>
          <w:rtl/>
        </w:rPr>
        <w:t>אכן כך</w:t>
      </w:r>
      <w:r w:rsidRPr="005E2BA6">
        <w:rPr>
          <w:rFonts w:ascii="Century" w:hAnsi="Century" w:cs="FrankRuehl" w:hint="cs"/>
          <w:spacing w:val="10"/>
          <w:szCs w:val="28"/>
          <w:rtl/>
        </w:rPr>
        <w:t xml:space="preserve">, ואולם </w:t>
      </w:r>
      <w:r>
        <w:rPr>
          <w:rFonts w:ascii="Century" w:hAnsi="Century" w:cs="FrankRuehl" w:hint="cs"/>
          <w:spacing w:val="10"/>
          <w:szCs w:val="28"/>
          <w:rtl/>
        </w:rPr>
        <w:t>כפי שנפסק בעבר, "</w:t>
      </w:r>
      <w:r w:rsidRPr="00D140AE">
        <w:rPr>
          <w:rFonts w:ascii="Century" w:hAnsi="Century" w:cs="Miriam" w:hint="eastAsia"/>
          <w:b/>
          <w:rtl/>
        </w:rPr>
        <w:t>דין</w:t>
      </w:r>
      <w:r w:rsidRPr="00D140AE">
        <w:rPr>
          <w:rFonts w:ascii="Century" w:hAnsi="Century" w:cs="Miriam"/>
          <w:b/>
          <w:rtl/>
        </w:rPr>
        <w:t xml:space="preserve"> </w:t>
      </w:r>
      <w:r w:rsidRPr="00D140AE">
        <w:rPr>
          <w:rFonts w:ascii="Century" w:hAnsi="Century" w:cs="Miriam" w:hint="eastAsia"/>
          <w:b/>
          <w:rtl/>
        </w:rPr>
        <w:t>הבוחר</w:t>
      </w:r>
      <w:r w:rsidRPr="00D140AE">
        <w:rPr>
          <w:rFonts w:ascii="Century" w:hAnsi="Century" w:cs="Miriam"/>
          <w:b/>
          <w:rtl/>
        </w:rPr>
        <w:t xml:space="preserve"> </w:t>
      </w:r>
      <w:r w:rsidRPr="00D140AE">
        <w:rPr>
          <w:rFonts w:ascii="Century" w:hAnsi="Century" w:cs="Miriam" w:hint="eastAsia"/>
          <w:b/>
          <w:rtl/>
        </w:rPr>
        <w:t>אינו</w:t>
      </w:r>
      <w:r w:rsidRPr="00D140AE">
        <w:rPr>
          <w:rFonts w:ascii="Century" w:hAnsi="Century" w:cs="Miriam"/>
          <w:b/>
          <w:rtl/>
        </w:rPr>
        <w:t xml:space="preserve"> </w:t>
      </w:r>
      <w:r w:rsidRPr="00D140AE">
        <w:rPr>
          <w:rFonts w:ascii="Century" w:hAnsi="Century" w:cs="Miriam" w:hint="eastAsia"/>
          <w:b/>
          <w:rtl/>
        </w:rPr>
        <w:t>בא</w:t>
      </w:r>
      <w:r w:rsidRPr="00D140AE">
        <w:rPr>
          <w:rFonts w:ascii="Century" w:hAnsi="Century" w:cs="Miriam"/>
          <w:b/>
          <w:rtl/>
        </w:rPr>
        <w:t xml:space="preserve"> </w:t>
      </w:r>
      <w:r w:rsidRPr="00D140AE">
        <w:rPr>
          <w:rFonts w:ascii="Century" w:hAnsi="Century" w:cs="Miriam" w:hint="eastAsia"/>
          <w:b/>
          <w:rtl/>
        </w:rPr>
        <w:t>במקום</w:t>
      </w:r>
      <w:r w:rsidRPr="00D140AE">
        <w:rPr>
          <w:rFonts w:ascii="Century" w:hAnsi="Century" w:cs="Miriam"/>
          <w:b/>
          <w:rtl/>
        </w:rPr>
        <w:t xml:space="preserve"> </w:t>
      </w:r>
      <w:r w:rsidRPr="00D140AE">
        <w:rPr>
          <w:rFonts w:ascii="Century" w:hAnsi="Century" w:cs="Miriam" w:hint="eastAsia"/>
          <w:b/>
          <w:rtl/>
        </w:rPr>
        <w:t>דין</w:t>
      </w:r>
      <w:r w:rsidRPr="00D140AE">
        <w:rPr>
          <w:rFonts w:ascii="Century" w:hAnsi="Century" w:cs="Miriam"/>
          <w:b/>
          <w:rtl/>
        </w:rPr>
        <w:t xml:space="preserve"> </w:t>
      </w:r>
      <w:r w:rsidRPr="00D140AE">
        <w:rPr>
          <w:rFonts w:ascii="Century" w:hAnsi="Century" w:cs="Miriam" w:hint="eastAsia"/>
          <w:b/>
          <w:rtl/>
        </w:rPr>
        <w:t>המשפט</w:t>
      </w:r>
      <w:r w:rsidRPr="00D140AE">
        <w:rPr>
          <w:rFonts w:ascii="Century" w:hAnsi="Century" w:cs="Miriam"/>
          <w:b/>
          <w:rtl/>
        </w:rPr>
        <w:t xml:space="preserve"> </w:t>
      </w:r>
      <w:r w:rsidRPr="00D140AE">
        <w:rPr>
          <w:rFonts w:ascii="Century" w:hAnsi="Century" w:cs="Miriam" w:hint="eastAsia"/>
          <w:b/>
          <w:rtl/>
        </w:rPr>
        <w:t>ואין</w:t>
      </w:r>
      <w:r w:rsidRPr="00D140AE">
        <w:rPr>
          <w:rFonts w:ascii="Century" w:hAnsi="Century" w:cs="Miriam"/>
          <w:b/>
          <w:rtl/>
        </w:rPr>
        <w:t xml:space="preserve"> </w:t>
      </w:r>
      <w:r w:rsidRPr="00D140AE">
        <w:rPr>
          <w:rFonts w:ascii="Century" w:hAnsi="Century" w:cs="Miriam" w:hint="eastAsia"/>
          <w:b/>
          <w:rtl/>
        </w:rPr>
        <w:t>הוא</w:t>
      </w:r>
      <w:r w:rsidRPr="00D140AE">
        <w:rPr>
          <w:rFonts w:ascii="Century" w:hAnsi="Century" w:cs="Miriam"/>
          <w:b/>
          <w:rtl/>
        </w:rPr>
        <w:t xml:space="preserve"> </w:t>
      </w:r>
      <w:r w:rsidRPr="00D140AE">
        <w:rPr>
          <w:rFonts w:ascii="Century" w:hAnsi="Century" w:cs="Miriam" w:hint="eastAsia"/>
          <w:b/>
          <w:rtl/>
        </w:rPr>
        <w:t>יכול</w:t>
      </w:r>
      <w:r w:rsidRPr="00D140AE">
        <w:rPr>
          <w:rFonts w:ascii="Century" w:hAnsi="Century" w:cs="Miriam"/>
          <w:b/>
          <w:rtl/>
        </w:rPr>
        <w:t xml:space="preserve"> </w:t>
      </w:r>
      <w:r w:rsidRPr="00D140AE">
        <w:rPr>
          <w:rFonts w:ascii="Century" w:hAnsi="Century" w:cs="Miriam" w:hint="eastAsia"/>
          <w:b/>
          <w:rtl/>
        </w:rPr>
        <w:t>להחליפו</w:t>
      </w:r>
      <w:r>
        <w:rPr>
          <w:rFonts w:ascii="Century" w:hAnsi="Century" w:cs="FrankRuehl" w:hint="cs"/>
          <w:spacing w:val="10"/>
          <w:szCs w:val="28"/>
          <w:rtl/>
        </w:rPr>
        <w:t xml:space="preserve">" (עניין </w:t>
      </w:r>
      <w:r w:rsidRPr="00D140AE">
        <w:rPr>
          <w:rFonts w:ascii="Century" w:hAnsi="Century" w:cs="Miriam" w:hint="eastAsia"/>
          <w:b/>
          <w:rtl/>
        </w:rPr>
        <w:t>פנחסי</w:t>
      </w:r>
      <w:r>
        <w:rPr>
          <w:rFonts w:ascii="Century" w:hAnsi="Century" w:cs="FrankRuehl" w:hint="cs"/>
          <w:spacing w:val="10"/>
          <w:szCs w:val="28"/>
          <w:rtl/>
        </w:rPr>
        <w:t xml:space="preserve">, בעמ' 470. כן ראו: </w:t>
      </w:r>
      <w:r w:rsidRPr="00634E18">
        <w:rPr>
          <w:rFonts w:ascii="Century" w:hAnsi="Century" w:cs="FrankRuehl"/>
          <w:spacing w:val="10"/>
          <w:szCs w:val="28"/>
          <w:rtl/>
        </w:rPr>
        <w:t>בג"ץ 4921</w:t>
      </w:r>
      <w:r>
        <w:rPr>
          <w:rFonts w:ascii="Century" w:hAnsi="Century" w:cs="FrankRuehl" w:hint="cs"/>
          <w:spacing w:val="10"/>
          <w:szCs w:val="28"/>
          <w:rtl/>
        </w:rPr>
        <w:t>/</w:t>
      </w:r>
      <w:r w:rsidRPr="00634E18">
        <w:rPr>
          <w:rFonts w:ascii="Century" w:hAnsi="Century" w:cs="FrankRuehl"/>
          <w:spacing w:val="10"/>
          <w:szCs w:val="28"/>
          <w:rtl/>
        </w:rPr>
        <w:t xml:space="preserve">13 </w:t>
      </w:r>
      <w:r w:rsidRPr="00D140AE">
        <w:rPr>
          <w:rFonts w:ascii="Century" w:hAnsi="Century" w:cs="Miriam" w:hint="eastAsia"/>
          <w:b/>
          <w:rtl/>
        </w:rPr>
        <w:t>אומ</w:t>
      </w:r>
      <w:r w:rsidRPr="00D140AE">
        <w:rPr>
          <w:rFonts w:ascii="Century" w:hAnsi="Century" w:cs="Miriam"/>
          <w:b/>
          <w:rtl/>
        </w:rPr>
        <w:t>"</w:t>
      </w:r>
      <w:r w:rsidRPr="00D140AE">
        <w:rPr>
          <w:rFonts w:ascii="Century" w:hAnsi="Century" w:cs="Miriam" w:hint="eastAsia"/>
          <w:b/>
          <w:rtl/>
        </w:rPr>
        <w:t>ץ</w:t>
      </w:r>
      <w:r w:rsidRPr="00D140AE">
        <w:rPr>
          <w:rFonts w:ascii="Century" w:hAnsi="Century" w:cs="Miriam"/>
          <w:b/>
          <w:rtl/>
        </w:rPr>
        <w:t xml:space="preserve"> </w:t>
      </w:r>
      <w:r w:rsidRPr="00D140AE">
        <w:rPr>
          <w:rFonts w:ascii="Century" w:hAnsi="Century" w:cs="Miriam" w:hint="eastAsia"/>
          <w:b/>
          <w:rtl/>
        </w:rPr>
        <w:t>אזרחים</w:t>
      </w:r>
      <w:r w:rsidRPr="00D140AE">
        <w:rPr>
          <w:rFonts w:ascii="Century" w:hAnsi="Century" w:cs="Miriam"/>
          <w:b/>
          <w:rtl/>
        </w:rPr>
        <w:t xml:space="preserve"> </w:t>
      </w:r>
      <w:r w:rsidRPr="00D140AE">
        <w:rPr>
          <w:rFonts w:ascii="Century" w:hAnsi="Century" w:cs="Miriam" w:hint="eastAsia"/>
          <w:b/>
          <w:rtl/>
        </w:rPr>
        <w:t>למען</w:t>
      </w:r>
      <w:r w:rsidRPr="00D140AE">
        <w:rPr>
          <w:rFonts w:ascii="Century" w:hAnsi="Century" w:cs="Miriam"/>
          <w:b/>
          <w:rtl/>
        </w:rPr>
        <w:t xml:space="preserve"> </w:t>
      </w:r>
      <w:r w:rsidRPr="00D140AE">
        <w:rPr>
          <w:rFonts w:ascii="Century" w:hAnsi="Century" w:cs="Miriam" w:hint="eastAsia"/>
          <w:b/>
          <w:rtl/>
        </w:rPr>
        <w:t>מנהל</w:t>
      </w:r>
      <w:r w:rsidRPr="00D140AE">
        <w:rPr>
          <w:rFonts w:ascii="Century" w:hAnsi="Century" w:cs="Miriam"/>
          <w:b/>
          <w:rtl/>
        </w:rPr>
        <w:t xml:space="preserve"> </w:t>
      </w:r>
      <w:r w:rsidRPr="00D140AE">
        <w:rPr>
          <w:rFonts w:ascii="Century" w:hAnsi="Century" w:cs="Miriam" w:hint="eastAsia"/>
          <w:b/>
          <w:rtl/>
        </w:rPr>
        <w:t>תקין</w:t>
      </w:r>
      <w:r w:rsidRPr="00D140AE">
        <w:rPr>
          <w:rFonts w:ascii="Century" w:hAnsi="Century" w:cs="Miriam"/>
          <w:b/>
          <w:rtl/>
        </w:rPr>
        <w:t xml:space="preserve"> </w:t>
      </w:r>
      <w:r w:rsidRPr="00D140AE">
        <w:rPr>
          <w:rFonts w:ascii="Century" w:hAnsi="Century" w:cs="Miriam" w:hint="eastAsia"/>
          <w:b/>
          <w:rtl/>
        </w:rPr>
        <w:t>וצדק</w:t>
      </w:r>
      <w:r w:rsidRPr="00D140AE">
        <w:rPr>
          <w:rFonts w:ascii="Century" w:hAnsi="Century" w:cs="Miriam"/>
          <w:b/>
          <w:rtl/>
        </w:rPr>
        <w:t xml:space="preserve"> </w:t>
      </w:r>
      <w:r w:rsidRPr="00D140AE">
        <w:rPr>
          <w:rFonts w:ascii="Century" w:hAnsi="Century" w:cs="Miriam" w:hint="eastAsia"/>
          <w:b/>
          <w:rtl/>
        </w:rPr>
        <w:t>חברתי</w:t>
      </w:r>
      <w:r w:rsidRPr="00D140AE">
        <w:rPr>
          <w:rFonts w:ascii="Century" w:hAnsi="Century" w:cs="Miriam"/>
          <w:b/>
          <w:rtl/>
        </w:rPr>
        <w:t xml:space="preserve"> </w:t>
      </w:r>
      <w:r w:rsidRPr="00D140AE">
        <w:rPr>
          <w:rFonts w:ascii="Century" w:hAnsi="Century" w:cs="Miriam" w:hint="eastAsia"/>
          <w:b/>
          <w:rtl/>
        </w:rPr>
        <w:t>נ</w:t>
      </w:r>
      <w:r w:rsidRPr="00D140AE">
        <w:rPr>
          <w:rFonts w:ascii="Century" w:hAnsi="Century" w:cs="Miriam"/>
          <w:b/>
          <w:rtl/>
        </w:rPr>
        <w:t xml:space="preserve">' </w:t>
      </w:r>
      <w:r w:rsidRPr="00D140AE">
        <w:rPr>
          <w:rFonts w:ascii="Century" w:hAnsi="Century" w:cs="Miriam" w:hint="eastAsia"/>
          <w:b/>
          <w:rtl/>
        </w:rPr>
        <w:t>ראש</w:t>
      </w:r>
      <w:r w:rsidRPr="00D140AE">
        <w:rPr>
          <w:rFonts w:ascii="Century" w:hAnsi="Century" w:cs="Miriam"/>
          <w:b/>
          <w:rtl/>
        </w:rPr>
        <w:t xml:space="preserve"> </w:t>
      </w:r>
      <w:r w:rsidRPr="00D140AE">
        <w:rPr>
          <w:rFonts w:ascii="Century" w:hAnsi="Century" w:cs="Miriam" w:hint="eastAsia"/>
          <w:b/>
          <w:rtl/>
        </w:rPr>
        <w:t>עיריית</w:t>
      </w:r>
      <w:r w:rsidRPr="00D140AE">
        <w:rPr>
          <w:rFonts w:ascii="Century" w:hAnsi="Century" w:cs="Miriam"/>
          <w:b/>
          <w:rtl/>
        </w:rPr>
        <w:t xml:space="preserve"> </w:t>
      </w:r>
      <w:r w:rsidRPr="00D140AE">
        <w:rPr>
          <w:rFonts w:ascii="Century" w:hAnsi="Century" w:cs="Miriam" w:hint="eastAsia"/>
          <w:b/>
          <w:rtl/>
        </w:rPr>
        <w:t>רמת</w:t>
      </w:r>
      <w:r w:rsidRPr="00D140AE">
        <w:rPr>
          <w:rFonts w:ascii="Century" w:hAnsi="Century" w:cs="Miriam"/>
          <w:b/>
          <w:rtl/>
        </w:rPr>
        <w:t xml:space="preserve"> </w:t>
      </w:r>
      <w:r w:rsidRPr="00D140AE">
        <w:rPr>
          <w:rFonts w:ascii="Century" w:hAnsi="Century" w:cs="Miriam" w:hint="eastAsia"/>
          <w:b/>
          <w:rtl/>
        </w:rPr>
        <w:t>השרון</w:t>
      </w:r>
      <w:r w:rsidRPr="00634E18">
        <w:rPr>
          <w:rFonts w:ascii="Century" w:hAnsi="Century" w:cs="FrankRuehl"/>
          <w:spacing w:val="10"/>
          <w:szCs w:val="28"/>
          <w:rtl/>
        </w:rPr>
        <w:t>,</w:t>
      </w:r>
      <w:r>
        <w:rPr>
          <w:rFonts w:ascii="Century" w:hAnsi="Century" w:cs="FrankRuehl" w:hint="cs"/>
          <w:spacing w:val="10"/>
          <w:szCs w:val="28"/>
          <w:rtl/>
        </w:rPr>
        <w:t xml:space="preserve"> פ"ד</w:t>
      </w:r>
      <w:r>
        <w:rPr>
          <w:rFonts w:ascii="Century" w:hAnsi="Century" w:cs="FrankRuehl"/>
          <w:spacing w:val="10"/>
          <w:szCs w:val="28"/>
          <w:rtl/>
        </w:rPr>
        <w:t xml:space="preserve"> סו(3) 135</w:t>
      </w:r>
      <w:r>
        <w:rPr>
          <w:rFonts w:ascii="Century" w:hAnsi="Century" w:cs="FrankRuehl" w:hint="cs"/>
          <w:spacing w:val="10"/>
          <w:szCs w:val="28"/>
          <w:rtl/>
        </w:rPr>
        <w:t xml:space="preserve">, 243-242 (2013)). ודוק, </w:t>
      </w:r>
      <w:r w:rsidRPr="005E2BA6">
        <w:rPr>
          <w:rFonts w:ascii="Century" w:hAnsi="Century" w:cs="FrankRuehl" w:hint="cs"/>
          <w:spacing w:val="10"/>
          <w:szCs w:val="28"/>
          <w:rtl/>
        </w:rPr>
        <w:t>פסק דיננו איננו שקול למשאל עם, ו</w:t>
      </w:r>
      <w:r>
        <w:rPr>
          <w:rFonts w:ascii="Century" w:hAnsi="Century" w:cs="FrankRuehl" w:hint="cs"/>
          <w:spacing w:val="10"/>
          <w:szCs w:val="28"/>
          <w:rtl/>
        </w:rPr>
        <w:t xml:space="preserve">על כן </w:t>
      </w:r>
      <w:r w:rsidRPr="005E2BA6">
        <w:rPr>
          <w:rFonts w:ascii="Century" w:hAnsi="Century" w:cs="FrankRuehl" w:hint="cs"/>
          <w:spacing w:val="10"/>
          <w:szCs w:val="28"/>
          <w:rtl/>
        </w:rPr>
        <w:t xml:space="preserve">איננו נגזר מעמדת רוב הציבור. </w:t>
      </w:r>
      <w:r>
        <w:rPr>
          <w:rFonts w:ascii="Century" w:hAnsi="Century" w:cs="FrankRuehl" w:hint="cs"/>
          <w:spacing w:val="10"/>
          <w:szCs w:val="28"/>
          <w:rtl/>
        </w:rPr>
        <w:t xml:space="preserve">ממילא, </w:t>
      </w:r>
      <w:r w:rsidRPr="005E2BA6">
        <w:rPr>
          <w:rFonts w:ascii="Century" w:hAnsi="Century" w:cs="FrankRuehl" w:hint="cs"/>
          <w:spacing w:val="10"/>
          <w:szCs w:val="28"/>
          <w:rtl/>
        </w:rPr>
        <w:t>אין אנו מביעים עמדה, ואיננו מוסמכים להביע עמדה, בשאלה מהו רצון הציבור. תפקידנו</w:t>
      </w:r>
      <w:r>
        <w:rPr>
          <w:rFonts w:ascii="Century" w:hAnsi="Century" w:cs="FrankRuehl" w:hint="cs"/>
          <w:spacing w:val="10"/>
          <w:szCs w:val="28"/>
          <w:rtl/>
        </w:rPr>
        <w:t xml:space="preserve"> </w:t>
      </w:r>
      <w:r w:rsidRPr="005E2BA6">
        <w:rPr>
          <w:rFonts w:ascii="Century" w:hAnsi="Century" w:cs="FrankRuehl" w:hint="cs"/>
          <w:spacing w:val="10"/>
          <w:szCs w:val="28"/>
          <w:rtl/>
        </w:rPr>
        <w:t xml:space="preserve">הוא לפסוק האם חה"כ דרעי רשאי, </w:t>
      </w:r>
      <w:r>
        <w:rPr>
          <w:rFonts w:ascii="Century" w:hAnsi="Century" w:cs="FrankRuehl" w:hint="cs"/>
          <w:spacing w:val="10"/>
          <w:szCs w:val="28"/>
          <w:rtl/>
        </w:rPr>
        <w:t>מבחינה חוקית</w:t>
      </w:r>
      <w:r w:rsidRPr="005E2BA6">
        <w:rPr>
          <w:rFonts w:ascii="Century" w:hAnsi="Century" w:cs="FrankRuehl" w:hint="cs"/>
          <w:spacing w:val="10"/>
          <w:szCs w:val="28"/>
          <w:rtl/>
        </w:rPr>
        <w:t xml:space="preserve">, לכהן כשר בממשלת ישראל. ככל שהדין מאפשר זאת, אין בכוחנו למנוע זאת גם אם רוב גדול בציבור היה מעוניין שנפסוק אחרת; ולהיפך, ככל שהדין אינו מאפשר זאת, איננו יכולים להתיר את כהונתו גם אם מרבית הציבור מעוניין בכך. בית </w:t>
      </w:r>
      <w:r>
        <w:rPr>
          <w:rFonts w:ascii="Century" w:hAnsi="Century" w:cs="FrankRuehl" w:hint="cs"/>
          <w:spacing w:val="10"/>
          <w:szCs w:val="28"/>
          <w:rtl/>
        </w:rPr>
        <w:t>ה</w:t>
      </w:r>
      <w:r w:rsidRPr="005E2BA6">
        <w:rPr>
          <w:rFonts w:ascii="Century" w:hAnsi="Century" w:cs="FrankRuehl" w:hint="cs"/>
          <w:spacing w:val="10"/>
          <w:szCs w:val="28"/>
          <w:rtl/>
        </w:rPr>
        <w:t>משפט אינו פוסק על פי קול ההמון; בית המשפט פוסק על פי שורת הדין.</w:t>
      </w:r>
    </w:p>
    <w:p w14:paraId="4F84C10D" w14:textId="77777777" w:rsidR="001B1382" w:rsidRDefault="001B1382" w:rsidP="001B1382">
      <w:pPr>
        <w:spacing w:line="360" w:lineRule="auto"/>
        <w:jc w:val="both"/>
        <w:rPr>
          <w:rFonts w:ascii="Century" w:hAnsi="Century" w:cs="FrankRuehl"/>
          <w:spacing w:val="10"/>
          <w:szCs w:val="28"/>
        </w:rPr>
      </w:pPr>
    </w:p>
    <w:p w14:paraId="32EF00DE" w14:textId="77777777" w:rsidR="001B1382" w:rsidRDefault="001B1382" w:rsidP="001B1382">
      <w:pPr>
        <w:spacing w:line="360" w:lineRule="auto"/>
        <w:jc w:val="both"/>
        <w:rPr>
          <w:rFonts w:ascii="Century" w:hAnsi="Century" w:cs="FrankRuehl"/>
          <w:spacing w:val="10"/>
          <w:szCs w:val="28"/>
          <w:rtl/>
        </w:rPr>
      </w:pPr>
      <w:r>
        <w:rPr>
          <w:rFonts w:ascii="Century" w:hAnsi="Century" w:cs="FrankRuehl" w:hint="cs"/>
          <w:spacing w:val="10"/>
          <w:szCs w:val="28"/>
          <w:rtl/>
        </w:rPr>
        <w:t>4.</w:t>
      </w:r>
      <w:r>
        <w:rPr>
          <w:rFonts w:ascii="Century" w:hAnsi="Century" w:cs="FrankRuehl" w:hint="cs"/>
          <w:spacing w:val="10"/>
          <w:szCs w:val="28"/>
          <w:rtl/>
        </w:rPr>
        <w:tab/>
        <w:t xml:space="preserve">לבסוף, לא אכחד כי </w:t>
      </w:r>
      <w:r w:rsidRPr="005E2BA6">
        <w:rPr>
          <w:rFonts w:ascii="Century" w:hAnsi="Century" w:cs="FrankRuehl" w:hint="cs"/>
          <w:spacing w:val="10"/>
          <w:szCs w:val="28"/>
          <w:rtl/>
        </w:rPr>
        <w:t>התלבטתי בשאלה האם אין מקום לפסוק תחילה בשאלת תקינותו של תיקון חוק</w:t>
      </w:r>
      <w:r>
        <w:rPr>
          <w:rFonts w:ascii="Century" w:hAnsi="Century" w:cs="FrankRuehl" w:hint="cs"/>
          <w:spacing w:val="10"/>
          <w:szCs w:val="28"/>
          <w:rtl/>
        </w:rPr>
        <w:t xml:space="preserve">-יסוד: הממשלה (להלן: </w:t>
      </w:r>
      <w:r w:rsidRPr="00D140AE">
        <w:rPr>
          <w:rFonts w:ascii="Century" w:hAnsi="Century" w:cs="Miriam" w:hint="eastAsia"/>
          <w:b/>
          <w:rtl/>
        </w:rPr>
        <w:t>חוק</w:t>
      </w:r>
      <w:r w:rsidRPr="00D140AE">
        <w:rPr>
          <w:rFonts w:ascii="Century" w:hAnsi="Century" w:cs="Miriam"/>
          <w:b/>
          <w:rtl/>
        </w:rPr>
        <w:t xml:space="preserve"> </w:t>
      </w:r>
      <w:r w:rsidRPr="00D140AE">
        <w:rPr>
          <w:rFonts w:ascii="Century" w:hAnsi="Century" w:cs="Miriam" w:hint="eastAsia"/>
          <w:b/>
          <w:rtl/>
        </w:rPr>
        <w:t>היסוד</w:t>
      </w:r>
      <w:r>
        <w:rPr>
          <w:rFonts w:ascii="Century" w:hAnsi="Century" w:cs="FrankRuehl" w:hint="cs"/>
          <w:spacing w:val="10"/>
          <w:szCs w:val="28"/>
          <w:rtl/>
        </w:rPr>
        <w:t>)</w:t>
      </w:r>
      <w:r w:rsidRPr="005E2BA6">
        <w:rPr>
          <w:rFonts w:ascii="Century" w:hAnsi="Century" w:cs="FrankRuehl" w:hint="cs"/>
          <w:spacing w:val="10"/>
          <w:szCs w:val="28"/>
          <w:rtl/>
        </w:rPr>
        <w:t xml:space="preserve">, וליתר דיוק </w:t>
      </w:r>
      <w:r>
        <w:rPr>
          <w:rFonts w:ascii="Century" w:hAnsi="Century" w:cs="FrankRuehl" w:hint="cs"/>
          <w:spacing w:val="10"/>
          <w:szCs w:val="28"/>
          <w:rtl/>
        </w:rPr>
        <w:t xml:space="preserve">בסוגיית </w:t>
      </w:r>
      <w:r w:rsidRPr="005E2BA6">
        <w:rPr>
          <w:rFonts w:ascii="Century" w:hAnsi="Century" w:cs="FrankRuehl" w:hint="cs"/>
          <w:spacing w:val="10"/>
          <w:szCs w:val="28"/>
          <w:rtl/>
        </w:rPr>
        <w:t>תקינות החלתו בעניין חברותו של חה"כ דרעי בממשלה הנוכחית. ככל שהיינו עושים כן, הרי שי</w:t>
      </w:r>
      <w:r>
        <w:rPr>
          <w:rFonts w:ascii="Century" w:hAnsi="Century" w:cs="FrankRuehl" w:hint="cs"/>
          <w:spacing w:val="10"/>
          <w:szCs w:val="28"/>
          <w:rtl/>
        </w:rPr>
        <w:t>י</w:t>
      </w:r>
      <w:r w:rsidRPr="005E2BA6">
        <w:rPr>
          <w:rFonts w:ascii="Century" w:hAnsi="Century" w:cs="FrankRuehl" w:hint="cs"/>
          <w:spacing w:val="10"/>
          <w:szCs w:val="28"/>
          <w:rtl/>
        </w:rPr>
        <w:t>תכן כי היינו מגיעים לתוצאה לפיה יש להחיות בעניינו של חה"כ דרעי את ההסדר שהיה קיים טרם תיקון חוק היסוד, ולאפשר פני</w:t>
      </w:r>
      <w:r>
        <w:rPr>
          <w:rFonts w:ascii="Century" w:hAnsi="Century" w:cs="FrankRuehl" w:hint="cs"/>
          <w:spacing w:val="10"/>
          <w:szCs w:val="28"/>
          <w:rtl/>
        </w:rPr>
        <w:t>י</w:t>
      </w:r>
      <w:r w:rsidRPr="005E2BA6">
        <w:rPr>
          <w:rFonts w:ascii="Century" w:hAnsi="Century" w:cs="FrankRuehl" w:hint="cs"/>
          <w:spacing w:val="10"/>
          <w:szCs w:val="28"/>
          <w:rtl/>
        </w:rPr>
        <w:t>ה לי</w:t>
      </w:r>
      <w:r>
        <w:rPr>
          <w:rFonts w:ascii="Century" w:hAnsi="Century" w:cs="FrankRuehl" w:hint="cs"/>
          <w:spacing w:val="10"/>
          <w:szCs w:val="28"/>
          <w:rtl/>
        </w:rPr>
        <w:t>ושב ראש</w:t>
      </w:r>
      <w:r w:rsidRPr="005E2BA6">
        <w:rPr>
          <w:rFonts w:ascii="Century" w:hAnsi="Century" w:cs="FrankRuehl" w:hint="cs"/>
          <w:spacing w:val="10"/>
          <w:szCs w:val="28"/>
          <w:rtl/>
        </w:rPr>
        <w:t xml:space="preserve"> ועדת הבחירות </w:t>
      </w:r>
      <w:r>
        <w:rPr>
          <w:rFonts w:ascii="Century" w:hAnsi="Century" w:cs="FrankRuehl" w:hint="cs"/>
          <w:spacing w:val="10"/>
          <w:szCs w:val="28"/>
          <w:rtl/>
        </w:rPr>
        <w:t xml:space="preserve">לכנסת </w:t>
      </w:r>
      <w:r w:rsidRPr="005E2BA6">
        <w:rPr>
          <w:rFonts w:ascii="Century" w:hAnsi="Century" w:cs="FrankRuehl" w:hint="cs"/>
          <w:spacing w:val="10"/>
          <w:szCs w:val="28"/>
          <w:rtl/>
        </w:rPr>
        <w:t>על מנת ש</w:t>
      </w:r>
      <w:r>
        <w:rPr>
          <w:rFonts w:ascii="Century" w:hAnsi="Century" w:cs="FrankRuehl" w:hint="cs"/>
          <w:spacing w:val="10"/>
          <w:szCs w:val="28"/>
          <w:rtl/>
        </w:rPr>
        <w:t>י</w:t>
      </w:r>
      <w:r w:rsidRPr="005E2BA6">
        <w:rPr>
          <w:rFonts w:ascii="Century" w:hAnsi="Century" w:cs="FrankRuehl" w:hint="cs"/>
          <w:spacing w:val="10"/>
          <w:szCs w:val="28"/>
          <w:rtl/>
        </w:rPr>
        <w:t xml:space="preserve">יבחן </w:t>
      </w:r>
      <w:r>
        <w:rPr>
          <w:rFonts w:ascii="Century" w:hAnsi="Century" w:cs="FrankRuehl" w:hint="cs"/>
          <w:spacing w:val="10"/>
          <w:szCs w:val="28"/>
          <w:rtl/>
        </w:rPr>
        <w:t xml:space="preserve">האם ניתן לסטות מחזקת </w:t>
      </w:r>
      <w:r w:rsidRPr="005E2BA6">
        <w:rPr>
          <w:rFonts w:ascii="Century" w:hAnsi="Century" w:cs="FrankRuehl" w:hint="cs"/>
          <w:spacing w:val="10"/>
          <w:szCs w:val="28"/>
          <w:rtl/>
        </w:rPr>
        <w:t>הקלון</w:t>
      </w:r>
      <w:r>
        <w:rPr>
          <w:rFonts w:ascii="Century" w:hAnsi="Century" w:cs="FrankRuehl" w:hint="cs"/>
          <w:spacing w:val="10"/>
          <w:szCs w:val="28"/>
          <w:rtl/>
        </w:rPr>
        <w:t xml:space="preserve"> בקשר להרשעתו של חה"כ דרעי בהליך הפלילי האחרון בעניינו</w:t>
      </w:r>
      <w:r w:rsidRPr="005E2BA6">
        <w:rPr>
          <w:rFonts w:ascii="Century" w:hAnsi="Century" w:cs="FrankRuehl" w:hint="cs"/>
          <w:spacing w:val="10"/>
          <w:szCs w:val="28"/>
          <w:rtl/>
        </w:rPr>
        <w:t xml:space="preserve">. </w:t>
      </w:r>
      <w:r>
        <w:rPr>
          <w:rFonts w:ascii="Century" w:hAnsi="Century" w:cs="FrankRuehl" w:hint="cs"/>
          <w:spacing w:val="10"/>
          <w:szCs w:val="28"/>
          <w:rtl/>
        </w:rPr>
        <w:t>בסופו של דבר</w:t>
      </w:r>
      <w:r w:rsidRPr="005E2BA6">
        <w:rPr>
          <w:rFonts w:ascii="Century" w:hAnsi="Century" w:cs="FrankRuehl" w:hint="cs"/>
          <w:spacing w:val="10"/>
          <w:szCs w:val="28"/>
          <w:rtl/>
        </w:rPr>
        <w:t xml:space="preserve">, השתכנעתי כי </w:t>
      </w:r>
      <w:r>
        <w:rPr>
          <w:rFonts w:ascii="Century" w:hAnsi="Century" w:cs="FrankRuehl" w:hint="cs"/>
          <w:spacing w:val="10"/>
          <w:szCs w:val="28"/>
          <w:rtl/>
        </w:rPr>
        <w:t xml:space="preserve">בראי </w:t>
      </w:r>
      <w:r w:rsidRPr="005E2BA6">
        <w:rPr>
          <w:rFonts w:ascii="Century" w:hAnsi="Century" w:cs="FrankRuehl" w:hint="cs"/>
          <w:spacing w:val="10"/>
          <w:szCs w:val="28"/>
          <w:rtl/>
        </w:rPr>
        <w:t xml:space="preserve">היקף התערבותו של בית </w:t>
      </w:r>
      <w:r w:rsidRPr="008D32FF">
        <w:rPr>
          <w:rFonts w:ascii="Century" w:hAnsi="Century" w:cs="FrankRuehl" w:hint="cs"/>
          <w:spacing w:val="10"/>
          <w:szCs w:val="28"/>
          <w:rtl/>
        </w:rPr>
        <w:t>משפט</w:t>
      </w:r>
      <w:r w:rsidRPr="008D32FF">
        <w:rPr>
          <w:rFonts w:ascii="Century" w:hAnsi="Century" w:cs="FrankRuehl"/>
          <w:spacing w:val="10"/>
          <w:szCs w:val="28"/>
          <w:rtl/>
        </w:rPr>
        <w:t xml:space="preserve"> </w:t>
      </w:r>
      <w:r w:rsidRPr="008D32FF">
        <w:rPr>
          <w:rFonts w:ascii="Century" w:hAnsi="Century" w:cs="FrankRuehl" w:hint="eastAsia"/>
          <w:spacing w:val="10"/>
          <w:szCs w:val="28"/>
          <w:rtl/>
        </w:rPr>
        <w:t>זה</w:t>
      </w:r>
      <w:r w:rsidRPr="008D32FF">
        <w:rPr>
          <w:rFonts w:ascii="Century" w:hAnsi="Century" w:cs="FrankRuehl"/>
          <w:spacing w:val="10"/>
          <w:szCs w:val="28"/>
          <w:rtl/>
        </w:rPr>
        <w:t xml:space="preserve"> </w:t>
      </w:r>
      <w:r w:rsidRPr="00D140AE">
        <w:rPr>
          <w:rFonts w:ascii="Century" w:hAnsi="Century" w:cs="FrankRuehl" w:hint="eastAsia"/>
          <w:spacing w:val="10"/>
          <w:szCs w:val="28"/>
          <w:rtl/>
        </w:rPr>
        <w:t>בחקיקת</w:t>
      </w:r>
      <w:r w:rsidRPr="00D140AE">
        <w:rPr>
          <w:rFonts w:ascii="Century" w:hAnsi="Century" w:cs="FrankRuehl"/>
          <w:spacing w:val="10"/>
          <w:szCs w:val="28"/>
          <w:rtl/>
        </w:rPr>
        <w:t xml:space="preserve"> </w:t>
      </w:r>
      <w:r w:rsidRPr="00D140AE">
        <w:rPr>
          <w:rFonts w:ascii="Century" w:hAnsi="Century" w:cs="FrankRuehl" w:hint="eastAsia"/>
          <w:spacing w:val="10"/>
          <w:szCs w:val="28"/>
          <w:rtl/>
        </w:rPr>
        <w:t>הכנסת</w:t>
      </w:r>
      <w:r w:rsidRPr="00D140AE">
        <w:rPr>
          <w:rFonts w:ascii="Century" w:hAnsi="Century" w:cs="FrankRuehl"/>
          <w:spacing w:val="10"/>
          <w:szCs w:val="28"/>
          <w:rtl/>
        </w:rPr>
        <w:t xml:space="preserve">, </w:t>
      </w:r>
      <w:r w:rsidRPr="00D140AE">
        <w:rPr>
          <w:rFonts w:ascii="Century" w:hAnsi="Century" w:cs="FrankRuehl" w:hint="eastAsia"/>
          <w:spacing w:val="10"/>
          <w:szCs w:val="28"/>
          <w:rtl/>
        </w:rPr>
        <w:t>ובפרט</w:t>
      </w:r>
      <w:r w:rsidRPr="00D140AE">
        <w:rPr>
          <w:rFonts w:ascii="Century" w:hAnsi="Century" w:cs="FrankRuehl"/>
          <w:spacing w:val="10"/>
          <w:szCs w:val="28"/>
          <w:rtl/>
        </w:rPr>
        <w:t xml:space="preserve"> </w:t>
      </w:r>
      <w:r w:rsidRPr="00D140AE">
        <w:rPr>
          <w:rFonts w:ascii="Century" w:hAnsi="Century" w:cs="FrankRuehl" w:hint="eastAsia"/>
          <w:spacing w:val="10"/>
          <w:szCs w:val="28"/>
          <w:rtl/>
        </w:rPr>
        <w:t>בחקיקת</w:t>
      </w:r>
      <w:r w:rsidRPr="00D140AE">
        <w:rPr>
          <w:rFonts w:ascii="Century" w:hAnsi="Century" w:cs="FrankRuehl"/>
          <w:spacing w:val="10"/>
          <w:szCs w:val="28"/>
          <w:rtl/>
        </w:rPr>
        <w:t xml:space="preserve"> </w:t>
      </w:r>
      <w:r w:rsidRPr="00D140AE">
        <w:rPr>
          <w:rFonts w:ascii="Century" w:hAnsi="Century" w:cs="FrankRuehl" w:hint="eastAsia"/>
          <w:spacing w:val="10"/>
          <w:szCs w:val="28"/>
          <w:rtl/>
        </w:rPr>
        <w:t>חוקי</w:t>
      </w:r>
      <w:r w:rsidRPr="00D140AE">
        <w:rPr>
          <w:rFonts w:ascii="Century" w:hAnsi="Century" w:cs="FrankRuehl"/>
          <w:spacing w:val="10"/>
          <w:szCs w:val="28"/>
          <w:rtl/>
        </w:rPr>
        <w:t xml:space="preserve"> </w:t>
      </w:r>
      <w:r w:rsidRPr="00D140AE">
        <w:rPr>
          <w:rFonts w:ascii="Century" w:hAnsi="Century" w:cs="FrankRuehl" w:hint="eastAsia"/>
          <w:spacing w:val="10"/>
          <w:szCs w:val="28"/>
          <w:rtl/>
        </w:rPr>
        <w:t>היסוד</w:t>
      </w:r>
      <w:r w:rsidRPr="00D140AE">
        <w:rPr>
          <w:rFonts w:ascii="Century" w:hAnsi="Century" w:cs="FrankRuehl" w:hint="cs"/>
          <w:spacing w:val="10"/>
          <w:szCs w:val="28"/>
          <w:rtl/>
        </w:rPr>
        <w:t>, המדובר בצעד מרחיק לכת, שרא</w:t>
      </w:r>
      <w:r w:rsidRPr="005E2BA6">
        <w:rPr>
          <w:rFonts w:ascii="Century" w:hAnsi="Century" w:cs="FrankRuehl" w:hint="cs"/>
          <w:spacing w:val="10"/>
          <w:szCs w:val="28"/>
          <w:rtl/>
        </w:rPr>
        <w:t>וי להימנע מל</w:t>
      </w:r>
      <w:r>
        <w:rPr>
          <w:rFonts w:ascii="Century" w:hAnsi="Century" w:cs="FrankRuehl" w:hint="cs"/>
          <w:spacing w:val="10"/>
          <w:szCs w:val="28"/>
          <w:rtl/>
        </w:rPr>
        <w:t>עשות בו שימוש</w:t>
      </w:r>
      <w:r w:rsidRPr="005E2BA6">
        <w:rPr>
          <w:rFonts w:ascii="Century" w:hAnsi="Century" w:cs="FrankRuehl" w:hint="cs"/>
          <w:spacing w:val="10"/>
          <w:szCs w:val="28"/>
          <w:rtl/>
        </w:rPr>
        <w:t xml:space="preserve"> כ</w:t>
      </w:r>
      <w:r>
        <w:rPr>
          <w:rFonts w:ascii="Century" w:hAnsi="Century" w:cs="FrankRuehl" w:hint="cs"/>
          <w:spacing w:val="10"/>
          <w:szCs w:val="28"/>
          <w:rtl/>
        </w:rPr>
        <w:t>א</w:t>
      </w:r>
      <w:r w:rsidRPr="005E2BA6">
        <w:rPr>
          <w:rFonts w:ascii="Century" w:hAnsi="Century" w:cs="FrankRuehl" w:hint="cs"/>
          <w:spacing w:val="10"/>
          <w:szCs w:val="28"/>
          <w:rtl/>
        </w:rPr>
        <w:t>ש</w:t>
      </w:r>
      <w:r>
        <w:rPr>
          <w:rFonts w:ascii="Century" w:hAnsi="Century" w:cs="FrankRuehl" w:hint="cs"/>
          <w:spacing w:val="10"/>
          <w:szCs w:val="28"/>
          <w:rtl/>
        </w:rPr>
        <w:t xml:space="preserve">ר </w:t>
      </w:r>
      <w:r w:rsidRPr="005E2BA6">
        <w:rPr>
          <w:rFonts w:ascii="Century" w:hAnsi="Century" w:cs="FrankRuehl" w:hint="cs"/>
          <w:spacing w:val="10"/>
          <w:szCs w:val="28"/>
          <w:rtl/>
        </w:rPr>
        <w:t>דין העתירות להתקבל מטעמים אחרים</w:t>
      </w:r>
      <w:r>
        <w:rPr>
          <w:rFonts w:ascii="Century" w:hAnsi="Century" w:cs="FrankRuehl" w:hint="cs"/>
          <w:spacing w:val="10"/>
          <w:szCs w:val="28"/>
          <w:rtl/>
        </w:rPr>
        <w:t xml:space="preserve"> (וראו האסמכתאות בפסקה 14 לחוות דעתו של המשנה לנשיאה </w:t>
      </w:r>
      <w:r w:rsidRPr="00D140AE">
        <w:rPr>
          <w:rFonts w:ascii="Century" w:hAnsi="Century" w:cs="Miriam" w:hint="eastAsia"/>
          <w:b/>
          <w:rtl/>
        </w:rPr>
        <w:t>עוזי</w:t>
      </w:r>
      <w:r w:rsidRPr="00D140AE">
        <w:rPr>
          <w:rFonts w:ascii="Century" w:hAnsi="Century" w:cs="Miriam"/>
          <w:b/>
          <w:rtl/>
        </w:rPr>
        <w:t xml:space="preserve"> </w:t>
      </w:r>
      <w:r w:rsidRPr="00D140AE">
        <w:rPr>
          <w:rFonts w:ascii="Century" w:hAnsi="Century" w:cs="Miriam" w:hint="eastAsia"/>
          <w:b/>
          <w:rtl/>
        </w:rPr>
        <w:t>פוגלמן</w:t>
      </w:r>
      <w:r>
        <w:rPr>
          <w:rFonts w:ascii="Century" w:hAnsi="Century" w:cs="FrankRuehl" w:hint="cs"/>
          <w:spacing w:val="10"/>
          <w:szCs w:val="28"/>
          <w:rtl/>
        </w:rPr>
        <w:t xml:space="preserve"> ובפסקה 16 לחוות דעתו של השופט </w:t>
      </w:r>
      <w:r w:rsidRPr="00D140AE">
        <w:rPr>
          <w:rFonts w:ascii="Century" w:hAnsi="Century" w:cs="Miriam" w:hint="eastAsia"/>
          <w:b/>
          <w:rtl/>
        </w:rPr>
        <w:t>אלכס</w:t>
      </w:r>
      <w:r w:rsidRPr="00D140AE">
        <w:rPr>
          <w:rFonts w:ascii="Century" w:hAnsi="Century" w:cs="Miriam"/>
          <w:b/>
          <w:rtl/>
        </w:rPr>
        <w:t xml:space="preserve"> </w:t>
      </w:r>
      <w:r w:rsidRPr="00D140AE">
        <w:rPr>
          <w:rFonts w:ascii="Century" w:hAnsi="Century" w:cs="Miriam" w:hint="eastAsia"/>
          <w:b/>
          <w:rtl/>
        </w:rPr>
        <w:t>שטיין</w:t>
      </w:r>
      <w:r>
        <w:rPr>
          <w:rFonts w:ascii="Century" w:hAnsi="Century" w:cs="FrankRuehl" w:hint="cs"/>
          <w:spacing w:val="10"/>
          <w:szCs w:val="28"/>
          <w:rtl/>
        </w:rPr>
        <w:t>)</w:t>
      </w:r>
      <w:r w:rsidRPr="005E2BA6">
        <w:rPr>
          <w:rFonts w:ascii="Century" w:hAnsi="Century" w:cs="FrankRuehl" w:hint="cs"/>
          <w:spacing w:val="10"/>
          <w:szCs w:val="28"/>
          <w:rtl/>
        </w:rPr>
        <w:t>. לפיכך</w:t>
      </w:r>
      <w:r>
        <w:rPr>
          <w:rFonts w:ascii="Century" w:hAnsi="Century" w:cs="FrankRuehl" w:hint="cs"/>
          <w:spacing w:val="10"/>
          <w:szCs w:val="28"/>
          <w:rtl/>
        </w:rPr>
        <w:t>,</w:t>
      </w:r>
      <w:r w:rsidRPr="005E2BA6">
        <w:rPr>
          <w:rFonts w:ascii="Century" w:hAnsi="Century" w:cs="FrankRuehl" w:hint="cs"/>
          <w:spacing w:val="10"/>
          <w:szCs w:val="28"/>
          <w:rtl/>
        </w:rPr>
        <w:t xml:space="preserve"> </w:t>
      </w:r>
      <w:r>
        <w:rPr>
          <w:rFonts w:ascii="Century" w:hAnsi="Century" w:cs="FrankRuehl" w:hint="cs"/>
          <w:spacing w:val="10"/>
          <w:szCs w:val="28"/>
          <w:rtl/>
        </w:rPr>
        <w:t xml:space="preserve">אסתפק בעניין זה בהצטרפות להערות הנוכחות של חברתי הנשיאה </w:t>
      </w:r>
      <w:r>
        <w:rPr>
          <w:rFonts w:ascii="Century" w:hAnsi="Century" w:cs="Miriam" w:hint="cs"/>
          <w:b/>
          <w:rtl/>
        </w:rPr>
        <w:t xml:space="preserve">אסתר </w:t>
      </w:r>
      <w:r w:rsidRPr="00D140AE">
        <w:rPr>
          <w:rFonts w:ascii="Century" w:hAnsi="Century" w:cs="Miriam" w:hint="cs"/>
          <w:b/>
          <w:rtl/>
        </w:rPr>
        <w:t>חיות</w:t>
      </w:r>
      <w:r>
        <w:rPr>
          <w:rFonts w:ascii="Century" w:hAnsi="Century" w:cs="Miriam" w:hint="cs"/>
          <w:b/>
          <w:rtl/>
        </w:rPr>
        <w:t xml:space="preserve"> (</w:t>
      </w:r>
      <w:r>
        <w:rPr>
          <w:rFonts w:ascii="Century" w:hAnsi="Century" w:cs="FrankRuehl" w:hint="cs"/>
          <w:spacing w:val="10"/>
          <w:szCs w:val="28"/>
          <w:rtl/>
        </w:rPr>
        <w:t>פסקאות 43-42 לחוות דעתה) ו</w:t>
      </w:r>
      <w:r w:rsidRPr="005E2BA6">
        <w:rPr>
          <w:rFonts w:ascii="Century" w:hAnsi="Century" w:cs="FrankRuehl" w:hint="cs"/>
          <w:spacing w:val="10"/>
          <w:szCs w:val="28"/>
          <w:rtl/>
        </w:rPr>
        <w:t>של חברתי השופט</w:t>
      </w:r>
      <w:r>
        <w:rPr>
          <w:rFonts w:ascii="Century" w:hAnsi="Century" w:cs="FrankRuehl" w:hint="cs"/>
          <w:spacing w:val="10"/>
          <w:szCs w:val="28"/>
          <w:rtl/>
        </w:rPr>
        <w:t>ת</w:t>
      </w:r>
      <w:r w:rsidRPr="005E2BA6">
        <w:rPr>
          <w:rFonts w:ascii="Century" w:hAnsi="Century" w:cs="FrankRuehl" w:hint="cs"/>
          <w:spacing w:val="10"/>
          <w:szCs w:val="28"/>
          <w:rtl/>
        </w:rPr>
        <w:t xml:space="preserve"> </w:t>
      </w:r>
      <w:r>
        <w:rPr>
          <w:rFonts w:ascii="Century" w:hAnsi="Century" w:cs="Miriam" w:hint="cs"/>
          <w:b/>
          <w:rtl/>
        </w:rPr>
        <w:t xml:space="preserve">דפנה </w:t>
      </w:r>
      <w:r w:rsidRPr="00D140AE">
        <w:rPr>
          <w:rFonts w:ascii="Century" w:hAnsi="Century" w:cs="Miriam" w:hint="eastAsia"/>
          <w:b/>
          <w:rtl/>
        </w:rPr>
        <w:t>ברק</w:t>
      </w:r>
      <w:r w:rsidRPr="00D140AE">
        <w:rPr>
          <w:rFonts w:ascii="Century" w:hAnsi="Century" w:cs="Miriam"/>
          <w:b/>
          <w:rtl/>
        </w:rPr>
        <w:t>-</w:t>
      </w:r>
      <w:r w:rsidRPr="00D140AE">
        <w:rPr>
          <w:rFonts w:ascii="Century" w:hAnsi="Century" w:cs="Miriam" w:hint="eastAsia"/>
          <w:b/>
          <w:rtl/>
        </w:rPr>
        <w:t>ארז</w:t>
      </w:r>
      <w:r w:rsidRPr="005E2BA6">
        <w:rPr>
          <w:rFonts w:ascii="Century" w:hAnsi="Century" w:cs="FrankRuehl" w:hint="cs"/>
          <w:spacing w:val="10"/>
          <w:szCs w:val="28"/>
          <w:rtl/>
        </w:rPr>
        <w:t xml:space="preserve"> </w:t>
      </w:r>
      <w:r>
        <w:rPr>
          <w:rFonts w:ascii="Century" w:hAnsi="Century" w:cs="FrankRuehl" w:hint="cs"/>
          <w:spacing w:val="10"/>
          <w:szCs w:val="28"/>
          <w:rtl/>
        </w:rPr>
        <w:t>(</w:t>
      </w:r>
      <w:r w:rsidRPr="005E2BA6">
        <w:rPr>
          <w:rFonts w:ascii="Century" w:hAnsi="Century" w:cs="FrankRuehl" w:hint="cs"/>
          <w:spacing w:val="10"/>
          <w:szCs w:val="28"/>
          <w:rtl/>
        </w:rPr>
        <w:t xml:space="preserve">פסקאות </w:t>
      </w:r>
      <w:r>
        <w:rPr>
          <w:rFonts w:ascii="Century" w:hAnsi="Century" w:cs="FrankRuehl" w:hint="cs"/>
          <w:spacing w:val="10"/>
          <w:szCs w:val="28"/>
          <w:rtl/>
        </w:rPr>
        <w:t>50-46</w:t>
      </w:r>
      <w:r w:rsidRPr="005E2BA6">
        <w:rPr>
          <w:rFonts w:ascii="Century" w:hAnsi="Century" w:cs="FrankRuehl" w:hint="cs"/>
          <w:spacing w:val="10"/>
          <w:szCs w:val="28"/>
          <w:rtl/>
        </w:rPr>
        <w:t xml:space="preserve"> לחוות דעתה</w:t>
      </w:r>
      <w:r>
        <w:rPr>
          <w:rFonts w:ascii="Century" w:hAnsi="Century" w:cs="FrankRuehl" w:hint="cs"/>
          <w:spacing w:val="10"/>
          <w:szCs w:val="28"/>
          <w:rtl/>
        </w:rPr>
        <w:t xml:space="preserve">), ובהערה קצרה משלי. </w:t>
      </w:r>
    </w:p>
    <w:p w14:paraId="160102C4" w14:textId="77777777" w:rsidR="001B1382" w:rsidRDefault="001B1382" w:rsidP="001B1382">
      <w:pPr>
        <w:spacing w:line="360" w:lineRule="auto"/>
        <w:jc w:val="both"/>
        <w:rPr>
          <w:rFonts w:ascii="Century" w:hAnsi="Century" w:cs="FrankRuehl"/>
          <w:spacing w:val="10"/>
          <w:szCs w:val="28"/>
          <w:rtl/>
        </w:rPr>
      </w:pPr>
    </w:p>
    <w:p w14:paraId="3FD3E2EF" w14:textId="77777777" w:rsidR="001B1382" w:rsidRDefault="001B1382" w:rsidP="001B1382">
      <w:pPr>
        <w:spacing w:line="360" w:lineRule="auto"/>
        <w:ind w:firstLine="720"/>
        <w:jc w:val="both"/>
        <w:rPr>
          <w:rFonts w:ascii="Century" w:hAnsi="Century" w:cs="FrankRuehl"/>
          <w:spacing w:val="10"/>
          <w:szCs w:val="28"/>
          <w:rtl/>
        </w:rPr>
      </w:pPr>
      <w:r>
        <w:rPr>
          <w:rFonts w:ascii="Century" w:hAnsi="Century" w:cs="FrankRuehl" w:hint="cs"/>
          <w:spacing w:val="10"/>
          <w:szCs w:val="28"/>
          <w:rtl/>
        </w:rPr>
        <w:t xml:space="preserve">ככלל, </w:t>
      </w:r>
      <w:r w:rsidRPr="005E2BA6">
        <w:rPr>
          <w:rFonts w:ascii="Century" w:hAnsi="Century" w:cs="FrankRuehl" w:hint="cs"/>
          <w:spacing w:val="10"/>
          <w:szCs w:val="28"/>
          <w:rtl/>
        </w:rPr>
        <w:t>שימוש לרעה בסמכות</w:t>
      </w:r>
      <w:r>
        <w:rPr>
          <w:rFonts w:ascii="Century" w:hAnsi="Century" w:cs="FrankRuehl" w:hint="cs"/>
          <w:spacing w:val="10"/>
          <w:szCs w:val="28"/>
          <w:rtl/>
        </w:rPr>
        <w:t xml:space="preserve"> (</w:t>
      </w:r>
      <w:r w:rsidRPr="00D140AE">
        <w:rPr>
          <w:rFonts w:asciiTheme="majorBidi" w:hAnsiTheme="majorBidi" w:cstheme="majorBidi"/>
          <w:spacing w:val="10"/>
          <w:sz w:val="24"/>
        </w:rPr>
        <w:t>Abuse of Authority</w:t>
      </w:r>
      <w:r>
        <w:rPr>
          <w:rFonts w:ascii="Century" w:hAnsi="Century" w:cs="FrankRuehl" w:hint="cs"/>
          <w:spacing w:val="10"/>
          <w:szCs w:val="28"/>
          <w:rtl/>
        </w:rPr>
        <w:t>)</w:t>
      </w:r>
      <w:r w:rsidRPr="005E2BA6">
        <w:rPr>
          <w:rFonts w:ascii="Century" w:hAnsi="Century" w:cs="FrankRuehl" w:hint="cs"/>
          <w:spacing w:val="10"/>
          <w:szCs w:val="28"/>
          <w:rtl/>
        </w:rPr>
        <w:t xml:space="preserve"> הוא, בראש ובראשונה, שימוש למטרה זרה החורגת מגדר המטרות שלשמן הוקנתה הסמכות (</w:t>
      </w:r>
      <w:r w:rsidRPr="00D140AE">
        <w:rPr>
          <w:rFonts w:ascii="Century" w:hAnsi="Century" w:cs="FrankRuehl" w:hint="eastAsia"/>
          <w:spacing w:val="10"/>
          <w:szCs w:val="28"/>
          <w:rtl/>
        </w:rPr>
        <w:t>ראו</w:t>
      </w:r>
      <w:r w:rsidRPr="00D140AE">
        <w:rPr>
          <w:rFonts w:ascii="Century" w:hAnsi="Century" w:cs="FrankRuehl"/>
          <w:spacing w:val="10"/>
          <w:szCs w:val="28"/>
          <w:rtl/>
        </w:rPr>
        <w:t xml:space="preserve"> בג"ץ 8260/16 </w:t>
      </w:r>
      <w:r w:rsidRPr="00E96C7B">
        <w:rPr>
          <w:rFonts w:ascii="Century" w:hAnsi="Century" w:cs="Miriam" w:hint="cs"/>
          <w:b/>
          <w:rtl/>
        </w:rPr>
        <w:t>המרכז האקדמי למשפט ולעסקים נ' כנסת ישראל</w:t>
      </w:r>
      <w:r w:rsidRPr="00D140AE">
        <w:rPr>
          <w:rFonts w:ascii="Century" w:hAnsi="Century" w:cs="FrankRuehl"/>
          <w:spacing w:val="10"/>
          <w:szCs w:val="28"/>
          <w:rtl/>
        </w:rPr>
        <w:t xml:space="preserve">, </w:t>
      </w:r>
      <w:r w:rsidRPr="00D140AE">
        <w:rPr>
          <w:rFonts w:ascii="Century" w:hAnsi="Century" w:cs="FrankRuehl" w:hint="eastAsia"/>
          <w:spacing w:val="10"/>
          <w:szCs w:val="28"/>
          <w:rtl/>
        </w:rPr>
        <w:t>פסקה</w:t>
      </w:r>
      <w:r w:rsidRPr="00D140AE">
        <w:rPr>
          <w:rFonts w:ascii="Century" w:hAnsi="Century" w:cs="FrankRuehl"/>
          <w:spacing w:val="10"/>
          <w:szCs w:val="28"/>
          <w:rtl/>
        </w:rPr>
        <w:t xml:space="preserve"> </w:t>
      </w:r>
      <w:r w:rsidRPr="00D140AE">
        <w:rPr>
          <w:rFonts w:ascii="Century" w:hAnsi="Century" w:cs="FrankRuehl" w:hint="eastAsia"/>
          <w:spacing w:val="10"/>
          <w:szCs w:val="28"/>
          <w:rtl/>
        </w:rPr>
        <w:t>ל</w:t>
      </w:r>
      <w:r w:rsidRPr="00D140AE">
        <w:rPr>
          <w:rFonts w:ascii="Century" w:hAnsi="Century" w:cs="FrankRuehl"/>
          <w:spacing w:val="10"/>
          <w:szCs w:val="28"/>
          <w:rtl/>
        </w:rPr>
        <w:t xml:space="preserve">' (6.9.2017); </w:t>
      </w:r>
      <w:r w:rsidRPr="00D140AE">
        <w:rPr>
          <w:rFonts w:ascii="Century" w:hAnsi="Century" w:cs="FrankRuehl" w:hint="eastAsia"/>
          <w:spacing w:val="10"/>
          <w:szCs w:val="28"/>
          <w:rtl/>
        </w:rPr>
        <w:t>בג</w:t>
      </w:r>
      <w:r w:rsidRPr="00D140AE">
        <w:rPr>
          <w:rFonts w:ascii="Century" w:hAnsi="Century" w:cs="FrankRuehl"/>
          <w:spacing w:val="10"/>
          <w:szCs w:val="28"/>
          <w:rtl/>
        </w:rPr>
        <w:t>"</w:t>
      </w:r>
      <w:r w:rsidRPr="00D140AE">
        <w:rPr>
          <w:rFonts w:ascii="Century" w:hAnsi="Century" w:cs="FrankRuehl" w:hint="eastAsia"/>
          <w:spacing w:val="10"/>
          <w:szCs w:val="28"/>
          <w:rtl/>
        </w:rPr>
        <w:t>ץ</w:t>
      </w:r>
      <w:r w:rsidRPr="00D140AE">
        <w:rPr>
          <w:rFonts w:ascii="Century" w:hAnsi="Century" w:cs="FrankRuehl"/>
          <w:spacing w:val="10"/>
          <w:szCs w:val="28"/>
          <w:rtl/>
        </w:rPr>
        <w:t xml:space="preserve"> 2905/20 </w:t>
      </w:r>
      <w:r w:rsidRPr="00E96C7B">
        <w:rPr>
          <w:rFonts w:ascii="Century" w:hAnsi="Century" w:cs="Miriam" w:hint="cs"/>
          <w:b/>
          <w:rtl/>
        </w:rPr>
        <w:t>התנועה למען איכות השלטון בישראל נ' כנסת ישראל</w:t>
      </w:r>
      <w:r>
        <w:rPr>
          <w:rFonts w:ascii="Century" w:hAnsi="Century" w:cs="FrankRuehl" w:hint="cs"/>
          <w:spacing w:val="10"/>
          <w:szCs w:val="28"/>
          <w:rtl/>
        </w:rPr>
        <w:t>,</w:t>
      </w:r>
      <w:r w:rsidRPr="00D140AE">
        <w:rPr>
          <w:rFonts w:ascii="Century" w:hAnsi="Century" w:cs="FrankRuehl"/>
          <w:spacing w:val="10"/>
          <w:szCs w:val="28"/>
          <w:rtl/>
        </w:rPr>
        <w:t xml:space="preserve"> </w:t>
      </w:r>
      <w:r w:rsidRPr="00D140AE">
        <w:rPr>
          <w:rFonts w:ascii="Century" w:hAnsi="Century" w:cs="FrankRuehl" w:hint="eastAsia"/>
          <w:spacing w:val="10"/>
          <w:szCs w:val="28"/>
          <w:rtl/>
        </w:rPr>
        <w:t>פסקאות</w:t>
      </w:r>
      <w:r w:rsidRPr="00D140AE">
        <w:rPr>
          <w:rFonts w:ascii="Century" w:hAnsi="Century" w:cs="FrankRuehl"/>
          <w:spacing w:val="10"/>
          <w:szCs w:val="28"/>
          <w:rtl/>
        </w:rPr>
        <w:t xml:space="preserve"> 94-92, 143 </w:t>
      </w:r>
      <w:r w:rsidRPr="00D140AE">
        <w:rPr>
          <w:rFonts w:ascii="Century" w:hAnsi="Century" w:cs="FrankRuehl" w:hint="eastAsia"/>
          <w:spacing w:val="10"/>
          <w:szCs w:val="28"/>
          <w:rtl/>
        </w:rPr>
        <w:t>לחוות</w:t>
      </w:r>
      <w:r w:rsidRPr="00D140AE">
        <w:rPr>
          <w:rFonts w:ascii="Century" w:hAnsi="Century" w:cs="FrankRuehl"/>
          <w:spacing w:val="10"/>
          <w:szCs w:val="28"/>
          <w:rtl/>
        </w:rPr>
        <w:t xml:space="preserve"> </w:t>
      </w:r>
      <w:r w:rsidRPr="00D140AE">
        <w:rPr>
          <w:rFonts w:ascii="Century" w:hAnsi="Century" w:cs="FrankRuehl" w:hint="eastAsia"/>
          <w:spacing w:val="10"/>
          <w:szCs w:val="28"/>
          <w:rtl/>
        </w:rPr>
        <w:t>דעתו</w:t>
      </w:r>
      <w:r w:rsidRPr="00D140AE">
        <w:rPr>
          <w:rFonts w:ascii="Century" w:hAnsi="Century" w:cs="FrankRuehl"/>
          <w:spacing w:val="10"/>
          <w:szCs w:val="28"/>
          <w:rtl/>
        </w:rPr>
        <w:t xml:space="preserve"> </w:t>
      </w:r>
      <w:r w:rsidRPr="00D140AE">
        <w:rPr>
          <w:rFonts w:ascii="Century" w:hAnsi="Century" w:cs="FrankRuehl" w:hint="eastAsia"/>
          <w:spacing w:val="10"/>
          <w:szCs w:val="28"/>
          <w:rtl/>
        </w:rPr>
        <w:t>של</w:t>
      </w:r>
      <w:r w:rsidRPr="00D140AE">
        <w:rPr>
          <w:rFonts w:ascii="Century" w:hAnsi="Century" w:cs="FrankRuehl"/>
          <w:spacing w:val="10"/>
          <w:szCs w:val="28"/>
          <w:rtl/>
        </w:rPr>
        <w:t xml:space="preserve"> </w:t>
      </w:r>
      <w:r w:rsidRPr="00D140AE">
        <w:rPr>
          <w:rFonts w:ascii="Century" w:hAnsi="Century" w:cs="FrankRuehl" w:hint="eastAsia"/>
          <w:spacing w:val="10"/>
          <w:szCs w:val="28"/>
          <w:rtl/>
        </w:rPr>
        <w:t>המשנה</w:t>
      </w:r>
      <w:r w:rsidRPr="00D140AE">
        <w:rPr>
          <w:rFonts w:ascii="Century" w:hAnsi="Century" w:cs="FrankRuehl"/>
          <w:spacing w:val="10"/>
          <w:szCs w:val="28"/>
          <w:rtl/>
        </w:rPr>
        <w:t xml:space="preserve"> </w:t>
      </w:r>
      <w:r w:rsidRPr="00D140AE">
        <w:rPr>
          <w:rFonts w:ascii="Century" w:hAnsi="Century" w:cs="FrankRuehl" w:hint="eastAsia"/>
          <w:spacing w:val="10"/>
          <w:szCs w:val="28"/>
          <w:rtl/>
        </w:rPr>
        <w:t>לנשיאה</w:t>
      </w:r>
      <w:r w:rsidRPr="00D140AE">
        <w:rPr>
          <w:rFonts w:ascii="Century" w:hAnsi="Century" w:cs="FrankRuehl"/>
          <w:spacing w:val="10"/>
          <w:szCs w:val="28"/>
          <w:rtl/>
        </w:rPr>
        <w:t xml:space="preserve"> (</w:t>
      </w:r>
      <w:r w:rsidRPr="00D140AE">
        <w:rPr>
          <w:rFonts w:ascii="Century" w:hAnsi="Century" w:cs="FrankRuehl" w:hint="eastAsia"/>
          <w:spacing w:val="10"/>
          <w:szCs w:val="28"/>
          <w:rtl/>
        </w:rPr>
        <w:t>בדימ</w:t>
      </w:r>
      <w:r w:rsidRPr="00D140AE">
        <w:rPr>
          <w:rFonts w:ascii="Century" w:hAnsi="Century" w:cs="FrankRuehl"/>
          <w:spacing w:val="10"/>
          <w:szCs w:val="28"/>
          <w:rtl/>
        </w:rPr>
        <w:t xml:space="preserve">') </w:t>
      </w:r>
      <w:r w:rsidRPr="00D140AE">
        <w:rPr>
          <w:rFonts w:ascii="Century" w:hAnsi="Century" w:cs="Miriam" w:hint="cs"/>
          <w:b/>
          <w:rtl/>
        </w:rPr>
        <w:t>חנן מלצר</w:t>
      </w:r>
      <w:r w:rsidRPr="00D140AE">
        <w:rPr>
          <w:rFonts w:ascii="Century" w:hAnsi="Century" w:cs="FrankRuehl"/>
          <w:spacing w:val="10"/>
          <w:szCs w:val="28"/>
          <w:rtl/>
        </w:rPr>
        <w:t xml:space="preserve"> (12.</w:t>
      </w:r>
      <w:r>
        <w:rPr>
          <w:rFonts w:ascii="Century" w:hAnsi="Century" w:cs="FrankRuehl" w:hint="cs"/>
          <w:spacing w:val="10"/>
          <w:szCs w:val="28"/>
          <w:rtl/>
        </w:rPr>
        <w:t>7</w:t>
      </w:r>
      <w:r w:rsidRPr="00D140AE">
        <w:rPr>
          <w:rFonts w:ascii="Century" w:hAnsi="Century" w:cs="FrankRuehl"/>
          <w:spacing w:val="10"/>
          <w:szCs w:val="28"/>
          <w:rtl/>
        </w:rPr>
        <w:t xml:space="preserve">.2021); </w:t>
      </w:r>
      <w:r w:rsidRPr="00D140AE">
        <w:rPr>
          <w:rFonts w:ascii="Century" w:hAnsi="Century" w:cs="FrankRuehl" w:hint="eastAsia"/>
          <w:spacing w:val="10"/>
          <w:szCs w:val="28"/>
          <w:rtl/>
        </w:rPr>
        <w:t>יצחק</w:t>
      </w:r>
      <w:r w:rsidRPr="00D140AE">
        <w:rPr>
          <w:rFonts w:ascii="Century" w:hAnsi="Century" w:cs="FrankRuehl"/>
          <w:spacing w:val="10"/>
          <w:szCs w:val="28"/>
          <w:rtl/>
        </w:rPr>
        <w:t xml:space="preserve"> </w:t>
      </w:r>
      <w:r w:rsidRPr="00D140AE">
        <w:rPr>
          <w:rFonts w:ascii="Century" w:hAnsi="Century" w:cs="FrankRuehl" w:hint="eastAsia"/>
          <w:spacing w:val="10"/>
          <w:szCs w:val="28"/>
          <w:rtl/>
        </w:rPr>
        <w:t>זמיר</w:t>
      </w:r>
      <w:r w:rsidRPr="00D140AE">
        <w:rPr>
          <w:rFonts w:ascii="Century" w:hAnsi="Century" w:cs="FrankRuehl"/>
          <w:spacing w:val="10"/>
          <w:szCs w:val="28"/>
          <w:rtl/>
        </w:rPr>
        <w:t xml:space="preserve"> "</w:t>
      </w:r>
      <w:r w:rsidRPr="00D140AE">
        <w:rPr>
          <w:rFonts w:ascii="Century" w:hAnsi="Century" w:cs="FrankRuehl" w:hint="eastAsia"/>
          <w:spacing w:val="10"/>
          <w:szCs w:val="28"/>
          <w:rtl/>
        </w:rPr>
        <w:t>הסמכות</w:t>
      </w:r>
      <w:r w:rsidRPr="00D140AE">
        <w:rPr>
          <w:rFonts w:ascii="Century" w:hAnsi="Century" w:cs="FrankRuehl"/>
          <w:spacing w:val="10"/>
          <w:szCs w:val="28"/>
          <w:rtl/>
        </w:rPr>
        <w:t xml:space="preserve"> </w:t>
      </w:r>
      <w:r w:rsidRPr="00D140AE">
        <w:rPr>
          <w:rFonts w:ascii="Century" w:hAnsi="Century" w:cs="FrankRuehl" w:hint="eastAsia"/>
          <w:spacing w:val="10"/>
          <w:szCs w:val="28"/>
          <w:rtl/>
        </w:rPr>
        <w:t>המינהלית</w:t>
      </w:r>
      <w:r w:rsidRPr="00D140AE">
        <w:rPr>
          <w:rFonts w:ascii="Century" w:hAnsi="Century" w:cs="FrankRuehl"/>
          <w:spacing w:val="10"/>
          <w:szCs w:val="28"/>
          <w:rtl/>
        </w:rPr>
        <w:t xml:space="preserve">" </w:t>
      </w:r>
      <w:r w:rsidRPr="00D140AE">
        <w:rPr>
          <w:rFonts w:ascii="Century" w:hAnsi="Century" w:cs="Miriam" w:hint="cs"/>
          <w:b/>
          <w:rtl/>
        </w:rPr>
        <w:t>משפט וממשל</w:t>
      </w:r>
      <w:r w:rsidRPr="00D140AE">
        <w:rPr>
          <w:rFonts w:ascii="Century" w:hAnsi="Century" w:cs="FrankRuehl"/>
          <w:spacing w:val="10"/>
          <w:szCs w:val="28"/>
          <w:rtl/>
        </w:rPr>
        <w:t xml:space="preserve"> </w:t>
      </w:r>
      <w:r w:rsidRPr="00D140AE">
        <w:rPr>
          <w:rFonts w:ascii="Century" w:hAnsi="Century" w:cs="FrankRuehl" w:hint="eastAsia"/>
          <w:spacing w:val="10"/>
          <w:szCs w:val="28"/>
          <w:rtl/>
        </w:rPr>
        <w:t>א</w:t>
      </w:r>
      <w:r w:rsidRPr="00D140AE">
        <w:rPr>
          <w:rFonts w:ascii="Century" w:hAnsi="Century" w:cs="FrankRuehl"/>
          <w:spacing w:val="10"/>
          <w:szCs w:val="28"/>
          <w:rtl/>
        </w:rPr>
        <w:t xml:space="preserve"> 81, 91-90 (</w:t>
      </w:r>
      <w:r w:rsidRPr="00D140AE">
        <w:rPr>
          <w:rFonts w:ascii="Century" w:hAnsi="Century" w:cs="FrankRuehl" w:hint="cs"/>
          <w:spacing w:val="10"/>
          <w:szCs w:val="28"/>
          <w:rtl/>
        </w:rPr>
        <w:t>1992</w:t>
      </w:r>
      <w:r w:rsidRPr="00D140AE">
        <w:rPr>
          <w:rFonts w:ascii="Century" w:hAnsi="Century" w:cs="FrankRuehl"/>
          <w:spacing w:val="10"/>
          <w:szCs w:val="28"/>
          <w:rtl/>
        </w:rPr>
        <w:t>)</w:t>
      </w:r>
      <w:r w:rsidRPr="00D140AE">
        <w:rPr>
          <w:rFonts w:ascii="Century" w:hAnsi="Century" w:cs="FrankRuehl" w:hint="cs"/>
          <w:spacing w:val="10"/>
          <w:szCs w:val="28"/>
          <w:rtl/>
        </w:rPr>
        <w:t>). כך</w:t>
      </w:r>
      <w:r>
        <w:rPr>
          <w:rFonts w:ascii="Century" w:hAnsi="Century" w:cs="FrankRuehl" w:hint="cs"/>
          <w:spacing w:val="10"/>
          <w:szCs w:val="28"/>
          <w:rtl/>
        </w:rPr>
        <w:t xml:space="preserve"> ביחס לכל סמכות הנתונה לגוף שלטוני, ובכלל זה, לכאורה, גם הסמכויות השונות הנתונות לכנסת בכובעיה השונים. </w:t>
      </w:r>
      <w:r w:rsidRPr="005E2BA6">
        <w:rPr>
          <w:rFonts w:ascii="Century" w:hAnsi="Century" w:cs="FrankRuehl" w:hint="cs"/>
          <w:spacing w:val="10"/>
          <w:szCs w:val="28"/>
          <w:rtl/>
        </w:rPr>
        <w:t>בעניינ</w:t>
      </w:r>
      <w:r>
        <w:rPr>
          <w:rFonts w:ascii="Century" w:hAnsi="Century" w:cs="FrankRuehl" w:hint="cs"/>
          <w:spacing w:val="10"/>
          <w:szCs w:val="28"/>
          <w:rtl/>
        </w:rPr>
        <w:t>נ</w:t>
      </w:r>
      <w:r w:rsidRPr="005E2BA6">
        <w:rPr>
          <w:rFonts w:ascii="Century" w:hAnsi="Century" w:cs="FrankRuehl" w:hint="cs"/>
          <w:spacing w:val="10"/>
          <w:szCs w:val="28"/>
          <w:rtl/>
        </w:rPr>
        <w:t>ו</w:t>
      </w:r>
      <w:r>
        <w:rPr>
          <w:rFonts w:ascii="Century" w:hAnsi="Century" w:cs="FrankRuehl" w:hint="cs"/>
          <w:spacing w:val="10"/>
          <w:szCs w:val="28"/>
          <w:rtl/>
        </w:rPr>
        <w:t>,</w:t>
      </w:r>
      <w:r w:rsidRPr="005E2BA6">
        <w:rPr>
          <w:rFonts w:ascii="Century" w:hAnsi="Century" w:cs="FrankRuehl" w:hint="cs"/>
          <w:spacing w:val="10"/>
          <w:szCs w:val="28"/>
          <w:rtl/>
        </w:rPr>
        <w:t xml:space="preserve"> קיים חשש כבד, ולמעשה אף מעבר לכך, כי השימוש בסמכות המכוננת</w:t>
      </w:r>
      <w:r>
        <w:rPr>
          <w:rFonts w:ascii="Century" w:hAnsi="Century" w:cs="FrankRuehl" w:hint="cs"/>
          <w:spacing w:val="10"/>
          <w:szCs w:val="28"/>
          <w:rtl/>
        </w:rPr>
        <w:t xml:space="preserve"> המגולם בתיקון חוק </w:t>
      </w:r>
      <w:r>
        <w:rPr>
          <w:rFonts w:ascii="Century" w:hAnsi="Century" w:cs="FrankRuehl" w:hint="cs"/>
          <w:spacing w:val="10"/>
          <w:szCs w:val="28"/>
          <w:rtl/>
        </w:rPr>
        <w:lastRenderedPageBreak/>
        <w:t>היסוד, ובפרט הוראת התחילה שלו,</w:t>
      </w:r>
      <w:r w:rsidRPr="005E2BA6">
        <w:rPr>
          <w:rFonts w:ascii="Century" w:hAnsi="Century" w:cs="FrankRuehl" w:hint="cs"/>
          <w:spacing w:val="10"/>
          <w:szCs w:val="28"/>
          <w:rtl/>
        </w:rPr>
        <w:t xml:space="preserve"> לא נעשה לשם השגת מבנה משטרי טוב יותר</w:t>
      </w:r>
      <w:r>
        <w:rPr>
          <w:rFonts w:ascii="Century" w:hAnsi="Century" w:cs="FrankRuehl" w:hint="cs"/>
          <w:spacing w:val="10"/>
          <w:szCs w:val="28"/>
          <w:rtl/>
        </w:rPr>
        <w:t xml:space="preserve"> בראייה כללית</w:t>
      </w:r>
      <w:r w:rsidRPr="005E2BA6">
        <w:rPr>
          <w:rFonts w:ascii="Century" w:hAnsi="Century" w:cs="FrankRuehl" w:hint="cs"/>
          <w:spacing w:val="10"/>
          <w:szCs w:val="28"/>
          <w:rtl/>
        </w:rPr>
        <w:t xml:space="preserve">, אלא </w:t>
      </w:r>
      <w:r>
        <w:rPr>
          <w:rFonts w:ascii="Century" w:hAnsi="Century" w:cs="FrankRuehl" w:hint="cs"/>
          <w:spacing w:val="10"/>
          <w:szCs w:val="28"/>
          <w:rtl/>
        </w:rPr>
        <w:t xml:space="preserve">לצורך נקודתי ובעייתי </w:t>
      </w:r>
      <w:r>
        <w:rPr>
          <w:rFonts w:ascii="Century" w:hAnsi="Century" w:cs="FrankRuehl"/>
          <w:spacing w:val="10"/>
          <w:szCs w:val="28"/>
          <w:rtl/>
        </w:rPr>
        <w:t>–</w:t>
      </w:r>
      <w:r>
        <w:rPr>
          <w:rFonts w:ascii="Century" w:hAnsi="Century" w:cs="FrankRuehl" w:hint="cs"/>
          <w:spacing w:val="10"/>
          <w:szCs w:val="28"/>
          <w:rtl/>
        </w:rPr>
        <w:t xml:space="preserve"> </w:t>
      </w:r>
      <w:r w:rsidRPr="005E2BA6">
        <w:rPr>
          <w:rFonts w:ascii="Century" w:hAnsi="Century" w:cs="FrankRuehl" w:hint="cs"/>
          <w:spacing w:val="10"/>
          <w:szCs w:val="28"/>
          <w:rtl/>
        </w:rPr>
        <w:t xml:space="preserve">על מנת לעקוף את </w:t>
      </w:r>
      <w:r>
        <w:rPr>
          <w:rFonts w:ascii="Century" w:hAnsi="Century" w:cs="FrankRuehl" w:hint="cs"/>
          <w:spacing w:val="10"/>
          <w:szCs w:val="28"/>
          <w:rtl/>
        </w:rPr>
        <w:t>הדרישה</w:t>
      </w:r>
      <w:r w:rsidRPr="005E2BA6">
        <w:rPr>
          <w:rFonts w:ascii="Century" w:hAnsi="Century" w:cs="FrankRuehl" w:hint="cs"/>
          <w:spacing w:val="10"/>
          <w:szCs w:val="28"/>
          <w:rtl/>
        </w:rPr>
        <w:t xml:space="preserve"> לברר את השלכות ההליך הפלילי על כשירותו של חה"כ דרעי להתמנות לשר באמצעות המסגרת המשפטית שנקבעה לכך</w:t>
      </w:r>
      <w:r>
        <w:rPr>
          <w:rFonts w:ascii="Century" w:hAnsi="Century" w:cs="FrankRuehl" w:hint="cs"/>
          <w:spacing w:val="10"/>
          <w:szCs w:val="28"/>
          <w:rtl/>
        </w:rPr>
        <w:t xml:space="preserve">, קרי, </w:t>
      </w:r>
      <w:r w:rsidRPr="005E2BA6">
        <w:rPr>
          <w:rFonts w:ascii="Century" w:hAnsi="Century" w:cs="FrankRuehl" w:hint="cs"/>
          <w:spacing w:val="10"/>
          <w:szCs w:val="28"/>
          <w:rtl/>
        </w:rPr>
        <w:t>פנ</w:t>
      </w:r>
      <w:r>
        <w:rPr>
          <w:rFonts w:ascii="Century" w:hAnsi="Century" w:cs="FrankRuehl" w:hint="cs"/>
          <w:spacing w:val="10"/>
          <w:szCs w:val="28"/>
          <w:rtl/>
        </w:rPr>
        <w:t>י</w:t>
      </w:r>
      <w:r w:rsidRPr="005E2BA6">
        <w:rPr>
          <w:rFonts w:ascii="Century" w:hAnsi="Century" w:cs="FrankRuehl" w:hint="cs"/>
          <w:spacing w:val="10"/>
          <w:szCs w:val="28"/>
          <w:rtl/>
        </w:rPr>
        <w:t>יה ליושב ראש ועדת הבחירות</w:t>
      </w:r>
      <w:r>
        <w:rPr>
          <w:rFonts w:ascii="Century" w:hAnsi="Century" w:cs="FrankRuehl" w:hint="cs"/>
          <w:spacing w:val="10"/>
          <w:szCs w:val="28"/>
          <w:rtl/>
        </w:rPr>
        <w:t xml:space="preserve"> לכנסת כאמור</w:t>
      </w:r>
      <w:r w:rsidRPr="005E2BA6">
        <w:rPr>
          <w:rFonts w:ascii="Century" w:hAnsi="Century" w:cs="FrankRuehl" w:hint="cs"/>
          <w:spacing w:val="10"/>
          <w:szCs w:val="28"/>
          <w:rtl/>
        </w:rPr>
        <w:t>.</w:t>
      </w:r>
      <w:r>
        <w:rPr>
          <w:rFonts w:ascii="Century" w:hAnsi="Century" w:cs="FrankRuehl" w:hint="cs"/>
          <w:spacing w:val="10"/>
          <w:szCs w:val="28"/>
          <w:rtl/>
        </w:rPr>
        <w:t xml:space="preserve"> לפיכך, </w:t>
      </w:r>
      <w:r w:rsidRPr="005E2BA6">
        <w:rPr>
          <w:rFonts w:ascii="Century" w:hAnsi="Century" w:cs="FrankRuehl" w:hint="cs"/>
          <w:spacing w:val="10"/>
          <w:szCs w:val="28"/>
          <w:rtl/>
        </w:rPr>
        <w:t xml:space="preserve">על פני הדברים, </w:t>
      </w:r>
      <w:r>
        <w:rPr>
          <w:rFonts w:ascii="Century" w:hAnsi="Century" w:cs="FrankRuehl" w:hint="cs"/>
          <w:spacing w:val="10"/>
          <w:szCs w:val="28"/>
          <w:rtl/>
        </w:rPr>
        <w:t xml:space="preserve">אינני שולל כי נסיבות אלו </w:t>
      </w:r>
      <w:r w:rsidRPr="005E2BA6">
        <w:rPr>
          <w:rFonts w:ascii="Century" w:hAnsi="Century" w:cs="FrankRuehl" w:hint="cs"/>
          <w:spacing w:val="10"/>
          <w:szCs w:val="28"/>
          <w:rtl/>
        </w:rPr>
        <w:t>עשוי</w:t>
      </w:r>
      <w:r>
        <w:rPr>
          <w:rFonts w:ascii="Century" w:hAnsi="Century" w:cs="FrankRuehl" w:hint="cs"/>
          <w:spacing w:val="10"/>
          <w:szCs w:val="28"/>
          <w:rtl/>
        </w:rPr>
        <w:t>ות</w:t>
      </w:r>
      <w:r w:rsidRPr="005E2BA6">
        <w:rPr>
          <w:rFonts w:ascii="Century" w:hAnsi="Century" w:cs="FrankRuehl" w:hint="cs"/>
          <w:spacing w:val="10"/>
          <w:szCs w:val="28"/>
          <w:rtl/>
        </w:rPr>
        <w:t xml:space="preserve"> </w:t>
      </w:r>
      <w:r>
        <w:rPr>
          <w:rFonts w:ascii="Century" w:hAnsi="Century" w:cs="FrankRuehl" w:hint="cs"/>
          <w:spacing w:val="10"/>
          <w:szCs w:val="28"/>
          <w:rtl/>
        </w:rPr>
        <w:t>לעלות לכדי</w:t>
      </w:r>
      <w:r w:rsidRPr="005E2BA6">
        <w:rPr>
          <w:rFonts w:ascii="Century" w:hAnsi="Century" w:cs="FrankRuehl" w:hint="cs"/>
          <w:spacing w:val="10"/>
          <w:szCs w:val="28"/>
          <w:rtl/>
        </w:rPr>
        <w:t xml:space="preserve"> שימוש לרעה בסמכות המכוננת </w:t>
      </w:r>
      <w:r w:rsidRPr="005E2BA6">
        <w:rPr>
          <w:rFonts w:ascii="Century" w:hAnsi="Century" w:cs="FrankRuehl"/>
          <w:spacing w:val="10"/>
          <w:szCs w:val="28"/>
          <w:rtl/>
        </w:rPr>
        <w:t>–</w:t>
      </w:r>
      <w:r w:rsidRPr="005E2BA6">
        <w:rPr>
          <w:rFonts w:ascii="Century" w:hAnsi="Century" w:cs="FrankRuehl" w:hint="cs"/>
          <w:spacing w:val="10"/>
          <w:szCs w:val="28"/>
          <w:rtl/>
        </w:rPr>
        <w:t xml:space="preserve"> </w:t>
      </w:r>
      <w:r>
        <w:rPr>
          <w:rFonts w:ascii="Century" w:hAnsi="Century" w:cs="FrankRuehl" w:hint="cs"/>
          <w:spacing w:val="10"/>
          <w:szCs w:val="28"/>
          <w:rtl/>
        </w:rPr>
        <w:t>ואולם, מהטעם שהוזכר לעיל</w:t>
      </w:r>
      <w:r w:rsidRPr="005E2BA6">
        <w:rPr>
          <w:rFonts w:ascii="Century" w:hAnsi="Century" w:cs="FrankRuehl" w:hint="cs"/>
          <w:spacing w:val="10"/>
          <w:szCs w:val="28"/>
          <w:rtl/>
        </w:rPr>
        <w:t xml:space="preserve">, </w:t>
      </w:r>
      <w:r>
        <w:rPr>
          <w:rFonts w:ascii="Century" w:hAnsi="Century" w:cs="FrankRuehl" w:hint="cs"/>
          <w:spacing w:val="10"/>
          <w:szCs w:val="28"/>
          <w:rtl/>
        </w:rPr>
        <w:t xml:space="preserve">מקובל עליי כי </w:t>
      </w:r>
      <w:r w:rsidRPr="005E2BA6">
        <w:rPr>
          <w:rFonts w:ascii="Century" w:hAnsi="Century" w:cs="FrankRuehl" w:hint="cs"/>
          <w:spacing w:val="10"/>
          <w:szCs w:val="28"/>
          <w:rtl/>
        </w:rPr>
        <w:t>אין אנו נדרשים להכריע בכך</w:t>
      </w:r>
      <w:r>
        <w:rPr>
          <w:rFonts w:ascii="Century" w:hAnsi="Century" w:cs="FrankRuehl" w:hint="cs"/>
          <w:spacing w:val="10"/>
          <w:szCs w:val="28"/>
          <w:rtl/>
        </w:rPr>
        <w:t xml:space="preserve"> במקרה דנן</w:t>
      </w:r>
      <w:r w:rsidRPr="005E2BA6">
        <w:rPr>
          <w:rFonts w:ascii="Century" w:hAnsi="Century" w:cs="FrankRuehl" w:hint="cs"/>
          <w:spacing w:val="10"/>
          <w:szCs w:val="28"/>
          <w:rtl/>
        </w:rPr>
        <w:t>.</w:t>
      </w:r>
    </w:p>
    <w:p w14:paraId="3EB5BA79" w14:textId="77777777" w:rsidR="00B65D90" w:rsidRDefault="00B65D90" w:rsidP="001B1382">
      <w:pPr>
        <w:spacing w:line="360" w:lineRule="auto"/>
        <w:ind w:firstLine="720"/>
        <w:jc w:val="both"/>
        <w:rPr>
          <w:rFonts w:ascii="Century" w:hAnsi="Century" w:cs="FrankRuehl"/>
          <w:spacing w:val="10"/>
          <w:szCs w:val="28"/>
          <w:rtl/>
        </w:rPr>
      </w:pPr>
    </w:p>
    <w:p w14:paraId="5CBF9104"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p>
    <w:p w14:paraId="3C2B3739" w14:textId="77777777" w:rsidR="001B1382" w:rsidRDefault="001B1382" w:rsidP="00EF114E">
      <w:pPr>
        <w:pStyle w:val="BODYVERDICT"/>
        <w:rPr>
          <w:rFonts w:ascii="FrankRuehl" w:hAnsi="FrankRuehl"/>
          <w:sz w:val="28"/>
          <w:rtl/>
        </w:rPr>
      </w:pPr>
    </w:p>
    <w:p w14:paraId="60F24758" w14:textId="77777777" w:rsidR="00EF114E" w:rsidRDefault="00EF114E" w:rsidP="00EF114E">
      <w:pPr>
        <w:pStyle w:val="BODYVERDICT"/>
        <w:rPr>
          <w:rFonts w:ascii="FrankRuehl" w:hAnsi="FrankRuehl"/>
          <w:sz w:val="28"/>
          <w:rtl/>
        </w:rPr>
      </w:pPr>
    </w:p>
    <w:p w14:paraId="49A7D94E" w14:textId="77777777" w:rsidR="00EF114E" w:rsidRDefault="00EF114E" w:rsidP="0045550F">
      <w:pPr>
        <w:pStyle w:val="BODYVERDICT"/>
        <w:rPr>
          <w:rFonts w:cs="Miriam"/>
          <w:sz w:val="24"/>
          <w:szCs w:val="24"/>
          <w:u w:val="single"/>
          <w:rtl/>
        </w:rPr>
      </w:pPr>
      <w:r w:rsidRPr="0083330E">
        <w:rPr>
          <w:rFonts w:cs="Miriam"/>
          <w:sz w:val="24"/>
          <w:szCs w:val="24"/>
          <w:u w:val="single"/>
          <w:rtl/>
        </w:rPr>
        <w:t>ה</w:t>
      </w:r>
      <w:r>
        <w:rPr>
          <w:rFonts w:cs="Miriam" w:hint="cs"/>
          <w:sz w:val="24"/>
          <w:szCs w:val="24"/>
          <w:u w:val="single"/>
          <w:rtl/>
        </w:rPr>
        <w:t>שופט י</w:t>
      </w:r>
      <w:r w:rsidR="0045550F">
        <w:rPr>
          <w:rFonts w:cs="Miriam" w:hint="cs"/>
          <w:sz w:val="24"/>
          <w:szCs w:val="24"/>
          <w:u w:val="single"/>
          <w:rtl/>
        </w:rPr>
        <w:t xml:space="preserve">' </w:t>
      </w:r>
      <w:r>
        <w:rPr>
          <w:rFonts w:cs="Miriam" w:hint="cs"/>
          <w:sz w:val="24"/>
          <w:szCs w:val="24"/>
          <w:u w:val="single"/>
          <w:rtl/>
        </w:rPr>
        <w:t>אלרון:</w:t>
      </w:r>
    </w:p>
    <w:p w14:paraId="4748531D" w14:textId="77777777" w:rsidR="00FD1F6D" w:rsidRDefault="00FD1F6D" w:rsidP="0045550F">
      <w:pPr>
        <w:pStyle w:val="BODYVERDICT"/>
        <w:rPr>
          <w:rFonts w:cs="Miriam"/>
          <w:b/>
          <w:bCs/>
          <w:sz w:val="24"/>
          <w:szCs w:val="24"/>
          <w:rtl/>
        </w:rPr>
      </w:pPr>
    </w:p>
    <w:p w14:paraId="3CA947D7" w14:textId="77777777" w:rsidR="00FD1F6D" w:rsidRDefault="00FD1F6D" w:rsidP="00FD1F6D">
      <w:pPr>
        <w:rPr>
          <w:rtl/>
        </w:rPr>
      </w:pPr>
    </w:p>
    <w:p w14:paraId="4535E7CF" w14:textId="77777777" w:rsidR="00FD1F6D" w:rsidRDefault="00FD1F6D" w:rsidP="00FD1F6D">
      <w:pPr>
        <w:pStyle w:val="Ruller4"/>
        <w:numPr>
          <w:ilvl w:val="0"/>
          <w:numId w:val="0"/>
        </w:numPr>
        <w:rPr>
          <w:rtl/>
        </w:rPr>
      </w:pPr>
      <w:r>
        <w:rPr>
          <w:rtl/>
        </w:rPr>
        <w:tab/>
      </w:r>
      <w:r>
        <w:rPr>
          <w:rFonts w:hint="cs"/>
          <w:rtl/>
        </w:rPr>
        <w:t xml:space="preserve">עיינתי בחוות דעתם של חברותיי וחבריי, ודעתי שונה. </w:t>
      </w:r>
    </w:p>
    <w:p w14:paraId="400ACED5" w14:textId="77777777" w:rsidR="00FD1F6D" w:rsidRPr="00781AA1" w:rsidRDefault="00FD1F6D" w:rsidP="00FD1F6D">
      <w:pPr>
        <w:pStyle w:val="Ruller41"/>
      </w:pPr>
    </w:p>
    <w:p w14:paraId="79ADAB06" w14:textId="77777777" w:rsidR="00FD1F6D" w:rsidRDefault="00FD1F6D" w:rsidP="00FD1F6D">
      <w:pPr>
        <w:pStyle w:val="Ruller4"/>
        <w:numPr>
          <w:ilvl w:val="0"/>
          <w:numId w:val="0"/>
        </w:numPr>
        <w:rPr>
          <w:rtl/>
        </w:rPr>
      </w:pPr>
      <w:r>
        <w:rPr>
          <w:rtl/>
        </w:rPr>
        <w:tab/>
      </w:r>
      <w:r>
        <w:rPr>
          <w:rFonts w:hint="cs"/>
          <w:rtl/>
        </w:rPr>
        <w:t xml:space="preserve">איני רואה מקום להתערב בהחלטת ראש הממשלה, ח"כ בנימין נתניהו (להלן: </w:t>
      </w:r>
      <w:r w:rsidRPr="00091E64">
        <w:rPr>
          <w:rFonts w:ascii="Century" w:hAnsi="Century" w:cs="Miriam" w:hint="cs"/>
          <w:b/>
          <w:spacing w:val="0"/>
          <w:sz w:val="22"/>
          <w:szCs w:val="24"/>
          <w:rtl/>
        </w:rPr>
        <w:t>ראש הממשלה</w:t>
      </w:r>
      <w:r>
        <w:rPr>
          <w:rFonts w:hint="cs"/>
          <w:rtl/>
        </w:rPr>
        <w:t xml:space="preserve"> או </w:t>
      </w:r>
      <w:r>
        <w:rPr>
          <w:rFonts w:ascii="Century" w:hAnsi="Century" w:cs="Miriam" w:hint="cs"/>
          <w:b/>
          <w:spacing w:val="0"/>
          <w:sz w:val="22"/>
          <w:szCs w:val="24"/>
          <w:rtl/>
        </w:rPr>
        <w:t>ח</w:t>
      </w:r>
      <w:r w:rsidRPr="00091E64">
        <w:rPr>
          <w:rFonts w:ascii="Century" w:hAnsi="Century" w:cs="Miriam" w:hint="cs"/>
          <w:b/>
          <w:spacing w:val="0"/>
          <w:sz w:val="22"/>
          <w:szCs w:val="24"/>
          <w:rtl/>
        </w:rPr>
        <w:t>"כ נתניהו</w:t>
      </w:r>
      <w:r>
        <w:rPr>
          <w:rFonts w:hint="cs"/>
          <w:rtl/>
        </w:rPr>
        <w:t xml:space="preserve">), שלא להעביר את הרב אריה דרעי (להלן: </w:t>
      </w:r>
      <w:r w:rsidRPr="00B96BDB">
        <w:rPr>
          <w:rFonts w:ascii="Century" w:hAnsi="Century" w:cs="Miriam" w:hint="cs"/>
          <w:b/>
          <w:spacing w:val="0"/>
          <w:sz w:val="22"/>
          <w:szCs w:val="24"/>
          <w:rtl/>
        </w:rPr>
        <w:t>דרעי</w:t>
      </w:r>
      <w:r>
        <w:rPr>
          <w:rFonts w:hint="cs"/>
          <w:rtl/>
        </w:rPr>
        <w:t xml:space="preserve"> או </w:t>
      </w:r>
      <w:r w:rsidRPr="00A3320F">
        <w:rPr>
          <w:rFonts w:ascii="Century" w:hAnsi="Century" w:cs="Miriam" w:hint="cs"/>
          <w:b/>
          <w:spacing w:val="0"/>
          <w:sz w:val="22"/>
          <w:szCs w:val="24"/>
          <w:rtl/>
        </w:rPr>
        <w:t>השר דרעי</w:t>
      </w:r>
      <w:r>
        <w:rPr>
          <w:rFonts w:hint="cs"/>
          <w:rtl/>
        </w:rPr>
        <w:t xml:space="preserve">) מתפקידו כשר הפנים ושר הבריאות. לטעמי, יש לדחות את העתירות בעיקרן באופן שבו מינויו של השר דרעי יוותר על כנו, ולצד זאת נורה לראש הממשלה לפנות ליו"ר ועדת הבחירות המרכזית לכנסת (להלן: </w:t>
      </w:r>
      <w:r w:rsidRPr="00353634">
        <w:rPr>
          <w:rFonts w:ascii="Century" w:hAnsi="Century" w:cs="Miriam" w:hint="cs"/>
          <w:b/>
          <w:spacing w:val="0"/>
          <w:sz w:val="22"/>
          <w:szCs w:val="24"/>
          <w:rtl/>
        </w:rPr>
        <w:t>יו"ר ועדת הבחירות</w:t>
      </w:r>
      <w:r>
        <w:rPr>
          <w:rFonts w:hint="cs"/>
          <w:rtl/>
        </w:rPr>
        <w:t xml:space="preserve">) אשר יקבע האם אין בהרשעותיו האחרונות משום קלון. </w:t>
      </w:r>
    </w:p>
    <w:p w14:paraId="168709BB" w14:textId="77777777" w:rsidR="00FD1F6D" w:rsidRDefault="00FD1F6D" w:rsidP="00FD1F6D">
      <w:pPr>
        <w:pStyle w:val="Ruller41"/>
        <w:rPr>
          <w:rtl/>
        </w:rPr>
      </w:pPr>
    </w:p>
    <w:p w14:paraId="558D0AD9" w14:textId="77777777" w:rsidR="00FD1F6D" w:rsidRPr="00781AA1" w:rsidRDefault="00FD1F6D" w:rsidP="00FD1F6D">
      <w:pPr>
        <w:pStyle w:val="Ruller41"/>
        <w:rPr>
          <w:rFonts w:ascii="Century" w:hAnsi="Century" w:cs="Miriam"/>
          <w:b/>
          <w:spacing w:val="0"/>
          <w:szCs w:val="24"/>
          <w:rtl/>
        </w:rPr>
      </w:pPr>
      <w:r w:rsidRPr="00781AA1">
        <w:rPr>
          <w:rFonts w:ascii="Century" w:hAnsi="Century" w:cs="Miriam" w:hint="cs"/>
          <w:b/>
          <w:spacing w:val="0"/>
          <w:szCs w:val="24"/>
          <w:rtl/>
        </w:rPr>
        <w:t>פתח דבר</w:t>
      </w:r>
    </w:p>
    <w:p w14:paraId="1EE5FE5A" w14:textId="77777777" w:rsidR="00FD1F6D" w:rsidRPr="00372946" w:rsidRDefault="00FD1F6D" w:rsidP="00FD1F6D">
      <w:pPr>
        <w:pStyle w:val="Ruller4"/>
        <w:numPr>
          <w:ilvl w:val="0"/>
          <w:numId w:val="0"/>
        </w:numPr>
        <w:rPr>
          <w:rtl/>
        </w:rPr>
      </w:pPr>
    </w:p>
    <w:p w14:paraId="785B7C2A" w14:textId="77777777" w:rsidR="00FD1F6D" w:rsidRPr="00611743" w:rsidRDefault="00FD1F6D" w:rsidP="00FD1F6D">
      <w:pPr>
        <w:pStyle w:val="Ruller4"/>
        <w:numPr>
          <w:ilvl w:val="0"/>
          <w:numId w:val="33"/>
        </w:numPr>
      </w:pPr>
      <w:r>
        <w:rPr>
          <w:rFonts w:hint="cs"/>
          <w:rtl/>
        </w:rPr>
        <w:t>תמצית עמדתי היא שבהתאם לסעיף 6(ג)(1) ל</w:t>
      </w:r>
      <w:r w:rsidRPr="007F2FD8">
        <w:rPr>
          <w:rtl/>
        </w:rPr>
        <w:t>חוק-יסוד: הממשלה</w:t>
      </w:r>
      <w:r>
        <w:rPr>
          <w:rFonts w:hint="cs"/>
          <w:rtl/>
        </w:rPr>
        <w:t xml:space="preserve"> (להלן: </w:t>
      </w:r>
      <w:r w:rsidRPr="00FD1F6D">
        <w:rPr>
          <w:rFonts w:cs="Miriam" w:hint="cs"/>
          <w:b/>
          <w:spacing w:val="0"/>
          <w:sz w:val="22"/>
          <w:szCs w:val="24"/>
          <w:rtl/>
        </w:rPr>
        <w:t>חוק יסוד הממשלה</w:t>
      </w:r>
      <w:r>
        <w:rPr>
          <w:rFonts w:hint="cs"/>
          <w:rtl/>
        </w:rPr>
        <w:t>) בנוסחו הקודם לא ניתן היה למנות את דרעי לכהונת שר מבלי שיו״ר ועדת הבחירות יקבע כי אין בעבירות האחרונות שבהן הורשע משום קלון. חובתו של ראש הממשלה לפנות ליו״ר ועדת הבחירות התגבשה בסמוך לאחר שהוטלה עליו מלאכת הרכבת הממשלה וקודם לתיקון סעיף 6(ג)(1) לחוק יסוד הממשלה (</w:t>
      </w:r>
      <w:r w:rsidRPr="00A24A48">
        <w:rPr>
          <w:rtl/>
        </w:rPr>
        <w:t xml:space="preserve">חוק יסוד: הממשלה (תיקון מס' 11), ס"ח התשפ"ג </w:t>
      </w:r>
      <w:r>
        <w:rPr>
          <w:rFonts w:hint="cs"/>
          <w:rtl/>
        </w:rPr>
        <w:t xml:space="preserve">4; להלן: </w:t>
      </w:r>
      <w:r w:rsidRPr="00FD1F6D">
        <w:rPr>
          <w:rFonts w:cs="Miriam" w:hint="cs"/>
          <w:b/>
          <w:spacing w:val="0"/>
          <w:sz w:val="22"/>
          <w:szCs w:val="24"/>
          <w:rtl/>
        </w:rPr>
        <w:t>תיקון חוק היסוד</w:t>
      </w:r>
      <w:r>
        <w:rPr>
          <w:rFonts w:hint="cs"/>
          <w:rtl/>
        </w:rPr>
        <w:t xml:space="preserve">). </w:t>
      </w:r>
    </w:p>
    <w:p w14:paraId="68B73D4F" w14:textId="77777777" w:rsidR="00FD1F6D" w:rsidRDefault="00FD1F6D" w:rsidP="00FD1F6D">
      <w:pPr>
        <w:pStyle w:val="Ruller4"/>
        <w:numPr>
          <w:ilvl w:val="0"/>
          <w:numId w:val="0"/>
        </w:numPr>
        <w:rPr>
          <w:rtl/>
        </w:rPr>
      </w:pPr>
    </w:p>
    <w:p w14:paraId="58B7E8D3" w14:textId="77777777" w:rsidR="00FD1F6D" w:rsidRDefault="00FD1F6D" w:rsidP="00FD1F6D">
      <w:pPr>
        <w:pStyle w:val="Ruller4"/>
        <w:rPr>
          <w:rtl/>
        </w:rPr>
      </w:pPr>
      <w:r>
        <w:rPr>
          <w:rFonts w:hint="cs"/>
          <w:rtl/>
        </w:rPr>
        <w:t xml:space="preserve">לאחר היוודע תוצאות הבחירות לכנסת ה-25 סוגיית כשירותו של דרעי להתמנות לשר הועלתה תחילה בפניית בא-כוחו לראש הממשלה, עוד בטרם הוטלה עליו מלאכת הרכבת הממשלה. במענה, התקבלה עמדת היועצת המשפטית לממשלה המבהירה כי המצב המשפטי הקיים מחייב פנייה ליו״ר ועדת הבחירות לצורך קידום המינוי. </w:t>
      </w:r>
    </w:p>
    <w:p w14:paraId="226BBA6D" w14:textId="77777777" w:rsidR="00FD1F6D" w:rsidRDefault="00FD1F6D" w:rsidP="00FD1F6D">
      <w:pPr>
        <w:pStyle w:val="Ruller41"/>
        <w:rPr>
          <w:rtl/>
        </w:rPr>
      </w:pPr>
    </w:p>
    <w:p w14:paraId="19DB9DEC" w14:textId="77777777" w:rsidR="00FD1F6D" w:rsidRPr="00F50F6B" w:rsidRDefault="00FD1F6D" w:rsidP="00FD1F6D">
      <w:pPr>
        <w:pStyle w:val="Ruller4"/>
        <w:numPr>
          <w:ilvl w:val="0"/>
          <w:numId w:val="0"/>
        </w:numPr>
        <w:rPr>
          <w:rtl/>
        </w:rPr>
      </w:pPr>
      <w:r>
        <w:rPr>
          <w:rtl/>
        </w:rPr>
        <w:tab/>
      </w:r>
      <w:r>
        <w:rPr>
          <w:rFonts w:hint="cs"/>
          <w:rtl/>
        </w:rPr>
        <w:t xml:space="preserve">ראש הממשלה החליט שלא לפנות ליו"ר ועדת </w:t>
      </w:r>
      <w:r w:rsidRPr="00E4478E">
        <w:rPr>
          <w:rFonts w:hint="cs"/>
          <w:rtl/>
        </w:rPr>
        <w:t>הבחירות</w:t>
      </w:r>
      <w:r>
        <w:rPr>
          <w:rFonts w:hint="cs"/>
          <w:rtl/>
        </w:rPr>
        <w:t xml:space="preserve">, כאשר רק בחלוף למעלה מחודש תוקן חוק יסוד הממשלה באופן אשר ייתר, כביכול, את עריכת הפנייה. בכך נפל פגם, מאחר שהסמכות שניתנה בידי חבר הכנסת שעליו הוטל להרכיב את הממשלה לפנות ליו״ר ועדת הבחירות מהווה סמכות דיונית, כמעט טכנית, אשר ניתנה לו כדי ליזום את בירור סוגיית הקלון במקרים בהם הוא נדרש. תיקון חוק היסוד אינו חל למפרע, וממילא אין בו כדי "לרפא" את העדר הפנייה ליו״ר ועדת הבחירות במועד המתחייב.  </w:t>
      </w:r>
    </w:p>
    <w:p w14:paraId="194634AA" w14:textId="77777777" w:rsidR="00FD1F6D" w:rsidRDefault="00FD1F6D" w:rsidP="00FD1F6D">
      <w:pPr>
        <w:pStyle w:val="Ruller4"/>
        <w:numPr>
          <w:ilvl w:val="0"/>
          <w:numId w:val="0"/>
        </w:numPr>
        <w:rPr>
          <w:rtl/>
        </w:rPr>
      </w:pPr>
    </w:p>
    <w:p w14:paraId="355F0DA3" w14:textId="77777777" w:rsidR="00FD1F6D" w:rsidRDefault="00FD1F6D" w:rsidP="00FD1F6D">
      <w:pPr>
        <w:pStyle w:val="Ruller4"/>
      </w:pPr>
      <w:r>
        <w:rPr>
          <w:rFonts w:hint="cs"/>
          <w:rtl/>
        </w:rPr>
        <w:t xml:space="preserve">תוצאת הפגם היא שסוגיית הקלון בעניינו של השר דרעי נותרה ללא הכרעה. כעת, הלכה למעשה, מחלוקת זו הונחה לפנינו </w:t>
      </w:r>
      <w:r>
        <w:rPr>
          <w:rtl/>
        </w:rPr>
        <w:t>–</w:t>
      </w:r>
      <w:r>
        <w:rPr>
          <w:rFonts w:hint="cs"/>
          <w:rtl/>
        </w:rPr>
        <w:t xml:space="preserve"> מצד אחד, עמדת היועצת המשפטית לממשלה שלפיה המינוי חורג ממתחם הסבירות באופן קיצוני, בין היתר, מאחר שלשיטתה יש בהרשעות האמורות משום קלון. מנגד, עמדת בא-כוח השר דרעי כי כלל לא דבק בהרשעות אלו קלון, דבר המלמד על סבירות המינוי.</w:t>
      </w:r>
    </w:p>
    <w:p w14:paraId="1A9B02AE" w14:textId="77777777" w:rsidR="00FD1F6D" w:rsidRDefault="00FD1F6D" w:rsidP="00FD1F6D">
      <w:pPr>
        <w:pStyle w:val="Ruller4"/>
        <w:numPr>
          <w:ilvl w:val="0"/>
          <w:numId w:val="0"/>
        </w:numPr>
        <w:rPr>
          <w:rtl/>
        </w:rPr>
      </w:pPr>
    </w:p>
    <w:p w14:paraId="47C2863B" w14:textId="77777777" w:rsidR="00FD1F6D" w:rsidRPr="007B6C99" w:rsidRDefault="00FD1F6D" w:rsidP="00FD1F6D">
      <w:pPr>
        <w:pStyle w:val="Ruller4"/>
        <w:rPr>
          <w:rtl/>
        </w:rPr>
      </w:pPr>
      <w:r>
        <w:rPr>
          <w:rFonts w:hint="cs"/>
          <w:rtl/>
        </w:rPr>
        <w:t>מאחר שסוגיית הקלון ודאי מקרינה, בין היתר, על סבירות המינוי, יש לפעול לתיקון הפגם על ידי הבאתה לבחינת יו"ר ועדת הבחירות. כפי שארחיב בהמשך, ניתן וראוי להורות כן גם בהתחשב בתיקון חוק היסוד והשלכותיו, אשר כמובן לא נעלמו מעיניי</w:t>
      </w:r>
      <w:r w:rsidRPr="00216C9E">
        <w:rPr>
          <w:rFonts w:hint="cs"/>
          <w:rtl/>
        </w:rPr>
        <w:t>.</w:t>
      </w:r>
      <w:r>
        <w:rPr>
          <w:rFonts w:hint="cs"/>
          <w:rtl/>
        </w:rPr>
        <w:t xml:space="preserve"> לאחר שתינתן קביעת יו״ר ועדת הבחירות, ובכפוף לה, יהא מקום לדון ולהכריע בחוקיות מינויו של השר דרעי בראי תיקון חוק היסוד. מלבד זאת, לטעמי יש לדחות את העתירות. </w:t>
      </w:r>
    </w:p>
    <w:p w14:paraId="0CA4680B" w14:textId="77777777" w:rsidR="00FD1F6D" w:rsidRDefault="00FD1F6D" w:rsidP="00FD1F6D">
      <w:pPr>
        <w:pStyle w:val="Ruller41"/>
        <w:rPr>
          <w:rFonts w:ascii="Century" w:hAnsi="Century" w:cs="Miriam"/>
          <w:b/>
          <w:spacing w:val="0"/>
          <w:szCs w:val="24"/>
          <w:rtl/>
        </w:rPr>
      </w:pPr>
    </w:p>
    <w:p w14:paraId="1A3822F9" w14:textId="77777777" w:rsidR="00FD1F6D" w:rsidRDefault="00FD1F6D" w:rsidP="00FD1F6D">
      <w:pPr>
        <w:pStyle w:val="Ruller41"/>
        <w:rPr>
          <w:rFonts w:ascii="Century" w:hAnsi="Century" w:cs="Miriam"/>
          <w:b/>
          <w:spacing w:val="0"/>
          <w:szCs w:val="24"/>
          <w:rtl/>
        </w:rPr>
      </w:pPr>
      <w:r>
        <w:rPr>
          <w:rFonts w:ascii="Century" w:hAnsi="Century" w:cs="Miriam" w:hint="cs"/>
          <w:b/>
          <w:spacing w:val="0"/>
          <w:szCs w:val="24"/>
          <w:rtl/>
        </w:rPr>
        <w:t xml:space="preserve">מינוי שר </w:t>
      </w:r>
      <w:r>
        <w:rPr>
          <w:rFonts w:ascii="Century" w:hAnsi="Century" w:cs="Miriam"/>
          <w:b/>
          <w:spacing w:val="0"/>
          <w:szCs w:val="24"/>
          <w:rtl/>
        </w:rPr>
        <w:t>–</w:t>
      </w:r>
      <w:r>
        <w:rPr>
          <w:rFonts w:ascii="Century" w:hAnsi="Century" w:cs="Miriam" w:hint="cs"/>
          <w:b/>
          <w:spacing w:val="0"/>
          <w:szCs w:val="24"/>
          <w:rtl/>
        </w:rPr>
        <w:t xml:space="preserve"> תנאי כשירות ופנייה ליו"ר ועדת הבחירות </w:t>
      </w:r>
    </w:p>
    <w:p w14:paraId="76A26E0A" w14:textId="77777777" w:rsidR="00FD1F6D" w:rsidRPr="00ED5E68" w:rsidRDefault="00FD1F6D" w:rsidP="00FD1F6D">
      <w:pPr>
        <w:pStyle w:val="Ruller41"/>
        <w:rPr>
          <w:rFonts w:ascii="Century" w:hAnsi="Century" w:cs="Miriam"/>
          <w:b/>
          <w:spacing w:val="0"/>
          <w:szCs w:val="24"/>
        </w:rPr>
      </w:pPr>
    </w:p>
    <w:p w14:paraId="50646FB1" w14:textId="77777777" w:rsidR="00FD1F6D" w:rsidRDefault="00FD1F6D" w:rsidP="00FD1F6D">
      <w:pPr>
        <w:pStyle w:val="Ruller4"/>
        <w:rPr>
          <w:rtl/>
        </w:rPr>
      </w:pPr>
      <w:r>
        <w:rPr>
          <w:rFonts w:hint="cs"/>
          <w:rtl/>
        </w:rPr>
        <w:t>סעיף 6(ג)(1) ל</w:t>
      </w:r>
      <w:r>
        <w:rPr>
          <w:rtl/>
        </w:rPr>
        <w:t>חוק</w:t>
      </w:r>
      <w:r>
        <w:rPr>
          <w:rFonts w:hint="cs"/>
          <w:rtl/>
        </w:rPr>
        <w:t xml:space="preserve"> </w:t>
      </w:r>
      <w:r>
        <w:rPr>
          <w:rtl/>
        </w:rPr>
        <w:t>יסוד</w:t>
      </w:r>
      <w:r>
        <w:rPr>
          <w:rFonts w:hint="cs"/>
          <w:rtl/>
        </w:rPr>
        <w:t xml:space="preserve"> </w:t>
      </w:r>
      <w:r w:rsidRPr="0005113F">
        <w:rPr>
          <w:rtl/>
        </w:rPr>
        <w:t>הממשלה</w:t>
      </w:r>
      <w:r>
        <w:rPr>
          <w:rFonts w:hint="cs"/>
          <w:rtl/>
        </w:rPr>
        <w:t>, בנוסחו הקודם, קבע בזו הלשון:</w:t>
      </w:r>
    </w:p>
    <w:p w14:paraId="381DAF18" w14:textId="77777777" w:rsidR="00FD1F6D" w:rsidRDefault="00FD1F6D" w:rsidP="00FD1F6D">
      <w:pPr>
        <w:pStyle w:val="Ruller41"/>
        <w:rPr>
          <w:rtl/>
        </w:rPr>
      </w:pPr>
    </w:p>
    <w:p w14:paraId="65D304BB" w14:textId="77777777" w:rsidR="00FD1F6D" w:rsidRDefault="00FD1F6D" w:rsidP="00FD1F6D">
      <w:pPr>
        <w:pStyle w:val="Ruller5"/>
        <w:rPr>
          <w:rtl/>
        </w:rPr>
      </w:pPr>
      <w:r>
        <w:rPr>
          <w:rFonts w:hint="cs"/>
          <w:rtl/>
        </w:rPr>
        <w:t>"</w:t>
      </w:r>
      <w:r>
        <w:rPr>
          <w:rFonts w:hint="eastAsia"/>
          <w:rtl/>
        </w:rPr>
        <w:t>לא</w:t>
      </w:r>
      <w:r>
        <w:rPr>
          <w:rtl/>
        </w:rPr>
        <w:t xml:space="preserve"> </w:t>
      </w:r>
      <w:r>
        <w:rPr>
          <w:rFonts w:hint="eastAsia"/>
          <w:rtl/>
        </w:rPr>
        <w:t>יתמנה</w:t>
      </w:r>
      <w:r>
        <w:rPr>
          <w:rtl/>
        </w:rPr>
        <w:t xml:space="preserve"> </w:t>
      </w:r>
      <w:r>
        <w:rPr>
          <w:rFonts w:hint="eastAsia"/>
          <w:rtl/>
        </w:rPr>
        <w:t>לשר</w:t>
      </w:r>
      <w:r>
        <w:rPr>
          <w:rtl/>
        </w:rPr>
        <w:t xml:space="preserve"> </w:t>
      </w:r>
      <w:r>
        <w:rPr>
          <w:rFonts w:hint="eastAsia"/>
          <w:rtl/>
        </w:rPr>
        <w:t>מי</w:t>
      </w:r>
      <w:r>
        <w:rPr>
          <w:rtl/>
        </w:rPr>
        <w:t xml:space="preserve"> </w:t>
      </w:r>
      <w:r>
        <w:rPr>
          <w:rFonts w:hint="eastAsia"/>
          <w:rtl/>
        </w:rPr>
        <w:t>שהורשע</w:t>
      </w:r>
      <w:r>
        <w:rPr>
          <w:rtl/>
        </w:rPr>
        <w:t xml:space="preserve"> </w:t>
      </w:r>
      <w:r>
        <w:rPr>
          <w:rFonts w:hint="eastAsia"/>
          <w:rtl/>
        </w:rPr>
        <w:t>בעבירה</w:t>
      </w:r>
      <w:r>
        <w:rPr>
          <w:rtl/>
        </w:rPr>
        <w:t xml:space="preserve"> </w:t>
      </w:r>
      <w:r>
        <w:rPr>
          <w:rFonts w:hint="eastAsia"/>
          <w:rtl/>
        </w:rPr>
        <w:t>ונידון</w:t>
      </w:r>
      <w:r>
        <w:rPr>
          <w:rtl/>
        </w:rPr>
        <w:t xml:space="preserve"> </w:t>
      </w:r>
      <w:r>
        <w:rPr>
          <w:rFonts w:hint="eastAsia"/>
          <w:rtl/>
        </w:rPr>
        <w:t>לעונש</w:t>
      </w:r>
      <w:r>
        <w:rPr>
          <w:rtl/>
        </w:rPr>
        <w:t xml:space="preserve"> </w:t>
      </w:r>
      <w:r>
        <w:rPr>
          <w:rFonts w:hint="eastAsia"/>
          <w:rtl/>
        </w:rPr>
        <w:t>מאסר</w:t>
      </w:r>
      <w:r>
        <w:rPr>
          <w:rtl/>
        </w:rPr>
        <w:t xml:space="preserve"> </w:t>
      </w:r>
      <w:r>
        <w:rPr>
          <w:rFonts w:hint="eastAsia"/>
          <w:rtl/>
        </w:rPr>
        <w:t>וביום</w:t>
      </w:r>
      <w:r>
        <w:rPr>
          <w:rtl/>
        </w:rPr>
        <w:t xml:space="preserve"> </w:t>
      </w:r>
      <w:r>
        <w:rPr>
          <w:rFonts w:hint="eastAsia"/>
          <w:rtl/>
        </w:rPr>
        <w:t>מינויו</w:t>
      </w:r>
      <w:r>
        <w:rPr>
          <w:rtl/>
        </w:rPr>
        <w:t xml:space="preserve"> </w:t>
      </w:r>
      <w:r>
        <w:rPr>
          <w:rFonts w:hint="eastAsia"/>
          <w:rtl/>
        </w:rPr>
        <w:t>טרם</w:t>
      </w:r>
      <w:r>
        <w:rPr>
          <w:rtl/>
        </w:rPr>
        <w:t xml:space="preserve"> </w:t>
      </w:r>
      <w:r>
        <w:rPr>
          <w:rFonts w:hint="eastAsia"/>
          <w:rtl/>
        </w:rPr>
        <w:t>עברו</w:t>
      </w:r>
      <w:r>
        <w:rPr>
          <w:rtl/>
        </w:rPr>
        <w:t xml:space="preserve"> </w:t>
      </w:r>
      <w:r>
        <w:rPr>
          <w:rFonts w:hint="eastAsia"/>
          <w:rtl/>
        </w:rPr>
        <w:t>שבע</w:t>
      </w:r>
      <w:r>
        <w:rPr>
          <w:rtl/>
        </w:rPr>
        <w:t xml:space="preserve"> </w:t>
      </w:r>
      <w:r>
        <w:rPr>
          <w:rFonts w:hint="eastAsia"/>
          <w:rtl/>
        </w:rPr>
        <w:t>שנים</w:t>
      </w:r>
      <w:r>
        <w:rPr>
          <w:rtl/>
        </w:rPr>
        <w:t xml:space="preserve"> </w:t>
      </w:r>
      <w:r>
        <w:rPr>
          <w:rFonts w:hint="eastAsia"/>
          <w:rtl/>
        </w:rPr>
        <w:t>מהיום</w:t>
      </w:r>
      <w:r>
        <w:rPr>
          <w:rtl/>
        </w:rPr>
        <w:t xml:space="preserve"> </w:t>
      </w:r>
      <w:r>
        <w:rPr>
          <w:rFonts w:hint="eastAsia"/>
          <w:rtl/>
        </w:rPr>
        <w:t>שגמר</w:t>
      </w:r>
      <w:r>
        <w:rPr>
          <w:rtl/>
        </w:rPr>
        <w:t xml:space="preserve"> </w:t>
      </w:r>
      <w:r>
        <w:rPr>
          <w:rFonts w:hint="eastAsia"/>
          <w:rtl/>
        </w:rPr>
        <w:t>לרצות</w:t>
      </w:r>
      <w:r>
        <w:rPr>
          <w:rtl/>
        </w:rPr>
        <w:t xml:space="preserve"> </w:t>
      </w:r>
      <w:r>
        <w:rPr>
          <w:rFonts w:hint="eastAsia"/>
          <w:rtl/>
        </w:rPr>
        <w:t>את</w:t>
      </w:r>
      <w:r>
        <w:rPr>
          <w:rtl/>
        </w:rPr>
        <w:t xml:space="preserve"> </w:t>
      </w:r>
      <w:r>
        <w:rPr>
          <w:rFonts w:hint="eastAsia"/>
          <w:rtl/>
        </w:rPr>
        <w:t>עונש</w:t>
      </w:r>
      <w:r>
        <w:rPr>
          <w:rtl/>
        </w:rPr>
        <w:t xml:space="preserve"> </w:t>
      </w:r>
      <w:r>
        <w:rPr>
          <w:rFonts w:hint="eastAsia"/>
          <w:rtl/>
        </w:rPr>
        <w:t>המאסר</w:t>
      </w:r>
      <w:r>
        <w:rPr>
          <w:rtl/>
        </w:rPr>
        <w:t xml:space="preserve"> </w:t>
      </w:r>
      <w:r>
        <w:rPr>
          <w:rFonts w:hint="eastAsia"/>
          <w:rtl/>
        </w:rPr>
        <w:t>או</w:t>
      </w:r>
      <w:r>
        <w:rPr>
          <w:rtl/>
        </w:rPr>
        <w:t xml:space="preserve"> </w:t>
      </w:r>
      <w:r>
        <w:rPr>
          <w:rFonts w:hint="eastAsia"/>
          <w:rtl/>
        </w:rPr>
        <w:t>מיום</w:t>
      </w:r>
      <w:r>
        <w:rPr>
          <w:rtl/>
        </w:rPr>
        <w:t xml:space="preserve"> </w:t>
      </w:r>
      <w:r>
        <w:rPr>
          <w:rFonts w:hint="eastAsia"/>
          <w:rtl/>
        </w:rPr>
        <w:t>מתן</w:t>
      </w:r>
      <w:r>
        <w:rPr>
          <w:rtl/>
        </w:rPr>
        <w:t xml:space="preserve"> </w:t>
      </w:r>
      <w:r>
        <w:rPr>
          <w:rFonts w:hint="eastAsia"/>
          <w:rtl/>
        </w:rPr>
        <w:t>פסק</w:t>
      </w:r>
      <w:r>
        <w:rPr>
          <w:rtl/>
        </w:rPr>
        <w:t xml:space="preserve"> </w:t>
      </w:r>
      <w:r>
        <w:rPr>
          <w:rFonts w:hint="eastAsia"/>
          <w:rtl/>
        </w:rPr>
        <w:t>הדין</w:t>
      </w:r>
      <w:r>
        <w:rPr>
          <w:rtl/>
        </w:rPr>
        <w:t>,</w:t>
      </w:r>
      <w:r>
        <w:rPr>
          <w:rFonts w:hint="cs"/>
          <w:rtl/>
        </w:rPr>
        <w:t xml:space="preserve"> </w:t>
      </w:r>
      <w:r>
        <w:rPr>
          <w:rFonts w:hint="eastAsia"/>
          <w:rtl/>
        </w:rPr>
        <w:t>לפי</w:t>
      </w:r>
      <w:r>
        <w:rPr>
          <w:rtl/>
        </w:rPr>
        <w:t xml:space="preserve"> </w:t>
      </w:r>
      <w:r>
        <w:rPr>
          <w:rFonts w:hint="eastAsia"/>
          <w:rtl/>
        </w:rPr>
        <w:t>המאוחר</w:t>
      </w:r>
      <w:r>
        <w:rPr>
          <w:rtl/>
        </w:rPr>
        <w:t xml:space="preserve">, </w:t>
      </w:r>
      <w:r>
        <w:rPr>
          <w:rFonts w:hint="eastAsia"/>
          <w:rtl/>
        </w:rPr>
        <w:t>אלא</w:t>
      </w:r>
      <w:r>
        <w:rPr>
          <w:rtl/>
        </w:rPr>
        <w:t xml:space="preserve"> </w:t>
      </w:r>
      <w:r>
        <w:rPr>
          <w:rFonts w:hint="eastAsia"/>
          <w:rtl/>
        </w:rPr>
        <w:t>אם</w:t>
      </w:r>
      <w:r>
        <w:rPr>
          <w:rtl/>
        </w:rPr>
        <w:t xml:space="preserve"> </w:t>
      </w:r>
      <w:r>
        <w:rPr>
          <w:rFonts w:hint="eastAsia"/>
          <w:rtl/>
        </w:rPr>
        <w:t>כן</w:t>
      </w:r>
      <w:r>
        <w:rPr>
          <w:rtl/>
        </w:rPr>
        <w:t xml:space="preserve"> </w:t>
      </w:r>
      <w:r>
        <w:rPr>
          <w:rFonts w:hint="eastAsia"/>
          <w:rtl/>
        </w:rPr>
        <w:t>קבע</w:t>
      </w:r>
      <w:r>
        <w:rPr>
          <w:rtl/>
        </w:rPr>
        <w:t xml:space="preserve"> </w:t>
      </w:r>
      <w:r>
        <w:rPr>
          <w:rFonts w:hint="eastAsia"/>
          <w:rtl/>
        </w:rPr>
        <w:t>יושב</w:t>
      </w:r>
      <w:r>
        <w:rPr>
          <w:rtl/>
        </w:rPr>
        <w:t xml:space="preserve"> </w:t>
      </w:r>
      <w:r>
        <w:rPr>
          <w:rFonts w:hint="eastAsia"/>
          <w:rtl/>
        </w:rPr>
        <w:t>ראש</w:t>
      </w:r>
      <w:r>
        <w:rPr>
          <w:rtl/>
        </w:rPr>
        <w:t xml:space="preserve"> </w:t>
      </w:r>
      <w:r>
        <w:rPr>
          <w:rFonts w:hint="eastAsia"/>
          <w:rtl/>
        </w:rPr>
        <w:t>ועדת</w:t>
      </w:r>
      <w:r>
        <w:rPr>
          <w:rtl/>
        </w:rPr>
        <w:t xml:space="preserve"> </w:t>
      </w:r>
      <w:r>
        <w:rPr>
          <w:rFonts w:hint="eastAsia"/>
          <w:rtl/>
        </w:rPr>
        <w:t>הבחירות</w:t>
      </w:r>
      <w:r>
        <w:rPr>
          <w:rtl/>
        </w:rPr>
        <w:t xml:space="preserve"> </w:t>
      </w:r>
      <w:r>
        <w:rPr>
          <w:rFonts w:hint="eastAsia"/>
          <w:rtl/>
        </w:rPr>
        <w:t>המרכזית</w:t>
      </w:r>
      <w:r>
        <w:rPr>
          <w:rtl/>
        </w:rPr>
        <w:t xml:space="preserve"> </w:t>
      </w:r>
      <w:r>
        <w:rPr>
          <w:rFonts w:hint="eastAsia"/>
          <w:rtl/>
        </w:rPr>
        <w:t>כי</w:t>
      </w:r>
      <w:r>
        <w:rPr>
          <w:rtl/>
        </w:rPr>
        <w:t xml:space="preserve"> </w:t>
      </w:r>
      <w:r>
        <w:rPr>
          <w:rFonts w:hint="eastAsia"/>
          <w:rtl/>
        </w:rPr>
        <w:t>אין</w:t>
      </w:r>
      <w:r>
        <w:rPr>
          <w:rtl/>
        </w:rPr>
        <w:t xml:space="preserve"> </w:t>
      </w:r>
      <w:r>
        <w:rPr>
          <w:rFonts w:hint="eastAsia"/>
          <w:rtl/>
        </w:rPr>
        <w:t>עם</w:t>
      </w:r>
      <w:r>
        <w:rPr>
          <w:rFonts w:hint="cs"/>
          <w:rtl/>
        </w:rPr>
        <w:t xml:space="preserve"> </w:t>
      </w:r>
      <w:r>
        <w:rPr>
          <w:rFonts w:hint="eastAsia"/>
          <w:rtl/>
        </w:rPr>
        <w:t>העבירה</w:t>
      </w:r>
      <w:r>
        <w:rPr>
          <w:rtl/>
        </w:rPr>
        <w:t xml:space="preserve"> </w:t>
      </w:r>
      <w:r>
        <w:rPr>
          <w:rFonts w:hint="eastAsia"/>
          <w:rtl/>
        </w:rPr>
        <w:t>שבה</w:t>
      </w:r>
      <w:r>
        <w:rPr>
          <w:rtl/>
        </w:rPr>
        <w:t xml:space="preserve"> </w:t>
      </w:r>
      <w:r>
        <w:rPr>
          <w:rFonts w:hint="eastAsia"/>
          <w:rtl/>
        </w:rPr>
        <w:t>הורשע</w:t>
      </w:r>
      <w:r>
        <w:rPr>
          <w:rtl/>
        </w:rPr>
        <w:t xml:space="preserve">, </w:t>
      </w:r>
      <w:r>
        <w:rPr>
          <w:rFonts w:hint="eastAsia"/>
          <w:rtl/>
        </w:rPr>
        <w:t>בנסיבות</w:t>
      </w:r>
      <w:r>
        <w:rPr>
          <w:rtl/>
        </w:rPr>
        <w:t xml:space="preserve"> </w:t>
      </w:r>
      <w:r>
        <w:rPr>
          <w:rFonts w:hint="eastAsia"/>
          <w:rtl/>
        </w:rPr>
        <w:t>הענין</w:t>
      </w:r>
      <w:r>
        <w:rPr>
          <w:rtl/>
        </w:rPr>
        <w:t xml:space="preserve">, </w:t>
      </w:r>
      <w:r>
        <w:rPr>
          <w:rFonts w:hint="eastAsia"/>
          <w:rtl/>
        </w:rPr>
        <w:t>משום</w:t>
      </w:r>
      <w:r>
        <w:rPr>
          <w:rtl/>
        </w:rPr>
        <w:t xml:space="preserve"> </w:t>
      </w:r>
      <w:r>
        <w:rPr>
          <w:rFonts w:hint="eastAsia"/>
          <w:rtl/>
        </w:rPr>
        <w:t>קלון</w:t>
      </w:r>
      <w:r>
        <w:rPr>
          <w:rFonts w:hint="cs"/>
          <w:rtl/>
        </w:rPr>
        <w:t xml:space="preserve">." </w:t>
      </w:r>
    </w:p>
    <w:p w14:paraId="6B69720B" w14:textId="77777777" w:rsidR="00FD1F6D" w:rsidRPr="0073043F" w:rsidRDefault="00FD1F6D" w:rsidP="00FD1F6D">
      <w:pPr>
        <w:pStyle w:val="Ruller41"/>
        <w:rPr>
          <w:rtl/>
        </w:rPr>
      </w:pPr>
    </w:p>
    <w:p w14:paraId="4748F05B" w14:textId="77777777" w:rsidR="00FD1F6D" w:rsidRDefault="00FD1F6D" w:rsidP="00FD1F6D">
      <w:pPr>
        <w:pStyle w:val="Ruller4"/>
        <w:numPr>
          <w:ilvl w:val="0"/>
          <w:numId w:val="0"/>
        </w:numPr>
        <w:rPr>
          <w:rtl/>
        </w:rPr>
      </w:pPr>
      <w:r>
        <w:rPr>
          <w:rtl/>
        </w:rPr>
        <w:tab/>
      </w:r>
      <w:r>
        <w:rPr>
          <w:rFonts w:hint="cs"/>
          <w:rtl/>
        </w:rPr>
        <w:t xml:space="preserve">אם כך, מי שהורשע בעבירה, נידון לעונש </w:t>
      </w:r>
      <w:r w:rsidRPr="005B685B">
        <w:rPr>
          <w:rFonts w:ascii="Century" w:hAnsi="Century" w:cs="Miriam" w:hint="cs"/>
          <w:b/>
          <w:spacing w:val="0"/>
          <w:sz w:val="22"/>
          <w:szCs w:val="24"/>
          <w:rtl/>
        </w:rPr>
        <w:t>מאסר</w:t>
      </w:r>
      <w:r w:rsidRPr="005B685B">
        <w:rPr>
          <w:rFonts w:hint="cs"/>
          <w:rtl/>
        </w:rPr>
        <w:t xml:space="preserve"> </w:t>
      </w:r>
      <w:r>
        <w:rPr>
          <w:rFonts w:hint="cs"/>
          <w:rtl/>
        </w:rPr>
        <w:t>וטרם חלף פרק הזמן הקבוע בסעיף, היה יכול להתמנות לשר רק אם יו"ר</w:t>
      </w:r>
      <w:r w:rsidRPr="00F95D6C">
        <w:rPr>
          <w:rtl/>
        </w:rPr>
        <w:t xml:space="preserve"> ועדת הבחירות </w:t>
      </w:r>
      <w:r>
        <w:rPr>
          <w:rFonts w:hint="cs"/>
          <w:rtl/>
        </w:rPr>
        <w:t>מצא כי ב</w:t>
      </w:r>
      <w:r w:rsidRPr="00F95D6C">
        <w:rPr>
          <w:rtl/>
        </w:rPr>
        <w:t xml:space="preserve">נסיבות העניין </w:t>
      </w:r>
      <w:r>
        <w:rPr>
          <w:rFonts w:hint="cs"/>
          <w:rtl/>
        </w:rPr>
        <w:t>אין בעבירה משום קלון.</w:t>
      </w:r>
    </w:p>
    <w:p w14:paraId="54399D50" w14:textId="77777777" w:rsidR="00FD1F6D" w:rsidRDefault="00FD1F6D" w:rsidP="00FD1F6D">
      <w:pPr>
        <w:pStyle w:val="Ruller4"/>
        <w:numPr>
          <w:ilvl w:val="0"/>
          <w:numId w:val="0"/>
        </w:numPr>
        <w:rPr>
          <w:rtl/>
        </w:rPr>
      </w:pPr>
    </w:p>
    <w:p w14:paraId="4154E020" w14:textId="77777777" w:rsidR="00FD1F6D" w:rsidRDefault="00FD1F6D" w:rsidP="00FD1F6D">
      <w:pPr>
        <w:pStyle w:val="Ruller4"/>
        <w:rPr>
          <w:rtl/>
        </w:rPr>
      </w:pPr>
      <w:r>
        <w:rPr>
          <w:rtl/>
        </w:rPr>
        <w:t>‏</w:t>
      </w:r>
      <w:r>
        <w:rPr>
          <w:rFonts w:hint="cs"/>
          <w:rtl/>
        </w:rPr>
        <w:t xml:space="preserve">לצד האמור, בית המשפט המכריע בהליך פלילי נגד ראש ממשלה, שר, סגן שר, או חבר כנסת </w:t>
      </w:r>
      <w:r>
        <w:rPr>
          <w:rtl/>
        </w:rPr>
        <w:t>–</w:t>
      </w:r>
      <w:r>
        <w:rPr>
          <w:rFonts w:hint="cs"/>
          <w:rtl/>
        </w:rPr>
        <w:t xml:space="preserve"> עשוי להידרש לקבוע האם יש בעבירות שבהן אותו אדם הורשע "משום קלון" (בין היתר, סעיפים 17(ד), 23(ב), 27 לחוק יסוד הממשלה וכן סעיפים 42א(א) ו-42א(ב) ל</w:t>
      </w:r>
      <w:r w:rsidRPr="009D0730">
        <w:rPr>
          <w:rtl/>
        </w:rPr>
        <w:t>חוק-יסוד: הכנסת</w:t>
      </w:r>
      <w:r>
        <w:rPr>
          <w:rFonts w:hint="cs"/>
          <w:rtl/>
        </w:rPr>
        <w:t>). מטעם זה נקבעה בסעיף 6(ג)(2) לחוק יסוד הממשלה הוראה משלימה שלפיה: "</w:t>
      </w:r>
      <w:r w:rsidRPr="001A4E2F">
        <w:rPr>
          <w:rFonts w:ascii="Century" w:hAnsi="Century" w:cs="Miriam"/>
          <w:b/>
          <w:spacing w:val="0"/>
          <w:sz w:val="22"/>
          <w:szCs w:val="24"/>
          <w:rtl/>
        </w:rPr>
        <w:t>יושב ראש ועדת הבחירות המרכזית לא יקבע כאמור בפסקה (1), אם קבע בית המשפט, לפי דין, כי יש עם העבירה שבה הורשע משום קלון</w:t>
      </w:r>
      <w:r>
        <w:rPr>
          <w:rFonts w:ascii="Century" w:hAnsi="Century" w:cs="Miriam" w:hint="cs"/>
          <w:b/>
          <w:spacing w:val="0"/>
          <w:sz w:val="22"/>
          <w:szCs w:val="24"/>
          <w:rtl/>
        </w:rPr>
        <w:t>.</w:t>
      </w:r>
      <w:r>
        <w:rPr>
          <w:rFonts w:hint="cs"/>
          <w:rtl/>
        </w:rPr>
        <w:t>"</w:t>
      </w:r>
    </w:p>
    <w:p w14:paraId="70271233" w14:textId="77777777" w:rsidR="00FD1F6D" w:rsidRPr="00216C9E" w:rsidRDefault="00FD1F6D" w:rsidP="00FD1F6D">
      <w:pPr>
        <w:pStyle w:val="Ruller41"/>
      </w:pPr>
    </w:p>
    <w:p w14:paraId="25F221EB" w14:textId="77777777" w:rsidR="00FD1F6D" w:rsidRPr="00E473CE" w:rsidRDefault="00FD1F6D" w:rsidP="00FD1F6D">
      <w:pPr>
        <w:pStyle w:val="Ruller4"/>
        <w:numPr>
          <w:ilvl w:val="0"/>
          <w:numId w:val="0"/>
        </w:numPr>
        <w:rPr>
          <w:rtl/>
        </w:rPr>
      </w:pPr>
      <w:r>
        <w:rPr>
          <w:rtl/>
        </w:rPr>
        <w:tab/>
      </w:r>
      <w:r>
        <w:rPr>
          <w:rFonts w:hint="cs"/>
          <w:rtl/>
        </w:rPr>
        <w:t xml:space="preserve">יוצא אפוא, כי אם בית המשפט הכריע שיש משום קלון בעבירה בה הורשע אדם מסוים, ניטלת מיו"ר ועדת הבחירות הסמכות לדון ב"הסרתו". לשון אחר, סמכות יו"ר ועדת הבחירות לקבוע אם מדובר בעבירה שיש עימה קלון היא בגדר "ברירת מחדל" (שמעון שטרית </w:t>
      </w:r>
      <w:r w:rsidRPr="00DF7FE4">
        <w:rPr>
          <w:rFonts w:ascii="Century" w:hAnsi="Century" w:cs="Miriam" w:hint="cs"/>
          <w:b/>
          <w:spacing w:val="0"/>
          <w:sz w:val="22"/>
          <w:szCs w:val="24"/>
          <w:rtl/>
        </w:rPr>
        <w:t xml:space="preserve">הממשלה: הרשות המבצעת </w:t>
      </w:r>
      <w:r w:rsidRPr="00DF7FE4">
        <w:rPr>
          <w:rFonts w:ascii="Century" w:hAnsi="Century" w:cs="Miriam"/>
          <w:b/>
          <w:spacing w:val="0"/>
          <w:sz w:val="22"/>
          <w:szCs w:val="24"/>
          <w:rtl/>
        </w:rPr>
        <w:t>–</w:t>
      </w:r>
      <w:r w:rsidRPr="00DF7FE4">
        <w:rPr>
          <w:rFonts w:ascii="Century" w:hAnsi="Century" w:cs="Miriam" w:hint="cs"/>
          <w:b/>
          <w:spacing w:val="0"/>
          <w:sz w:val="22"/>
          <w:szCs w:val="24"/>
          <w:rtl/>
        </w:rPr>
        <w:t xml:space="preserve"> פירוש לחוק יסוד: הממשלה</w:t>
      </w:r>
      <w:r>
        <w:rPr>
          <w:rFonts w:hint="cs"/>
          <w:rtl/>
        </w:rPr>
        <w:t xml:space="preserve"> כרך א 345 (2018) (להלן: </w:t>
      </w:r>
      <w:r w:rsidRPr="00DF7FE4">
        <w:rPr>
          <w:rFonts w:ascii="Century" w:hAnsi="Century" w:cs="Miriam" w:hint="cs"/>
          <w:b/>
          <w:spacing w:val="0"/>
          <w:sz w:val="22"/>
          <w:szCs w:val="24"/>
          <w:rtl/>
        </w:rPr>
        <w:t>שטרית</w:t>
      </w:r>
      <w:r>
        <w:rPr>
          <w:rFonts w:hint="cs"/>
          <w:rtl/>
        </w:rPr>
        <w:t xml:space="preserve">)). </w:t>
      </w:r>
    </w:p>
    <w:p w14:paraId="550C03B8" w14:textId="77777777" w:rsidR="00FD1F6D" w:rsidRPr="00747CA0" w:rsidRDefault="00FD1F6D" w:rsidP="00FD1F6D">
      <w:pPr>
        <w:pStyle w:val="Ruller41"/>
      </w:pPr>
    </w:p>
    <w:p w14:paraId="48F79165" w14:textId="77777777" w:rsidR="00FD1F6D" w:rsidRDefault="00FD1F6D" w:rsidP="00FD1F6D">
      <w:pPr>
        <w:pStyle w:val="Ruller4"/>
      </w:pPr>
      <w:r>
        <w:rPr>
          <w:rFonts w:hint="cs"/>
          <w:rtl/>
        </w:rPr>
        <w:t>מקום בו בהתאם לסעיף 6(ג)(1) לחוק יסוד הממשלה השר המיועד אינו עומד בתנאי הכשירות וכאשר בית המשפט לא נדרש לסוגיית הקלון בסופו של ההליך הפלילי, סעיף 3 ל</w:t>
      </w:r>
      <w:r w:rsidRPr="00A8411D">
        <w:rPr>
          <w:rFonts w:hint="eastAsia"/>
          <w:rtl/>
        </w:rPr>
        <w:t>חוק</w:t>
      </w:r>
      <w:r w:rsidRPr="00A8411D">
        <w:rPr>
          <w:rtl/>
        </w:rPr>
        <w:t xml:space="preserve"> </w:t>
      </w:r>
      <w:r w:rsidRPr="00A8411D">
        <w:rPr>
          <w:rFonts w:hint="eastAsia"/>
          <w:rtl/>
        </w:rPr>
        <w:t>הממשלה</w:t>
      </w:r>
      <w:r w:rsidRPr="00A8411D">
        <w:rPr>
          <w:rtl/>
        </w:rPr>
        <w:t xml:space="preserve">, </w:t>
      </w:r>
      <w:r>
        <w:rPr>
          <w:rFonts w:hint="cs"/>
          <w:rtl/>
        </w:rPr>
        <w:t>ה</w:t>
      </w:r>
      <w:r w:rsidRPr="00A8411D">
        <w:rPr>
          <w:rFonts w:hint="eastAsia"/>
          <w:rtl/>
        </w:rPr>
        <w:t>תשס</w:t>
      </w:r>
      <w:r w:rsidRPr="00A8411D">
        <w:rPr>
          <w:rtl/>
        </w:rPr>
        <w:t>"</w:t>
      </w:r>
      <w:r w:rsidRPr="00A8411D">
        <w:rPr>
          <w:rFonts w:hint="eastAsia"/>
          <w:rtl/>
        </w:rPr>
        <w:t>א</w:t>
      </w:r>
      <w:r>
        <w:rPr>
          <w:rtl/>
        </w:rPr>
        <w:t>-2001</w:t>
      </w:r>
      <w:r>
        <w:rPr>
          <w:rFonts w:hint="cs"/>
          <w:rtl/>
        </w:rPr>
        <w:t xml:space="preserve"> (להלן: </w:t>
      </w:r>
      <w:r w:rsidRPr="00583746">
        <w:rPr>
          <w:rFonts w:ascii="Century" w:hAnsi="Century" w:cs="Miriam" w:hint="cs"/>
          <w:b/>
          <w:spacing w:val="0"/>
          <w:sz w:val="22"/>
          <w:szCs w:val="24"/>
          <w:rtl/>
        </w:rPr>
        <w:t>חוק הממשלה</w:t>
      </w:r>
      <w:r>
        <w:rPr>
          <w:rFonts w:hint="cs"/>
          <w:rtl/>
        </w:rPr>
        <w:t>) קובע כיצד יש לפנות ליו"ר ועדת הבחירות:</w:t>
      </w:r>
    </w:p>
    <w:p w14:paraId="5C91AA94" w14:textId="77777777" w:rsidR="00FD1F6D" w:rsidRPr="001D3A74" w:rsidRDefault="00FD1F6D" w:rsidP="00FD1F6D">
      <w:pPr>
        <w:pStyle w:val="Ruller4"/>
        <w:numPr>
          <w:ilvl w:val="0"/>
          <w:numId w:val="0"/>
        </w:numPr>
        <w:rPr>
          <w:rtl/>
        </w:rPr>
      </w:pPr>
    </w:p>
    <w:p w14:paraId="5B49D644" w14:textId="77777777" w:rsidR="00FD1F6D" w:rsidRDefault="00FD1F6D" w:rsidP="00FD1F6D">
      <w:pPr>
        <w:pStyle w:val="Ruller5"/>
      </w:pPr>
      <w:r>
        <w:rPr>
          <w:rFonts w:hint="cs"/>
          <w:rtl/>
        </w:rPr>
        <w:t>"</w:t>
      </w:r>
      <w:r w:rsidRPr="00524CDF">
        <w:rPr>
          <w:rtl/>
        </w:rPr>
        <w:t>בקשה ליושב ראש ועדת הבחירות המרכזית לפי סעיף 6(ג) לחוק-יסוד: הממשלה (להלן – חוק היסוד), תוגש בידי ראש הממשלה, או חבר הכנסת שהוטל עליו התפקיד להרכיב ממשלה, לגבי מי שמועמד להיות שר</w:t>
      </w:r>
      <w:r>
        <w:rPr>
          <w:rFonts w:hint="cs"/>
          <w:rtl/>
        </w:rPr>
        <w:t xml:space="preserve">". </w:t>
      </w:r>
    </w:p>
    <w:p w14:paraId="3AADDB20" w14:textId="77777777" w:rsidR="00FD1F6D" w:rsidRDefault="00FD1F6D" w:rsidP="00FD1F6D">
      <w:pPr>
        <w:pStyle w:val="Ruller4"/>
        <w:numPr>
          <w:ilvl w:val="0"/>
          <w:numId w:val="0"/>
        </w:numPr>
        <w:rPr>
          <w:rtl/>
        </w:rPr>
      </w:pPr>
    </w:p>
    <w:p w14:paraId="3ABC2E19" w14:textId="77777777" w:rsidR="00FD1F6D" w:rsidRDefault="00FD1F6D" w:rsidP="00FD1F6D">
      <w:pPr>
        <w:pStyle w:val="Ruller4"/>
      </w:pPr>
      <w:r>
        <w:rPr>
          <w:rFonts w:hint="cs"/>
          <w:rtl/>
        </w:rPr>
        <w:t xml:space="preserve">בסעיף זה נכללת קביעה מפורשת בדבר הגורם שרשאי להגיש בקשה מתאימה ליו"ר ועדת הבחירות </w:t>
      </w:r>
      <w:r w:rsidRPr="00BE1C4D">
        <w:rPr>
          <w:rFonts w:hint="cs"/>
          <w:rtl/>
        </w:rPr>
        <w:t>"</w:t>
      </w:r>
      <w:r w:rsidRPr="009C1C1C">
        <w:rPr>
          <w:rFonts w:ascii="Century" w:hAnsi="Century" w:cs="Miriam"/>
          <w:b/>
          <w:spacing w:val="0"/>
          <w:sz w:val="22"/>
          <w:szCs w:val="24"/>
          <w:rtl/>
        </w:rPr>
        <w:t>ראש הממשלה, או חבר הכנסת שהוטל עליו התפקיד להרכיב ממשלה</w:t>
      </w:r>
      <w:r w:rsidRPr="00BE1C4D">
        <w:rPr>
          <w:rFonts w:hint="cs"/>
          <w:rtl/>
        </w:rPr>
        <w:t>"</w:t>
      </w:r>
      <w:r>
        <w:rPr>
          <w:rFonts w:hint="cs"/>
          <w:rtl/>
        </w:rPr>
        <w:t>; וקביעה משתמעת ביחס לעיתוי הגשת הבקשה.</w:t>
      </w:r>
    </w:p>
    <w:p w14:paraId="604135E5" w14:textId="77777777" w:rsidR="00FD1F6D" w:rsidRDefault="00FD1F6D" w:rsidP="00FD1F6D">
      <w:pPr>
        <w:pStyle w:val="Ruller4"/>
        <w:numPr>
          <w:ilvl w:val="0"/>
          <w:numId w:val="0"/>
        </w:numPr>
        <w:rPr>
          <w:rtl/>
        </w:rPr>
      </w:pPr>
    </w:p>
    <w:p w14:paraId="40BD709A" w14:textId="77777777" w:rsidR="00FD1F6D" w:rsidRDefault="00FD1F6D" w:rsidP="00FD1F6D">
      <w:pPr>
        <w:pStyle w:val="Ruller4"/>
        <w:numPr>
          <w:ilvl w:val="0"/>
          <w:numId w:val="0"/>
        </w:numPr>
        <w:rPr>
          <w:rtl/>
        </w:rPr>
      </w:pPr>
      <w:r>
        <w:rPr>
          <w:rtl/>
        </w:rPr>
        <w:tab/>
      </w:r>
      <w:r>
        <w:rPr>
          <w:rFonts w:hint="cs"/>
          <w:rtl/>
        </w:rPr>
        <w:t xml:space="preserve">לשון החוק, כפשוטה, למעשה מתייחסת לשני מצבים אפשריים </w:t>
      </w:r>
      <w:r>
        <w:rPr>
          <w:rtl/>
        </w:rPr>
        <w:t>–</w:t>
      </w:r>
      <w:r>
        <w:rPr>
          <w:rFonts w:hint="cs"/>
          <w:rtl/>
        </w:rPr>
        <w:t xml:space="preserve"> </w:t>
      </w:r>
      <w:r w:rsidRPr="00220BA4">
        <w:rPr>
          <w:rFonts w:ascii="Century" w:hAnsi="Century" w:cs="Miriam" w:hint="cs"/>
          <w:b/>
          <w:spacing w:val="0"/>
          <w:sz w:val="22"/>
          <w:szCs w:val="24"/>
          <w:rtl/>
        </w:rPr>
        <w:t>הראשון</w:t>
      </w:r>
      <w:r>
        <w:rPr>
          <w:rFonts w:hint="cs"/>
          <w:rtl/>
        </w:rPr>
        <w:t xml:space="preserve">, שבו מבוקש למנות שר במסגרת ממשלה קיימת. במצב כזה, </w:t>
      </w:r>
      <w:r w:rsidRPr="00BE1C4D">
        <w:rPr>
          <w:rFonts w:hint="cs"/>
          <w:rtl/>
        </w:rPr>
        <w:t>ראש הממשלה</w:t>
      </w:r>
      <w:r>
        <w:rPr>
          <w:rFonts w:hint="cs"/>
          <w:rtl/>
        </w:rPr>
        <w:t xml:space="preserve"> הוא</w:t>
      </w:r>
      <w:r w:rsidRPr="00463655">
        <w:rPr>
          <w:rFonts w:hint="cs"/>
          <w:rtl/>
        </w:rPr>
        <w:t xml:space="preserve"> </w:t>
      </w:r>
      <w:r>
        <w:rPr>
          <w:rFonts w:hint="cs"/>
          <w:rtl/>
        </w:rPr>
        <w:t xml:space="preserve">שיפנה ליו"ר ועדת הבחירות. במצב </w:t>
      </w:r>
      <w:r w:rsidRPr="00220BA4">
        <w:rPr>
          <w:rFonts w:ascii="Century" w:hAnsi="Century" w:cs="Miriam" w:hint="cs"/>
          <w:b/>
          <w:spacing w:val="0"/>
          <w:sz w:val="22"/>
          <w:szCs w:val="24"/>
          <w:rtl/>
        </w:rPr>
        <w:t>השני</w:t>
      </w:r>
      <w:r>
        <w:rPr>
          <w:rFonts w:hint="cs"/>
          <w:rtl/>
        </w:rPr>
        <w:t xml:space="preserve">, שבו מבוקש למנות שר במסגרת הליכי כינון הממשלה, </w:t>
      </w:r>
      <w:r w:rsidRPr="00BE1C4D">
        <w:rPr>
          <w:rtl/>
        </w:rPr>
        <w:t>חבר הכנסת שהוטל עליו התפקיד להרכיב ממשלה</w:t>
      </w:r>
      <w:r>
        <w:rPr>
          <w:rFonts w:hint="cs"/>
          <w:rtl/>
        </w:rPr>
        <w:t xml:space="preserve"> יפנה ליו"ר ועדת הבחירות. הפנייה ליו"ר ועדת הבחירות במצב כזה תיעשה בפרק הזמן שבין הטלת תפקיד הרכבת הממשלה על חבר כנסת מסוים, לבין כינונה.</w:t>
      </w:r>
    </w:p>
    <w:p w14:paraId="3E9598B1" w14:textId="77777777" w:rsidR="00FD1F6D" w:rsidRPr="006E2C14" w:rsidRDefault="00FD1F6D" w:rsidP="00FD1F6D">
      <w:pPr>
        <w:pStyle w:val="Ruller41"/>
        <w:rPr>
          <w:rtl/>
        </w:rPr>
      </w:pPr>
    </w:p>
    <w:p w14:paraId="0C0F827D" w14:textId="77777777" w:rsidR="00FD1F6D" w:rsidRDefault="00FD1F6D" w:rsidP="00FD1F6D">
      <w:pPr>
        <w:pStyle w:val="Ruller4"/>
        <w:numPr>
          <w:ilvl w:val="0"/>
          <w:numId w:val="0"/>
        </w:numPr>
      </w:pPr>
      <w:r>
        <w:rPr>
          <w:rtl/>
        </w:rPr>
        <w:lastRenderedPageBreak/>
        <w:tab/>
      </w:r>
      <w:r>
        <w:rPr>
          <w:rFonts w:hint="cs"/>
          <w:rtl/>
        </w:rPr>
        <w:t xml:space="preserve">הטעם לכך ברור </w:t>
      </w:r>
      <w:r>
        <w:rPr>
          <w:rtl/>
        </w:rPr>
        <w:t>–</w:t>
      </w:r>
      <w:r>
        <w:rPr>
          <w:rFonts w:hint="cs"/>
          <w:rtl/>
        </w:rPr>
        <w:t xml:space="preserve"> אם הפנייה לא תיעשה כבר על ידי ראש הממשלה המיועד, לא ניתן יהיה להכריע בה עד למועד כינון הממשלה. ההכרעה בסוגיית הקלון אינה נעשית באופן מידי (ראו והשוו: סעיף 56ב ל</w:t>
      </w:r>
      <w:r w:rsidRPr="00091E64">
        <w:rPr>
          <w:rtl/>
        </w:rPr>
        <w:t xml:space="preserve">חוק הבחירות לכנסת [נוסח משולב], </w:t>
      </w:r>
      <w:r>
        <w:rPr>
          <w:rFonts w:hint="cs"/>
          <w:rtl/>
        </w:rPr>
        <w:t>ה</w:t>
      </w:r>
      <w:r w:rsidRPr="00091E64">
        <w:rPr>
          <w:rtl/>
        </w:rPr>
        <w:t>תשכ"ט-1969</w:t>
      </w:r>
      <w:r>
        <w:rPr>
          <w:rFonts w:hint="cs"/>
          <w:rtl/>
        </w:rPr>
        <w:t>, ובפרט סעיף 56ב(2)(ב) שלפיו</w:t>
      </w:r>
      <w:r w:rsidRPr="00925F4E">
        <w:rPr>
          <w:rFonts w:hint="cs"/>
          <w:rtl/>
        </w:rPr>
        <w:t xml:space="preserve"> "</w:t>
      </w:r>
      <w:r w:rsidRPr="00925F4E">
        <w:rPr>
          <w:rFonts w:ascii="Century" w:hAnsi="Century" w:cs="Miriam"/>
          <w:b/>
          <w:spacing w:val="0"/>
          <w:sz w:val="22"/>
          <w:szCs w:val="24"/>
          <w:rtl/>
        </w:rPr>
        <w:t>יושב ראש הועדה המרכזית ייתן את החלטתו בתוך 10 ימים מיום הגשת הבקשה והחלטתו תהיה סופית</w:t>
      </w:r>
      <w:r w:rsidRPr="00925F4E">
        <w:rPr>
          <w:rFonts w:hint="cs"/>
          <w:rtl/>
        </w:rPr>
        <w:t>"</w:t>
      </w:r>
      <w:r>
        <w:rPr>
          <w:rFonts w:hint="cs"/>
          <w:rtl/>
        </w:rPr>
        <w:t>); ואילו משהורכבה הממשלה הכנסת מביעה בה אמון "</w:t>
      </w:r>
      <w:r w:rsidRPr="00DB0824">
        <w:rPr>
          <w:rFonts w:ascii="Century" w:hAnsi="Century" w:cs="Miriam" w:hint="cs"/>
          <w:b/>
          <w:spacing w:val="0"/>
          <w:sz w:val="22"/>
          <w:szCs w:val="24"/>
          <w:rtl/>
        </w:rPr>
        <w:t>ומאותה שעה ייכנסו השרים לכהונתם</w:t>
      </w:r>
      <w:r>
        <w:rPr>
          <w:rFonts w:hint="cs"/>
          <w:rtl/>
        </w:rPr>
        <w:t xml:space="preserve">" (סעיף 13(ד) לחוק יסוד הממשלה). </w:t>
      </w:r>
    </w:p>
    <w:p w14:paraId="4A0DB420" w14:textId="77777777" w:rsidR="00FD1F6D" w:rsidRDefault="00FD1F6D" w:rsidP="00FD1F6D">
      <w:pPr>
        <w:pStyle w:val="Ruller4"/>
        <w:numPr>
          <w:ilvl w:val="0"/>
          <w:numId w:val="0"/>
        </w:numPr>
        <w:rPr>
          <w:rtl/>
        </w:rPr>
      </w:pPr>
    </w:p>
    <w:p w14:paraId="0AC40ABE" w14:textId="77777777" w:rsidR="00FD1F6D" w:rsidRDefault="00FD1F6D" w:rsidP="00FD1F6D">
      <w:pPr>
        <w:pStyle w:val="Ruller4"/>
      </w:pPr>
      <w:r>
        <w:rPr>
          <w:rFonts w:hint="cs"/>
          <w:rtl/>
        </w:rPr>
        <w:t>כאמור, הדין מעניק לראש הממשלה או ל</w:t>
      </w:r>
      <w:r w:rsidRPr="001B4A0F">
        <w:rPr>
          <w:rtl/>
        </w:rPr>
        <w:t>חבר הכנסת שהוטל עליו להרכיב ממשלה</w:t>
      </w:r>
      <w:r>
        <w:rPr>
          <w:rFonts w:hint="cs"/>
          <w:rtl/>
        </w:rPr>
        <w:t xml:space="preserve"> את הסמכות לפנות ליו"ר ועדת הבחירות. ההיגיון הוא, כי סמכות זו ניתנה בידי גורמים אלו נוכח תפקידו המרכזי של </w:t>
      </w:r>
      <w:r w:rsidRPr="001B4A0F">
        <w:rPr>
          <w:rtl/>
        </w:rPr>
        <w:t xml:space="preserve">חבר </w:t>
      </w:r>
      <w:r>
        <w:rPr>
          <w:rFonts w:hint="cs"/>
          <w:rtl/>
        </w:rPr>
        <w:t>ה</w:t>
      </w:r>
      <w:r w:rsidRPr="001B4A0F">
        <w:rPr>
          <w:rtl/>
        </w:rPr>
        <w:t>כנסת</w:t>
      </w:r>
      <w:r>
        <w:rPr>
          <w:rFonts w:hint="cs"/>
          <w:rtl/>
        </w:rPr>
        <w:t xml:space="preserve"> האמור בקביעת זהות השרים בהליך כינון הממשלה (</w:t>
      </w:r>
      <w:r w:rsidRPr="00291C23">
        <w:rPr>
          <w:rFonts w:ascii="Century" w:hAnsi="Century" w:cs="Miriam" w:hint="cs"/>
          <w:b/>
          <w:spacing w:val="0"/>
          <w:sz w:val="22"/>
          <w:szCs w:val="24"/>
          <w:rtl/>
        </w:rPr>
        <w:t>שטרית</w:t>
      </w:r>
      <w:r>
        <w:rPr>
          <w:rFonts w:hint="cs"/>
          <w:rtl/>
        </w:rPr>
        <w:t>, בעמוד 371); וסמכויותיו של ראש הממשלה להעביר שר מתפקידו (סעיף 22(ב) לחוק יסוד הממשלה), ולהציע לצרף שר חדש לממשלה קיימת (סעיף 15 לחוק יסוד הממשלה).</w:t>
      </w:r>
    </w:p>
    <w:p w14:paraId="1DDCC9B5" w14:textId="77777777" w:rsidR="00FD1F6D" w:rsidRDefault="00FD1F6D" w:rsidP="00FD1F6D">
      <w:pPr>
        <w:pStyle w:val="Ruller4"/>
        <w:numPr>
          <w:ilvl w:val="0"/>
          <w:numId w:val="0"/>
        </w:numPr>
        <w:rPr>
          <w:rtl/>
        </w:rPr>
      </w:pPr>
    </w:p>
    <w:p w14:paraId="3A32DE73" w14:textId="77777777" w:rsidR="00FD1F6D" w:rsidRDefault="00FD1F6D" w:rsidP="00FD1F6D">
      <w:pPr>
        <w:pStyle w:val="Ruller4"/>
        <w:numPr>
          <w:ilvl w:val="0"/>
          <w:numId w:val="0"/>
        </w:numPr>
      </w:pPr>
      <w:r>
        <w:rPr>
          <w:rtl/>
        </w:rPr>
        <w:tab/>
      </w:r>
      <w:r>
        <w:rPr>
          <w:rFonts w:hint="cs"/>
          <w:rtl/>
        </w:rPr>
        <w:t xml:space="preserve">היינו, מאחר שמינוי אדם לכהונת שר תלוי ברצונו של חבר הכנסת שהוטל עליו להרכיב את הממשלה </w:t>
      </w:r>
      <w:r>
        <w:rPr>
          <w:rtl/>
        </w:rPr>
        <w:t>–</w:t>
      </w:r>
      <w:r>
        <w:rPr>
          <w:rFonts w:hint="cs"/>
          <w:rtl/>
        </w:rPr>
        <w:t xml:space="preserve"> טרם כינונה, או ראש הממשלה </w:t>
      </w:r>
      <w:r>
        <w:rPr>
          <w:rtl/>
        </w:rPr>
        <w:t>–</w:t>
      </w:r>
      <w:r>
        <w:rPr>
          <w:rFonts w:hint="cs"/>
          <w:rtl/>
        </w:rPr>
        <w:t xml:space="preserve"> לאחר כינונה, מתבקש כי הגורם המציע את המינוי הוא שיתאפשר לו לפנות ליו"ר ועדת הבחירות. </w:t>
      </w:r>
    </w:p>
    <w:p w14:paraId="4C8CB65F" w14:textId="77777777" w:rsidR="00FD1F6D" w:rsidRDefault="00FD1F6D" w:rsidP="00FD1F6D">
      <w:pPr>
        <w:pStyle w:val="Ruller4"/>
        <w:numPr>
          <w:ilvl w:val="0"/>
          <w:numId w:val="0"/>
        </w:numPr>
        <w:rPr>
          <w:rtl/>
        </w:rPr>
      </w:pPr>
    </w:p>
    <w:p w14:paraId="4D3D371F" w14:textId="77777777" w:rsidR="00FD1F6D" w:rsidRDefault="00FD1F6D" w:rsidP="00FD1F6D">
      <w:pPr>
        <w:pStyle w:val="Ruller4"/>
      </w:pPr>
      <w:r>
        <w:rPr>
          <w:rFonts w:hint="cs"/>
          <w:rtl/>
        </w:rPr>
        <w:t>בשלב כינון הממשלה, נשאלת השאלה על-פי אילו אמות מידה יש לבחון את החלטות חבר הכנסת שעליו הוטל תפקיד הרכבת הממשלה</w:t>
      </w:r>
      <w:r w:rsidRPr="00077DD4">
        <w:rPr>
          <w:rFonts w:hint="cs"/>
          <w:rtl/>
        </w:rPr>
        <w:t xml:space="preserve">. </w:t>
      </w:r>
      <w:r>
        <w:rPr>
          <w:rFonts w:hint="cs"/>
          <w:rtl/>
        </w:rPr>
        <w:t>ליתר דיוק, את ההחלטה לפנות, או לא לפנות, ליו"ר ועדת הבחירות בהתאם לסעיף 3 לחוק הממשלה.</w:t>
      </w:r>
    </w:p>
    <w:p w14:paraId="40788D95" w14:textId="77777777" w:rsidR="00FD1F6D" w:rsidRDefault="00FD1F6D" w:rsidP="00FD1F6D">
      <w:pPr>
        <w:pStyle w:val="Ruller4"/>
        <w:numPr>
          <w:ilvl w:val="0"/>
          <w:numId w:val="0"/>
        </w:numPr>
        <w:rPr>
          <w:rtl/>
        </w:rPr>
      </w:pPr>
    </w:p>
    <w:p w14:paraId="6BDC677D" w14:textId="77777777" w:rsidR="00FD1F6D" w:rsidRPr="00BC214A" w:rsidRDefault="00FD1F6D" w:rsidP="00FD1F6D">
      <w:pPr>
        <w:pStyle w:val="Ruller4"/>
        <w:numPr>
          <w:ilvl w:val="0"/>
          <w:numId w:val="0"/>
        </w:numPr>
        <w:rPr>
          <w:rtl/>
        </w:rPr>
      </w:pPr>
      <w:r>
        <w:rPr>
          <w:rtl/>
        </w:rPr>
        <w:tab/>
      </w:r>
      <w:r w:rsidRPr="00077DD4">
        <w:rPr>
          <w:rFonts w:hint="cs"/>
          <w:rtl/>
        </w:rPr>
        <w:t xml:space="preserve">ככלל, </w:t>
      </w:r>
      <w:r w:rsidRPr="00077DD4">
        <w:rPr>
          <w:rtl/>
        </w:rPr>
        <w:t xml:space="preserve">היקף </w:t>
      </w:r>
      <w:r>
        <w:rPr>
          <w:rtl/>
        </w:rPr>
        <w:t xml:space="preserve">וטיב הביקורת השיפוטית </w:t>
      </w:r>
      <w:r w:rsidRPr="00077DD4">
        <w:rPr>
          <w:rtl/>
        </w:rPr>
        <w:t>מוכתב</w:t>
      </w:r>
      <w:r>
        <w:rPr>
          <w:rFonts w:hint="cs"/>
          <w:rtl/>
        </w:rPr>
        <w:t>, בין היתר,</w:t>
      </w:r>
      <w:r w:rsidRPr="00077DD4">
        <w:rPr>
          <w:rtl/>
        </w:rPr>
        <w:t xml:space="preserve"> על-פי</w:t>
      </w:r>
      <w:r w:rsidRPr="00077DD4">
        <w:rPr>
          <w:rFonts w:hint="cs"/>
          <w:rtl/>
        </w:rPr>
        <w:t xml:space="preserve"> </w:t>
      </w:r>
      <w:r w:rsidRPr="00077DD4">
        <w:rPr>
          <w:rtl/>
        </w:rPr>
        <w:t xml:space="preserve">מיהות </w:t>
      </w:r>
      <w:r>
        <w:rPr>
          <w:rFonts w:hint="cs"/>
          <w:rtl/>
        </w:rPr>
        <w:t>האדם או הרשות</w:t>
      </w:r>
      <w:r w:rsidRPr="00077DD4">
        <w:rPr>
          <w:rtl/>
        </w:rPr>
        <w:t xml:space="preserve"> המבוקרת וסוג ההחלטה או הסמכות</w:t>
      </w:r>
      <w:r>
        <w:rPr>
          <w:rFonts w:hint="cs"/>
          <w:rtl/>
        </w:rPr>
        <w:t xml:space="preserve"> </w:t>
      </w:r>
      <w:r w:rsidRPr="00077DD4">
        <w:rPr>
          <w:rtl/>
        </w:rPr>
        <w:t>מושא הביקורת</w:t>
      </w:r>
      <w:r>
        <w:rPr>
          <w:rFonts w:hint="cs"/>
          <w:rtl/>
        </w:rPr>
        <w:t xml:space="preserve"> (</w:t>
      </w:r>
      <w:r w:rsidRPr="008F6C26">
        <w:rPr>
          <w:rtl/>
        </w:rPr>
        <w:t>בג"ץ 5853/07 </w:t>
      </w:r>
      <w:r w:rsidRPr="008F6C26">
        <w:rPr>
          <w:rFonts w:ascii="Century" w:hAnsi="Century" w:cs="Miriam"/>
          <w:b/>
          <w:spacing w:val="0"/>
          <w:sz w:val="22"/>
          <w:szCs w:val="24"/>
          <w:rtl/>
        </w:rPr>
        <w:t>אמונה תנועת האישה הדתית לאומית נ' ראש הממשלה, אהוד אולמרט</w:t>
      </w:r>
      <w:r>
        <w:rPr>
          <w:rFonts w:hint="cs"/>
          <w:rtl/>
        </w:rPr>
        <w:t>, פסקה 3</w:t>
      </w:r>
      <w:r w:rsidRPr="008F6C26">
        <w:rPr>
          <w:rtl/>
        </w:rPr>
        <w:t xml:space="preserve"> </w:t>
      </w:r>
      <w:r>
        <w:rPr>
          <w:rFonts w:hint="cs"/>
          <w:rtl/>
        </w:rPr>
        <w:t xml:space="preserve">לחוות דעתו של השופט </w:t>
      </w:r>
      <w:r w:rsidRPr="00BC214A">
        <w:rPr>
          <w:rFonts w:ascii="Century" w:hAnsi="Century" w:cs="Miriam" w:hint="cs"/>
          <w:b/>
          <w:spacing w:val="0"/>
          <w:sz w:val="22"/>
          <w:szCs w:val="24"/>
          <w:rtl/>
        </w:rPr>
        <w:t>א' גרוניס</w:t>
      </w:r>
      <w:r w:rsidRPr="00BC214A">
        <w:rPr>
          <w:rFonts w:hint="cs"/>
          <w:rtl/>
        </w:rPr>
        <w:t xml:space="preserve"> </w:t>
      </w:r>
      <w:r w:rsidRPr="008F6C26">
        <w:rPr>
          <w:rtl/>
        </w:rPr>
        <w:t>(</w:t>
      </w:r>
      <w:r>
        <w:rPr>
          <w:rFonts w:hint="cs"/>
          <w:rtl/>
        </w:rPr>
        <w:t>6.12.2007</w:t>
      </w:r>
      <w:r w:rsidRPr="008F6C26">
        <w:rPr>
          <w:rtl/>
        </w:rPr>
        <w:t>)</w:t>
      </w:r>
      <w:r>
        <w:rPr>
          <w:rFonts w:hint="cs"/>
          <w:rtl/>
        </w:rPr>
        <w:t xml:space="preserve"> (להלן: עניין </w:t>
      </w:r>
      <w:r w:rsidRPr="00BC214A">
        <w:rPr>
          <w:rFonts w:ascii="Century" w:hAnsi="Century" w:cs="Miriam" w:hint="cs"/>
          <w:b/>
          <w:spacing w:val="0"/>
          <w:sz w:val="22"/>
          <w:szCs w:val="24"/>
          <w:rtl/>
        </w:rPr>
        <w:t>אמונה</w:t>
      </w:r>
      <w:r>
        <w:rPr>
          <w:rFonts w:hint="cs"/>
          <w:rtl/>
        </w:rPr>
        <w:t xml:space="preserve">)). </w:t>
      </w:r>
    </w:p>
    <w:p w14:paraId="017B28DD" w14:textId="77777777" w:rsidR="00FD1F6D" w:rsidRPr="00077DD4" w:rsidRDefault="00FD1F6D" w:rsidP="00FD1F6D">
      <w:pPr>
        <w:pStyle w:val="Ruller41"/>
        <w:rPr>
          <w:rtl/>
        </w:rPr>
      </w:pPr>
    </w:p>
    <w:p w14:paraId="6CDB62E6" w14:textId="77777777" w:rsidR="00FD1F6D" w:rsidRDefault="00FD1F6D" w:rsidP="00FD1F6D">
      <w:pPr>
        <w:pStyle w:val="Ruller4"/>
        <w:rPr>
          <w:rtl/>
        </w:rPr>
      </w:pPr>
      <w:r>
        <w:rPr>
          <w:rFonts w:hint="cs"/>
          <w:rtl/>
        </w:rPr>
        <w:t xml:space="preserve">אשר </w:t>
      </w:r>
      <w:r w:rsidRPr="00077DD4">
        <w:rPr>
          <w:rFonts w:ascii="Century" w:hAnsi="Century" w:cs="Miriam" w:hint="cs"/>
          <w:b/>
          <w:spacing w:val="0"/>
          <w:sz w:val="22"/>
          <w:szCs w:val="24"/>
          <w:rtl/>
        </w:rPr>
        <w:t>למיהות</w:t>
      </w:r>
      <w:r w:rsidRPr="00077DD4">
        <w:rPr>
          <w:rFonts w:hint="cs"/>
          <w:rtl/>
        </w:rPr>
        <w:t xml:space="preserve"> </w:t>
      </w:r>
      <w:r>
        <w:rPr>
          <w:rFonts w:hint="cs"/>
          <w:rtl/>
        </w:rPr>
        <w:t xml:space="preserve">הגורם מקבל ההחלטה או הנמנע מקבלתה, הרי שבמישור הפורמלי חבר הכנסת שהוטל עליו להרכיב ממשלה עודנו "חבר כנסת". </w:t>
      </w:r>
      <w:r>
        <w:rPr>
          <w:rFonts w:ascii="FrankRuehl" w:hAnsi="FrankRuehl"/>
          <w:color w:val="000000"/>
          <w:sz w:val="28"/>
          <w:rtl/>
        </w:rPr>
        <w:t>הביקורת השיפוטית על החלטות הכנסת אינה דומה לביקורת השיפוטית על החלטות של רשויות מנהליות</w:t>
      </w:r>
      <w:r>
        <w:rPr>
          <w:rFonts w:ascii="FrankRuehl" w:hAnsi="FrankRuehl" w:hint="cs"/>
          <w:color w:val="000000"/>
          <w:sz w:val="28"/>
          <w:rtl/>
        </w:rPr>
        <w:t>, אולם שיקול דעתם של חברי כנסת</w:t>
      </w:r>
      <w:r>
        <w:rPr>
          <w:rFonts w:hint="cs"/>
          <w:rtl/>
        </w:rPr>
        <w:t xml:space="preserve"> "</w:t>
      </w:r>
      <w:r>
        <w:rPr>
          <w:rFonts w:ascii="Century" w:hAnsi="Century" w:cs="Miriam" w:hint="cs"/>
          <w:b/>
          <w:spacing w:val="0"/>
          <w:sz w:val="22"/>
          <w:szCs w:val="24"/>
          <w:rtl/>
        </w:rPr>
        <w:t xml:space="preserve">[...] </w:t>
      </w:r>
      <w:r w:rsidRPr="00C13AB3">
        <w:rPr>
          <w:rFonts w:ascii="Century" w:hAnsi="Century" w:cs="Miriam"/>
          <w:b/>
          <w:spacing w:val="0"/>
          <w:sz w:val="22"/>
          <w:szCs w:val="24"/>
          <w:rtl/>
        </w:rPr>
        <w:t>אינו חסין מביקורת שיפוטית ולאורך השנים נבחנו בפסיקה החלטות שונות של הכנסת או של ועדותיה. החלטות אלה אינן עשויות מקשה אחת ועל כן היקף הביקורת השיפוטית עליהן אף הוא אינו עשוי מקשה אחת</w:t>
      </w:r>
      <w:r>
        <w:rPr>
          <w:rFonts w:hint="cs"/>
          <w:rtl/>
        </w:rPr>
        <w:t xml:space="preserve">" </w:t>
      </w:r>
      <w:r w:rsidRPr="00FB6EA1">
        <w:rPr>
          <w:rFonts w:hint="cs"/>
          <w:rtl/>
        </w:rPr>
        <w:t>(</w:t>
      </w:r>
      <w:r w:rsidRPr="00FB6EA1">
        <w:rPr>
          <w:rtl/>
        </w:rPr>
        <w:t xml:space="preserve">בג"ץ 2592/20 </w:t>
      </w:r>
      <w:r w:rsidRPr="00FB6EA1">
        <w:rPr>
          <w:rFonts w:ascii="Century" w:hAnsi="Century" w:cs="Miriam"/>
          <w:b/>
          <w:spacing w:val="0"/>
          <w:sz w:val="22"/>
          <w:szCs w:val="24"/>
          <w:rtl/>
        </w:rPr>
        <w:lastRenderedPageBreak/>
        <w:t>התנועה למען איכות השלטון בישראל נ' היועץ המשפטי לממשלה</w:t>
      </w:r>
      <w:r>
        <w:rPr>
          <w:rFonts w:hint="cs"/>
          <w:rtl/>
        </w:rPr>
        <w:t xml:space="preserve">, פסקה 15 לחוות דעתה של הנשיאה </w:t>
      </w:r>
      <w:r w:rsidRPr="001B2D29">
        <w:rPr>
          <w:rFonts w:ascii="Century" w:hAnsi="Century" w:cs="Miriam" w:hint="cs"/>
          <w:b/>
          <w:spacing w:val="0"/>
          <w:sz w:val="22"/>
          <w:szCs w:val="24"/>
          <w:rtl/>
        </w:rPr>
        <w:t>א' חיות</w:t>
      </w:r>
      <w:r w:rsidRPr="001B2D29">
        <w:rPr>
          <w:rtl/>
        </w:rPr>
        <w:t xml:space="preserve"> </w:t>
      </w:r>
      <w:r w:rsidRPr="00FB6EA1">
        <w:rPr>
          <w:rtl/>
        </w:rPr>
        <w:t>(</w:t>
      </w:r>
      <w:r>
        <w:rPr>
          <w:rFonts w:hint="cs"/>
          <w:rtl/>
        </w:rPr>
        <w:t>6.5.2020</w:t>
      </w:r>
      <w:r w:rsidRPr="00FB6EA1">
        <w:rPr>
          <w:rtl/>
        </w:rPr>
        <w:t>)</w:t>
      </w:r>
      <w:r>
        <w:rPr>
          <w:rFonts w:hint="cs"/>
          <w:rtl/>
        </w:rPr>
        <w:t>).</w:t>
      </w:r>
    </w:p>
    <w:p w14:paraId="376E0FBC" w14:textId="77777777" w:rsidR="00FD1F6D" w:rsidRPr="00925F4E" w:rsidRDefault="00FD1F6D" w:rsidP="00FD1F6D">
      <w:pPr>
        <w:pStyle w:val="Ruller41"/>
        <w:rPr>
          <w:rtl/>
        </w:rPr>
      </w:pPr>
    </w:p>
    <w:p w14:paraId="145E802F" w14:textId="77777777" w:rsidR="00FD1F6D" w:rsidRDefault="00FD1F6D" w:rsidP="00FD1F6D">
      <w:pPr>
        <w:pStyle w:val="Ruller4"/>
        <w:numPr>
          <w:ilvl w:val="0"/>
          <w:numId w:val="0"/>
        </w:numPr>
        <w:rPr>
          <w:rtl/>
        </w:rPr>
      </w:pPr>
      <w:r>
        <w:rPr>
          <w:rtl/>
        </w:rPr>
        <w:tab/>
      </w:r>
      <w:r>
        <w:rPr>
          <w:rFonts w:hint="cs"/>
          <w:rtl/>
        </w:rPr>
        <w:t xml:space="preserve">מבחינה מהותית, הסמכות המוקנית בסעיף 3 לחוק הממשלה נגזרת כאמור מתפקידו המרכזי של אותו חבר כנסת בבחירת השרים טרם כינון הממשלה, ולאחר כינונה אם יצלח במלאכתו. כשם שסמכות זו ניתנה לחבר הכנסת </w:t>
      </w:r>
      <w:r w:rsidRPr="00F35F37">
        <w:rPr>
          <w:rtl/>
        </w:rPr>
        <w:t>שהוטל עליו התפקיד להרכיב ממשלה</w:t>
      </w:r>
      <w:r w:rsidRPr="00F35F37">
        <w:rPr>
          <w:rFonts w:hint="cs"/>
          <w:rtl/>
        </w:rPr>
        <w:t xml:space="preserve">, </w:t>
      </w:r>
      <w:r>
        <w:rPr>
          <w:rFonts w:hint="cs"/>
          <w:rtl/>
        </w:rPr>
        <w:t xml:space="preserve">היא </w:t>
      </w:r>
      <w:r w:rsidRPr="00F35F37">
        <w:rPr>
          <w:rFonts w:hint="cs"/>
          <w:rtl/>
        </w:rPr>
        <w:t>ניתנה</w:t>
      </w:r>
      <w:r>
        <w:rPr>
          <w:rFonts w:hint="cs"/>
          <w:rtl/>
        </w:rPr>
        <w:t xml:space="preserve"> לראש הממשלה במפורש.</w:t>
      </w:r>
    </w:p>
    <w:p w14:paraId="0868393C" w14:textId="77777777" w:rsidR="00FD1F6D" w:rsidRDefault="00FD1F6D" w:rsidP="00FD1F6D">
      <w:pPr>
        <w:pStyle w:val="Ruller4"/>
        <w:numPr>
          <w:ilvl w:val="0"/>
          <w:numId w:val="0"/>
        </w:numPr>
        <w:rPr>
          <w:rtl/>
        </w:rPr>
      </w:pPr>
    </w:p>
    <w:p w14:paraId="21686214" w14:textId="77777777" w:rsidR="00FD1F6D" w:rsidRDefault="00FD1F6D" w:rsidP="00FD1F6D">
      <w:pPr>
        <w:pStyle w:val="Ruller4"/>
        <w:numPr>
          <w:ilvl w:val="0"/>
          <w:numId w:val="0"/>
        </w:numPr>
        <w:rPr>
          <w:rtl/>
        </w:rPr>
      </w:pPr>
      <w:r>
        <w:rPr>
          <w:rtl/>
        </w:rPr>
        <w:tab/>
      </w:r>
      <w:r w:rsidRPr="00306F49">
        <w:rPr>
          <w:rFonts w:hint="cs"/>
          <w:rtl/>
        </w:rPr>
        <w:t>מכאן</w:t>
      </w:r>
      <w:r>
        <w:rPr>
          <w:rFonts w:hint="cs"/>
          <w:rtl/>
        </w:rPr>
        <w:t>, שלפנינו סמכות ייחודית ו</w:t>
      </w:r>
      <w:r w:rsidRPr="00306F49">
        <w:rPr>
          <w:rFonts w:hint="cs"/>
          <w:rtl/>
        </w:rPr>
        <w:t xml:space="preserve">שונה מסמכויות אחרות </w:t>
      </w:r>
      <w:r>
        <w:rPr>
          <w:rFonts w:hint="cs"/>
          <w:rtl/>
        </w:rPr>
        <w:t>שניתנו</w:t>
      </w:r>
      <w:r w:rsidRPr="00306F49">
        <w:rPr>
          <w:rFonts w:hint="cs"/>
          <w:rtl/>
        </w:rPr>
        <w:t xml:space="preserve"> </w:t>
      </w:r>
      <w:r>
        <w:rPr>
          <w:rFonts w:hint="cs"/>
          <w:rtl/>
        </w:rPr>
        <w:t xml:space="preserve">לחברי כנסת, וזהה לסמכות הניתנת לראש ממשלה. </w:t>
      </w:r>
      <w:r w:rsidRPr="00E56775">
        <w:rPr>
          <w:rFonts w:hint="cs"/>
          <w:rtl/>
        </w:rPr>
        <w:t>והרי, ראש הממשלה</w:t>
      </w:r>
      <w:r>
        <w:rPr>
          <w:rFonts w:hint="cs"/>
          <w:rtl/>
        </w:rPr>
        <w:t xml:space="preserve"> "</w:t>
      </w:r>
      <w:r w:rsidRPr="002927D5">
        <w:rPr>
          <w:rFonts w:ascii="Century" w:hAnsi="Century" w:cs="Miriam"/>
          <w:b/>
          <w:spacing w:val="0"/>
          <w:sz w:val="22"/>
          <w:szCs w:val="24"/>
          <w:rtl/>
        </w:rPr>
        <w:t>הוא חלק מן הרשות המינהלית, והעקרונות החלים על הרשות המינהלית ועל עובדיה חלים גם על ראש-הממשלה</w:t>
      </w:r>
      <w:r w:rsidRPr="002927D5">
        <w:rPr>
          <w:rFonts w:hint="cs"/>
          <w:rtl/>
        </w:rPr>
        <w:t>" (</w:t>
      </w:r>
      <w:r w:rsidRPr="002927D5">
        <w:rPr>
          <w:rtl/>
        </w:rPr>
        <w:t>בג"ץ 5261/04 </w:t>
      </w:r>
      <w:r w:rsidRPr="002927D5">
        <w:rPr>
          <w:rFonts w:ascii="Century" w:hAnsi="Century" w:cs="Miriam"/>
          <w:b/>
          <w:spacing w:val="0"/>
          <w:sz w:val="22"/>
          <w:szCs w:val="24"/>
          <w:rtl/>
        </w:rPr>
        <w:t>פוקס נ' ראש-ממשלת ישראל, אריאל שרון</w:t>
      </w:r>
      <w:r>
        <w:rPr>
          <w:rFonts w:ascii="Century" w:hAnsi="Century" w:cs="Miriam" w:hint="cs"/>
          <w:b/>
          <w:spacing w:val="0"/>
          <w:sz w:val="22"/>
          <w:szCs w:val="24"/>
          <w:rtl/>
        </w:rPr>
        <w:t xml:space="preserve">, </w:t>
      </w:r>
      <w:r w:rsidRPr="002927D5">
        <w:rPr>
          <w:rFonts w:hint="cs"/>
          <w:color w:val="000000"/>
          <w:sz w:val="27"/>
          <w:szCs w:val="27"/>
          <w:rtl/>
        </w:rPr>
        <w:t>פ"ד</w:t>
      </w:r>
      <w:r w:rsidRPr="002927D5">
        <w:rPr>
          <w:color w:val="000000"/>
          <w:sz w:val="27"/>
          <w:szCs w:val="27"/>
        </w:rPr>
        <w:t xml:space="preserve"> </w:t>
      </w:r>
      <w:r w:rsidRPr="002927D5">
        <w:rPr>
          <w:color w:val="000000"/>
          <w:sz w:val="27"/>
          <w:szCs w:val="27"/>
          <w:rtl/>
        </w:rPr>
        <w:t>נ</w:t>
      </w:r>
      <w:r w:rsidRPr="002927D5">
        <w:rPr>
          <w:rtl/>
        </w:rPr>
        <w:t>ט(2) 446</w:t>
      </w:r>
      <w:r>
        <w:rPr>
          <w:rFonts w:hint="cs"/>
          <w:rtl/>
        </w:rPr>
        <w:t>, 464</w:t>
      </w:r>
      <w:r w:rsidRPr="002927D5">
        <w:rPr>
          <w:rtl/>
        </w:rPr>
        <w:t xml:space="preserve"> (2004)‏</w:t>
      </w:r>
      <w:r w:rsidRPr="002927D5">
        <w:rPr>
          <w:rFonts w:hint="cs"/>
          <w:rtl/>
        </w:rPr>
        <w:t>)</w:t>
      </w:r>
      <w:r>
        <w:rPr>
          <w:rFonts w:hint="cs"/>
          <w:rtl/>
        </w:rPr>
        <w:t xml:space="preserve">. </w:t>
      </w:r>
      <w:r>
        <w:rPr>
          <w:rFonts w:hint="cs"/>
          <w:color w:val="000000"/>
          <w:sz w:val="27"/>
          <w:szCs w:val="27"/>
          <w:rtl/>
        </w:rPr>
        <w:t xml:space="preserve"> </w:t>
      </w:r>
    </w:p>
    <w:p w14:paraId="3C876458" w14:textId="77777777" w:rsidR="00FD1F6D" w:rsidRPr="00AB3589" w:rsidRDefault="00FD1F6D" w:rsidP="00FD1F6D">
      <w:pPr>
        <w:pStyle w:val="Ruller41"/>
        <w:rPr>
          <w:rtl/>
        </w:rPr>
      </w:pPr>
    </w:p>
    <w:p w14:paraId="31215DF5" w14:textId="77777777" w:rsidR="00FD1F6D" w:rsidRDefault="00FD1F6D" w:rsidP="00FD1F6D">
      <w:pPr>
        <w:pStyle w:val="Ruller4"/>
      </w:pPr>
      <w:r>
        <w:rPr>
          <w:rFonts w:ascii="Arial TUR" w:hAnsi="Arial TUR" w:hint="cs"/>
          <w:sz w:val="22"/>
          <w:rtl/>
        </w:rPr>
        <w:t>ביחס ל</w:t>
      </w:r>
      <w:r w:rsidRPr="00C30DE7">
        <w:rPr>
          <w:rFonts w:ascii="Century" w:hAnsi="Century" w:cs="Miriam" w:hint="cs"/>
          <w:b/>
          <w:spacing w:val="0"/>
          <w:sz w:val="22"/>
          <w:szCs w:val="24"/>
          <w:rtl/>
        </w:rPr>
        <w:t>סוג</w:t>
      </w:r>
      <w:r>
        <w:rPr>
          <w:rFonts w:ascii="Arial TUR" w:hAnsi="Arial TUR" w:hint="cs"/>
          <w:sz w:val="22"/>
          <w:rtl/>
        </w:rPr>
        <w:t xml:space="preserve"> ההחלטה או הסמכות שבה מדובר </w:t>
      </w:r>
      <w:r>
        <w:rPr>
          <w:rFonts w:ascii="Arial TUR" w:hAnsi="Arial TUR"/>
          <w:sz w:val="22"/>
          <w:rtl/>
        </w:rPr>
        <w:t>–</w:t>
      </w:r>
      <w:r>
        <w:rPr>
          <w:rFonts w:ascii="Arial TUR" w:hAnsi="Arial TUR" w:hint="cs"/>
          <w:sz w:val="22"/>
          <w:rtl/>
        </w:rPr>
        <w:t xml:space="preserve"> </w:t>
      </w:r>
      <w:r>
        <w:rPr>
          <w:rFonts w:hint="cs"/>
          <w:rtl/>
        </w:rPr>
        <w:t>אין ספק כי לראש הממשלה או לחבר הכנסת שעליו הוטל להרכיב ממשלה שיקול דעת רחב באשר לזהות</w:t>
      </w:r>
      <w:r>
        <w:rPr>
          <w:color w:val="000000"/>
          <w:sz w:val="27"/>
          <w:szCs w:val="27"/>
          <w:rtl/>
        </w:rPr>
        <w:t xml:space="preserve"> </w:t>
      </w:r>
      <w:r>
        <w:rPr>
          <w:rFonts w:hint="cs"/>
          <w:color w:val="000000"/>
          <w:sz w:val="27"/>
          <w:szCs w:val="27"/>
          <w:rtl/>
        </w:rPr>
        <w:t>ה</w:t>
      </w:r>
      <w:r w:rsidRPr="002069FC">
        <w:rPr>
          <w:rtl/>
        </w:rPr>
        <w:t>שרים</w:t>
      </w:r>
      <w:r>
        <w:rPr>
          <w:rFonts w:hint="cs"/>
          <w:rtl/>
        </w:rPr>
        <w:t xml:space="preserve"> שברצונו למנות</w:t>
      </w:r>
      <w:r w:rsidRPr="002069FC">
        <w:rPr>
          <w:rtl/>
        </w:rPr>
        <w:t xml:space="preserve"> </w:t>
      </w:r>
      <w:r w:rsidRPr="002069FC">
        <w:rPr>
          <w:rFonts w:hint="cs"/>
          <w:rtl/>
        </w:rPr>
        <w:t>(</w:t>
      </w:r>
      <w:r w:rsidRPr="002069FC">
        <w:rPr>
          <w:rtl/>
        </w:rPr>
        <w:t>בג"ץ 3997/14 </w:t>
      </w:r>
      <w:r w:rsidRPr="002069FC">
        <w:rPr>
          <w:rFonts w:ascii="Century" w:hAnsi="Century" w:cs="Miriam"/>
          <w:b/>
          <w:spacing w:val="0"/>
          <w:sz w:val="22"/>
          <w:szCs w:val="24"/>
          <w:rtl/>
        </w:rPr>
        <w:t>התנועה למען איכות השלטון בישראל נ' שר החוץ</w:t>
      </w:r>
      <w:r>
        <w:rPr>
          <w:rFonts w:hint="cs"/>
          <w:rtl/>
        </w:rPr>
        <w:t xml:space="preserve">, פסקה 25 לחוות דעתו של הנשיא (בדימוס) </w:t>
      </w:r>
      <w:r w:rsidRPr="002069FC">
        <w:rPr>
          <w:rFonts w:ascii="Century" w:hAnsi="Century" w:cs="Miriam" w:hint="cs"/>
          <w:b/>
          <w:spacing w:val="0"/>
          <w:sz w:val="22"/>
          <w:szCs w:val="24"/>
          <w:rtl/>
        </w:rPr>
        <w:t>א' גרוניס</w:t>
      </w:r>
      <w:r w:rsidRPr="002069FC">
        <w:rPr>
          <w:rFonts w:hint="cs"/>
          <w:rtl/>
        </w:rPr>
        <w:t xml:space="preserve"> </w:t>
      </w:r>
      <w:r w:rsidRPr="002069FC">
        <w:rPr>
          <w:rtl/>
        </w:rPr>
        <w:t>(</w:t>
      </w:r>
      <w:r>
        <w:rPr>
          <w:rFonts w:hint="cs"/>
          <w:rtl/>
        </w:rPr>
        <w:t>12.2.2015</w:t>
      </w:r>
      <w:r w:rsidRPr="002069FC">
        <w:rPr>
          <w:rtl/>
        </w:rPr>
        <w:t>)</w:t>
      </w:r>
      <w:r>
        <w:rPr>
          <w:rFonts w:hint="cs"/>
          <w:rtl/>
        </w:rPr>
        <w:t xml:space="preserve"> (להלן: עניין </w:t>
      </w:r>
      <w:r w:rsidRPr="00CF6A93">
        <w:rPr>
          <w:rFonts w:ascii="Century" w:hAnsi="Century" w:cs="Miriam" w:hint="cs"/>
          <w:b/>
          <w:spacing w:val="0"/>
          <w:sz w:val="22"/>
          <w:szCs w:val="24"/>
          <w:rtl/>
        </w:rPr>
        <w:t>הנגבי</w:t>
      </w:r>
      <w:r>
        <w:rPr>
          <w:rFonts w:hint="cs"/>
          <w:rtl/>
        </w:rPr>
        <w:t>)</w:t>
      </w:r>
      <w:r w:rsidRPr="002069FC">
        <w:rPr>
          <w:rtl/>
        </w:rPr>
        <w:t>‏</w:t>
      </w:r>
      <w:r>
        <w:rPr>
          <w:rFonts w:hint="cs"/>
          <w:rtl/>
        </w:rPr>
        <w:t>)</w:t>
      </w:r>
      <w:r w:rsidRPr="002069FC">
        <w:rPr>
          <w:rtl/>
        </w:rPr>
        <w:t>‏</w:t>
      </w:r>
      <w:r w:rsidRPr="002069FC">
        <w:rPr>
          <w:rFonts w:hint="cs"/>
          <w:rtl/>
        </w:rPr>
        <w:t>.</w:t>
      </w:r>
      <w:r>
        <w:rPr>
          <w:rFonts w:hint="cs"/>
          <w:rtl/>
        </w:rPr>
        <w:t xml:space="preserve"> כך מתחייב מאחר שמדובר בהחלטה המערבת גם שיקולים פוליטיים מובהקים (עניין </w:t>
      </w:r>
      <w:r w:rsidRPr="008B5E11">
        <w:rPr>
          <w:rFonts w:ascii="Century" w:hAnsi="Century" w:cs="Miriam" w:hint="cs"/>
          <w:b/>
          <w:spacing w:val="0"/>
          <w:sz w:val="22"/>
          <w:szCs w:val="24"/>
          <w:rtl/>
        </w:rPr>
        <w:t>אמונה</w:t>
      </w:r>
      <w:r>
        <w:rPr>
          <w:rFonts w:hint="cs"/>
          <w:rtl/>
        </w:rPr>
        <w:t xml:space="preserve">, בפסקה 22 לחוות דעתה של השופטת </w:t>
      </w:r>
      <w:r w:rsidRPr="008B5E11">
        <w:rPr>
          <w:rFonts w:ascii="Century" w:hAnsi="Century" w:cs="Miriam" w:hint="cs"/>
          <w:b/>
          <w:spacing w:val="0"/>
          <w:sz w:val="22"/>
          <w:szCs w:val="24"/>
          <w:rtl/>
        </w:rPr>
        <w:t>א' פרוקצ'יה</w:t>
      </w:r>
      <w:r>
        <w:rPr>
          <w:rFonts w:hint="cs"/>
          <w:rtl/>
        </w:rPr>
        <w:t>). אולם, לא זו ההחלטה שנבחנת בשלב הנדון.</w:t>
      </w:r>
    </w:p>
    <w:p w14:paraId="681E5F9C" w14:textId="77777777" w:rsidR="00FD1F6D" w:rsidRDefault="00FD1F6D" w:rsidP="00FD1F6D">
      <w:pPr>
        <w:pStyle w:val="Ruller4"/>
        <w:numPr>
          <w:ilvl w:val="0"/>
          <w:numId w:val="0"/>
        </w:numPr>
        <w:rPr>
          <w:rtl/>
        </w:rPr>
      </w:pPr>
    </w:p>
    <w:p w14:paraId="7046DB2E" w14:textId="77777777" w:rsidR="00FD1F6D" w:rsidRDefault="00FD1F6D" w:rsidP="00FD1F6D">
      <w:pPr>
        <w:pStyle w:val="Ruller4"/>
        <w:numPr>
          <w:ilvl w:val="0"/>
          <w:numId w:val="0"/>
        </w:numPr>
        <w:rPr>
          <w:rtl/>
        </w:rPr>
      </w:pPr>
      <w:r>
        <w:rPr>
          <w:rtl/>
        </w:rPr>
        <w:tab/>
      </w:r>
      <w:r>
        <w:rPr>
          <w:rFonts w:hint="cs"/>
          <w:rtl/>
        </w:rPr>
        <w:t>שעה שמבוקש למנות אדם מסוים לשר, וכאשר אותו אדם מנוע מלהתמנות לתפקיד רם זה, הסמכות שניתנה בידי חבר הכנסת האמור לפנות ליו"ר ועדת הבחירות, אינה אלא סמכות דיונית במשפט הציבורי, שנקבעה לצורך יישום הוראות סעיף 6(ג)(1) לחוק יסוד הממשלה. בעוד שביכולתו לבחור לוותר על מינויו של אותו מועמד לשר, אם ברצותו לקדם את המינוי, אין הוא יכול לבחור שלא לפנות ליו"ר ועדת הבחירות.</w:t>
      </w:r>
      <w:r w:rsidRPr="00AC448C">
        <w:rPr>
          <w:rFonts w:hint="cs"/>
          <w:rtl/>
        </w:rPr>
        <w:t xml:space="preserve"> </w:t>
      </w:r>
    </w:p>
    <w:p w14:paraId="6953690C" w14:textId="77777777" w:rsidR="00FD1F6D" w:rsidRDefault="00FD1F6D" w:rsidP="00FD1F6D">
      <w:pPr>
        <w:pStyle w:val="Ruller4"/>
        <w:numPr>
          <w:ilvl w:val="0"/>
          <w:numId w:val="0"/>
        </w:numPr>
        <w:rPr>
          <w:rtl/>
        </w:rPr>
      </w:pPr>
    </w:p>
    <w:p w14:paraId="3FF1DC95" w14:textId="77777777" w:rsidR="00FD1F6D" w:rsidRPr="006E4F49" w:rsidRDefault="00FD1F6D" w:rsidP="00FD1F6D">
      <w:pPr>
        <w:pStyle w:val="Ruller4"/>
        <w:numPr>
          <w:ilvl w:val="0"/>
          <w:numId w:val="0"/>
        </w:numPr>
        <w:rPr>
          <w:rtl/>
        </w:rPr>
      </w:pPr>
      <w:r>
        <w:rPr>
          <w:rtl/>
        </w:rPr>
        <w:tab/>
      </w:r>
      <w:r>
        <w:rPr>
          <w:rFonts w:hint="cs"/>
          <w:rtl/>
        </w:rPr>
        <w:t xml:space="preserve">השימוש בסמכות זו אינו אמור להיות כרוך בהפעלת שיקול דעת פוליטי רחב, אם בכלל. מדובר בסמכות כמעט טכנית, המוקנית לגורם החפץ בקידום המינוי </w:t>
      </w:r>
      <w:r w:rsidRPr="00EE54B7">
        <w:rPr>
          <w:rFonts w:hint="cs"/>
          <w:rtl/>
        </w:rPr>
        <w:t xml:space="preserve">(ראו והשוו: </w:t>
      </w:r>
      <w:r w:rsidRPr="00EE54B7">
        <w:rPr>
          <w:rtl/>
        </w:rPr>
        <w:t xml:space="preserve">עע"מ 8595/17 </w:t>
      </w:r>
      <w:r w:rsidRPr="002A3ACD">
        <w:rPr>
          <w:rFonts w:ascii="Century" w:hAnsi="Century" w:cs="Miriam"/>
          <w:b/>
          <w:spacing w:val="0"/>
          <w:sz w:val="22"/>
          <w:szCs w:val="24"/>
          <w:rtl/>
        </w:rPr>
        <w:t>פלאח נ' הוועדה המחוזית לתכנון ולבניה - מחוז הצפון</w:t>
      </w:r>
      <w:r>
        <w:rPr>
          <w:rFonts w:hint="cs"/>
          <w:rtl/>
        </w:rPr>
        <w:t xml:space="preserve">, פסקה 61 לחוות דעתו של המשנה לנשיאה </w:t>
      </w:r>
      <w:r w:rsidRPr="002A3ACD">
        <w:rPr>
          <w:rFonts w:ascii="Century" w:hAnsi="Century" w:cs="Miriam" w:hint="cs"/>
          <w:b/>
          <w:spacing w:val="0"/>
          <w:sz w:val="22"/>
          <w:szCs w:val="24"/>
          <w:rtl/>
        </w:rPr>
        <w:t>ח' מלצר</w:t>
      </w:r>
      <w:r w:rsidRPr="00EE54B7">
        <w:rPr>
          <w:rFonts w:hint="cs"/>
          <w:rtl/>
        </w:rPr>
        <w:t xml:space="preserve"> </w:t>
      </w:r>
      <w:r w:rsidRPr="00EE54B7">
        <w:rPr>
          <w:rtl/>
        </w:rPr>
        <w:t>(</w:t>
      </w:r>
      <w:r w:rsidRPr="00EE54B7">
        <w:rPr>
          <w:rFonts w:hint="cs"/>
          <w:rtl/>
        </w:rPr>
        <w:t>20.8.2019</w:t>
      </w:r>
      <w:r w:rsidRPr="00EE54B7">
        <w:rPr>
          <w:rtl/>
        </w:rPr>
        <w:t>)</w:t>
      </w:r>
      <w:r w:rsidRPr="00EE54B7">
        <w:rPr>
          <w:rFonts w:hint="cs"/>
          <w:rtl/>
        </w:rPr>
        <w:t xml:space="preserve">). </w:t>
      </w:r>
      <w:r>
        <w:rPr>
          <w:rFonts w:hint="cs"/>
          <w:rtl/>
        </w:rPr>
        <w:t>מכך ראוי לגזור את מידת הביקורת השיפוטית שיש ליישם בעניין.</w:t>
      </w:r>
    </w:p>
    <w:p w14:paraId="3CA81732" w14:textId="77777777" w:rsidR="00FD1F6D" w:rsidRDefault="00FD1F6D" w:rsidP="00FD1F6D">
      <w:pPr>
        <w:pStyle w:val="Ruller4"/>
        <w:numPr>
          <w:ilvl w:val="0"/>
          <w:numId w:val="0"/>
        </w:numPr>
        <w:rPr>
          <w:rtl/>
        </w:rPr>
      </w:pPr>
    </w:p>
    <w:p w14:paraId="178EB58E" w14:textId="77777777" w:rsidR="00FD1F6D" w:rsidRDefault="00FD1F6D" w:rsidP="00FD1F6D">
      <w:pPr>
        <w:pStyle w:val="Ruller4"/>
        <w:rPr>
          <w:rtl/>
        </w:rPr>
      </w:pPr>
      <w:r>
        <w:rPr>
          <w:rFonts w:hint="cs"/>
          <w:rtl/>
        </w:rPr>
        <w:lastRenderedPageBreak/>
        <w:t xml:space="preserve">מכל מקום, איני נדרש לקבוע מסמרות בסוגיה זו, מאחר שאף אם ניישם בעניינה של החלטה זו אמת מידה מחמירה להתערבות שיפוטית, אני סבור כי קמה עילה להתערבותנו, ואולם לא באופן הילוכם של עמיתיי, כפי שארחיב כעת. </w:t>
      </w:r>
    </w:p>
    <w:p w14:paraId="58D7BAA3" w14:textId="77777777" w:rsidR="00FD1F6D" w:rsidRDefault="00FD1F6D" w:rsidP="00FD1F6D">
      <w:pPr>
        <w:pStyle w:val="Ruller4"/>
        <w:numPr>
          <w:ilvl w:val="0"/>
          <w:numId w:val="0"/>
        </w:numPr>
        <w:rPr>
          <w:rFonts w:ascii="Century" w:hAnsi="Century" w:cs="Miriam"/>
          <w:b/>
          <w:spacing w:val="0"/>
          <w:sz w:val="22"/>
          <w:szCs w:val="24"/>
          <w:rtl/>
        </w:rPr>
      </w:pPr>
    </w:p>
    <w:p w14:paraId="671FE5F1" w14:textId="77777777" w:rsidR="00FD1F6D" w:rsidRDefault="00FD1F6D" w:rsidP="00FD1F6D">
      <w:pPr>
        <w:pStyle w:val="Ruller4"/>
        <w:numPr>
          <w:ilvl w:val="0"/>
          <w:numId w:val="0"/>
        </w:numPr>
        <w:rPr>
          <w:rtl/>
        </w:rPr>
      </w:pPr>
      <w:r w:rsidRPr="008835DF">
        <w:rPr>
          <w:rFonts w:ascii="Century" w:hAnsi="Century" w:cs="Miriam" w:hint="cs"/>
          <w:b/>
          <w:spacing w:val="0"/>
          <w:sz w:val="22"/>
          <w:szCs w:val="24"/>
          <w:rtl/>
        </w:rPr>
        <w:t>מן הכלל אל הפרט</w:t>
      </w:r>
    </w:p>
    <w:p w14:paraId="4DC52983" w14:textId="77777777" w:rsidR="00FD1F6D" w:rsidRDefault="00FD1F6D" w:rsidP="00FD1F6D">
      <w:pPr>
        <w:pStyle w:val="Ruller4"/>
        <w:numPr>
          <w:ilvl w:val="0"/>
          <w:numId w:val="0"/>
        </w:numPr>
        <w:rPr>
          <w:rtl/>
        </w:rPr>
      </w:pPr>
    </w:p>
    <w:p w14:paraId="1FD67410" w14:textId="77777777" w:rsidR="00FD1F6D" w:rsidRDefault="00FD1F6D" w:rsidP="00FD1F6D">
      <w:pPr>
        <w:pStyle w:val="Ruller4"/>
        <w:rPr>
          <w:rtl/>
        </w:rPr>
      </w:pPr>
      <w:r>
        <w:rPr>
          <w:rFonts w:hint="cs"/>
          <w:rtl/>
        </w:rPr>
        <w:t xml:space="preserve">עניינן של העתירות שלפנינו משלב בין ההליך הפלילי למשפט הציבורי. ההכרעה בהן מחייבת בחינה על ציר הזמן. תחילתו, בנקודת הזמן שבה ההליך הפלילי נגד דרעי הסתיים, כאשר החליט להתפטר מהכנסת על מנת להימנע, כך נראה, מהכרעה בסוגיית הקלון בעניינו באותה העת. </w:t>
      </w:r>
    </w:p>
    <w:p w14:paraId="012F4BC1" w14:textId="77777777" w:rsidR="00FD1F6D" w:rsidRDefault="00FD1F6D" w:rsidP="00FD1F6D">
      <w:pPr>
        <w:pStyle w:val="Ruller41"/>
        <w:rPr>
          <w:rtl/>
        </w:rPr>
      </w:pPr>
    </w:p>
    <w:p w14:paraId="0E79D899" w14:textId="77777777" w:rsidR="00FD1F6D" w:rsidRPr="00AB3589" w:rsidRDefault="00FD1F6D" w:rsidP="00FD1F6D">
      <w:pPr>
        <w:pStyle w:val="Ruller4"/>
        <w:numPr>
          <w:ilvl w:val="0"/>
          <w:numId w:val="0"/>
        </w:numPr>
      </w:pPr>
      <w:r>
        <w:rPr>
          <w:rtl/>
        </w:rPr>
        <w:tab/>
      </w:r>
      <w:r>
        <w:rPr>
          <w:rFonts w:hint="cs"/>
          <w:rtl/>
        </w:rPr>
        <w:t xml:space="preserve">אבהיר, כי איני מוצא דופי בהתפטרות דרעי בעיתוי האמור. הדבר נקבע מבעוד מועד, כעולה גם מהסדר הטיעון שנחתם עמו </w:t>
      </w:r>
      <w:r>
        <w:rPr>
          <w:rtl/>
        </w:rPr>
        <w:t>–</w:t>
      </w:r>
      <w:r>
        <w:rPr>
          <w:rFonts w:hint="cs"/>
          <w:rtl/>
        </w:rPr>
        <w:t xml:space="preserve"> "</w:t>
      </w:r>
      <w:r w:rsidRPr="0098552C">
        <w:rPr>
          <w:rFonts w:ascii="Century" w:hAnsi="Century" w:cs="Miriam" w:hint="cs"/>
          <w:b/>
          <w:spacing w:val="0"/>
          <w:sz w:val="22"/>
          <w:szCs w:val="24"/>
          <w:rtl/>
        </w:rPr>
        <w:t xml:space="preserve">רשמנו בפנינו את הודעת הנאשם [דרעי </w:t>
      </w:r>
      <w:r w:rsidRPr="0098552C">
        <w:rPr>
          <w:rFonts w:ascii="Century" w:hAnsi="Century" w:cs="Miriam"/>
          <w:b/>
          <w:spacing w:val="0"/>
          <w:sz w:val="22"/>
          <w:szCs w:val="24"/>
          <w:rtl/>
        </w:rPr>
        <w:t>–</w:t>
      </w:r>
      <w:r w:rsidRPr="0098552C">
        <w:rPr>
          <w:rFonts w:ascii="Century" w:hAnsi="Century" w:cs="Miriam" w:hint="cs"/>
          <w:b/>
          <w:spacing w:val="0"/>
          <w:sz w:val="22"/>
          <w:szCs w:val="24"/>
          <w:rtl/>
        </w:rPr>
        <w:t xml:space="preserve"> י' א'] בדבר החלטתו להתפטר מהכנסת ועל כן היועץ המשפטי לממשלה לא טוען בעניין הקלון בפני הערכאה הדיונית</w:t>
      </w:r>
      <w:r>
        <w:rPr>
          <w:rFonts w:hint="cs"/>
          <w:rtl/>
        </w:rPr>
        <w:t xml:space="preserve">" (שם, בסעיף 4). בדיון לפנינו הבהיר בא-כוחו את ההיגיון הטמון בכך ברצונו כי סוגיית הקלון תוכרע במועד רחוק ככל שניתן ממועד ההרשעה וביצוע העבירות (פרו' מיום 5.1.2023, עמ' 25, ש' 19-18). לטעמי זהו שיקול ענייני ולגיטימי. </w:t>
      </w:r>
    </w:p>
    <w:p w14:paraId="737722DF" w14:textId="77777777" w:rsidR="00FD1F6D" w:rsidRDefault="00FD1F6D" w:rsidP="00FD1F6D">
      <w:pPr>
        <w:pStyle w:val="Ruller4"/>
        <w:numPr>
          <w:ilvl w:val="0"/>
          <w:numId w:val="0"/>
        </w:numPr>
        <w:rPr>
          <w:rtl/>
        </w:rPr>
      </w:pPr>
    </w:p>
    <w:p w14:paraId="3C81C0AE" w14:textId="77777777" w:rsidR="00FD1F6D" w:rsidRPr="00A94F91" w:rsidRDefault="00FD1F6D" w:rsidP="00FD1F6D">
      <w:pPr>
        <w:pStyle w:val="Ruller4"/>
      </w:pPr>
      <w:r>
        <w:rPr>
          <w:rFonts w:hint="cs"/>
          <w:rtl/>
        </w:rPr>
        <w:t>עם זאת, מאחר שבית משפט השלום לא נדרש לסוגיית הקלון; והואיל</w:t>
      </w:r>
      <w:r w:rsidRPr="00A94F91">
        <w:rPr>
          <w:rFonts w:hint="cs"/>
          <w:rtl/>
        </w:rPr>
        <w:t xml:space="preserve"> </w:t>
      </w:r>
      <w:r>
        <w:rPr>
          <w:rFonts w:hint="cs"/>
          <w:rtl/>
        </w:rPr>
        <w:t>ו</w:t>
      </w:r>
      <w:r w:rsidRPr="00A94F91">
        <w:rPr>
          <w:rFonts w:hint="cs"/>
          <w:rtl/>
        </w:rPr>
        <w:t xml:space="preserve">אף אני סבור כי </w:t>
      </w:r>
      <w:r>
        <w:rPr>
          <w:rFonts w:hint="cs"/>
          <w:rtl/>
        </w:rPr>
        <w:t xml:space="preserve">המונח "מאסר" שנכלל בנוסח </w:t>
      </w:r>
      <w:r w:rsidRPr="00573D85">
        <w:rPr>
          <w:rFonts w:ascii="Century" w:hAnsi="Century" w:cs="Miriam" w:hint="cs"/>
          <w:b/>
          <w:spacing w:val="0"/>
          <w:sz w:val="22"/>
          <w:szCs w:val="24"/>
          <w:rtl/>
        </w:rPr>
        <w:t>הקודם</w:t>
      </w:r>
      <w:r w:rsidRPr="00B52867">
        <w:rPr>
          <w:rFonts w:hint="cs"/>
          <w:rtl/>
        </w:rPr>
        <w:t xml:space="preserve"> </w:t>
      </w:r>
      <w:r>
        <w:rPr>
          <w:rFonts w:hint="cs"/>
          <w:rtl/>
        </w:rPr>
        <w:t>של סעיף 6(ג)(1) לחוק יסוד הממשלה</w:t>
      </w:r>
      <w:r w:rsidRPr="00A94F91">
        <w:rPr>
          <w:rFonts w:hint="cs"/>
          <w:rtl/>
        </w:rPr>
        <w:t xml:space="preserve"> התייחס גם לעונש </w:t>
      </w:r>
      <w:r>
        <w:rPr>
          <w:rFonts w:hint="cs"/>
          <w:rtl/>
        </w:rPr>
        <w:t xml:space="preserve">של </w:t>
      </w:r>
      <w:r w:rsidRPr="00A94F91">
        <w:rPr>
          <w:rFonts w:hint="cs"/>
          <w:rtl/>
        </w:rPr>
        <w:t>מאסר על תנאי</w:t>
      </w:r>
      <w:r>
        <w:rPr>
          <w:rFonts w:hint="cs"/>
          <w:rtl/>
        </w:rPr>
        <w:t xml:space="preserve">; יוצא כי מינויו של דרעי לשר מותנה בקביעת יו"ר ועדת הבחירות </w:t>
      </w:r>
      <w:r w:rsidRPr="001B1DF4">
        <w:rPr>
          <w:rFonts w:hint="cs"/>
          <w:rtl/>
        </w:rPr>
        <w:t xml:space="preserve">כי </w:t>
      </w:r>
      <w:r w:rsidRPr="001B1DF4">
        <w:rPr>
          <w:rFonts w:hint="eastAsia"/>
          <w:rtl/>
        </w:rPr>
        <w:t>אין</w:t>
      </w:r>
      <w:r w:rsidRPr="001B1DF4">
        <w:rPr>
          <w:rtl/>
        </w:rPr>
        <w:t xml:space="preserve"> </w:t>
      </w:r>
      <w:r w:rsidRPr="001B1DF4">
        <w:rPr>
          <w:rFonts w:hint="eastAsia"/>
          <w:rtl/>
        </w:rPr>
        <w:t>עם</w:t>
      </w:r>
      <w:r w:rsidRPr="001B1DF4">
        <w:rPr>
          <w:rFonts w:hint="cs"/>
          <w:rtl/>
        </w:rPr>
        <w:t xml:space="preserve"> </w:t>
      </w:r>
      <w:r w:rsidRPr="001B1DF4">
        <w:rPr>
          <w:rFonts w:hint="eastAsia"/>
          <w:rtl/>
        </w:rPr>
        <w:t>העביר</w:t>
      </w:r>
      <w:r>
        <w:rPr>
          <w:rFonts w:hint="cs"/>
          <w:rtl/>
        </w:rPr>
        <w:t>ות</w:t>
      </w:r>
      <w:r w:rsidRPr="001B1DF4">
        <w:rPr>
          <w:rtl/>
        </w:rPr>
        <w:t xml:space="preserve"> </w:t>
      </w:r>
      <w:r w:rsidRPr="001B1DF4">
        <w:rPr>
          <w:rFonts w:hint="eastAsia"/>
          <w:rtl/>
        </w:rPr>
        <w:t>שבה</w:t>
      </w:r>
      <w:r>
        <w:rPr>
          <w:rFonts w:hint="cs"/>
          <w:rtl/>
        </w:rPr>
        <w:t>ן</w:t>
      </w:r>
      <w:r w:rsidRPr="001B1DF4">
        <w:rPr>
          <w:rtl/>
        </w:rPr>
        <w:t xml:space="preserve"> </w:t>
      </w:r>
      <w:r w:rsidRPr="001B1DF4">
        <w:rPr>
          <w:rFonts w:hint="eastAsia"/>
          <w:rtl/>
        </w:rPr>
        <w:t>הורשע</w:t>
      </w:r>
      <w:r w:rsidRPr="001B1DF4">
        <w:rPr>
          <w:rtl/>
        </w:rPr>
        <w:t xml:space="preserve">, </w:t>
      </w:r>
      <w:r w:rsidRPr="001B1DF4">
        <w:rPr>
          <w:rFonts w:hint="eastAsia"/>
          <w:rtl/>
        </w:rPr>
        <w:t>בנסיבות</w:t>
      </w:r>
      <w:r w:rsidRPr="001B1DF4">
        <w:rPr>
          <w:rtl/>
        </w:rPr>
        <w:t xml:space="preserve"> </w:t>
      </w:r>
      <w:r w:rsidRPr="001B1DF4">
        <w:rPr>
          <w:rFonts w:hint="eastAsia"/>
          <w:rtl/>
        </w:rPr>
        <w:t>הענין</w:t>
      </w:r>
      <w:r w:rsidRPr="001B1DF4">
        <w:rPr>
          <w:rtl/>
        </w:rPr>
        <w:t xml:space="preserve">, </w:t>
      </w:r>
      <w:r w:rsidRPr="001B1DF4">
        <w:rPr>
          <w:rFonts w:hint="eastAsia"/>
          <w:rtl/>
        </w:rPr>
        <w:t>משום</w:t>
      </w:r>
      <w:r w:rsidRPr="001B1DF4">
        <w:rPr>
          <w:rtl/>
        </w:rPr>
        <w:t xml:space="preserve"> </w:t>
      </w:r>
      <w:r w:rsidRPr="001B1DF4">
        <w:rPr>
          <w:rFonts w:hint="eastAsia"/>
          <w:rtl/>
        </w:rPr>
        <w:t>קלון</w:t>
      </w:r>
      <w:r>
        <w:rPr>
          <w:rFonts w:hint="cs"/>
          <w:rtl/>
        </w:rPr>
        <w:t>.</w:t>
      </w:r>
      <w:r w:rsidRPr="00A94F91">
        <w:rPr>
          <w:rFonts w:hint="cs"/>
          <w:rtl/>
        </w:rPr>
        <w:t xml:space="preserve"> </w:t>
      </w:r>
    </w:p>
    <w:p w14:paraId="58C9B896" w14:textId="77777777" w:rsidR="00FD1F6D" w:rsidRPr="004C6872" w:rsidRDefault="00FD1F6D" w:rsidP="00FD1F6D">
      <w:pPr>
        <w:pStyle w:val="Ruller4"/>
        <w:numPr>
          <w:ilvl w:val="0"/>
          <w:numId w:val="0"/>
        </w:numPr>
        <w:rPr>
          <w:rtl/>
        </w:rPr>
      </w:pPr>
    </w:p>
    <w:p w14:paraId="4DBB497A" w14:textId="77777777" w:rsidR="00FD1F6D" w:rsidRDefault="00FD1F6D" w:rsidP="00FD1F6D">
      <w:pPr>
        <w:pStyle w:val="Ruller4"/>
        <w:numPr>
          <w:ilvl w:val="0"/>
          <w:numId w:val="0"/>
        </w:numPr>
        <w:rPr>
          <w:rtl/>
        </w:rPr>
      </w:pPr>
      <w:r>
        <w:rPr>
          <w:rtl/>
        </w:rPr>
        <w:tab/>
      </w:r>
      <w:r>
        <w:rPr>
          <w:rFonts w:hint="cs"/>
          <w:rtl/>
        </w:rPr>
        <w:t>נקודת הזמן הבאה על ציר הזמן הנדרשת לענייננו היא פניית בא-כוח השר דרעי</w:t>
      </w:r>
      <w:r w:rsidRPr="009C3746">
        <w:rPr>
          <w:rFonts w:hint="cs"/>
          <w:rtl/>
        </w:rPr>
        <w:t xml:space="preserve"> </w:t>
      </w:r>
      <w:r>
        <w:rPr>
          <w:rFonts w:hint="cs"/>
          <w:rtl/>
        </w:rPr>
        <w:t>לח"כ נתניהו בסוגיית "</w:t>
      </w:r>
      <w:r w:rsidRPr="00091E64">
        <w:rPr>
          <w:rFonts w:ascii="Century" w:hAnsi="Century" w:cs="Miriam" w:hint="cs"/>
          <w:b/>
          <w:spacing w:val="0"/>
          <w:sz w:val="22"/>
          <w:szCs w:val="24"/>
          <w:rtl/>
        </w:rPr>
        <w:t>כשירות וסבירות מינויו</w:t>
      </w:r>
      <w:r>
        <w:rPr>
          <w:rFonts w:hint="cs"/>
          <w:rtl/>
        </w:rPr>
        <w:t>" לתפקיד שר בממשלה. פנייה זו נעשתה ביום 11.11.2022, ובטרם הטיל נשיא המדינה על ח״כ נתניהו את מלאכת הרכבת הממשלה. חוות דעתו של בא-כוח דרעי, שלפיה אין מניעה למנותו לכהונת שר, הועברה על ידי ראש הסגל של ח"כ נתניהו ליועצת המשפטית לממשלה</w:t>
      </w:r>
      <w:r w:rsidRPr="00D51B09">
        <w:rPr>
          <w:rFonts w:hint="cs"/>
          <w:rtl/>
        </w:rPr>
        <w:t xml:space="preserve"> </w:t>
      </w:r>
      <w:r>
        <w:rPr>
          <w:rFonts w:hint="cs"/>
          <w:rtl/>
        </w:rPr>
        <w:t>ביום 13.11.2022.</w:t>
      </w:r>
    </w:p>
    <w:p w14:paraId="24FEB83F" w14:textId="77777777" w:rsidR="00FD1F6D" w:rsidRDefault="00FD1F6D" w:rsidP="00FD1F6D">
      <w:pPr>
        <w:pStyle w:val="Ruller4"/>
        <w:numPr>
          <w:ilvl w:val="0"/>
          <w:numId w:val="0"/>
        </w:numPr>
        <w:rPr>
          <w:rtl/>
        </w:rPr>
      </w:pPr>
    </w:p>
    <w:p w14:paraId="5AEF0414" w14:textId="77777777" w:rsidR="00FD1F6D" w:rsidRDefault="00FD1F6D" w:rsidP="00FD1F6D">
      <w:pPr>
        <w:pStyle w:val="Ruller4"/>
        <w:numPr>
          <w:ilvl w:val="0"/>
          <w:numId w:val="0"/>
        </w:numPr>
        <w:rPr>
          <w:rtl/>
        </w:rPr>
      </w:pPr>
      <w:r>
        <w:rPr>
          <w:rtl/>
        </w:rPr>
        <w:tab/>
      </w:r>
      <w:r>
        <w:rPr>
          <w:rFonts w:hint="cs"/>
          <w:rtl/>
        </w:rPr>
        <w:t>ביום 17.11.2022, השיבה היועצת המשפטית לממשלה, ובתוך כך הבהירה "</w:t>
      </w:r>
      <w:r w:rsidRPr="00296A57">
        <w:rPr>
          <w:rFonts w:ascii="Century" w:hAnsi="Century" w:cs="Miriam" w:hint="cs"/>
          <w:b/>
          <w:spacing w:val="0"/>
          <w:sz w:val="22"/>
          <w:szCs w:val="24"/>
          <w:rtl/>
        </w:rPr>
        <w:t xml:space="preserve">על מנת למנות את חה"כ דרעי לכהן כשר בממשלה, יש לפעול בהתאם לאמור בסעיף 6(ג) לחוק יסוד: הממשלה, וקודם למינוי להגיש ליו"ר ועדת הבחירות המרכזית בקשה לפי סעיף 3 לחוק </w:t>
      </w:r>
      <w:r w:rsidRPr="00296A57">
        <w:rPr>
          <w:rFonts w:ascii="Century" w:hAnsi="Century" w:cs="Miriam" w:hint="cs"/>
          <w:b/>
          <w:spacing w:val="0"/>
          <w:sz w:val="22"/>
          <w:szCs w:val="24"/>
          <w:rtl/>
        </w:rPr>
        <w:lastRenderedPageBreak/>
        <w:t>הממשלה, התשס"א-2001. זאת, על מנת שיקבע האם בעבירה שב</w:t>
      </w:r>
      <w:r>
        <w:rPr>
          <w:rFonts w:ascii="Century" w:hAnsi="Century" w:cs="Miriam" w:hint="cs"/>
          <w:b/>
          <w:spacing w:val="0"/>
          <w:sz w:val="22"/>
          <w:szCs w:val="24"/>
          <w:rtl/>
        </w:rPr>
        <w:t>ה</w:t>
      </w:r>
      <w:r w:rsidRPr="00296A57">
        <w:rPr>
          <w:rFonts w:ascii="Century" w:hAnsi="Century" w:cs="Miriam" w:hint="cs"/>
          <w:b/>
          <w:spacing w:val="0"/>
          <w:sz w:val="22"/>
          <w:szCs w:val="24"/>
          <w:rtl/>
        </w:rPr>
        <w:t xml:space="preserve"> הורשע, בנסיבות העניין, יש מ</w:t>
      </w:r>
      <w:r>
        <w:rPr>
          <w:rFonts w:ascii="Century" w:hAnsi="Century" w:cs="Miriam" w:hint="cs"/>
          <w:b/>
          <w:spacing w:val="0"/>
          <w:sz w:val="22"/>
          <w:szCs w:val="24"/>
          <w:rtl/>
        </w:rPr>
        <w:t>ש</w:t>
      </w:r>
      <w:r w:rsidRPr="00296A57">
        <w:rPr>
          <w:rFonts w:ascii="Century" w:hAnsi="Century" w:cs="Miriam" w:hint="cs"/>
          <w:b/>
          <w:spacing w:val="0"/>
          <w:sz w:val="22"/>
          <w:szCs w:val="24"/>
          <w:rtl/>
        </w:rPr>
        <w:t>ום קלון</w:t>
      </w:r>
      <w:r>
        <w:rPr>
          <w:rFonts w:hint="cs"/>
          <w:rtl/>
        </w:rPr>
        <w:t xml:space="preserve">". </w:t>
      </w:r>
    </w:p>
    <w:p w14:paraId="1E7C6024" w14:textId="77777777" w:rsidR="00FD1F6D" w:rsidRDefault="00FD1F6D" w:rsidP="00FD1F6D">
      <w:pPr>
        <w:pStyle w:val="Ruller4"/>
        <w:numPr>
          <w:ilvl w:val="0"/>
          <w:numId w:val="0"/>
        </w:numPr>
        <w:rPr>
          <w:rtl/>
        </w:rPr>
      </w:pPr>
    </w:p>
    <w:p w14:paraId="2480F5A2" w14:textId="77777777" w:rsidR="00FD1F6D" w:rsidRDefault="00FD1F6D" w:rsidP="00FD1F6D">
      <w:pPr>
        <w:pStyle w:val="Ruller4"/>
        <w:numPr>
          <w:ilvl w:val="0"/>
          <w:numId w:val="0"/>
        </w:numPr>
        <w:rPr>
          <w:rtl/>
        </w:rPr>
      </w:pPr>
      <w:r>
        <w:rPr>
          <w:rtl/>
        </w:rPr>
        <w:tab/>
      </w:r>
      <w:r>
        <w:rPr>
          <w:rFonts w:hint="cs"/>
          <w:rtl/>
        </w:rPr>
        <w:t>בתשובה מטעם ראש הממשלה שהוגשה בהליך זה, נכתב כי "</w:t>
      </w:r>
      <w:r w:rsidRPr="00F26BDE">
        <w:rPr>
          <w:rFonts w:ascii="Century" w:hAnsi="Century" w:cs="Miriam" w:hint="cs"/>
          <w:b/>
          <w:spacing w:val="0"/>
          <w:sz w:val="22"/>
          <w:szCs w:val="24"/>
          <w:rtl/>
        </w:rPr>
        <w:t>[...]</w:t>
      </w:r>
      <w:r>
        <w:rPr>
          <w:rFonts w:hint="cs"/>
          <w:rtl/>
        </w:rPr>
        <w:t xml:space="preserve"> </w:t>
      </w:r>
      <w:r w:rsidRPr="00296A57">
        <w:rPr>
          <w:rFonts w:ascii="Century" w:hAnsi="Century" w:cs="Miriam" w:hint="cs"/>
          <w:b/>
          <w:spacing w:val="0"/>
          <w:sz w:val="22"/>
          <w:szCs w:val="24"/>
          <w:rtl/>
        </w:rPr>
        <w:t>היועצת המשפטית לממשלה הנכבדה הסבה את תשומת לב ראש הממשלה לבעיה שהייתה לשיטתה בכשירות המינוי. בעיה שחייבה לשיטתה פניה ליו"ר וועדת הבחירות</w:t>
      </w:r>
      <w:r>
        <w:rPr>
          <w:rFonts w:hint="cs"/>
          <w:rtl/>
        </w:rPr>
        <w:t xml:space="preserve">" (סעיף 85 לתשובה מטעם ראש הממשלה לצווים על תנאי). ראוי לציין גם את פניית העותרת בבג"ץ 8949/22 לח"כ נתניהו, למחרת היום שבו הוטלה עליו מלאכת הרכבת הממשלה. בפנייה זו ביקשה כי יפעל לפי סעיף 3 לחוק הממשלה ויפנה ליו"ר ועדת הבחירות בנדון. </w:t>
      </w:r>
    </w:p>
    <w:p w14:paraId="025C164E" w14:textId="77777777" w:rsidR="00FD1F6D" w:rsidRDefault="00FD1F6D" w:rsidP="00FD1F6D">
      <w:pPr>
        <w:pStyle w:val="Ruller4"/>
        <w:numPr>
          <w:ilvl w:val="0"/>
          <w:numId w:val="0"/>
        </w:numPr>
        <w:rPr>
          <w:rtl/>
        </w:rPr>
      </w:pPr>
    </w:p>
    <w:p w14:paraId="21D068A2" w14:textId="77777777" w:rsidR="00FD1F6D" w:rsidRDefault="00FD1F6D" w:rsidP="00FD1F6D">
      <w:pPr>
        <w:pStyle w:val="Ruller4"/>
        <w:rPr>
          <w:rtl/>
        </w:rPr>
      </w:pPr>
      <w:r>
        <w:rPr>
          <w:rFonts w:hint="cs"/>
          <w:rtl/>
        </w:rPr>
        <w:t>אם היה ספק האם ראש הממשלה נסוג מכוונתו למנות את דרעי לכהונת שר לאור הקושי שהוצג בעמדת היועצת המשפטית לממשלה, הרי שספק זה הוסר גם לנוכח ההסכם שנחתם ביום 7.12.2022 בין סיעת הליכוד לסיעת ש"ס. לפי הסכם זה דרעי יכהן במחצית הראשונה של כהונת הממשלה ה-37 בתור שר הפנים ושר הבריאות, ובמחצית השניה לכהונת הממשלה בתור שר האוצר. הסכם זה נחתם כ-</w:t>
      </w:r>
      <w:r w:rsidRPr="00FA7C7D">
        <w:rPr>
          <w:rFonts w:ascii="Century" w:hAnsi="Century" w:cs="Miriam" w:hint="cs"/>
          <w:b/>
          <w:spacing w:val="0"/>
          <w:sz w:val="22"/>
          <w:szCs w:val="24"/>
          <w:rtl/>
        </w:rPr>
        <w:t>20</w:t>
      </w:r>
      <w:r w:rsidRPr="00FA7C7D">
        <w:rPr>
          <w:rFonts w:hint="cs"/>
          <w:rtl/>
        </w:rPr>
        <w:t xml:space="preserve"> </w:t>
      </w:r>
      <w:r>
        <w:rPr>
          <w:rFonts w:hint="cs"/>
          <w:rtl/>
        </w:rPr>
        <w:t xml:space="preserve">יום עובר לתחילת התיקון לחוק היסוד. </w:t>
      </w:r>
    </w:p>
    <w:p w14:paraId="534ACE78" w14:textId="77777777" w:rsidR="00FD1F6D" w:rsidRDefault="00FD1F6D" w:rsidP="00FD1F6D">
      <w:pPr>
        <w:pStyle w:val="Ruller4"/>
        <w:numPr>
          <w:ilvl w:val="0"/>
          <w:numId w:val="0"/>
        </w:numPr>
        <w:rPr>
          <w:rtl/>
        </w:rPr>
      </w:pPr>
    </w:p>
    <w:p w14:paraId="77DFA43D" w14:textId="77777777" w:rsidR="00FD1F6D" w:rsidRPr="00447E27" w:rsidRDefault="00FD1F6D" w:rsidP="00FD1F6D">
      <w:pPr>
        <w:pStyle w:val="Ruller4"/>
        <w:rPr>
          <w:rtl/>
        </w:rPr>
      </w:pPr>
      <w:r>
        <w:rPr>
          <w:rFonts w:hint="cs"/>
          <w:rtl/>
        </w:rPr>
        <w:t xml:space="preserve">נוסף על כל זאת, דומה שאין חולק כי אפשרות מינויו של השר דרעי לתפקיד שר בממשלה עמדה על הפרק לכל אורך הליך הבחירות. טענה זו היא מטענות הדגל של השר דרעי עצמו ושל מפלגת ש"ס אשר נשמעו בהליכים שלפנינו. לאור תוצאות הבחירות לכנסת ה-25, וכמובן שלאחר שנשיא המדינה הטיל על ח"כ נתניהו את תפקיד הרכבת הממשלה </w:t>
      </w:r>
      <w:r w:rsidRPr="00583746">
        <w:rPr>
          <w:rFonts w:hint="cs"/>
          <w:rtl/>
        </w:rPr>
        <w:t>מועמדותו</w:t>
      </w:r>
      <w:r w:rsidRPr="00CE28D6">
        <w:rPr>
          <w:rFonts w:hint="cs"/>
          <w:rtl/>
        </w:rPr>
        <w:t xml:space="preserve"> </w:t>
      </w:r>
      <w:r>
        <w:rPr>
          <w:rFonts w:hint="cs"/>
          <w:rtl/>
        </w:rPr>
        <w:t>של דרעי לכהן כשר הייתה ברורה וגלויה.</w:t>
      </w:r>
    </w:p>
    <w:p w14:paraId="59AC9F69" w14:textId="77777777" w:rsidR="00FD1F6D" w:rsidRDefault="00FD1F6D" w:rsidP="00FD1F6D">
      <w:pPr>
        <w:pStyle w:val="Ruller4"/>
        <w:numPr>
          <w:ilvl w:val="0"/>
          <w:numId w:val="0"/>
        </w:numPr>
        <w:rPr>
          <w:rtl/>
        </w:rPr>
      </w:pPr>
    </w:p>
    <w:p w14:paraId="4E6C64AC" w14:textId="77777777" w:rsidR="00FD1F6D" w:rsidRDefault="00FD1F6D" w:rsidP="00FD1F6D">
      <w:pPr>
        <w:pStyle w:val="Ruller4"/>
      </w:pPr>
      <w:r>
        <w:rPr>
          <w:rFonts w:hint="cs"/>
          <w:rtl/>
        </w:rPr>
        <w:t xml:space="preserve">הנה כי כן, סוגיית כשירותו של השר דרעי והצורך לפנות ליו״ר ועדת הבחירות בהתאם למצב המשפטי שחל עובר לתיקון חוק היסוד, הונחה לפתחו של ראש הממשלה במלוא עוזה. חובתו לפעול לפי סעיף 3 לחוק </w:t>
      </w:r>
      <w:r w:rsidRPr="001F2D9D">
        <w:rPr>
          <w:rFonts w:hint="cs"/>
          <w:rtl/>
        </w:rPr>
        <w:t>הממשלה</w:t>
      </w:r>
      <w:r>
        <w:rPr>
          <w:rFonts w:hint="cs"/>
          <w:rtl/>
        </w:rPr>
        <w:t xml:space="preserve"> התעוררה גם לנוכח פניותיהם של גורמים חיצוניים כי יפעיל את הסמכות אשר יוחדה לו </w:t>
      </w:r>
      <w:r w:rsidRPr="001F2D9D">
        <w:rPr>
          <w:rFonts w:hint="cs"/>
          <w:rtl/>
        </w:rPr>
        <w:t>(</w:t>
      </w:r>
      <w:r w:rsidRPr="001F2D9D">
        <w:rPr>
          <w:rtl/>
        </w:rPr>
        <w:t xml:space="preserve">יצחק זמיר </w:t>
      </w:r>
      <w:r w:rsidRPr="0020229A">
        <w:rPr>
          <w:rFonts w:ascii="Century" w:hAnsi="Century" w:cs="Miriam"/>
          <w:b/>
          <w:spacing w:val="0"/>
          <w:sz w:val="22"/>
          <w:szCs w:val="24"/>
          <w:rtl/>
        </w:rPr>
        <w:t>הסמכות המינהלית</w:t>
      </w:r>
      <w:r w:rsidRPr="00F478F8">
        <w:rPr>
          <w:rtl/>
        </w:rPr>
        <w:t> </w:t>
      </w:r>
      <w:r w:rsidRPr="001F2D9D">
        <w:rPr>
          <w:rFonts w:hint="cs"/>
          <w:rtl/>
        </w:rPr>
        <w:t>692 (</w:t>
      </w:r>
      <w:r>
        <w:rPr>
          <w:rFonts w:hint="cs"/>
          <w:rtl/>
        </w:rPr>
        <w:t xml:space="preserve">מהדורה ראשונה, </w:t>
      </w:r>
      <w:r w:rsidRPr="001F2D9D">
        <w:rPr>
          <w:rtl/>
        </w:rPr>
        <w:t>1996</w:t>
      </w:r>
      <w:r>
        <w:rPr>
          <w:rFonts w:hint="cs"/>
          <w:rtl/>
        </w:rPr>
        <w:t>)).</w:t>
      </w:r>
    </w:p>
    <w:p w14:paraId="2F5EF90C" w14:textId="77777777" w:rsidR="00FD1F6D" w:rsidRDefault="00FD1F6D" w:rsidP="00FD1F6D">
      <w:pPr>
        <w:pStyle w:val="Ruller4"/>
        <w:numPr>
          <w:ilvl w:val="0"/>
          <w:numId w:val="0"/>
        </w:numPr>
        <w:rPr>
          <w:rtl/>
        </w:rPr>
      </w:pPr>
    </w:p>
    <w:p w14:paraId="6984FDAD" w14:textId="77777777" w:rsidR="00FD1F6D" w:rsidRDefault="00FD1F6D" w:rsidP="00FD1F6D">
      <w:pPr>
        <w:pStyle w:val="Ruller4"/>
        <w:numPr>
          <w:ilvl w:val="0"/>
          <w:numId w:val="0"/>
        </w:numPr>
        <w:rPr>
          <w:rtl/>
        </w:rPr>
      </w:pPr>
      <w:r>
        <w:rPr>
          <w:rtl/>
        </w:rPr>
        <w:tab/>
      </w:r>
      <w:r>
        <w:rPr>
          <w:rFonts w:hint="cs"/>
          <w:rtl/>
        </w:rPr>
        <w:t xml:space="preserve">את </w:t>
      </w:r>
      <w:r w:rsidRPr="001F2D9D">
        <w:rPr>
          <w:rFonts w:hint="cs"/>
          <w:rtl/>
        </w:rPr>
        <w:t>סירוב</w:t>
      </w:r>
      <w:r>
        <w:rPr>
          <w:rFonts w:hint="cs"/>
          <w:rtl/>
        </w:rPr>
        <w:t>ו</w:t>
      </w:r>
      <w:r w:rsidRPr="001F2D9D">
        <w:rPr>
          <w:rFonts w:hint="cs"/>
          <w:rtl/>
        </w:rPr>
        <w:t xml:space="preserve"> לפעול, במפורש או </w:t>
      </w:r>
      <w:r>
        <w:rPr>
          <w:rFonts w:hint="cs"/>
          <w:rtl/>
        </w:rPr>
        <w:t>ב</w:t>
      </w:r>
      <w:r w:rsidRPr="001F2D9D">
        <w:rPr>
          <w:rFonts w:hint="cs"/>
          <w:rtl/>
        </w:rPr>
        <w:t>משתמ</w:t>
      </w:r>
      <w:r>
        <w:rPr>
          <w:rFonts w:hint="cs"/>
          <w:rtl/>
        </w:rPr>
        <w:t>ע, יש לראות כהחלטה שלא לעשות שימוש בסמכותו האמורה (שם, בעמוד 707), וכבר נפסק כי לעניין מידת</w:t>
      </w:r>
      <w:r w:rsidRPr="00077DD4">
        <w:rPr>
          <w:rFonts w:hint="cs"/>
          <w:rtl/>
        </w:rPr>
        <w:t xml:space="preserve"> הביקורת השיפוטית </w:t>
      </w:r>
      <w:r w:rsidRPr="00077DD4">
        <w:rPr>
          <w:rtl/>
        </w:rPr>
        <w:t>"</w:t>
      </w:r>
      <w:r w:rsidRPr="0020229A">
        <w:rPr>
          <w:rFonts w:ascii="Century" w:hAnsi="Century" w:cs="Miriam"/>
          <w:b/>
          <w:spacing w:val="0"/>
          <w:sz w:val="22"/>
          <w:szCs w:val="24"/>
          <w:rtl/>
        </w:rPr>
        <w:t>אין הבדל משמעותי בין הפעלת הסמכות לבין הימנעות מהפעלתה</w:t>
      </w:r>
      <w:r>
        <w:rPr>
          <w:rFonts w:hint="cs"/>
          <w:rtl/>
        </w:rPr>
        <w:t>"</w:t>
      </w:r>
      <w:r w:rsidRPr="00077DD4">
        <w:rPr>
          <w:rFonts w:hint="cs"/>
          <w:rtl/>
        </w:rPr>
        <w:t xml:space="preserve"> </w:t>
      </w:r>
      <w:r>
        <w:rPr>
          <w:rFonts w:hint="cs"/>
          <w:rtl/>
        </w:rPr>
        <w:t>(</w:t>
      </w:r>
      <w:r w:rsidRPr="00077DD4">
        <w:rPr>
          <w:rtl/>
        </w:rPr>
        <w:t>בג"ץ 3059/15 </w:t>
      </w:r>
      <w:r w:rsidRPr="0020229A">
        <w:rPr>
          <w:rFonts w:ascii="Century" w:hAnsi="Century" w:cs="Miriam"/>
          <w:b/>
          <w:spacing w:val="0"/>
          <w:sz w:val="22"/>
          <w:szCs w:val="24"/>
          <w:rtl/>
        </w:rPr>
        <w:t>התנועה למען איכות השלטון בישראל נ' בנימין נתניהו, ראש ממשלת ישראל</w:t>
      </w:r>
      <w:r>
        <w:rPr>
          <w:rFonts w:hint="cs"/>
          <w:rtl/>
        </w:rPr>
        <w:t xml:space="preserve">, פסקה 21 </w:t>
      </w:r>
      <w:r w:rsidRPr="00077DD4">
        <w:rPr>
          <w:rtl/>
        </w:rPr>
        <w:t>(10.11.2015)‏</w:t>
      </w:r>
      <w:r>
        <w:rPr>
          <w:rFonts w:hint="cs"/>
          <w:rtl/>
        </w:rPr>
        <w:t xml:space="preserve"> (להלן: עניין </w:t>
      </w:r>
      <w:proofErr w:type="spellStart"/>
      <w:r w:rsidRPr="00CF6A93">
        <w:rPr>
          <w:rFonts w:ascii="Century" w:hAnsi="Century" w:cs="Miriam" w:hint="cs"/>
          <w:b/>
          <w:spacing w:val="0"/>
          <w:sz w:val="22"/>
          <w:szCs w:val="24"/>
          <w:rtl/>
        </w:rPr>
        <w:t>גלנט</w:t>
      </w:r>
      <w:proofErr w:type="spellEnd"/>
      <w:r>
        <w:rPr>
          <w:rFonts w:hint="cs"/>
          <w:rtl/>
        </w:rPr>
        <w:t>))</w:t>
      </w:r>
      <w:r w:rsidRPr="00077DD4">
        <w:rPr>
          <w:rFonts w:hint="cs"/>
          <w:rtl/>
        </w:rPr>
        <w:t>.</w:t>
      </w:r>
      <w:r>
        <w:rPr>
          <w:rFonts w:hint="cs"/>
          <w:rtl/>
        </w:rPr>
        <w:t xml:space="preserve"> </w:t>
      </w:r>
    </w:p>
    <w:p w14:paraId="2E04B828" w14:textId="77777777" w:rsidR="00FD1F6D" w:rsidRPr="0020229A" w:rsidRDefault="00FD1F6D" w:rsidP="00FD1F6D">
      <w:pPr>
        <w:pStyle w:val="Ruller41"/>
        <w:rPr>
          <w:rtl/>
        </w:rPr>
      </w:pPr>
    </w:p>
    <w:p w14:paraId="06199600" w14:textId="77777777" w:rsidR="00FD1F6D" w:rsidRDefault="00FD1F6D" w:rsidP="00FD1F6D">
      <w:pPr>
        <w:pStyle w:val="Ruller4"/>
        <w:numPr>
          <w:ilvl w:val="0"/>
          <w:numId w:val="0"/>
        </w:numPr>
        <w:rPr>
          <w:rtl/>
        </w:rPr>
      </w:pPr>
      <w:r>
        <w:rPr>
          <w:rtl/>
        </w:rPr>
        <w:tab/>
      </w:r>
      <w:r>
        <w:rPr>
          <w:rFonts w:hint="cs"/>
          <w:rtl/>
        </w:rPr>
        <w:t>ככלל, נראה כי אין להוציא מכלל אפשרות כי ייתכנו מקרים שבהם העיתוי המדויק לעריכת הפנייה ליו"ר ועדת הבחירות יושפע משיקולים לגיטימיים, כגון אילוצים פוליטיים כאלו ואחרים. עם זאת, בנסיבות הקיימות, הימנעות מפנייה עד לשינוי החוק אינו שיקול שכזה. שיקול כזה הוא זר לתכלית לשמה ניתנה לחבר הכנסת שעליו הוטל להרכיב את הממשלה הסמכות לפנות ליו"ר ועדת הבחירות. סמכות זו לא ניתנה על מנת למנוע בירור בעניין קלון על ידי יו"ר ועדת הבחירות אלא על מנת ליזום אותו בעיתוי המתאים.</w:t>
      </w:r>
      <w:r w:rsidRPr="0062146B">
        <w:rPr>
          <w:rFonts w:hint="cs"/>
          <w:rtl/>
        </w:rPr>
        <w:t xml:space="preserve"> </w:t>
      </w:r>
    </w:p>
    <w:p w14:paraId="1E9C2BB5" w14:textId="77777777" w:rsidR="00FD1F6D" w:rsidRPr="00AB3589" w:rsidRDefault="00FD1F6D" w:rsidP="00FD1F6D">
      <w:pPr>
        <w:pStyle w:val="Ruller4"/>
        <w:numPr>
          <w:ilvl w:val="0"/>
          <w:numId w:val="0"/>
        </w:numPr>
        <w:rPr>
          <w:rtl/>
        </w:rPr>
      </w:pPr>
    </w:p>
    <w:p w14:paraId="684590F3" w14:textId="77777777" w:rsidR="00FD1F6D" w:rsidRDefault="00FD1F6D" w:rsidP="00FD1F6D">
      <w:pPr>
        <w:pStyle w:val="Ruller4"/>
        <w:numPr>
          <w:ilvl w:val="0"/>
          <w:numId w:val="0"/>
        </w:numPr>
        <w:rPr>
          <w:rtl/>
        </w:rPr>
      </w:pPr>
      <w:r>
        <w:rPr>
          <w:rtl/>
        </w:rPr>
        <w:tab/>
      </w:r>
      <w:r>
        <w:rPr>
          <w:rFonts w:hint="cs"/>
          <w:rtl/>
        </w:rPr>
        <w:t>יש להדגיש, כי גם כאשר סוגיה זו הועלתה בדיון לפנינו לא הוצג הסבר של ממש</w:t>
      </w:r>
      <w:r w:rsidRPr="00077DD4">
        <w:rPr>
          <w:rFonts w:hint="cs"/>
          <w:rtl/>
        </w:rPr>
        <w:t xml:space="preserve"> להעדר הפני</w:t>
      </w:r>
      <w:r>
        <w:rPr>
          <w:rFonts w:hint="cs"/>
          <w:rtl/>
        </w:rPr>
        <w:t>י</w:t>
      </w:r>
      <w:r w:rsidRPr="00077DD4">
        <w:rPr>
          <w:rFonts w:hint="cs"/>
          <w:rtl/>
        </w:rPr>
        <w:t xml:space="preserve">ה </w:t>
      </w:r>
      <w:r>
        <w:rPr>
          <w:rFonts w:hint="cs"/>
          <w:rtl/>
        </w:rPr>
        <w:t xml:space="preserve">ליו"ר ועדת הבחירות באותה העת. בא-כוח השר דרעי אף הצר על כך שלא נבחר מסלול הפנייה ליו"ר ועדת הבחירות, חלף תיקון חוק היסוד. בד בבד, הנימוק האפשרי שהעלה לבחירה בנתיב תיקון החוק </w:t>
      </w:r>
      <w:r>
        <w:rPr>
          <w:rtl/>
        </w:rPr>
        <w:t>–</w:t>
      </w:r>
      <w:r>
        <w:rPr>
          <w:rFonts w:hint="cs"/>
          <w:rtl/>
        </w:rPr>
        <w:t xml:space="preserve"> משך הזמן שייקח להכרעה בסוגיה הקלון בעוד שהמעורבים רצו לפעול להקמת הממשלה מוקדם ככל שניתן </w:t>
      </w:r>
      <w:r>
        <w:rPr>
          <w:rtl/>
        </w:rPr>
        <w:t>–</w:t>
      </w:r>
      <w:r>
        <w:rPr>
          <w:rFonts w:hint="cs"/>
          <w:rtl/>
        </w:rPr>
        <w:t xml:space="preserve"> ספק אם משכנע בנסיבות שלפנינו. אם כבר, נימוק זה מבליט עוד יותר כי נדרש היה לפנות ליו"ר ועדת הבחירות בסמוך לאחר שהוטלה על ח"כ נתניהו מלאכת הרכבת הממשלה.</w:t>
      </w:r>
    </w:p>
    <w:p w14:paraId="4FD69E15" w14:textId="77777777" w:rsidR="00FD1F6D" w:rsidRDefault="00FD1F6D" w:rsidP="00FD1F6D">
      <w:pPr>
        <w:pStyle w:val="Ruller41"/>
        <w:rPr>
          <w:rtl/>
        </w:rPr>
      </w:pPr>
    </w:p>
    <w:p w14:paraId="777B635E" w14:textId="77777777" w:rsidR="00FD1F6D" w:rsidRPr="0087467E" w:rsidRDefault="00FD1F6D" w:rsidP="00FD1F6D">
      <w:pPr>
        <w:pStyle w:val="Ruller4"/>
        <w:rPr>
          <w:rtl/>
        </w:rPr>
      </w:pPr>
      <w:r>
        <w:rPr>
          <w:rFonts w:hint="cs"/>
          <w:rtl/>
        </w:rPr>
        <w:t xml:space="preserve">מן המפורט לעיל, ואף מבלי להידרש לסוגיית מעמדה של תשובת היועצת המשפטית לממשלה מיום 17.11.2022, עולה כי נפל פגם בהחלטה שלא לפנות ליו"ר ועדת הבחירות. עם זאת, כפי שארחיב כעת, השלכותיו של פגם זה עומעמו במידה מסוימת נוכח תיקון חוק היסוד. </w:t>
      </w:r>
    </w:p>
    <w:p w14:paraId="53A001E3" w14:textId="77777777" w:rsidR="00FD1F6D" w:rsidRDefault="00FD1F6D" w:rsidP="00FD1F6D">
      <w:pPr>
        <w:pStyle w:val="Ruller41"/>
        <w:rPr>
          <w:rtl/>
        </w:rPr>
      </w:pPr>
    </w:p>
    <w:p w14:paraId="3C753B4E" w14:textId="77777777" w:rsidR="00FD1F6D" w:rsidRPr="005269F2" w:rsidRDefault="00FD1F6D" w:rsidP="00FD1F6D">
      <w:pPr>
        <w:pStyle w:val="Ruller4"/>
        <w:numPr>
          <w:ilvl w:val="0"/>
          <w:numId w:val="0"/>
        </w:numPr>
        <w:rPr>
          <w:rFonts w:ascii="Century" w:hAnsi="Century" w:cs="Miriam"/>
          <w:b/>
          <w:spacing w:val="0"/>
          <w:sz w:val="22"/>
          <w:szCs w:val="24"/>
          <w:rtl/>
        </w:rPr>
      </w:pPr>
      <w:r>
        <w:rPr>
          <w:rFonts w:ascii="Century" w:hAnsi="Century" w:cs="Miriam" w:hint="cs"/>
          <w:b/>
          <w:spacing w:val="0"/>
          <w:sz w:val="22"/>
          <w:szCs w:val="24"/>
          <w:rtl/>
        </w:rPr>
        <w:t xml:space="preserve">תחילת ותחולת </w:t>
      </w:r>
      <w:r w:rsidRPr="005269F2">
        <w:rPr>
          <w:rFonts w:ascii="Century" w:hAnsi="Century" w:cs="Miriam" w:hint="cs"/>
          <w:b/>
          <w:spacing w:val="0"/>
          <w:sz w:val="22"/>
          <w:szCs w:val="24"/>
          <w:rtl/>
        </w:rPr>
        <w:t>תיקון חוק היסוד</w:t>
      </w:r>
      <w:r>
        <w:rPr>
          <w:rFonts w:ascii="Century" w:hAnsi="Century" w:cs="Miriam" w:hint="cs"/>
          <w:b/>
          <w:spacing w:val="0"/>
          <w:sz w:val="22"/>
          <w:szCs w:val="24"/>
          <w:rtl/>
        </w:rPr>
        <w:t xml:space="preserve"> והשלכותיו</w:t>
      </w:r>
      <w:r w:rsidRPr="005269F2">
        <w:rPr>
          <w:rFonts w:ascii="Century" w:hAnsi="Century" w:cs="Miriam" w:hint="cs"/>
          <w:b/>
          <w:spacing w:val="0"/>
          <w:sz w:val="22"/>
          <w:szCs w:val="24"/>
          <w:rtl/>
        </w:rPr>
        <w:t xml:space="preserve"> </w:t>
      </w:r>
    </w:p>
    <w:p w14:paraId="7870F101" w14:textId="77777777" w:rsidR="00FD1F6D" w:rsidRPr="005269F2" w:rsidRDefault="00FD1F6D" w:rsidP="00FD1F6D">
      <w:pPr>
        <w:pStyle w:val="Ruller41"/>
      </w:pPr>
    </w:p>
    <w:p w14:paraId="1FDAB31E" w14:textId="77777777" w:rsidR="00FD1F6D" w:rsidRDefault="00FD1F6D" w:rsidP="00FD1F6D">
      <w:pPr>
        <w:pStyle w:val="Ruller4"/>
        <w:tabs>
          <w:tab w:val="left" w:pos="1218"/>
        </w:tabs>
      </w:pPr>
      <w:r>
        <w:rPr>
          <w:rFonts w:hint="cs"/>
          <w:rtl/>
        </w:rPr>
        <w:t>לצורך בחינת נפקות תיקון חוק היסוד על הפגם שנפל כאמור, ישנה חשיבות לסוגיית תחילתו ותחולתו.</w:t>
      </w:r>
    </w:p>
    <w:p w14:paraId="24165433" w14:textId="77777777" w:rsidR="00FD1F6D" w:rsidRDefault="00FD1F6D" w:rsidP="00FD1F6D">
      <w:pPr>
        <w:pStyle w:val="Ruller4"/>
        <w:numPr>
          <w:ilvl w:val="0"/>
          <w:numId w:val="0"/>
        </w:numPr>
        <w:tabs>
          <w:tab w:val="left" w:pos="1218"/>
        </w:tabs>
        <w:rPr>
          <w:rtl/>
        </w:rPr>
      </w:pPr>
    </w:p>
    <w:p w14:paraId="07A8FB40" w14:textId="77777777" w:rsidR="00FD1F6D" w:rsidRPr="00E47005" w:rsidRDefault="00FD1F6D" w:rsidP="00FD1F6D">
      <w:pPr>
        <w:pStyle w:val="Ruller4"/>
        <w:numPr>
          <w:ilvl w:val="0"/>
          <w:numId w:val="0"/>
        </w:numPr>
        <w:tabs>
          <w:tab w:val="left" w:pos="1218"/>
        </w:tabs>
        <w:rPr>
          <w:rtl/>
        </w:rPr>
      </w:pPr>
      <w:r>
        <w:rPr>
          <w:rtl/>
        </w:rPr>
        <w:tab/>
      </w:r>
      <w:r>
        <w:rPr>
          <w:rFonts w:hint="cs"/>
          <w:rtl/>
        </w:rPr>
        <w:t xml:space="preserve">ככלל, בעוד מועד </w:t>
      </w:r>
      <w:r w:rsidRPr="00322487">
        <w:rPr>
          <w:rFonts w:ascii="Century" w:hAnsi="Century" w:cs="Miriam" w:hint="cs"/>
          <w:b/>
          <w:spacing w:val="0"/>
          <w:sz w:val="22"/>
          <w:szCs w:val="24"/>
          <w:rtl/>
        </w:rPr>
        <w:t>התחילה</w:t>
      </w:r>
      <w:r>
        <w:rPr>
          <w:rFonts w:hint="cs"/>
          <w:rtl/>
        </w:rPr>
        <w:t xml:space="preserve"> עוסק בשאלה מתי החוק נכנס לתוקפו, מועד </w:t>
      </w:r>
      <w:r w:rsidRPr="00322487">
        <w:rPr>
          <w:rFonts w:ascii="Century" w:hAnsi="Century" w:cs="Miriam" w:hint="cs"/>
          <w:b/>
          <w:spacing w:val="0"/>
          <w:sz w:val="22"/>
          <w:szCs w:val="24"/>
          <w:rtl/>
        </w:rPr>
        <w:t>התחולה</w:t>
      </w:r>
      <w:r w:rsidRPr="00322487">
        <w:rPr>
          <w:rFonts w:hint="cs"/>
          <w:rtl/>
        </w:rPr>
        <w:t xml:space="preserve"> </w:t>
      </w:r>
      <w:r>
        <w:rPr>
          <w:rFonts w:hint="cs"/>
          <w:rtl/>
        </w:rPr>
        <w:t xml:space="preserve">עניינו בשאלה על אילו פעולות מבחינת ציר הזמן החוק חל </w:t>
      </w:r>
      <w:r w:rsidRPr="00F61A80">
        <w:rPr>
          <w:rFonts w:hint="cs"/>
          <w:rtl/>
        </w:rPr>
        <w:t>(</w:t>
      </w:r>
      <w:r w:rsidRPr="00F61A80">
        <w:rPr>
          <w:rtl/>
        </w:rPr>
        <w:t xml:space="preserve">יניב רוזנאי "רטרואקטיביות – יותר מאשר 'רק עניין של זמן'!" </w:t>
      </w:r>
      <w:r w:rsidRPr="00483A7E">
        <w:rPr>
          <w:rFonts w:ascii="Century" w:hAnsi="Century" w:cs="Miriam"/>
          <w:b/>
          <w:spacing w:val="0"/>
          <w:sz w:val="22"/>
          <w:szCs w:val="24"/>
          <w:rtl/>
        </w:rPr>
        <w:t>משפט ועסקים</w:t>
      </w:r>
      <w:r w:rsidRPr="00F61A80">
        <w:rPr>
          <w:rtl/>
        </w:rPr>
        <w:t> ט 395</w:t>
      </w:r>
      <w:r>
        <w:rPr>
          <w:rFonts w:hint="cs"/>
          <w:rtl/>
        </w:rPr>
        <w:t xml:space="preserve"> (2008)). מבחינה מעשית, חשיבותו של מועד התחולה גדולה משל מועד התחילה "</w:t>
      </w:r>
      <w:r w:rsidRPr="00483A7E">
        <w:rPr>
          <w:rFonts w:ascii="Century" w:hAnsi="Century" w:cs="Miriam"/>
          <w:b/>
          <w:spacing w:val="0"/>
          <w:sz w:val="22"/>
          <w:szCs w:val="24"/>
          <w:rtl/>
        </w:rPr>
        <w:t>משו</w:t>
      </w:r>
      <w:r w:rsidRPr="00483A7E">
        <w:rPr>
          <w:rFonts w:ascii="Century" w:hAnsi="Century" w:cs="Miriam" w:hint="cs"/>
          <w:b/>
          <w:spacing w:val="0"/>
          <w:sz w:val="22"/>
          <w:szCs w:val="24"/>
          <w:rtl/>
        </w:rPr>
        <w:t>ם</w:t>
      </w:r>
      <w:r w:rsidRPr="00483A7E">
        <w:rPr>
          <w:rFonts w:ascii="Century" w:hAnsi="Century" w:cs="Miriam"/>
          <w:b/>
          <w:spacing w:val="0"/>
          <w:sz w:val="22"/>
          <w:szCs w:val="24"/>
        </w:rPr>
        <w:t xml:space="preserve"> </w:t>
      </w:r>
      <w:r w:rsidRPr="00483A7E">
        <w:rPr>
          <w:rFonts w:ascii="Century" w:hAnsi="Century" w:cs="Miriam"/>
          <w:b/>
          <w:spacing w:val="0"/>
          <w:sz w:val="22"/>
          <w:szCs w:val="24"/>
          <w:rtl/>
        </w:rPr>
        <w:t>שעד מועד התחולה הנורמה המשפטית נותרת רדומה: היא נורמה בכוח, א</w:t>
      </w:r>
      <w:r w:rsidRPr="00483A7E">
        <w:rPr>
          <w:rFonts w:ascii="Century" w:hAnsi="Century" w:cs="Miriam" w:hint="cs"/>
          <w:b/>
          <w:spacing w:val="0"/>
          <w:sz w:val="22"/>
          <w:szCs w:val="24"/>
          <w:rtl/>
        </w:rPr>
        <w:t>ך</w:t>
      </w:r>
      <w:r w:rsidRPr="00483A7E">
        <w:rPr>
          <w:rFonts w:ascii="Century" w:hAnsi="Century" w:cs="Miriam"/>
          <w:b/>
          <w:spacing w:val="0"/>
          <w:sz w:val="22"/>
          <w:szCs w:val="24"/>
          <w:rtl/>
        </w:rPr>
        <w:t xml:space="preserve"> עדיי</w:t>
      </w:r>
      <w:r w:rsidRPr="00483A7E">
        <w:rPr>
          <w:rFonts w:ascii="Century" w:hAnsi="Century" w:cs="Miriam" w:hint="cs"/>
          <w:b/>
          <w:spacing w:val="0"/>
          <w:sz w:val="22"/>
          <w:szCs w:val="24"/>
          <w:rtl/>
        </w:rPr>
        <w:t>ן</w:t>
      </w:r>
      <w:r w:rsidRPr="00483A7E">
        <w:rPr>
          <w:rFonts w:ascii="Century" w:hAnsi="Century" w:cs="Miriam"/>
          <w:b/>
          <w:spacing w:val="0"/>
          <w:sz w:val="22"/>
          <w:szCs w:val="24"/>
        </w:rPr>
        <w:t xml:space="preserve"> </w:t>
      </w:r>
      <w:r w:rsidRPr="00483A7E">
        <w:rPr>
          <w:rFonts w:ascii="Century" w:hAnsi="Century" w:cs="Miriam"/>
          <w:b/>
          <w:spacing w:val="0"/>
          <w:sz w:val="22"/>
          <w:szCs w:val="24"/>
          <w:rtl/>
        </w:rPr>
        <w:t>לא נורמה בפועל. הנורמה משנה את המצב המשפטי רק ממועד התחול</w:t>
      </w:r>
      <w:r w:rsidRPr="00483A7E">
        <w:rPr>
          <w:rFonts w:ascii="Century" w:hAnsi="Century" w:cs="Miriam" w:hint="cs"/>
          <w:b/>
          <w:spacing w:val="0"/>
          <w:sz w:val="22"/>
          <w:szCs w:val="24"/>
          <w:rtl/>
        </w:rPr>
        <w:t>ה</w:t>
      </w:r>
      <w:r>
        <w:rPr>
          <w:rFonts w:hint="cs"/>
          <w:rtl/>
        </w:rPr>
        <w:t>" (</w:t>
      </w:r>
      <w:r>
        <w:rPr>
          <w:rtl/>
        </w:rPr>
        <w:t xml:space="preserve">יצחק זמיר </w:t>
      </w:r>
      <w:r w:rsidRPr="00483A7E">
        <w:rPr>
          <w:rFonts w:ascii="Century" w:hAnsi="Century" w:cs="Miriam"/>
          <w:b/>
          <w:spacing w:val="0"/>
          <w:sz w:val="22"/>
          <w:szCs w:val="24"/>
          <w:rtl/>
        </w:rPr>
        <w:t>הסמכות המינהלית</w:t>
      </w:r>
      <w:r>
        <w:rPr>
          <w:rtl/>
        </w:rPr>
        <w:t xml:space="preserve"> כרך ב</w:t>
      </w:r>
      <w:r>
        <w:rPr>
          <w:rFonts w:hint="cs"/>
          <w:rtl/>
        </w:rPr>
        <w:t xml:space="preserve"> </w:t>
      </w:r>
      <w:r>
        <w:rPr>
          <w:rtl/>
        </w:rPr>
        <w:t>–</w:t>
      </w:r>
      <w:r>
        <w:rPr>
          <w:rFonts w:hint="cs"/>
          <w:rtl/>
        </w:rPr>
        <w:t xml:space="preserve"> </w:t>
      </w:r>
      <w:r w:rsidRPr="00CA1C68">
        <w:rPr>
          <w:rtl/>
        </w:rPr>
        <w:t xml:space="preserve">ההליך </w:t>
      </w:r>
      <w:r>
        <w:rPr>
          <w:rFonts w:hint="cs"/>
          <w:rtl/>
        </w:rPr>
        <w:lastRenderedPageBreak/>
        <w:t xml:space="preserve">המינהלי 1338 (2011) (להלן: </w:t>
      </w:r>
      <w:r w:rsidRPr="00483A7E">
        <w:rPr>
          <w:rFonts w:ascii="Century" w:hAnsi="Century" w:cs="Miriam" w:hint="cs"/>
          <w:b/>
          <w:spacing w:val="0"/>
          <w:sz w:val="22"/>
          <w:szCs w:val="24"/>
          <w:rtl/>
        </w:rPr>
        <w:t>זמיר</w:t>
      </w:r>
      <w:r>
        <w:rPr>
          <w:rFonts w:hint="cs"/>
          <w:rtl/>
        </w:rPr>
        <w:t xml:space="preserve">); </w:t>
      </w:r>
      <w:r w:rsidRPr="00E47005">
        <w:rPr>
          <w:rFonts w:hint="cs"/>
          <w:rtl/>
        </w:rPr>
        <w:t>להרחבה</w:t>
      </w:r>
      <w:r>
        <w:rPr>
          <w:rFonts w:hint="cs"/>
          <w:rtl/>
        </w:rPr>
        <w:t xml:space="preserve"> </w:t>
      </w:r>
      <w:r w:rsidRPr="00E47005">
        <w:rPr>
          <w:rFonts w:hint="cs"/>
          <w:rtl/>
        </w:rPr>
        <w:t>ראו</w:t>
      </w:r>
      <w:r>
        <w:rPr>
          <w:rFonts w:hint="cs"/>
          <w:rtl/>
        </w:rPr>
        <w:t>:</w:t>
      </w:r>
      <w:r w:rsidRPr="00E47005">
        <w:rPr>
          <w:rFonts w:hint="cs"/>
          <w:rtl/>
        </w:rPr>
        <w:t xml:space="preserve"> </w:t>
      </w:r>
      <w:r w:rsidRPr="00E47005">
        <w:rPr>
          <w:rtl/>
        </w:rPr>
        <w:t xml:space="preserve">ע"א 1013/15 </w:t>
      </w:r>
      <w:r w:rsidRPr="00E47005">
        <w:rPr>
          <w:rFonts w:ascii="Century" w:hAnsi="Century" w:cs="Miriam"/>
          <w:b/>
          <w:spacing w:val="0"/>
          <w:sz w:val="22"/>
          <w:szCs w:val="24"/>
          <w:rtl/>
        </w:rPr>
        <w:t>מדינת ישראל משרד הפנים נ' מלול</w:t>
      </w:r>
      <w:r w:rsidRPr="00E47005">
        <w:rPr>
          <w:rFonts w:hint="cs"/>
          <w:rtl/>
        </w:rPr>
        <w:t xml:space="preserve">, פסקאות </w:t>
      </w:r>
      <w:r>
        <w:rPr>
          <w:rFonts w:hint="cs"/>
          <w:rtl/>
        </w:rPr>
        <w:t xml:space="preserve">15-9 </w:t>
      </w:r>
      <w:r w:rsidRPr="00E47005">
        <w:rPr>
          <w:rtl/>
        </w:rPr>
        <w:t>(</w:t>
      </w:r>
      <w:r>
        <w:rPr>
          <w:rFonts w:hint="cs"/>
          <w:rtl/>
        </w:rPr>
        <w:t>1</w:t>
      </w:r>
      <w:r w:rsidRPr="00E47005">
        <w:rPr>
          <w:rtl/>
        </w:rPr>
        <w:t>.11.2016)</w:t>
      </w:r>
      <w:r>
        <w:rPr>
          <w:rFonts w:hint="cs"/>
          <w:rtl/>
        </w:rPr>
        <w:t>)</w:t>
      </w:r>
      <w:r w:rsidRPr="00E47005">
        <w:rPr>
          <w:rFonts w:hint="cs"/>
          <w:rtl/>
        </w:rPr>
        <w:t>.</w:t>
      </w:r>
    </w:p>
    <w:p w14:paraId="78BB8E1A" w14:textId="77777777" w:rsidR="00FD1F6D" w:rsidRDefault="00FD1F6D" w:rsidP="00FD1F6D">
      <w:pPr>
        <w:pStyle w:val="Ruller4"/>
        <w:numPr>
          <w:ilvl w:val="0"/>
          <w:numId w:val="0"/>
        </w:numPr>
        <w:tabs>
          <w:tab w:val="left" w:pos="1218"/>
        </w:tabs>
        <w:rPr>
          <w:rtl/>
        </w:rPr>
      </w:pPr>
    </w:p>
    <w:p w14:paraId="4E478311" w14:textId="77777777" w:rsidR="00FD1F6D" w:rsidRPr="00322487" w:rsidRDefault="00FD1F6D" w:rsidP="00FD1F6D">
      <w:pPr>
        <w:pStyle w:val="Ruller4"/>
        <w:numPr>
          <w:ilvl w:val="0"/>
          <w:numId w:val="0"/>
        </w:numPr>
        <w:tabs>
          <w:tab w:val="left" w:pos="1218"/>
        </w:tabs>
        <w:rPr>
          <w:rtl/>
        </w:rPr>
      </w:pPr>
      <w:r>
        <w:rPr>
          <w:rtl/>
        </w:rPr>
        <w:tab/>
      </w:r>
      <w:r>
        <w:rPr>
          <w:rFonts w:hint="cs"/>
          <w:rtl/>
        </w:rPr>
        <w:t xml:space="preserve">בהעדר קביעה מפורשת בחקיקה, שאלת תחולת החוק היא שאלה של </w:t>
      </w:r>
      <w:r w:rsidRPr="008A1057">
        <w:rPr>
          <w:rFonts w:hint="cs"/>
          <w:rtl/>
        </w:rPr>
        <w:t>פרשנות (</w:t>
      </w:r>
      <w:r w:rsidRPr="008A1057">
        <w:rPr>
          <w:rtl/>
        </w:rPr>
        <w:t xml:space="preserve">ר"ע 231/86 </w:t>
      </w:r>
      <w:r w:rsidRPr="00483A7E">
        <w:rPr>
          <w:rFonts w:ascii="Century" w:hAnsi="Century" w:cs="Miriam"/>
          <w:b/>
          <w:spacing w:val="0"/>
          <w:sz w:val="22"/>
          <w:szCs w:val="24"/>
          <w:rtl/>
        </w:rPr>
        <w:t>"הדר" חברה לביטוח בע"מ נ' רחמים פוני</w:t>
      </w:r>
      <w:r w:rsidRPr="008A1057">
        <w:rPr>
          <w:rtl/>
        </w:rPr>
        <w:t>,</w:t>
      </w:r>
      <w:r>
        <w:rPr>
          <w:rFonts w:hint="cs"/>
          <w:rtl/>
        </w:rPr>
        <w:t xml:space="preserve"> פ"ד</w:t>
      </w:r>
      <w:r w:rsidRPr="008A1057">
        <w:rPr>
          <w:rtl/>
        </w:rPr>
        <w:t xml:space="preserve"> מ(4) 160</w:t>
      </w:r>
      <w:r>
        <w:rPr>
          <w:rFonts w:hint="cs"/>
          <w:rtl/>
        </w:rPr>
        <w:t xml:space="preserve"> (1986)) כאשר </w:t>
      </w:r>
      <w:r w:rsidRPr="00CA1C68">
        <w:rPr>
          <w:rFonts w:hint="cs"/>
          <w:rtl/>
        </w:rPr>
        <w:t xml:space="preserve">יש להניח כי </w:t>
      </w:r>
      <w:r w:rsidRPr="00CA1C68">
        <w:rPr>
          <w:rtl/>
        </w:rPr>
        <w:t>מועד התחולה הוא מועד התחילה</w:t>
      </w:r>
      <w:r w:rsidRPr="00CA1C68">
        <w:rPr>
          <w:rFonts w:hint="cs"/>
          <w:rtl/>
        </w:rPr>
        <w:t xml:space="preserve"> (</w:t>
      </w:r>
      <w:r w:rsidRPr="00483A7E">
        <w:rPr>
          <w:rFonts w:ascii="Century" w:hAnsi="Century" w:cs="Miriam" w:hint="cs"/>
          <w:b/>
          <w:spacing w:val="0"/>
          <w:sz w:val="22"/>
          <w:szCs w:val="24"/>
          <w:rtl/>
        </w:rPr>
        <w:t>זמיר</w:t>
      </w:r>
      <w:r w:rsidRPr="00CA1C68">
        <w:rPr>
          <w:rFonts w:hint="cs"/>
          <w:rtl/>
        </w:rPr>
        <w:t>, בעמוד 1339).</w:t>
      </w:r>
      <w:r>
        <w:rPr>
          <w:rFonts w:hint="cs"/>
          <w:rtl/>
        </w:rPr>
        <w:t xml:space="preserve"> בפסיקה אף נקבע כי "</w:t>
      </w:r>
      <w:r w:rsidRPr="00322487">
        <w:rPr>
          <w:rFonts w:ascii="Century" w:hAnsi="Century" w:cs="Miriam" w:hint="cs"/>
          <w:b/>
          <w:spacing w:val="0"/>
          <w:sz w:val="22"/>
          <w:szCs w:val="24"/>
          <w:rtl/>
        </w:rPr>
        <w:t>חזקה על הוראת חוק שהיא מכוונת לעתיד לבוא ולא למפרע, אלא אם-כן משתמעת הוראה למפרע במפורש או באופן ברור מן החוק</w:t>
      </w:r>
      <w:r>
        <w:rPr>
          <w:rFonts w:hint="cs"/>
          <w:rtl/>
        </w:rPr>
        <w:t>" (</w:t>
      </w:r>
      <w:r w:rsidRPr="00322487">
        <w:rPr>
          <w:rtl/>
        </w:rPr>
        <w:t xml:space="preserve">ע"א 27/64 </w:t>
      </w:r>
      <w:r w:rsidRPr="0047799A">
        <w:rPr>
          <w:rFonts w:ascii="Century" w:hAnsi="Century" w:cs="Miriam"/>
          <w:b/>
          <w:spacing w:val="0"/>
          <w:sz w:val="22"/>
          <w:szCs w:val="24"/>
          <w:rtl/>
        </w:rPr>
        <w:t xml:space="preserve">ד״ר יוחנן בדר, עו״ד נ' לשכת </w:t>
      </w:r>
      <w:proofErr w:type="spellStart"/>
      <w:r w:rsidRPr="0047799A">
        <w:rPr>
          <w:rFonts w:ascii="Century" w:hAnsi="Century" w:cs="Miriam"/>
          <w:b/>
          <w:spacing w:val="0"/>
          <w:sz w:val="22"/>
          <w:szCs w:val="24"/>
          <w:rtl/>
        </w:rPr>
        <w:t>עורכי־הדין</w:t>
      </w:r>
      <w:proofErr w:type="spellEnd"/>
      <w:r w:rsidRPr="0047799A">
        <w:rPr>
          <w:rFonts w:ascii="Century" w:hAnsi="Century" w:cs="Miriam"/>
          <w:b/>
          <w:spacing w:val="0"/>
          <w:sz w:val="22"/>
          <w:szCs w:val="24"/>
          <w:rtl/>
        </w:rPr>
        <w:t xml:space="preserve"> בישראל</w:t>
      </w:r>
      <w:r w:rsidRPr="00322487">
        <w:rPr>
          <w:rtl/>
        </w:rPr>
        <w:t>,</w:t>
      </w:r>
      <w:r>
        <w:rPr>
          <w:rFonts w:hint="cs"/>
          <w:rtl/>
        </w:rPr>
        <w:t xml:space="preserve"> פ"ד</w:t>
      </w:r>
      <w:r w:rsidRPr="00322487">
        <w:rPr>
          <w:rtl/>
        </w:rPr>
        <w:t xml:space="preserve"> </w:t>
      </w:r>
      <w:proofErr w:type="spellStart"/>
      <w:r w:rsidRPr="00322487">
        <w:rPr>
          <w:rtl/>
        </w:rPr>
        <w:t>יח</w:t>
      </w:r>
      <w:proofErr w:type="spellEnd"/>
      <w:r w:rsidRPr="00322487">
        <w:rPr>
          <w:rtl/>
        </w:rPr>
        <w:t xml:space="preserve">(1) </w:t>
      </w:r>
      <w:r>
        <w:rPr>
          <w:rFonts w:hint="cs"/>
          <w:rtl/>
        </w:rPr>
        <w:t xml:space="preserve">295, 300 (1964)). </w:t>
      </w:r>
    </w:p>
    <w:p w14:paraId="287BF453" w14:textId="77777777" w:rsidR="00FD1F6D" w:rsidRPr="00E504A2" w:rsidRDefault="00FD1F6D" w:rsidP="00FD1F6D">
      <w:pPr>
        <w:pStyle w:val="Ruller41"/>
      </w:pPr>
      <w:r>
        <w:rPr>
          <w:rtl/>
        </w:rPr>
        <w:tab/>
      </w:r>
    </w:p>
    <w:p w14:paraId="3658E321" w14:textId="77777777" w:rsidR="00FD1F6D" w:rsidRDefault="00FD1F6D" w:rsidP="00FD1F6D">
      <w:pPr>
        <w:pStyle w:val="Ruller4"/>
        <w:rPr>
          <w:rtl/>
        </w:rPr>
      </w:pPr>
      <w:r>
        <w:rPr>
          <w:rFonts w:hint="cs"/>
          <w:rtl/>
        </w:rPr>
        <w:t>בענייננו, בהתאם לסעיף 8 לתיקון חוק היסוד תחילתו "</w:t>
      </w:r>
      <w:r w:rsidRPr="00296A57">
        <w:rPr>
          <w:rFonts w:ascii="Century" w:hAnsi="Century" w:cs="Miriam" w:hint="cs"/>
          <w:b/>
          <w:spacing w:val="0"/>
          <w:sz w:val="22"/>
          <w:szCs w:val="24"/>
          <w:rtl/>
        </w:rPr>
        <w:t>ביום קבלתו בכנסת</w:t>
      </w:r>
      <w:r>
        <w:rPr>
          <w:rFonts w:hint="cs"/>
          <w:rtl/>
        </w:rPr>
        <w:t xml:space="preserve">" </w:t>
      </w:r>
      <w:r>
        <w:rPr>
          <w:rtl/>
        </w:rPr>
        <w:t>–</w:t>
      </w:r>
      <w:r>
        <w:rPr>
          <w:rFonts w:hint="cs"/>
          <w:rtl/>
        </w:rPr>
        <w:t xml:space="preserve"> קרי, ביום 27.12.2022. בתיקון חוק היסוד אין הוראה המפרידה בין מועד התחילה למועד התחולה. כפועל יוצא, ובהעדר טעם מיוחד, יש להניח כי מועדים אלו חופפים. מאחר שלשון תיקון חוק היסוד מלמדת כי הוא חל באופן מידי, תחולתו על מינויו של השר דרעי היא, אפוא, אקטיבית. המשמעות היא שבעת מינויו של השר דרעי הוא עמד בתנאי הכשירות. </w:t>
      </w:r>
    </w:p>
    <w:p w14:paraId="0B0E2DB3" w14:textId="77777777" w:rsidR="00FD1F6D" w:rsidRDefault="00FD1F6D" w:rsidP="00FD1F6D">
      <w:pPr>
        <w:pStyle w:val="Ruller4"/>
        <w:numPr>
          <w:ilvl w:val="0"/>
          <w:numId w:val="0"/>
        </w:numPr>
        <w:rPr>
          <w:rtl/>
        </w:rPr>
      </w:pPr>
    </w:p>
    <w:p w14:paraId="39FBF528" w14:textId="77777777" w:rsidR="00FD1F6D" w:rsidRDefault="00FD1F6D" w:rsidP="00FD1F6D">
      <w:pPr>
        <w:pStyle w:val="Ruller4"/>
        <w:numPr>
          <w:ilvl w:val="0"/>
          <w:numId w:val="0"/>
        </w:numPr>
        <w:rPr>
          <w:rtl/>
        </w:rPr>
      </w:pPr>
      <w:r>
        <w:rPr>
          <w:rtl/>
        </w:rPr>
        <w:tab/>
      </w:r>
      <w:r>
        <w:rPr>
          <w:rFonts w:hint="cs"/>
          <w:rtl/>
        </w:rPr>
        <w:t>אולם, החלטת ראש הממשלה שלא לפנות ליו"ר ועדת הבחירות התקבלה במועד מוקדם יותר. התיקון לחוק היסוד לא חל במועד שבו התקבלה, ולטעמי, התיקון אף אינו מרפא את הפגם שבה. מאותה העת שבה עמדה על הפרק שאלת כשירות דרעי לכהן כשר היה הוא, הלכה למעשה, בסטטוס של "ממתין לפנייה". פנייה שלא נעשתה.</w:t>
      </w:r>
    </w:p>
    <w:p w14:paraId="11F8E42A" w14:textId="77777777" w:rsidR="00FD1F6D" w:rsidRDefault="00FD1F6D" w:rsidP="00FD1F6D">
      <w:pPr>
        <w:pStyle w:val="Ruller4"/>
        <w:numPr>
          <w:ilvl w:val="0"/>
          <w:numId w:val="0"/>
        </w:numPr>
        <w:rPr>
          <w:rtl/>
        </w:rPr>
      </w:pPr>
    </w:p>
    <w:p w14:paraId="1455D090" w14:textId="77777777" w:rsidR="00FD1F6D" w:rsidRDefault="00FD1F6D" w:rsidP="00FD1F6D">
      <w:pPr>
        <w:pStyle w:val="Ruller4"/>
        <w:numPr>
          <w:ilvl w:val="0"/>
          <w:numId w:val="0"/>
        </w:numPr>
        <w:rPr>
          <w:rtl/>
        </w:rPr>
      </w:pPr>
      <w:r>
        <w:rPr>
          <w:rtl/>
        </w:rPr>
        <w:tab/>
      </w:r>
      <w:r>
        <w:rPr>
          <w:rFonts w:hint="cs"/>
          <w:rtl/>
        </w:rPr>
        <w:t xml:space="preserve">באותו מועד, כמו גם במועד שבו היועצת המשפטית לממשלה השיבה לעמדה זו, וכך גם בכל הזמן שחלף מאז מענה זה ועד למועד תחולת התיקון לחוק היסוד </w:t>
      </w:r>
      <w:r>
        <w:rPr>
          <w:rtl/>
        </w:rPr>
        <w:t>–</w:t>
      </w:r>
      <w:r>
        <w:rPr>
          <w:rFonts w:hint="cs"/>
          <w:rtl/>
        </w:rPr>
        <w:t xml:space="preserve"> חל סעיף 6(ג)(1) לחוק יסוד הממשלה בנוסחו הקודם. </w:t>
      </w:r>
    </w:p>
    <w:p w14:paraId="3B2EEBB8" w14:textId="77777777" w:rsidR="00FD1F6D" w:rsidRDefault="00FD1F6D" w:rsidP="00FD1F6D">
      <w:pPr>
        <w:pStyle w:val="Ruller41"/>
        <w:rPr>
          <w:rtl/>
        </w:rPr>
      </w:pPr>
    </w:p>
    <w:p w14:paraId="1215CFA8" w14:textId="77777777" w:rsidR="00FD1F6D" w:rsidRDefault="00FD1F6D" w:rsidP="00FD1F6D">
      <w:pPr>
        <w:pStyle w:val="Ruller4"/>
      </w:pPr>
      <w:r>
        <w:rPr>
          <w:rFonts w:hint="cs"/>
          <w:rtl/>
        </w:rPr>
        <w:t>תיקון חוק היסוד משמעותו כי הפגם שנפל אינו גוזר כי מינויו של דרעי לשר לא השתכלל, היות שבמועד המינוי עמד דרעי בתנאי הכשירות המתוקנים. בכל זאת, לפגם זה הייתה ונותרה חשיבות, גם במישור המעשי, ו</w:t>
      </w:r>
      <w:r w:rsidRPr="00D51B09">
        <w:rPr>
          <w:rFonts w:hint="eastAsia"/>
          <w:rtl/>
        </w:rPr>
        <w:t>לוּ</w:t>
      </w:r>
      <w:r>
        <w:rPr>
          <w:rFonts w:hint="cs"/>
          <w:rtl/>
        </w:rPr>
        <w:t xml:space="preserve"> לצורך בחינה האם מינויו חורג ממתחם הסבירות.</w:t>
      </w:r>
    </w:p>
    <w:p w14:paraId="69CC2364" w14:textId="77777777" w:rsidR="00FD1F6D" w:rsidRPr="00D51B09" w:rsidRDefault="00FD1F6D" w:rsidP="00FD1F6D">
      <w:pPr>
        <w:pStyle w:val="Ruller4"/>
        <w:numPr>
          <w:ilvl w:val="0"/>
          <w:numId w:val="0"/>
        </w:numPr>
        <w:rPr>
          <w:rtl/>
        </w:rPr>
      </w:pPr>
    </w:p>
    <w:p w14:paraId="5776987B" w14:textId="77777777" w:rsidR="00FD1F6D" w:rsidRDefault="00FD1F6D" w:rsidP="00FD1F6D">
      <w:pPr>
        <w:pStyle w:val="Ruller4"/>
        <w:numPr>
          <w:ilvl w:val="0"/>
          <w:numId w:val="0"/>
        </w:numPr>
        <w:rPr>
          <w:rtl/>
        </w:rPr>
      </w:pPr>
      <w:r>
        <w:rPr>
          <w:rtl/>
        </w:rPr>
        <w:tab/>
      </w:r>
      <w:r>
        <w:rPr>
          <w:rFonts w:hint="cs"/>
          <w:rtl/>
        </w:rPr>
        <w:t xml:space="preserve">תוצאת הפגם היא שאין לפנינו קביעה, לא של בית משפט השלום אשר גזר את דינו של השר דרעי ולא של יו"ר ועדת הבחירות, האם בעבירות האחרונות שבהן הורשע </w:t>
      </w:r>
      <w:r>
        <w:rPr>
          <w:rFonts w:hint="cs"/>
          <w:rtl/>
        </w:rPr>
        <w:lastRenderedPageBreak/>
        <w:t xml:space="preserve">דבק קלון. משסוגיה זו נותרה ללא הכרעה, כל צד מבקש כי נניח שטענותיו היו מתקבלות לו הייתה מובאת סוגיית הקלון לפני יו"ר ועדת הבחירות. </w:t>
      </w:r>
    </w:p>
    <w:p w14:paraId="7BC488C3" w14:textId="77777777" w:rsidR="00FD1F6D" w:rsidRPr="005922E8" w:rsidRDefault="00FD1F6D" w:rsidP="00FD1F6D">
      <w:pPr>
        <w:pStyle w:val="Ruller4"/>
        <w:numPr>
          <w:ilvl w:val="0"/>
          <w:numId w:val="0"/>
        </w:numPr>
        <w:rPr>
          <w:rtl/>
        </w:rPr>
      </w:pPr>
    </w:p>
    <w:p w14:paraId="3DBF9820" w14:textId="77777777" w:rsidR="00FD1F6D" w:rsidRDefault="00FD1F6D" w:rsidP="00FD1F6D">
      <w:pPr>
        <w:pStyle w:val="Ruller4"/>
        <w:numPr>
          <w:ilvl w:val="0"/>
          <w:numId w:val="0"/>
        </w:numPr>
        <w:rPr>
          <w:rtl/>
        </w:rPr>
      </w:pPr>
      <w:r>
        <w:rPr>
          <w:rtl/>
        </w:rPr>
        <w:tab/>
      </w:r>
      <w:r>
        <w:rPr>
          <w:rFonts w:hint="cs"/>
          <w:rtl/>
        </w:rPr>
        <w:t>לאמיתו של דבר, סוגיית הקלון "ריחפה" באולם בית המשפט בעת הדיון בעתירות ואף תפסה מקום נכבד בכתבי הטענות מטעם הצדדים. בא-כוח השר דרעי ביסס בהרחבה את עמדתו גם על הטענה כי אין בעבירות שבהן הורשע משום קלון, זאת נוכח אופי העבירות שבהן הורשע ובשל נסיבות ביצוען. הוסיף וטען, כי "</w:t>
      </w:r>
      <w:r w:rsidRPr="00281C23">
        <w:rPr>
          <w:rFonts w:ascii="Century" w:hAnsi="Century" w:cs="Miriam" w:hint="cs"/>
          <w:b/>
          <w:spacing w:val="0"/>
          <w:sz w:val="22"/>
          <w:szCs w:val="24"/>
          <w:rtl/>
        </w:rPr>
        <w:t>מתחייבת גישה זהירה במיוחד לגבי קביעה בדיעבד על קיום קלון, בידי כל טריבונל שיפוטי, על אחת כמה וכמה על ידי טריבונל שלא ניהל את המשפט [...]</w:t>
      </w:r>
      <w:r>
        <w:rPr>
          <w:rFonts w:hint="cs"/>
          <w:rtl/>
        </w:rPr>
        <w:t xml:space="preserve">" (ראו גם: סעיף 82 לתשובה לצווים על תנאי מטעם ראש הממשלה). </w:t>
      </w:r>
    </w:p>
    <w:p w14:paraId="7A3BE40E" w14:textId="77777777" w:rsidR="00FD1F6D" w:rsidRDefault="00FD1F6D" w:rsidP="00FD1F6D">
      <w:pPr>
        <w:pStyle w:val="Ruller4"/>
        <w:numPr>
          <w:ilvl w:val="0"/>
          <w:numId w:val="0"/>
        </w:numPr>
        <w:rPr>
          <w:rtl/>
        </w:rPr>
      </w:pPr>
    </w:p>
    <w:p w14:paraId="66A8E485" w14:textId="77777777" w:rsidR="00FD1F6D" w:rsidRDefault="00FD1F6D" w:rsidP="00FD1F6D">
      <w:pPr>
        <w:pStyle w:val="Ruller4"/>
        <w:numPr>
          <w:ilvl w:val="0"/>
          <w:numId w:val="0"/>
        </w:numPr>
        <w:rPr>
          <w:rtl/>
        </w:rPr>
      </w:pPr>
      <w:r>
        <w:rPr>
          <w:rtl/>
        </w:rPr>
        <w:tab/>
      </w:r>
      <w:r>
        <w:rPr>
          <w:rFonts w:hint="cs"/>
          <w:rtl/>
        </w:rPr>
        <w:t>מנגד, היועצת המשפטית לממשלה טענה כי העבירות שבהן השר דרעי הורשע לאחרונה הן כאלו אשר יש עמן קלון ואף הקדישה לכך חלק ניכר מעמדתה. הודגש "</w:t>
      </w:r>
      <w:r w:rsidRPr="00A62706">
        <w:rPr>
          <w:rFonts w:ascii="Century" w:hAnsi="Century" w:cs="Miriam" w:hint="cs"/>
          <w:b/>
          <w:spacing w:val="0"/>
          <w:sz w:val="22"/>
          <w:szCs w:val="24"/>
          <w:rtl/>
        </w:rPr>
        <w:t>דרעי הורשע פעם נוספת בעבירות בעניינן נקבע בפסיקה, כי יש עמן קלון. כך סבר היועץ המשפטי לשעבר עובר להסדר הטיעון וזו גם עמדת היועצת המשפטית לממשלה כעת</w:t>
      </w:r>
      <w:r>
        <w:rPr>
          <w:rFonts w:hint="cs"/>
          <w:rtl/>
        </w:rPr>
        <w:t>". טענה זו, בין היתר, היא מאלו שהובילו את היועצת המשפטית לממשלה למסקנה כי מינויו של דרעי לשר חורג באופן קיצוני ממתחם הסבירות.</w:t>
      </w:r>
    </w:p>
    <w:p w14:paraId="7853B0D5" w14:textId="77777777" w:rsidR="00FD1F6D" w:rsidRDefault="00FD1F6D" w:rsidP="00FD1F6D">
      <w:pPr>
        <w:pStyle w:val="Ruller4"/>
        <w:numPr>
          <w:ilvl w:val="0"/>
          <w:numId w:val="0"/>
        </w:numPr>
        <w:rPr>
          <w:rtl/>
        </w:rPr>
      </w:pPr>
    </w:p>
    <w:p w14:paraId="3DB3D882" w14:textId="77777777" w:rsidR="00FD1F6D" w:rsidRDefault="00FD1F6D" w:rsidP="00FD1F6D">
      <w:pPr>
        <w:pStyle w:val="Ruller4"/>
        <w:numPr>
          <w:ilvl w:val="0"/>
          <w:numId w:val="0"/>
        </w:numPr>
        <w:rPr>
          <w:rtl/>
        </w:rPr>
      </w:pPr>
      <w:r>
        <w:rPr>
          <w:rtl/>
        </w:rPr>
        <w:tab/>
      </w:r>
      <w:r>
        <w:rPr>
          <w:rFonts w:hint="cs"/>
          <w:rtl/>
        </w:rPr>
        <w:t xml:space="preserve">למעשה, סוגיית הקלון שזורה לאורכה ולרוחבה של תגובת היועצת המשפטית לממשלה. מסקנתה כי המינוי חורג ממתחם הסבירות, מבוססת על ההנחה כי העבירות שבהן דרעי הורשע אכן נושאות את תווית הקלון. יהיה מי שיאמר שמבקשת היא מאתנו לקבוע זאת ומניחה זאת על שולחננו כאילו אנו הפורום הנכון והמתאים לכך. </w:t>
      </w:r>
    </w:p>
    <w:p w14:paraId="3785DA41" w14:textId="77777777" w:rsidR="00FD1F6D" w:rsidRDefault="00FD1F6D" w:rsidP="00FD1F6D">
      <w:pPr>
        <w:pStyle w:val="Ruller41"/>
        <w:rPr>
          <w:rtl/>
        </w:rPr>
      </w:pPr>
    </w:p>
    <w:p w14:paraId="2512C017" w14:textId="77777777" w:rsidR="00FD1F6D" w:rsidRDefault="00FD1F6D" w:rsidP="00FD1F6D">
      <w:pPr>
        <w:pStyle w:val="Ruller4"/>
      </w:pPr>
      <w:r>
        <w:rPr>
          <w:rFonts w:hint="cs"/>
          <w:rtl/>
        </w:rPr>
        <w:t xml:space="preserve">יוזכר, כי כתב האישום שהוגש נגד השר דרעי במסגרת הסדר הטיעון מנה שני אישומים </w:t>
      </w:r>
      <w:r>
        <w:rPr>
          <w:rtl/>
        </w:rPr>
        <w:t>–</w:t>
      </w:r>
      <w:r>
        <w:rPr>
          <w:rFonts w:hint="cs"/>
          <w:rtl/>
        </w:rPr>
        <w:t xml:space="preserve"> </w:t>
      </w:r>
      <w:r w:rsidRPr="00A325FC">
        <w:rPr>
          <w:rFonts w:hint="cs"/>
          <w:rtl/>
        </w:rPr>
        <w:t>ב</w:t>
      </w:r>
      <w:r w:rsidRPr="00FA7C7D">
        <w:rPr>
          <w:rFonts w:ascii="Century" w:hAnsi="Century" w:cs="Miriam" w:hint="cs"/>
          <w:b/>
          <w:spacing w:val="0"/>
          <w:sz w:val="22"/>
          <w:szCs w:val="24"/>
          <w:rtl/>
        </w:rPr>
        <w:t>אישום הראשון</w:t>
      </w:r>
      <w:r>
        <w:rPr>
          <w:rFonts w:hint="cs"/>
          <w:rtl/>
        </w:rPr>
        <w:t xml:space="preserve"> יוחסה לו עבירה של סיוע לעריכת הצהרה שאינה נכונה, לפי סעיף 98(ג1) ל</w:t>
      </w:r>
      <w:r w:rsidRPr="00885ADD">
        <w:rPr>
          <w:rtl/>
        </w:rPr>
        <w:t xml:space="preserve">חוק מיסוי מקרקעין (שבח ורכישה), </w:t>
      </w:r>
      <w:r>
        <w:rPr>
          <w:rFonts w:hint="cs"/>
          <w:rtl/>
        </w:rPr>
        <w:t>ה</w:t>
      </w:r>
      <w:r w:rsidRPr="00885ADD">
        <w:rPr>
          <w:rtl/>
        </w:rPr>
        <w:t>תשכ"ג-1963</w:t>
      </w:r>
      <w:r>
        <w:rPr>
          <w:rFonts w:hint="cs"/>
          <w:rtl/>
        </w:rPr>
        <w:t xml:space="preserve">. </w:t>
      </w:r>
      <w:r w:rsidRPr="00A325FC">
        <w:rPr>
          <w:rFonts w:hint="cs"/>
          <w:rtl/>
        </w:rPr>
        <w:t>ב</w:t>
      </w:r>
      <w:r w:rsidRPr="00FA7C7D">
        <w:rPr>
          <w:rFonts w:ascii="Century" w:hAnsi="Century" w:cs="Miriam" w:hint="cs"/>
          <w:b/>
          <w:spacing w:val="0"/>
          <w:sz w:val="22"/>
          <w:szCs w:val="24"/>
          <w:rtl/>
        </w:rPr>
        <w:t>אישום השני</w:t>
      </w:r>
      <w:r>
        <w:rPr>
          <w:rFonts w:hint="cs"/>
          <w:rtl/>
        </w:rPr>
        <w:t xml:space="preserve">, יוחסו לשר דרעי עבירות של דוח וידיעות לא נכונים ללא הצדק סביר </w:t>
      </w:r>
      <w:r>
        <w:rPr>
          <w:rtl/>
        </w:rPr>
        <w:t>–</w:t>
      </w:r>
      <w:r>
        <w:rPr>
          <w:rFonts w:hint="cs"/>
          <w:rtl/>
        </w:rPr>
        <w:t xml:space="preserve"> עבירה אחת לפי סעיף 217 לפקודת מס הכנסה [נוסח חדש] (להלן: </w:t>
      </w:r>
      <w:r w:rsidRPr="0076500A">
        <w:rPr>
          <w:rFonts w:ascii="Century" w:hAnsi="Century" w:cs="Miriam" w:hint="cs"/>
          <w:b/>
          <w:spacing w:val="0"/>
          <w:sz w:val="22"/>
          <w:szCs w:val="24"/>
          <w:rtl/>
        </w:rPr>
        <w:t>הפקודה</w:t>
      </w:r>
      <w:r>
        <w:rPr>
          <w:rFonts w:hint="cs"/>
          <w:rtl/>
        </w:rPr>
        <w:t xml:space="preserve">); אי הגשת דו"ח </w:t>
      </w:r>
      <w:r>
        <w:rPr>
          <w:rtl/>
        </w:rPr>
        <w:t>–</w:t>
      </w:r>
      <w:r>
        <w:rPr>
          <w:rFonts w:hint="cs"/>
          <w:rtl/>
        </w:rPr>
        <w:t xml:space="preserve"> שתי עבירות לפי סעיף 216(4) לפקודה; ואי ניהול פנקסי חשבונות </w:t>
      </w:r>
      <w:r>
        <w:rPr>
          <w:rtl/>
        </w:rPr>
        <w:t>–</w:t>
      </w:r>
      <w:r>
        <w:rPr>
          <w:rFonts w:hint="cs"/>
          <w:rtl/>
        </w:rPr>
        <w:t xml:space="preserve"> שתי עבירות לפי סעיף 216(5) לפקודה.</w:t>
      </w:r>
    </w:p>
    <w:p w14:paraId="5B5FE8FA" w14:textId="77777777" w:rsidR="00FD1F6D" w:rsidRDefault="00FD1F6D" w:rsidP="00FD1F6D">
      <w:pPr>
        <w:pStyle w:val="Ruller4"/>
        <w:numPr>
          <w:ilvl w:val="0"/>
          <w:numId w:val="0"/>
        </w:numPr>
        <w:rPr>
          <w:rtl/>
        </w:rPr>
      </w:pPr>
    </w:p>
    <w:p w14:paraId="0979A89F" w14:textId="77777777" w:rsidR="00636252" w:rsidRDefault="00636252" w:rsidP="00636252">
      <w:pPr>
        <w:rPr>
          <w:rtl/>
        </w:rPr>
      </w:pPr>
    </w:p>
    <w:p w14:paraId="1B46A186" w14:textId="77777777" w:rsidR="00636252" w:rsidRDefault="00636252" w:rsidP="00636252">
      <w:pPr>
        <w:rPr>
          <w:rtl/>
        </w:rPr>
      </w:pPr>
    </w:p>
    <w:p w14:paraId="7FAF4946" w14:textId="77777777" w:rsidR="00636252" w:rsidRDefault="00636252" w:rsidP="00636252">
      <w:pPr>
        <w:rPr>
          <w:rtl/>
        </w:rPr>
      </w:pPr>
    </w:p>
    <w:p w14:paraId="029AFA18" w14:textId="77777777" w:rsidR="00636252" w:rsidRDefault="00636252" w:rsidP="00636252">
      <w:pPr>
        <w:rPr>
          <w:rtl/>
        </w:rPr>
      </w:pPr>
    </w:p>
    <w:p w14:paraId="0E792158" w14:textId="77777777" w:rsidR="00636252" w:rsidRDefault="00636252" w:rsidP="00636252">
      <w:pPr>
        <w:rPr>
          <w:rtl/>
        </w:rPr>
      </w:pPr>
    </w:p>
    <w:p w14:paraId="5800F068" w14:textId="77777777" w:rsidR="00636252" w:rsidRDefault="00636252" w:rsidP="00636252">
      <w:pPr>
        <w:rPr>
          <w:rtl/>
        </w:rPr>
      </w:pPr>
    </w:p>
    <w:p w14:paraId="3713A28B" w14:textId="77777777" w:rsidR="00636252" w:rsidRPr="00636252" w:rsidRDefault="00636252" w:rsidP="00636252">
      <w:pPr>
        <w:rPr>
          <w:rtl/>
        </w:rPr>
      </w:pPr>
    </w:p>
    <w:p w14:paraId="074F8365" w14:textId="77777777" w:rsidR="00FD1F6D" w:rsidRDefault="00FD1F6D" w:rsidP="00FD1F6D">
      <w:pPr>
        <w:pStyle w:val="Ruller4"/>
        <w:numPr>
          <w:ilvl w:val="0"/>
          <w:numId w:val="0"/>
        </w:numPr>
        <w:rPr>
          <w:rtl/>
        </w:rPr>
      </w:pPr>
      <w:r>
        <w:rPr>
          <w:rtl/>
        </w:rPr>
        <w:tab/>
      </w:r>
      <w:r>
        <w:rPr>
          <w:rFonts w:hint="cs"/>
          <w:rtl/>
        </w:rPr>
        <w:t xml:space="preserve">בהתאם להסדר הטיעון שהוגש לאישור בית משפט השלום בירושלים (ת"פ (שלום י-ם) 56231-12-21), הצדדים עתרו כי על השר דרעי </w:t>
      </w:r>
      <w:r w:rsidRPr="000A3585">
        <w:rPr>
          <w:rFonts w:hint="cs"/>
          <w:rtl/>
        </w:rPr>
        <w:t xml:space="preserve">ייגזר </w:t>
      </w:r>
      <w:r>
        <w:rPr>
          <w:rFonts w:hint="cs"/>
          <w:rtl/>
        </w:rPr>
        <w:t>"</w:t>
      </w:r>
      <w:r w:rsidRPr="00F66808">
        <w:rPr>
          <w:rFonts w:ascii="Century" w:hAnsi="Century" w:cs="Miriam" w:hint="cs"/>
          <w:b/>
          <w:spacing w:val="0"/>
          <w:sz w:val="22"/>
          <w:szCs w:val="24"/>
          <w:rtl/>
        </w:rPr>
        <w:t>מאסר על תנאי למשך 12 חודשים</w:t>
      </w:r>
      <w:r>
        <w:rPr>
          <w:rFonts w:ascii="Century" w:hAnsi="Century" w:cs="Miriam" w:hint="cs"/>
          <w:b/>
          <w:spacing w:val="0"/>
          <w:sz w:val="22"/>
          <w:szCs w:val="24"/>
          <w:rtl/>
        </w:rPr>
        <w:t>,</w:t>
      </w:r>
      <w:r w:rsidRPr="00F66808">
        <w:rPr>
          <w:rFonts w:ascii="Century" w:hAnsi="Century" w:cs="Miriam" w:hint="cs"/>
          <w:b/>
          <w:spacing w:val="0"/>
          <w:sz w:val="22"/>
          <w:szCs w:val="24"/>
          <w:rtl/>
        </w:rPr>
        <w:t xml:space="preserve"> לתקופה של 3 שנים והתנאי שהנאשם [דרעי </w:t>
      </w:r>
      <w:r w:rsidRPr="00F66808">
        <w:rPr>
          <w:rFonts w:ascii="Century" w:hAnsi="Century" w:cs="Miriam"/>
          <w:b/>
          <w:spacing w:val="0"/>
          <w:sz w:val="22"/>
          <w:szCs w:val="24"/>
          <w:rtl/>
        </w:rPr>
        <w:t>–</w:t>
      </w:r>
      <w:r w:rsidRPr="00F66808">
        <w:rPr>
          <w:rFonts w:ascii="Century" w:hAnsi="Century" w:cs="Miriam" w:hint="cs"/>
          <w:b/>
          <w:spacing w:val="0"/>
          <w:sz w:val="22"/>
          <w:szCs w:val="24"/>
          <w:rtl/>
        </w:rPr>
        <w:t xml:space="preserve"> י' א'] לא יעבור עבירה על פי פקודת מס הכנסה [נוסח חדש] התשכ"א-1961 או חוק מיסוי מקרקעין (שבח, מכירה ורכישה), התשכ"ג-1963</w:t>
      </w:r>
      <w:r>
        <w:rPr>
          <w:rFonts w:hint="cs"/>
          <w:rtl/>
        </w:rPr>
        <w:t>" (סעיף 2.1 להסדר הטיעון); וכן קנס כספי בסכום של 180,000 ש"ח או שנת מאסר בפועל תמורתו.</w:t>
      </w:r>
    </w:p>
    <w:p w14:paraId="10706574" w14:textId="77777777" w:rsidR="00FD1F6D" w:rsidRDefault="00FD1F6D" w:rsidP="00FD1F6D">
      <w:pPr>
        <w:pStyle w:val="Ruller4"/>
        <w:numPr>
          <w:ilvl w:val="0"/>
          <w:numId w:val="0"/>
        </w:numPr>
        <w:rPr>
          <w:rtl/>
        </w:rPr>
      </w:pPr>
    </w:p>
    <w:p w14:paraId="42F0C99D" w14:textId="77777777" w:rsidR="00FD1F6D" w:rsidRDefault="00FD1F6D" w:rsidP="00FD1F6D">
      <w:pPr>
        <w:pStyle w:val="Ruller4"/>
        <w:numPr>
          <w:ilvl w:val="0"/>
          <w:numId w:val="0"/>
        </w:numPr>
      </w:pPr>
      <w:r>
        <w:rPr>
          <w:rtl/>
        </w:rPr>
        <w:tab/>
      </w:r>
      <w:r>
        <w:rPr>
          <w:rFonts w:hint="cs"/>
          <w:rtl/>
        </w:rPr>
        <w:t>בגזר הדין, שבו אושר הסדר הטיעון, נקבע כי חלקו של השר דרעי בביצוע העבירות הוא "</w:t>
      </w:r>
      <w:r w:rsidRPr="00747CA0">
        <w:rPr>
          <w:rFonts w:ascii="Century" w:hAnsi="Century" w:cs="Miriam" w:hint="cs"/>
          <w:b/>
          <w:spacing w:val="0"/>
          <w:sz w:val="22"/>
          <w:szCs w:val="24"/>
          <w:rtl/>
        </w:rPr>
        <w:t>פאסיבי</w:t>
      </w:r>
      <w:r>
        <w:rPr>
          <w:rFonts w:hint="cs"/>
          <w:rtl/>
        </w:rPr>
        <w:t>" וכי העבירות שיוחסו לו "</w:t>
      </w:r>
      <w:r w:rsidRPr="00747CA0">
        <w:rPr>
          <w:rFonts w:ascii="Century" w:hAnsi="Century" w:cs="Miriam" w:hint="cs"/>
          <w:b/>
          <w:spacing w:val="0"/>
          <w:sz w:val="22"/>
          <w:szCs w:val="24"/>
          <w:rtl/>
        </w:rPr>
        <w:t>אינן כוללות זדון או כוונה להונות את שלטונות המס</w:t>
      </w:r>
      <w:r>
        <w:rPr>
          <w:rFonts w:hint="cs"/>
          <w:rtl/>
        </w:rPr>
        <w:t>". לא זו אף זו, נקבע כי הצדדים לא הציגו "</w:t>
      </w:r>
      <w:r w:rsidRPr="00911DF1">
        <w:rPr>
          <w:rFonts w:ascii="Century" w:hAnsi="Century" w:cs="Miriam" w:hint="cs"/>
          <w:b/>
          <w:spacing w:val="0"/>
          <w:sz w:val="22"/>
          <w:szCs w:val="24"/>
          <w:rtl/>
        </w:rPr>
        <w:t>הוכחה או ראיה לנזק</w:t>
      </w:r>
      <w:r>
        <w:rPr>
          <w:rFonts w:hint="cs"/>
          <w:rtl/>
        </w:rPr>
        <w:t>" כתוצאה ממעשיו של השר דרעי וכי הוצגה תמונה כי עבירות המס המיוחסות לו "</w:t>
      </w:r>
      <w:r w:rsidRPr="00911DF1">
        <w:rPr>
          <w:rFonts w:ascii="Century" w:hAnsi="Century" w:cs="Miriam" w:hint="cs"/>
          <w:b/>
          <w:spacing w:val="0"/>
          <w:sz w:val="22"/>
          <w:szCs w:val="24"/>
          <w:rtl/>
        </w:rPr>
        <w:t>לא נבעו מרצון לרווח כלכלי</w:t>
      </w:r>
      <w:r>
        <w:rPr>
          <w:rFonts w:hint="cs"/>
          <w:rtl/>
        </w:rPr>
        <w:t xml:space="preserve">". </w:t>
      </w:r>
    </w:p>
    <w:p w14:paraId="2A7367E6" w14:textId="77777777" w:rsidR="00FD1F6D" w:rsidRDefault="00FD1F6D" w:rsidP="00FD1F6D">
      <w:pPr>
        <w:pStyle w:val="Ruller4"/>
        <w:numPr>
          <w:ilvl w:val="0"/>
          <w:numId w:val="0"/>
        </w:numPr>
        <w:rPr>
          <w:rtl/>
        </w:rPr>
      </w:pPr>
    </w:p>
    <w:p w14:paraId="2865B08F" w14:textId="77777777" w:rsidR="00FD1F6D" w:rsidRDefault="00FD1F6D" w:rsidP="00FD1F6D">
      <w:pPr>
        <w:pStyle w:val="Ruller4"/>
        <w:rPr>
          <w:rtl/>
        </w:rPr>
      </w:pPr>
      <w:r>
        <w:rPr>
          <w:rFonts w:hint="cs"/>
          <w:rtl/>
        </w:rPr>
        <w:t xml:space="preserve">סוגיית הקלון היא רבת משמעות וחשיבות. בפסיקה הובהר כי מושג </w:t>
      </w:r>
      <w:proofErr w:type="spellStart"/>
      <w:r>
        <w:rPr>
          <w:rFonts w:hint="cs"/>
          <w:rtl/>
        </w:rPr>
        <w:t>ה״קלון</w:t>
      </w:r>
      <w:proofErr w:type="spellEnd"/>
      <w:r>
        <w:rPr>
          <w:rFonts w:hint="cs"/>
          <w:rtl/>
        </w:rPr>
        <w:t>״</w:t>
      </w:r>
      <w:r w:rsidRPr="00AF3B06">
        <w:rPr>
          <w:rFonts w:hint="cs"/>
          <w:rtl/>
        </w:rPr>
        <w:t xml:space="preserve"> </w:t>
      </w:r>
      <w:r>
        <w:rPr>
          <w:rtl/>
        </w:rPr>
        <w:t>בעל "רקמה פתוחה"</w:t>
      </w:r>
      <w:r w:rsidRPr="00AF3B06">
        <w:rPr>
          <w:rtl/>
        </w:rPr>
        <w:t xml:space="preserve"> </w:t>
      </w:r>
      <w:r>
        <w:rPr>
          <w:rFonts w:hint="cs"/>
          <w:rtl/>
        </w:rPr>
        <w:t xml:space="preserve">וכי הוא </w:t>
      </w:r>
      <w:r w:rsidRPr="00AF3B06">
        <w:rPr>
          <w:rtl/>
        </w:rPr>
        <w:t>יכול לשאת משמעויות שונות בהקשרים שונים</w:t>
      </w:r>
      <w:r>
        <w:rPr>
          <w:rFonts w:hint="cs"/>
          <w:rtl/>
        </w:rPr>
        <w:t xml:space="preserve"> (</w:t>
      </w:r>
      <w:r w:rsidRPr="000B6522">
        <w:rPr>
          <w:rtl/>
        </w:rPr>
        <w:t>בג"ץ 797/20 </w:t>
      </w:r>
      <w:r w:rsidRPr="00AF3B06">
        <w:rPr>
          <w:rFonts w:ascii="Century" w:hAnsi="Century" w:cs="Miriam"/>
          <w:b/>
          <w:spacing w:val="0"/>
          <w:sz w:val="22"/>
          <w:szCs w:val="24"/>
          <w:rtl/>
        </w:rPr>
        <w:t>סילבר נ' יו"ר ועדת הבחירות לכנסת ה-23</w:t>
      </w:r>
      <w:r>
        <w:rPr>
          <w:rFonts w:hint="cs"/>
          <w:rtl/>
        </w:rPr>
        <w:t xml:space="preserve">, פסקה 16 </w:t>
      </w:r>
      <w:r w:rsidRPr="000B6522">
        <w:rPr>
          <w:rtl/>
        </w:rPr>
        <w:t>(</w:t>
      </w:r>
      <w:r>
        <w:rPr>
          <w:rFonts w:hint="cs"/>
          <w:rtl/>
        </w:rPr>
        <w:t>6.2.2020</w:t>
      </w:r>
      <w:r w:rsidRPr="000B6522">
        <w:rPr>
          <w:rtl/>
        </w:rPr>
        <w:t>)</w:t>
      </w:r>
      <w:r>
        <w:rPr>
          <w:rFonts w:hint="cs"/>
          <w:rtl/>
        </w:rPr>
        <w:t>)</w:t>
      </w:r>
      <w:r w:rsidRPr="000B6522">
        <w:rPr>
          <w:rtl/>
        </w:rPr>
        <w:t>‏‏</w:t>
      </w:r>
      <w:r w:rsidRPr="000B6522">
        <w:rPr>
          <w:rFonts w:hint="cs"/>
          <w:rtl/>
        </w:rPr>
        <w:t>.</w:t>
      </w:r>
      <w:r>
        <w:rPr>
          <w:rFonts w:hint="cs"/>
          <w:rtl/>
        </w:rPr>
        <w:t xml:space="preserve"> </w:t>
      </w:r>
      <w:r w:rsidRPr="00AF3B06">
        <w:rPr>
          <w:rFonts w:hint="cs"/>
          <w:rtl/>
        </w:rPr>
        <w:t xml:space="preserve">נפסק, כי </w:t>
      </w:r>
      <w:r w:rsidRPr="00AF3B06">
        <w:rPr>
          <w:rtl/>
        </w:rPr>
        <w:t>"</w:t>
      </w:r>
      <w:r w:rsidRPr="00CC0C0B">
        <w:rPr>
          <w:rFonts w:ascii="Century" w:hAnsi="Century" w:cs="Miriam"/>
          <w:b/>
          <w:spacing w:val="0"/>
          <w:sz w:val="22"/>
          <w:szCs w:val="24"/>
          <w:rtl/>
        </w:rPr>
        <w:t>מושג הקלון ניזון מתפיסות ערכיות ומאמות-מידה מוסריות הרווחות בחברה, וכשהוא דבק במעשיו של אדם הנמנה על מערכת תפקודית-מקצועית מסוימת, עולה השאלה איזו השפעה יש לכך על מידת כשירותו של אותו אדם להמשיך ולעסוק בעיסוקו במסגרת אותה מערכת, ומה היא השלכת מעשי הקלון על תדמיתה ומעמדה של המערכת כולה בעיני הציבור</w:t>
      </w:r>
      <w:r w:rsidRPr="00AF3B06">
        <w:rPr>
          <w:rFonts w:hint="cs"/>
          <w:rtl/>
        </w:rPr>
        <w:t>"</w:t>
      </w:r>
      <w:r>
        <w:rPr>
          <w:rFonts w:hint="cs"/>
          <w:color w:val="000000"/>
          <w:sz w:val="27"/>
          <w:szCs w:val="27"/>
          <w:rtl/>
        </w:rPr>
        <w:t xml:space="preserve"> (</w:t>
      </w:r>
      <w:proofErr w:type="spellStart"/>
      <w:r w:rsidRPr="00AF3B06">
        <w:rPr>
          <w:rtl/>
        </w:rPr>
        <w:t>על"ע</w:t>
      </w:r>
      <w:proofErr w:type="spellEnd"/>
      <w:r w:rsidRPr="00AF3B06">
        <w:rPr>
          <w:rtl/>
        </w:rPr>
        <w:t xml:space="preserve"> 3467/00 </w:t>
      </w:r>
      <w:r w:rsidRPr="00AF3B06">
        <w:rPr>
          <w:rFonts w:ascii="Century" w:hAnsi="Century" w:cs="Miriam"/>
          <w:b/>
          <w:spacing w:val="0"/>
          <w:sz w:val="22"/>
          <w:szCs w:val="24"/>
          <w:rtl/>
        </w:rPr>
        <w:t xml:space="preserve">הוועד המחוזי של לשכת עורכי-הדין בתל-אביב-יפו נ' מיכאל </w:t>
      </w:r>
      <w:proofErr w:type="spellStart"/>
      <w:r w:rsidRPr="00AF3B06">
        <w:rPr>
          <w:rFonts w:ascii="Century" w:hAnsi="Century" w:cs="Miriam"/>
          <w:b/>
          <w:spacing w:val="0"/>
          <w:sz w:val="22"/>
          <w:szCs w:val="24"/>
          <w:rtl/>
        </w:rPr>
        <w:t>צלטנר</w:t>
      </w:r>
      <w:proofErr w:type="spellEnd"/>
      <w:r w:rsidRPr="00AF3B06">
        <w:rPr>
          <w:rFonts w:ascii="Century" w:hAnsi="Century" w:cs="Miriam"/>
          <w:b/>
          <w:spacing w:val="0"/>
          <w:sz w:val="22"/>
          <w:szCs w:val="24"/>
          <w:rtl/>
        </w:rPr>
        <w:t xml:space="preserve"> עו"ד</w:t>
      </w:r>
      <w:r w:rsidRPr="00AF3B06">
        <w:rPr>
          <w:rFonts w:hint="cs"/>
          <w:rtl/>
        </w:rPr>
        <w:t>, פ"ד</w:t>
      </w:r>
      <w:r w:rsidRPr="00AF3B06">
        <w:t xml:space="preserve"> </w:t>
      </w:r>
      <w:r>
        <w:rPr>
          <w:rtl/>
        </w:rPr>
        <w:t>נו(2) 895</w:t>
      </w:r>
      <w:r>
        <w:rPr>
          <w:rFonts w:hint="cs"/>
          <w:rtl/>
        </w:rPr>
        <w:t xml:space="preserve">, 901 </w:t>
      </w:r>
      <w:r w:rsidRPr="00AF3B06">
        <w:rPr>
          <w:rtl/>
        </w:rPr>
        <w:t>(2002)</w:t>
      </w:r>
      <w:r>
        <w:rPr>
          <w:rFonts w:hint="cs"/>
          <w:rtl/>
        </w:rPr>
        <w:t xml:space="preserve">). </w:t>
      </w:r>
    </w:p>
    <w:p w14:paraId="603314CC" w14:textId="77777777" w:rsidR="00FD1F6D" w:rsidRDefault="00FD1F6D" w:rsidP="00FD1F6D">
      <w:pPr>
        <w:pStyle w:val="Ruller41"/>
        <w:rPr>
          <w:rtl/>
        </w:rPr>
      </w:pPr>
    </w:p>
    <w:p w14:paraId="22B1AE74" w14:textId="77777777" w:rsidR="00FD1F6D" w:rsidRDefault="00FD1F6D" w:rsidP="00FD1F6D">
      <w:pPr>
        <w:pStyle w:val="Ruller4"/>
        <w:numPr>
          <w:ilvl w:val="0"/>
          <w:numId w:val="0"/>
        </w:numPr>
        <w:rPr>
          <w:rtl/>
        </w:rPr>
      </w:pPr>
      <w:r>
        <w:rPr>
          <w:rtl/>
        </w:rPr>
        <w:tab/>
      </w:r>
      <w:r>
        <w:rPr>
          <w:rFonts w:hint="cs"/>
          <w:rtl/>
        </w:rPr>
        <w:t>על רקע האמור, ניכר כי אין זה ההליך המתאים להכריע בסוגיית הקלון, לא במפורש ולא במשתמע. אף אין בידי להניח</w:t>
      </w:r>
      <w:r w:rsidRPr="00313ABA">
        <w:rPr>
          <w:rFonts w:hint="cs"/>
          <w:rtl/>
        </w:rPr>
        <w:t xml:space="preserve"> </w:t>
      </w:r>
      <w:r>
        <w:rPr>
          <w:rFonts w:hint="cs"/>
          <w:rtl/>
        </w:rPr>
        <w:t>שהיה מושת קלון בגין הרשעת דרעי בעבירות אלו. ראוי שסוגיית הקלון, ולו מפאת חשיבותה, תשמע בהרחבה לפני יו"ר ועדת הבחירות. לא למותר לציין, כי אם ייקבע שבעבירות האחרונות של השר דרעי אין משום קלון מצב הדברים משתנה באופן משמעותי.</w:t>
      </w:r>
    </w:p>
    <w:p w14:paraId="157E518A" w14:textId="77777777" w:rsidR="00FD1F6D" w:rsidRPr="008F6C26" w:rsidRDefault="00FD1F6D" w:rsidP="00FD1F6D">
      <w:pPr>
        <w:pStyle w:val="Ruller41"/>
        <w:rPr>
          <w:rtl/>
        </w:rPr>
      </w:pPr>
    </w:p>
    <w:p w14:paraId="2A0AD3DB" w14:textId="77777777" w:rsidR="00FD1F6D" w:rsidRDefault="00FD1F6D" w:rsidP="00FD1F6D">
      <w:pPr>
        <w:pStyle w:val="Ruller4"/>
        <w:rPr>
          <w:rtl/>
        </w:rPr>
      </w:pPr>
      <w:r>
        <w:rPr>
          <w:rFonts w:hint="cs"/>
          <w:rtl/>
        </w:rPr>
        <w:t xml:space="preserve">כמו כן, </w:t>
      </w:r>
      <w:r w:rsidRPr="008F6C26">
        <w:rPr>
          <w:rFonts w:hint="cs"/>
          <w:rtl/>
        </w:rPr>
        <w:t xml:space="preserve">בעבר נפסק כי </w:t>
      </w:r>
      <w:r w:rsidRPr="008F6C26">
        <w:rPr>
          <w:rtl/>
        </w:rPr>
        <w:t>"</w:t>
      </w:r>
      <w:r w:rsidRPr="000769EA">
        <w:rPr>
          <w:rFonts w:ascii="Century" w:hAnsi="Century" w:cs="Miriam"/>
          <w:b/>
          <w:spacing w:val="0"/>
          <w:sz w:val="22"/>
          <w:szCs w:val="24"/>
          <w:rtl/>
        </w:rPr>
        <w:t>כשירותו של מועמד על פי מבחני החוק הנוגע בדבר עשויה להקרין על מרחב שיקול הדעת של הרשות הממנה בהליך המינוי</w:t>
      </w:r>
      <w:r w:rsidRPr="008F6C26">
        <w:rPr>
          <w:rFonts w:hint="cs"/>
          <w:rtl/>
        </w:rPr>
        <w:t>" (</w:t>
      </w:r>
      <w:r>
        <w:rPr>
          <w:rFonts w:hint="cs"/>
          <w:rtl/>
        </w:rPr>
        <w:t xml:space="preserve">עניין </w:t>
      </w:r>
      <w:r w:rsidRPr="000769EA">
        <w:rPr>
          <w:rFonts w:ascii="Century" w:hAnsi="Century" w:cs="Miriam" w:hint="cs"/>
          <w:b/>
          <w:spacing w:val="0"/>
          <w:sz w:val="22"/>
          <w:szCs w:val="24"/>
          <w:rtl/>
        </w:rPr>
        <w:t>אמונה</w:t>
      </w:r>
      <w:r>
        <w:rPr>
          <w:rFonts w:hint="cs"/>
          <w:rtl/>
        </w:rPr>
        <w:t>, בפסקה 15</w:t>
      </w:r>
      <w:r w:rsidRPr="008F6C26">
        <w:rPr>
          <w:rtl/>
        </w:rPr>
        <w:t xml:space="preserve"> </w:t>
      </w:r>
      <w:r>
        <w:rPr>
          <w:rFonts w:hint="cs"/>
          <w:rtl/>
        </w:rPr>
        <w:t xml:space="preserve">לחוות דעתה של השופטת </w:t>
      </w:r>
      <w:r w:rsidRPr="008F6C26">
        <w:rPr>
          <w:rFonts w:ascii="Century" w:hAnsi="Century" w:cs="Miriam" w:hint="cs"/>
          <w:b/>
          <w:spacing w:val="0"/>
          <w:sz w:val="22"/>
          <w:szCs w:val="24"/>
          <w:rtl/>
        </w:rPr>
        <w:t>א' פרוקצ'יה</w:t>
      </w:r>
      <w:r w:rsidRPr="008F6C26">
        <w:rPr>
          <w:rtl/>
        </w:rPr>
        <w:t>‏‏</w:t>
      </w:r>
      <w:r>
        <w:rPr>
          <w:rFonts w:hint="cs"/>
          <w:rtl/>
        </w:rPr>
        <w:t>; ראו גם</w:t>
      </w:r>
      <w:r w:rsidRPr="00D34567">
        <w:rPr>
          <w:rFonts w:hint="cs"/>
          <w:rtl/>
        </w:rPr>
        <w:t xml:space="preserve">: </w:t>
      </w:r>
      <w:r>
        <w:rPr>
          <w:rFonts w:hint="cs"/>
          <w:rtl/>
        </w:rPr>
        <w:t xml:space="preserve">עניין </w:t>
      </w:r>
      <w:proofErr w:type="spellStart"/>
      <w:r w:rsidRPr="00CF6A93">
        <w:rPr>
          <w:rFonts w:ascii="Century" w:hAnsi="Century" w:cs="Miriam" w:hint="cs"/>
          <w:b/>
          <w:spacing w:val="0"/>
          <w:sz w:val="22"/>
          <w:szCs w:val="24"/>
          <w:rtl/>
        </w:rPr>
        <w:t>גלנט</w:t>
      </w:r>
      <w:proofErr w:type="spellEnd"/>
      <w:r w:rsidRPr="00D34567">
        <w:rPr>
          <w:rFonts w:hint="cs"/>
          <w:rtl/>
        </w:rPr>
        <w:t xml:space="preserve">, </w:t>
      </w:r>
      <w:r>
        <w:rPr>
          <w:rFonts w:hint="cs"/>
          <w:rtl/>
        </w:rPr>
        <w:t>ב</w:t>
      </w:r>
      <w:r w:rsidRPr="00D34567">
        <w:rPr>
          <w:rFonts w:hint="cs"/>
          <w:rtl/>
        </w:rPr>
        <w:t>פסקה 29).</w:t>
      </w:r>
      <w:r>
        <w:rPr>
          <w:rFonts w:hint="cs"/>
          <w:rtl/>
        </w:rPr>
        <w:t xml:space="preserve"> </w:t>
      </w:r>
    </w:p>
    <w:p w14:paraId="7C6E3F4A" w14:textId="77777777" w:rsidR="00636252" w:rsidRDefault="00636252" w:rsidP="00636252">
      <w:pPr>
        <w:rPr>
          <w:rtl/>
        </w:rPr>
      </w:pPr>
    </w:p>
    <w:p w14:paraId="2C7EE5B5" w14:textId="77777777" w:rsidR="00636252" w:rsidRPr="00636252" w:rsidRDefault="00636252" w:rsidP="00636252"/>
    <w:p w14:paraId="1B3F12EB" w14:textId="77777777" w:rsidR="00FD1F6D" w:rsidRDefault="00FD1F6D" w:rsidP="00FD1F6D">
      <w:pPr>
        <w:pStyle w:val="Ruller4"/>
        <w:numPr>
          <w:ilvl w:val="0"/>
          <w:numId w:val="0"/>
        </w:numPr>
        <w:rPr>
          <w:rtl/>
        </w:rPr>
      </w:pPr>
    </w:p>
    <w:p w14:paraId="5DC583C2" w14:textId="77777777" w:rsidR="00FD1F6D" w:rsidRPr="00D00936" w:rsidRDefault="00FD1F6D" w:rsidP="00FD1F6D">
      <w:pPr>
        <w:pStyle w:val="Ruller4"/>
        <w:numPr>
          <w:ilvl w:val="0"/>
          <w:numId w:val="0"/>
        </w:numPr>
      </w:pPr>
      <w:r>
        <w:rPr>
          <w:rtl/>
        </w:rPr>
        <w:tab/>
      </w:r>
      <w:r>
        <w:rPr>
          <w:rFonts w:hint="cs"/>
          <w:rtl/>
        </w:rPr>
        <w:t>בצדק נטען על ידי היועצת המשפטית לממשלה כי בענייננו יש להעניק משקל מוגבל לתנאי הכשירות לאחר תיקון חוק היסוד, בהינתן הנסיבות שהובילו לשינויים. משראש הממשלה נמנע מלפנות ליו"ר ועדת הבחירות בעיתוי הנדרש,</w:t>
      </w:r>
      <w:r w:rsidRPr="00AD59B6">
        <w:rPr>
          <w:rFonts w:hint="cs"/>
          <w:rtl/>
        </w:rPr>
        <w:t xml:space="preserve"> איננו יודעים </w:t>
      </w:r>
      <w:r>
        <w:rPr>
          <w:rFonts w:hint="cs"/>
          <w:rtl/>
        </w:rPr>
        <w:t>את התשובה לשאלה האם</w:t>
      </w:r>
      <w:r w:rsidRPr="00AD59B6">
        <w:rPr>
          <w:rFonts w:hint="cs"/>
          <w:rtl/>
        </w:rPr>
        <w:t xml:space="preserve"> </w:t>
      </w:r>
      <w:r>
        <w:rPr>
          <w:rFonts w:hint="cs"/>
          <w:rtl/>
        </w:rPr>
        <w:t>השר דרעי היה עומד בתנאי הכשירות עובר לתיקון חוק היסוד</w:t>
      </w:r>
      <w:r w:rsidRPr="00AD59B6">
        <w:rPr>
          <w:rFonts w:hint="cs"/>
          <w:rtl/>
        </w:rPr>
        <w:t>.</w:t>
      </w:r>
      <w:r>
        <w:rPr>
          <w:rFonts w:hint="cs"/>
          <w:rtl/>
        </w:rPr>
        <w:t xml:space="preserve"> גם היבט זה משליך על בחינת סבירות המינוי. </w:t>
      </w:r>
    </w:p>
    <w:p w14:paraId="7D5C80C4" w14:textId="77777777" w:rsidR="00FD1F6D" w:rsidRPr="00B87473" w:rsidRDefault="00FD1F6D" w:rsidP="00FD1F6D">
      <w:pPr>
        <w:pStyle w:val="Ruller4"/>
        <w:numPr>
          <w:ilvl w:val="0"/>
          <w:numId w:val="0"/>
        </w:numPr>
        <w:rPr>
          <w:rtl/>
        </w:rPr>
      </w:pPr>
    </w:p>
    <w:p w14:paraId="60C4D07E" w14:textId="77777777" w:rsidR="00FD1F6D" w:rsidRDefault="00FD1F6D" w:rsidP="00FD1F6D">
      <w:pPr>
        <w:pStyle w:val="Ruller4"/>
        <w:rPr>
          <w:rtl/>
        </w:rPr>
      </w:pPr>
      <w:r>
        <w:rPr>
          <w:rFonts w:hint="cs"/>
          <w:rtl/>
        </w:rPr>
        <w:t xml:space="preserve">זאת ועוד, עלול להיווצר מצב שבו בשל הימנעות ראש הממשלה מלפנות ליו"ר ועדת הבחירות מצבו של השר דרעי הורע. לו היה פונה, ולו היה נקבע שאין בהרשעותיו האחרונות של השר דרעי משום קלון </w:t>
      </w:r>
      <w:r>
        <w:rPr>
          <w:rtl/>
        </w:rPr>
        <w:t>–</w:t>
      </w:r>
      <w:r>
        <w:rPr>
          <w:rFonts w:hint="cs"/>
          <w:rtl/>
        </w:rPr>
        <w:t xml:space="preserve"> הדבר היה מקרין לא רק על סוגיית כשירותו לכהונה כשר, אלא גם על סבירות המינוי כאמור. לצד האמור, כמובן שאני ער לכך שלא הוצגה לפנינו דרישה של השר דרעי לראש הממשלה כי יפנה ליו"ר ועדת הבחירות לפי סעיף 3 לחוק הממשלה, כמו גם לעובדה כי הצעת החוק אשר הבשילה לתיקון חוק היסוד הוגשה על ידי ח"כ ממפלגתו של השר דרעי. </w:t>
      </w:r>
    </w:p>
    <w:p w14:paraId="797F6430" w14:textId="77777777" w:rsidR="00FD1F6D" w:rsidRDefault="00FD1F6D" w:rsidP="00FD1F6D">
      <w:pPr>
        <w:pStyle w:val="Ruller41"/>
        <w:rPr>
          <w:rtl/>
        </w:rPr>
      </w:pPr>
    </w:p>
    <w:p w14:paraId="27336D4A" w14:textId="77777777" w:rsidR="00FD1F6D" w:rsidRPr="00216C9E" w:rsidRDefault="00FD1F6D" w:rsidP="00FD1F6D">
      <w:pPr>
        <w:pStyle w:val="Ruller4"/>
        <w:rPr>
          <w:rtl/>
        </w:rPr>
      </w:pPr>
      <w:r>
        <w:rPr>
          <w:rFonts w:hint="cs"/>
          <w:rtl/>
        </w:rPr>
        <w:t xml:space="preserve">אם כך, סוגיית הקלון בגין הרשעותיו האחרונות של השר דרעי הייתה ונותרה רלוונטית גם לאחר תיקון חוק היסוד, ולמעשה הדיון בה לא מוצה. במידה רבה, היא הכרחית לצורך הכרעה בעתירות שלפנינו. </w:t>
      </w:r>
    </w:p>
    <w:p w14:paraId="7AF4806D" w14:textId="77777777" w:rsidR="00FD1F6D" w:rsidRDefault="00FD1F6D" w:rsidP="00FD1F6D">
      <w:pPr>
        <w:pStyle w:val="Ruller41"/>
        <w:rPr>
          <w:rFonts w:ascii="Century" w:hAnsi="Century" w:cs="Miriam"/>
          <w:b/>
          <w:spacing w:val="0"/>
          <w:szCs w:val="24"/>
          <w:rtl/>
        </w:rPr>
      </w:pPr>
    </w:p>
    <w:p w14:paraId="10EFDFEB" w14:textId="77777777" w:rsidR="00FD1F6D" w:rsidRPr="00C618DA" w:rsidRDefault="00FD1F6D" w:rsidP="00FD1F6D">
      <w:pPr>
        <w:pStyle w:val="Ruller41"/>
        <w:rPr>
          <w:rFonts w:ascii="Century" w:hAnsi="Century" w:cs="Miriam"/>
          <w:b/>
          <w:spacing w:val="0"/>
          <w:szCs w:val="24"/>
          <w:rtl/>
        </w:rPr>
      </w:pPr>
      <w:r>
        <w:rPr>
          <w:rFonts w:ascii="Century" w:hAnsi="Century" w:cs="Miriam" w:hint="cs"/>
          <w:b/>
          <w:spacing w:val="0"/>
          <w:szCs w:val="24"/>
          <w:rtl/>
        </w:rPr>
        <w:t>הסעד הראוי</w:t>
      </w:r>
    </w:p>
    <w:p w14:paraId="5D6DF9D5" w14:textId="77777777" w:rsidR="00FD1F6D" w:rsidRDefault="00FD1F6D" w:rsidP="00FD1F6D">
      <w:pPr>
        <w:pStyle w:val="Ruller4"/>
        <w:numPr>
          <w:ilvl w:val="0"/>
          <w:numId w:val="0"/>
        </w:numPr>
      </w:pPr>
    </w:p>
    <w:p w14:paraId="5F165ACF" w14:textId="77777777" w:rsidR="00FD1F6D" w:rsidRDefault="00FD1F6D" w:rsidP="00FD1F6D">
      <w:pPr>
        <w:pStyle w:val="Ruller4"/>
      </w:pPr>
      <w:r>
        <w:rPr>
          <w:rFonts w:hint="cs"/>
          <w:rtl/>
        </w:rPr>
        <w:t>מאחר שהדין שחל בעת הרלוונטית חייב את ראש הממשלה לפנות ליו"ר ועדת הבחירות יש להורות על תיקון הפגם שנפל באמצעות הנחייתו לעשות כן.</w:t>
      </w:r>
    </w:p>
    <w:p w14:paraId="77A6AFC1" w14:textId="77777777" w:rsidR="00FD1F6D" w:rsidRDefault="00FD1F6D" w:rsidP="00FD1F6D">
      <w:pPr>
        <w:pStyle w:val="Ruller4"/>
        <w:numPr>
          <w:ilvl w:val="0"/>
          <w:numId w:val="0"/>
        </w:numPr>
        <w:rPr>
          <w:rtl/>
        </w:rPr>
      </w:pPr>
    </w:p>
    <w:p w14:paraId="50B18948" w14:textId="77777777" w:rsidR="00FD1F6D" w:rsidRDefault="00FD1F6D" w:rsidP="00FD1F6D">
      <w:pPr>
        <w:pStyle w:val="Ruller4"/>
        <w:numPr>
          <w:ilvl w:val="0"/>
          <w:numId w:val="0"/>
        </w:numPr>
        <w:rPr>
          <w:rtl/>
        </w:rPr>
      </w:pPr>
      <w:r>
        <w:rPr>
          <w:rtl/>
        </w:rPr>
        <w:tab/>
      </w:r>
      <w:r>
        <w:rPr>
          <w:rFonts w:hint="cs"/>
          <w:rtl/>
        </w:rPr>
        <w:t xml:space="preserve">הכיצד ניתן לאחר תיקון חוק היסוד "להחזיר את הגלגל לאחור" ולחייב את ראש הממשלה לפנות ליו"ר ועדת הבחירות בהתאם לסעיף 6(ג)(1) לחוק יסוד הממשלה בנוסחו הקודם? כפי שציינתי לעיל, בפרק הזמן שבו התיקון לחוק היסוד לא חל, לאחר הטלת תפקיד הרכבת הממשלה על ח"כ נתניהו, פניית בא-כוח השר דרעי בסוגיית כשירותו, וקבלת עמדת היועצת המשפטית לממשלה </w:t>
      </w:r>
      <w:r>
        <w:rPr>
          <w:rtl/>
        </w:rPr>
        <w:t>–</w:t>
      </w:r>
      <w:r>
        <w:rPr>
          <w:rFonts w:hint="cs"/>
          <w:rtl/>
        </w:rPr>
        <w:t xml:space="preserve"> קמה החובה לפנות ליו"ר ועדת הבחירות בעניינו של דרעי, וחובה זו עדיין בתוקף. כאמור, השר דרעי היה, ולמעשה נותר, בסטטוס של "ממתין לפנייה". כעת יש להורות על עריכת הפנייה </w:t>
      </w:r>
      <w:r>
        <w:rPr>
          <w:rtl/>
        </w:rPr>
        <w:t>–</w:t>
      </w:r>
      <w:r>
        <w:rPr>
          <w:rFonts w:hint="cs"/>
          <w:rtl/>
        </w:rPr>
        <w:t xml:space="preserve"> כפי שהתחייב בהתאם לדין שחל באותה העת. </w:t>
      </w:r>
    </w:p>
    <w:p w14:paraId="45EC66E6" w14:textId="77777777" w:rsidR="00636252" w:rsidRDefault="00636252" w:rsidP="00636252">
      <w:pPr>
        <w:rPr>
          <w:rtl/>
        </w:rPr>
      </w:pPr>
    </w:p>
    <w:p w14:paraId="193453EF" w14:textId="77777777" w:rsidR="00636252" w:rsidRDefault="00636252" w:rsidP="00636252">
      <w:pPr>
        <w:rPr>
          <w:rtl/>
        </w:rPr>
      </w:pPr>
    </w:p>
    <w:p w14:paraId="0784AB27" w14:textId="77777777" w:rsidR="00636252" w:rsidRPr="00636252" w:rsidRDefault="00636252" w:rsidP="00636252">
      <w:pPr>
        <w:rPr>
          <w:rtl/>
        </w:rPr>
      </w:pPr>
    </w:p>
    <w:p w14:paraId="07A6BAE8" w14:textId="77777777" w:rsidR="00FD1F6D" w:rsidRDefault="00FD1F6D" w:rsidP="00FD1F6D">
      <w:pPr>
        <w:pStyle w:val="Ruller4"/>
        <w:numPr>
          <w:ilvl w:val="0"/>
          <w:numId w:val="0"/>
        </w:numPr>
        <w:rPr>
          <w:rtl/>
        </w:rPr>
      </w:pPr>
    </w:p>
    <w:p w14:paraId="225D118D" w14:textId="77777777" w:rsidR="00FD1F6D" w:rsidRDefault="00FD1F6D" w:rsidP="00FD1F6D">
      <w:pPr>
        <w:pStyle w:val="Ruller4"/>
        <w:numPr>
          <w:ilvl w:val="0"/>
          <w:numId w:val="0"/>
        </w:numPr>
      </w:pPr>
      <w:r>
        <w:rPr>
          <w:rtl/>
        </w:rPr>
        <w:tab/>
      </w:r>
      <w:r>
        <w:rPr>
          <w:rFonts w:hint="cs"/>
          <w:rtl/>
        </w:rPr>
        <w:t xml:space="preserve">אף איני רואה כל מניעה שיו"ר ועדת הבחירות ידון באותה פנייה. כך מתבקש לאור עיתוי הפגם מחד גיסא, ותיקון חוק היסוד מאידך גיסא (ראו והשוו להפעלת סמכות יו"ר ועדת הבחירות במסגרת "הכרעה מוקדמת" בדבר כשירות מועמדים לבחירות לכנסת; החלטת המשנה לנשיאה </w:t>
      </w:r>
      <w:r w:rsidRPr="005D2924">
        <w:rPr>
          <w:rFonts w:ascii="Century" w:hAnsi="Century" w:cs="Miriam" w:hint="cs"/>
          <w:b/>
          <w:spacing w:val="0"/>
          <w:sz w:val="22"/>
          <w:szCs w:val="24"/>
          <w:rtl/>
        </w:rPr>
        <w:t>ח' מלצר</w:t>
      </w:r>
      <w:r w:rsidRPr="005D2924">
        <w:rPr>
          <w:rFonts w:hint="cs"/>
          <w:rtl/>
        </w:rPr>
        <w:t xml:space="preserve"> </w:t>
      </w:r>
      <w:r w:rsidRPr="008B781E">
        <w:rPr>
          <w:rFonts w:hint="cs"/>
          <w:rtl/>
        </w:rPr>
        <w:t>ב</w:t>
      </w:r>
      <w:r w:rsidRPr="008B781E">
        <w:rPr>
          <w:rtl/>
        </w:rPr>
        <w:t>פ"מ 3/21</w:t>
      </w:r>
      <w:r>
        <w:rPr>
          <w:color w:val="000000"/>
          <w:sz w:val="27"/>
          <w:szCs w:val="27"/>
          <w:rtl/>
        </w:rPr>
        <w:t xml:space="preserve"> </w:t>
      </w:r>
      <w:r w:rsidRPr="005D2924">
        <w:rPr>
          <w:rFonts w:ascii="Century" w:hAnsi="Century" w:cs="Miriam"/>
          <w:b/>
          <w:spacing w:val="0"/>
          <w:sz w:val="22"/>
          <w:szCs w:val="24"/>
          <w:rtl/>
        </w:rPr>
        <w:t>פנחס עידן נ'</w:t>
      </w:r>
      <w:r>
        <w:rPr>
          <w:rFonts w:hint="cs"/>
          <w:color w:val="000000"/>
          <w:sz w:val="27"/>
          <w:szCs w:val="27"/>
          <w:rtl/>
        </w:rPr>
        <w:t xml:space="preserve">, </w:t>
      </w:r>
      <w:r w:rsidRPr="008B781E">
        <w:rPr>
          <w:rFonts w:hint="cs"/>
          <w:rtl/>
        </w:rPr>
        <w:t>פסקה 8(ב)</w:t>
      </w:r>
      <w:r w:rsidRPr="008B781E">
        <w:rPr>
          <w:rtl/>
        </w:rPr>
        <w:t xml:space="preserve"> (</w:t>
      </w:r>
      <w:r w:rsidRPr="008B781E">
        <w:rPr>
          <w:rFonts w:hint="cs"/>
          <w:rtl/>
        </w:rPr>
        <w:t>7.3.2019</w:t>
      </w:r>
      <w:r w:rsidRPr="008B781E">
        <w:rPr>
          <w:rtl/>
        </w:rPr>
        <w:t>)</w:t>
      </w:r>
      <w:r w:rsidRPr="001A5BCD">
        <w:rPr>
          <w:rFonts w:hint="cs"/>
          <w:rtl/>
        </w:rPr>
        <w:t xml:space="preserve">). </w:t>
      </w:r>
      <w:r>
        <w:rPr>
          <w:rFonts w:hint="cs"/>
          <w:rtl/>
        </w:rPr>
        <w:t xml:space="preserve">במקרה קודם קבעה הנשיאה, </w:t>
      </w:r>
      <w:r w:rsidRPr="00390E9B">
        <w:rPr>
          <w:rFonts w:ascii="Century" w:hAnsi="Century" w:cs="Miriam" w:hint="cs"/>
          <w:b/>
          <w:spacing w:val="0"/>
          <w:sz w:val="22"/>
          <w:szCs w:val="24"/>
          <w:rtl/>
        </w:rPr>
        <w:t>ד' ביניש</w:t>
      </w:r>
      <w:r>
        <w:rPr>
          <w:rFonts w:hint="cs"/>
          <w:rtl/>
        </w:rPr>
        <w:t xml:space="preserve">: </w:t>
      </w:r>
    </w:p>
    <w:p w14:paraId="67771BB2" w14:textId="77777777" w:rsidR="00FD1F6D" w:rsidRPr="00AD5BC8" w:rsidRDefault="00FD1F6D" w:rsidP="00FD1F6D">
      <w:pPr>
        <w:pStyle w:val="Ruller4"/>
        <w:numPr>
          <w:ilvl w:val="0"/>
          <w:numId w:val="0"/>
        </w:numPr>
        <w:rPr>
          <w:rtl/>
        </w:rPr>
      </w:pPr>
    </w:p>
    <w:p w14:paraId="5F6E74D2" w14:textId="77777777" w:rsidR="00FD1F6D" w:rsidRPr="00342138" w:rsidRDefault="00FD1F6D" w:rsidP="00FD1F6D">
      <w:pPr>
        <w:pStyle w:val="Ruller5"/>
        <w:rPr>
          <w:rtl/>
        </w:rPr>
      </w:pPr>
      <w:r>
        <w:rPr>
          <w:rFonts w:hint="cs"/>
          <w:rtl/>
        </w:rPr>
        <w:t xml:space="preserve">"[...] </w:t>
      </w:r>
      <w:r>
        <w:rPr>
          <w:rtl/>
        </w:rPr>
        <w:t xml:space="preserve">מן ראוי לציין ביחס לטענת המדינה, לפיה אין זה סביר שמשרד הפנים יבחן כעת את עניינם של המשיבים בהתאם להגדרה המקורית למונח "תושב אזור", שאינו תקפה עוד, כי </w:t>
      </w:r>
      <w:r w:rsidRPr="009B639A">
        <w:rPr>
          <w:u w:val="single"/>
          <w:rtl/>
        </w:rPr>
        <w:t>הביקורת השיפוטית על החלטות הרשות המינהלית - בין אם בעתירות בפני בית המשפט קמא ובין אם בערעורים שלפנינו - בוחנת האם החלטתה של הרשות המינהלית נתקבלה בהתאם לדין שנהג בעת מתן ההחלטה. בוודאי שכך המצב כאשר דנים אנו בסוגיה של פגיעה בזכויות</w:t>
      </w:r>
      <w:r w:rsidRPr="009B639A">
        <w:rPr>
          <w:rtl/>
        </w:rPr>
        <w:t xml:space="preserve">; </w:t>
      </w:r>
      <w:r w:rsidRPr="009B639A">
        <w:rPr>
          <w:rFonts w:hint="cs"/>
          <w:rtl/>
        </w:rPr>
        <w:t xml:space="preserve">[...] </w:t>
      </w:r>
      <w:r w:rsidRPr="009B639A">
        <w:rPr>
          <w:u w:val="single"/>
          <w:rtl/>
        </w:rPr>
        <w:t>בנסיבות אלה מן הראוי כי משרד הפנים יבחן את בקשות המשיבים בהתאם לדין שהיה בתוקף בעת שקיבל את החלטותיו המקוריות ביחס לאותן בקשות</w:t>
      </w:r>
      <w:r w:rsidRPr="009B639A">
        <w:rPr>
          <w:rtl/>
        </w:rPr>
        <w:t>.</w:t>
      </w:r>
      <w:r>
        <w:rPr>
          <w:rtl/>
        </w:rPr>
        <w:t xml:space="preserve"> אין לומר כי תוצאה זו אינה סבירה, שכן תוצאה זו עולה בקנה אחד עם עקרון החוקיות החל על כל רשות מינהלית באשר היא. התוצאה מתיישבת אף עם עקרונות יסוד של צדק; שכן אלמלא נדחו בקשות המשיבים על הסף ושלא כדין </w:t>
      </w:r>
      <w:r>
        <w:rPr>
          <w:rFonts w:hint="cs"/>
          <w:rtl/>
        </w:rPr>
        <w:t>[...]</w:t>
      </w:r>
      <w:r>
        <w:rPr>
          <w:rtl/>
        </w:rPr>
        <w:t xml:space="preserve"> היה על משרד הפנים לבחון את הבקשות ולהכריע בהן לגופן</w:t>
      </w:r>
      <w:r>
        <w:rPr>
          <w:rFonts w:hint="cs"/>
          <w:rtl/>
        </w:rPr>
        <w:t>"</w:t>
      </w:r>
      <w:r w:rsidRPr="00342138">
        <w:rPr>
          <w:rtl/>
        </w:rPr>
        <w:t xml:space="preserve"> </w:t>
      </w:r>
      <w:r>
        <w:rPr>
          <w:rFonts w:hint="cs"/>
          <w:rtl/>
        </w:rPr>
        <w:t xml:space="preserve">(ההדגשות הוספו </w:t>
      </w:r>
      <w:r>
        <w:rPr>
          <w:rtl/>
        </w:rPr>
        <w:t>–</w:t>
      </w:r>
      <w:r>
        <w:rPr>
          <w:rFonts w:hint="cs"/>
          <w:rtl/>
        </w:rPr>
        <w:t xml:space="preserve"> </w:t>
      </w:r>
      <w:r w:rsidRPr="002B4803">
        <w:rPr>
          <w:rFonts w:ascii="Century" w:hAnsi="Century" w:cs="Miriam" w:hint="cs"/>
          <w:b/>
          <w:spacing w:val="0"/>
          <w:szCs w:val="24"/>
          <w:rtl/>
        </w:rPr>
        <w:t>י' א'</w:t>
      </w:r>
      <w:r>
        <w:rPr>
          <w:rFonts w:hint="cs"/>
          <w:rtl/>
        </w:rPr>
        <w:t xml:space="preserve">; </w:t>
      </w:r>
      <w:r w:rsidRPr="008374E6">
        <w:rPr>
          <w:rtl/>
        </w:rPr>
        <w:t>עע"מ 5569/05 </w:t>
      </w:r>
      <w:r w:rsidRPr="00342138">
        <w:rPr>
          <w:rFonts w:ascii="Century" w:hAnsi="Century" w:cs="Miriam"/>
          <w:b/>
          <w:spacing w:val="0"/>
          <w:szCs w:val="24"/>
          <w:rtl/>
        </w:rPr>
        <w:t xml:space="preserve">משרד הפנים נ' </w:t>
      </w:r>
      <w:proofErr w:type="spellStart"/>
      <w:r w:rsidRPr="00342138">
        <w:rPr>
          <w:rFonts w:ascii="Century" w:hAnsi="Century" w:cs="Miriam"/>
          <w:b/>
          <w:spacing w:val="0"/>
          <w:szCs w:val="24"/>
          <w:rtl/>
        </w:rPr>
        <w:t>עויסאת</w:t>
      </w:r>
      <w:proofErr w:type="spellEnd"/>
      <w:r w:rsidRPr="008374E6">
        <w:rPr>
          <w:rFonts w:hint="cs"/>
          <w:rtl/>
        </w:rPr>
        <w:t xml:space="preserve">, פסקה </w:t>
      </w:r>
      <w:r>
        <w:rPr>
          <w:rFonts w:hint="cs"/>
          <w:rtl/>
        </w:rPr>
        <w:t>11</w:t>
      </w:r>
      <w:r w:rsidRPr="008374E6">
        <w:rPr>
          <w:rFonts w:hint="cs"/>
          <w:rtl/>
        </w:rPr>
        <w:t xml:space="preserve"> </w:t>
      </w:r>
      <w:r w:rsidRPr="008374E6">
        <w:rPr>
          <w:rtl/>
        </w:rPr>
        <w:t>(</w:t>
      </w:r>
      <w:r>
        <w:rPr>
          <w:rFonts w:hint="cs"/>
          <w:rtl/>
        </w:rPr>
        <w:t>10.8.2008</w:t>
      </w:r>
      <w:r w:rsidRPr="008374E6">
        <w:rPr>
          <w:rtl/>
        </w:rPr>
        <w:t>)</w:t>
      </w:r>
      <w:r>
        <w:rPr>
          <w:rFonts w:hint="cs"/>
          <w:rtl/>
        </w:rPr>
        <w:t>).</w:t>
      </w:r>
    </w:p>
    <w:p w14:paraId="2B84917A" w14:textId="77777777" w:rsidR="00FD1F6D" w:rsidRDefault="00FD1F6D" w:rsidP="00FD1F6D">
      <w:pPr>
        <w:pStyle w:val="Ruller4"/>
        <w:numPr>
          <w:ilvl w:val="0"/>
          <w:numId w:val="0"/>
        </w:numPr>
        <w:rPr>
          <w:rtl/>
        </w:rPr>
      </w:pPr>
    </w:p>
    <w:p w14:paraId="17CDD275" w14:textId="77777777" w:rsidR="00FD1F6D" w:rsidRDefault="00FD1F6D" w:rsidP="00FD1F6D">
      <w:pPr>
        <w:pStyle w:val="Ruller4"/>
        <w:numPr>
          <w:ilvl w:val="0"/>
          <w:numId w:val="0"/>
        </w:numPr>
        <w:rPr>
          <w:rtl/>
        </w:rPr>
      </w:pPr>
      <w:r>
        <w:rPr>
          <w:rtl/>
        </w:rPr>
        <w:tab/>
      </w:r>
      <w:r>
        <w:rPr>
          <w:rFonts w:hint="cs"/>
          <w:rtl/>
        </w:rPr>
        <w:t xml:space="preserve">בשינויים המתחייבים, ראוי ליתן סעד דומה גם בענייננו. </w:t>
      </w:r>
    </w:p>
    <w:p w14:paraId="4E0FA3E0" w14:textId="77777777" w:rsidR="00FD1F6D" w:rsidRPr="00A166D2" w:rsidRDefault="00FD1F6D" w:rsidP="00FD1F6D">
      <w:pPr>
        <w:pStyle w:val="Ruller41"/>
      </w:pPr>
    </w:p>
    <w:p w14:paraId="490EAC41" w14:textId="77777777" w:rsidR="00FD1F6D" w:rsidRPr="00971E82" w:rsidRDefault="00FD1F6D" w:rsidP="00FD1F6D">
      <w:pPr>
        <w:pStyle w:val="Ruller4"/>
      </w:pPr>
      <w:r>
        <w:rPr>
          <w:rFonts w:hint="cs"/>
          <w:rtl/>
        </w:rPr>
        <w:t>יהיה מי שיטען, כי נוכח תיקון חוק היסוד ומאחר שאיננו מתערבים בתוקפו, ממילא אין מניעה כי השר דרעי יתמנה לשר בהתאם לסעיף 6(ג)(1) לחוק יסוד הממשלה בנוסחו המתוקן. לגישתי, לאור תיקון חוק היסוד ההשלכות של קביעת יו"ר ועדת הבחירות במישור כשירותו של דרעי לכהונת שר אינן ברורות לחלוטין. עם זאת, קביעתו של יו"ר ועדת הבחירות, לכאן או לכאן, ודאי משליכה על סוגיית סבירות המינוי. לאחר שתתקבל, ניתן יהא לדון ולהכריע בחוקיות מינוי השר דרעי, ככל שיידרש.</w:t>
      </w:r>
    </w:p>
    <w:p w14:paraId="52F31852" w14:textId="77777777" w:rsidR="00FD1F6D" w:rsidRDefault="00FD1F6D" w:rsidP="00FD1F6D">
      <w:pPr>
        <w:pStyle w:val="Ruller4"/>
        <w:numPr>
          <w:ilvl w:val="0"/>
          <w:numId w:val="0"/>
        </w:numPr>
        <w:rPr>
          <w:rFonts w:ascii="Century" w:hAnsi="Century" w:cs="Miriam"/>
          <w:b/>
          <w:spacing w:val="0"/>
          <w:sz w:val="22"/>
          <w:szCs w:val="24"/>
          <w:rtl/>
        </w:rPr>
      </w:pPr>
    </w:p>
    <w:p w14:paraId="52F8F268" w14:textId="77777777" w:rsidR="00FD1F6D" w:rsidRPr="007927F3" w:rsidRDefault="00FD1F6D" w:rsidP="00FD1F6D">
      <w:pPr>
        <w:pStyle w:val="Ruller4"/>
        <w:numPr>
          <w:ilvl w:val="0"/>
          <w:numId w:val="0"/>
        </w:numPr>
        <w:rPr>
          <w:rFonts w:ascii="Century" w:hAnsi="Century" w:cs="Miriam"/>
          <w:b/>
          <w:spacing w:val="0"/>
          <w:sz w:val="22"/>
          <w:szCs w:val="24"/>
          <w:rtl/>
        </w:rPr>
      </w:pPr>
      <w:r w:rsidRPr="007927F3">
        <w:rPr>
          <w:rFonts w:ascii="Century" w:hAnsi="Century" w:cs="Miriam" w:hint="cs"/>
          <w:b/>
          <w:spacing w:val="0"/>
          <w:sz w:val="22"/>
          <w:szCs w:val="24"/>
          <w:rtl/>
        </w:rPr>
        <w:t xml:space="preserve">סוף דבר </w:t>
      </w:r>
    </w:p>
    <w:p w14:paraId="337859D9" w14:textId="77777777" w:rsidR="00FD1F6D" w:rsidRPr="007927F3" w:rsidRDefault="00FD1F6D" w:rsidP="00FD1F6D">
      <w:pPr>
        <w:pStyle w:val="Ruller41"/>
      </w:pPr>
    </w:p>
    <w:p w14:paraId="2B1B9A0C" w14:textId="77777777" w:rsidR="00FD1F6D" w:rsidRDefault="00FD1F6D" w:rsidP="00FD1F6D">
      <w:pPr>
        <w:pStyle w:val="Ruller4"/>
        <w:rPr>
          <w:rtl/>
        </w:rPr>
      </w:pPr>
      <w:r>
        <w:rPr>
          <w:rFonts w:hint="cs"/>
          <w:rtl/>
        </w:rPr>
        <w:t>בהינתן עמדתי זו, איני מוצא לקבוע שהחלטת ראש הממשלה שלא להעביר את השר דרעי מתפקידו חורגת באופן קיצוני ממתחם הסבירות.</w:t>
      </w:r>
    </w:p>
    <w:p w14:paraId="5CF18B62" w14:textId="77777777" w:rsidR="00636252" w:rsidRDefault="00636252" w:rsidP="00636252">
      <w:pPr>
        <w:rPr>
          <w:rtl/>
        </w:rPr>
      </w:pPr>
    </w:p>
    <w:p w14:paraId="397D2451" w14:textId="77777777" w:rsidR="00636252" w:rsidRPr="00636252" w:rsidRDefault="00636252" w:rsidP="00636252"/>
    <w:p w14:paraId="10E6F89E" w14:textId="77777777" w:rsidR="00FD1F6D" w:rsidRPr="00171574" w:rsidRDefault="00FD1F6D" w:rsidP="00FD1F6D">
      <w:pPr>
        <w:pStyle w:val="Ruller4"/>
        <w:numPr>
          <w:ilvl w:val="0"/>
          <w:numId w:val="0"/>
        </w:numPr>
        <w:rPr>
          <w:rtl/>
        </w:rPr>
      </w:pPr>
    </w:p>
    <w:p w14:paraId="07DC79ED" w14:textId="77777777" w:rsidR="00FD1F6D" w:rsidRDefault="00FD1F6D" w:rsidP="00FD1F6D">
      <w:pPr>
        <w:pStyle w:val="Ruller4"/>
        <w:numPr>
          <w:ilvl w:val="0"/>
          <w:numId w:val="0"/>
        </w:numPr>
      </w:pPr>
      <w:r>
        <w:rPr>
          <w:rtl/>
        </w:rPr>
        <w:tab/>
      </w:r>
      <w:r>
        <w:rPr>
          <w:rFonts w:hint="cs"/>
          <w:rtl/>
        </w:rPr>
        <w:t xml:space="preserve">אף על פי כן, נוכח עמדת חלק מחבריי, מצאתי להתייחס לסוגיה זו בקצרה במישור העקרוני. בהתאם לפסיקת בית משפט זה, ככלל, קיימות שתי משוכות מרכזיות שעל מינוי שר לצלוח </w:t>
      </w:r>
      <w:r>
        <w:rPr>
          <w:rtl/>
        </w:rPr>
        <w:t>–</w:t>
      </w:r>
      <w:r>
        <w:rPr>
          <w:rFonts w:hint="cs"/>
          <w:rtl/>
        </w:rPr>
        <w:t xml:space="preserve"> משוכת הכשירות ומשוכת הסבירות. כנגזר מהכלל לפיו ״</w:t>
      </w:r>
      <w:r w:rsidRPr="00C07739">
        <w:rPr>
          <w:rFonts w:ascii="Century" w:hAnsi="Century" w:cs="Miriam" w:hint="cs"/>
          <w:b/>
          <w:spacing w:val="0"/>
          <w:sz w:val="22"/>
          <w:szCs w:val="24"/>
          <w:rtl/>
        </w:rPr>
        <w:t>כשירות לחוד ושיקול דעת לחוד</w:t>
      </w:r>
      <w:r>
        <w:rPr>
          <w:rFonts w:hint="cs"/>
          <w:rtl/>
        </w:rPr>
        <w:t>״ (</w:t>
      </w:r>
      <w:r w:rsidRPr="00C07739">
        <w:rPr>
          <w:rtl/>
        </w:rPr>
        <w:t xml:space="preserve">בג"ץ 4287/93 </w:t>
      </w:r>
      <w:r w:rsidRPr="00C07739">
        <w:rPr>
          <w:rFonts w:ascii="Century" w:hAnsi="Century" w:cs="Miriam"/>
          <w:b/>
          <w:spacing w:val="0"/>
          <w:sz w:val="22"/>
          <w:szCs w:val="24"/>
          <w:rtl/>
        </w:rPr>
        <w:t>אמיתי - אזרחים למען מינהל תקין וטוהר המידות נ' יצחק רבין, ראש ממשלת ישראל</w:t>
      </w:r>
      <w:r w:rsidRPr="00C07739">
        <w:rPr>
          <w:rtl/>
        </w:rPr>
        <w:t>,</w:t>
      </w:r>
      <w:r w:rsidRPr="00C07739">
        <w:rPr>
          <w:rFonts w:hint="cs"/>
          <w:rtl/>
        </w:rPr>
        <w:t xml:space="preserve"> פ"ד</w:t>
      </w:r>
      <w:r w:rsidRPr="00C07739">
        <w:rPr>
          <w:rtl/>
        </w:rPr>
        <w:t xml:space="preserve"> מז(5)</w:t>
      </w:r>
      <w:r w:rsidRPr="00C07739">
        <w:rPr>
          <w:rFonts w:hint="cs"/>
          <w:rtl/>
        </w:rPr>
        <w:t xml:space="preserve"> </w:t>
      </w:r>
      <w:r w:rsidRPr="00C07739">
        <w:rPr>
          <w:rtl/>
        </w:rPr>
        <w:t>441</w:t>
      </w:r>
      <w:r w:rsidRPr="00C07739">
        <w:rPr>
          <w:rFonts w:hint="cs"/>
          <w:rtl/>
        </w:rPr>
        <w:t>, 458 (1993)</w:t>
      </w:r>
      <w:r>
        <w:rPr>
          <w:rFonts w:hint="cs"/>
          <w:rtl/>
        </w:rPr>
        <w:t>).</w:t>
      </w:r>
    </w:p>
    <w:p w14:paraId="303E393D" w14:textId="77777777" w:rsidR="00FD1F6D" w:rsidRDefault="00FD1F6D" w:rsidP="00FD1F6D">
      <w:pPr>
        <w:pStyle w:val="Ruller4"/>
        <w:numPr>
          <w:ilvl w:val="0"/>
          <w:numId w:val="0"/>
        </w:numPr>
        <w:rPr>
          <w:rtl/>
        </w:rPr>
      </w:pPr>
    </w:p>
    <w:p w14:paraId="5E269F37" w14:textId="77777777" w:rsidR="00FD1F6D" w:rsidRDefault="00FD1F6D" w:rsidP="00FD1F6D">
      <w:pPr>
        <w:pStyle w:val="Ruller4"/>
        <w:numPr>
          <w:ilvl w:val="0"/>
          <w:numId w:val="0"/>
        </w:numPr>
        <w:rPr>
          <w:rtl/>
        </w:rPr>
      </w:pPr>
      <w:r>
        <w:rPr>
          <w:rtl/>
        </w:rPr>
        <w:tab/>
      </w:r>
      <w:r>
        <w:rPr>
          <w:rFonts w:hint="cs"/>
          <w:rtl/>
        </w:rPr>
        <w:t xml:space="preserve">ניתן לתהות על תוקפה והגיונה של ההבחנה האמורה בהינתן העובדה שבחלוף השנים תנאי הכשירות לכהונת שר עוגנו במפורש בחוק יסוד הממשלה </w:t>
      </w:r>
      <w:r w:rsidRPr="007F48E6">
        <w:rPr>
          <w:rFonts w:hint="cs"/>
          <w:rtl/>
        </w:rPr>
        <w:t>(</w:t>
      </w:r>
      <w:r>
        <w:rPr>
          <w:rFonts w:hint="cs"/>
          <w:rtl/>
        </w:rPr>
        <w:t xml:space="preserve">עניין </w:t>
      </w:r>
      <w:r w:rsidRPr="00CF6A93">
        <w:rPr>
          <w:rFonts w:ascii="Century" w:hAnsi="Century" w:cs="Miriam" w:hint="cs"/>
          <w:b/>
          <w:spacing w:val="0"/>
          <w:sz w:val="22"/>
          <w:szCs w:val="24"/>
          <w:rtl/>
        </w:rPr>
        <w:t>הנגבי</w:t>
      </w:r>
      <w:r w:rsidRPr="007F48E6">
        <w:rPr>
          <w:rFonts w:hint="cs"/>
          <w:rtl/>
        </w:rPr>
        <w:t xml:space="preserve">, </w:t>
      </w:r>
      <w:r>
        <w:rPr>
          <w:rFonts w:hint="cs"/>
          <w:rtl/>
        </w:rPr>
        <w:t>ב</w:t>
      </w:r>
      <w:r w:rsidRPr="007F48E6">
        <w:rPr>
          <w:rFonts w:hint="cs"/>
          <w:rtl/>
        </w:rPr>
        <w:t xml:space="preserve">פסקה 24 לחוות דעתו של הנשיא (בדימוס) </w:t>
      </w:r>
      <w:r w:rsidRPr="007F48E6">
        <w:rPr>
          <w:rFonts w:ascii="Century" w:hAnsi="Century" w:cs="Miriam" w:hint="cs"/>
          <w:b/>
          <w:spacing w:val="0"/>
          <w:sz w:val="22"/>
          <w:szCs w:val="24"/>
          <w:rtl/>
        </w:rPr>
        <w:t>א' גרוניס</w:t>
      </w:r>
      <w:r>
        <w:rPr>
          <w:rFonts w:hint="cs"/>
          <w:rtl/>
        </w:rPr>
        <w:t>)</w:t>
      </w:r>
      <w:r w:rsidRPr="007F48E6">
        <w:rPr>
          <w:rFonts w:hint="cs"/>
          <w:rtl/>
        </w:rPr>
        <w:t>.</w:t>
      </w:r>
      <w:r>
        <w:rPr>
          <w:rFonts w:hint="cs"/>
          <w:rtl/>
        </w:rPr>
        <w:t xml:space="preserve"> כך ביתר שאת, כאשר תנאי הכשירות שונו זה עתה. </w:t>
      </w:r>
    </w:p>
    <w:p w14:paraId="0AB6FAD1" w14:textId="77777777" w:rsidR="00FD1F6D" w:rsidRDefault="00FD1F6D" w:rsidP="00FD1F6D">
      <w:pPr>
        <w:pStyle w:val="Ruller4"/>
        <w:numPr>
          <w:ilvl w:val="0"/>
          <w:numId w:val="0"/>
        </w:numPr>
        <w:rPr>
          <w:rtl/>
        </w:rPr>
      </w:pPr>
    </w:p>
    <w:p w14:paraId="28C0E4BE" w14:textId="77777777" w:rsidR="00FD1F6D" w:rsidRDefault="00FD1F6D" w:rsidP="00FD1F6D">
      <w:pPr>
        <w:pStyle w:val="Ruller4"/>
        <w:numPr>
          <w:ilvl w:val="0"/>
          <w:numId w:val="0"/>
        </w:numPr>
        <w:rPr>
          <w:rtl/>
        </w:rPr>
      </w:pPr>
      <w:r>
        <w:rPr>
          <w:rtl/>
        </w:rPr>
        <w:tab/>
      </w:r>
      <w:r>
        <w:rPr>
          <w:rFonts w:hint="cs"/>
          <w:rtl/>
        </w:rPr>
        <w:t>אם כך, הכנסת, בכובעה כרשות מכוננת, דקדקה וקבעה מה הם תנאי הכשירות הראויים לשיטת חבריה לכהונה כשר. הצבת רף מחמיר יותר בפסיקה מתפרשת אפוא כהחלפת הרף שנקבע בחוק יסוד, ברף הראוי לשיטת בית משפט זה. ההצדקה להתערבות שכזו, לטעמי, מוטלת בספק.</w:t>
      </w:r>
    </w:p>
    <w:p w14:paraId="0B140513" w14:textId="77777777" w:rsidR="00FD1F6D" w:rsidRPr="00AB3589" w:rsidRDefault="00FD1F6D" w:rsidP="00FD1F6D">
      <w:pPr>
        <w:pStyle w:val="Ruller41"/>
        <w:rPr>
          <w:rtl/>
        </w:rPr>
      </w:pPr>
    </w:p>
    <w:p w14:paraId="1A135849" w14:textId="77777777" w:rsidR="00FD1F6D" w:rsidRDefault="00FD1F6D" w:rsidP="00FD1F6D">
      <w:pPr>
        <w:pStyle w:val="Ruller4"/>
        <w:rPr>
          <w:rtl/>
        </w:rPr>
      </w:pPr>
      <w:r>
        <w:rPr>
          <w:rFonts w:hint="cs"/>
          <w:rtl/>
        </w:rPr>
        <w:t>יש לומר כי הקביעה המפורשת בחוק יסוד הממשלה לאחר תיקונו, שלפיה בנסיבות מסוימות גם מי שנגזר עליו עונש מאסר על תנאי יכול להתמנות לשר בממשלה, אינה בגדר נורמה חוקתית המסבה גאווה. במהלך עשרות השנים שבהן דנתי בהליכים פליליים שונים, עמדתי פעמים רבות על החומרה הגלומה בעבירות פליליות שבגינן הושת על הנידון לבסוף עונש של מאסר על תנאי "בלבד". משכך, קשה לברך על הנמכת רף הכשירות למינוי אדם לשר ועל המסר המשתמע מכך.</w:t>
      </w:r>
    </w:p>
    <w:p w14:paraId="732EACB4" w14:textId="77777777" w:rsidR="00FD1F6D" w:rsidRDefault="00FD1F6D" w:rsidP="00FD1F6D">
      <w:pPr>
        <w:pStyle w:val="Ruller4"/>
        <w:numPr>
          <w:ilvl w:val="0"/>
          <w:numId w:val="0"/>
        </w:numPr>
        <w:rPr>
          <w:rtl/>
        </w:rPr>
      </w:pPr>
      <w:r>
        <w:rPr>
          <w:rtl/>
        </w:rPr>
        <w:tab/>
      </w:r>
    </w:p>
    <w:p w14:paraId="60A45A78" w14:textId="77777777" w:rsidR="00FD1F6D" w:rsidRDefault="00FD1F6D" w:rsidP="00FD1F6D">
      <w:pPr>
        <w:pStyle w:val="Ruller4"/>
        <w:numPr>
          <w:ilvl w:val="0"/>
          <w:numId w:val="0"/>
        </w:numPr>
        <w:rPr>
          <w:rtl/>
        </w:rPr>
      </w:pPr>
      <w:r>
        <w:rPr>
          <w:rtl/>
        </w:rPr>
        <w:tab/>
      </w:r>
      <w:r>
        <w:rPr>
          <w:rFonts w:hint="cs"/>
          <w:rtl/>
        </w:rPr>
        <w:t>אולם, דומני כי מי שיבחן את חברי הכנסת על הרף שאותו בחרו להציב הוא הציבור עצמו, ביום הבחירות. על כך עמדתי בעבר ודעתי נותרה כפי שהייתה:</w:t>
      </w:r>
    </w:p>
    <w:p w14:paraId="1C2F88C9" w14:textId="77777777" w:rsidR="00FD1F6D" w:rsidRPr="00A166D2" w:rsidRDefault="00FD1F6D" w:rsidP="00FD1F6D">
      <w:pPr>
        <w:pStyle w:val="Ruller41"/>
      </w:pPr>
    </w:p>
    <w:p w14:paraId="669F3CAB" w14:textId="77777777" w:rsidR="00FD1F6D" w:rsidRDefault="00FD1F6D" w:rsidP="00FD1F6D">
      <w:pPr>
        <w:pStyle w:val="Ruller5"/>
        <w:rPr>
          <w:rtl/>
        </w:rPr>
      </w:pPr>
      <w:r>
        <w:rPr>
          <w:rFonts w:hint="cs"/>
          <w:rtl/>
        </w:rPr>
        <w:t>"[...]</w:t>
      </w:r>
      <w:r>
        <w:rPr>
          <w:rtl/>
        </w:rPr>
        <w:t xml:space="preserve"> הביקורת האפקטיבית העיקרית לבחינת ה</w:t>
      </w:r>
      <w:r>
        <w:rPr>
          <w:rFonts w:hint="cs"/>
          <w:rtl/>
        </w:rPr>
        <w:t>'</w:t>
      </w:r>
      <w:r>
        <w:rPr>
          <w:rtl/>
        </w:rPr>
        <w:t>צידוק</w:t>
      </w:r>
      <w:r>
        <w:rPr>
          <w:rFonts w:hint="cs"/>
          <w:rtl/>
        </w:rPr>
        <w:t xml:space="preserve">' </w:t>
      </w:r>
      <w:r>
        <w:rPr>
          <w:rtl/>
        </w:rPr>
        <w:t>להחלטות חברי הכנסת היא זו המופעלת כלפיהם על ידי בוחריהם – ולא על ידי בית המשפט. ציבור הבוחרים אינו אדיש לפעולות חברי הכנסת, ומודע היטב להחלטותיהם הכרוכות בפשרות פוליטיות שונות. בכוחו להשפיע על חברי הכנסת הן באופן ישיר על ידי פניה אליהם, הן באופן עקיף ביום הבחירות</w:t>
      </w:r>
      <w:r>
        <w:rPr>
          <w:rFonts w:hint="cs"/>
          <w:rtl/>
        </w:rPr>
        <w:t xml:space="preserve"> [...]" (</w:t>
      </w:r>
      <w:r w:rsidRPr="00587571">
        <w:rPr>
          <w:sz w:val="27"/>
          <w:szCs w:val="27"/>
          <w:rtl/>
        </w:rPr>
        <w:t>בג"ץ 5969/20 </w:t>
      </w:r>
      <w:r w:rsidRPr="00587571">
        <w:rPr>
          <w:rFonts w:ascii="Century" w:hAnsi="Century" w:cs="Miriam"/>
          <w:b/>
          <w:spacing w:val="0"/>
          <w:szCs w:val="24"/>
          <w:rtl/>
        </w:rPr>
        <w:t>שפיר נ' הכנסת</w:t>
      </w:r>
      <w:r>
        <w:rPr>
          <w:rFonts w:hint="cs"/>
          <w:sz w:val="27"/>
          <w:szCs w:val="27"/>
          <w:rtl/>
        </w:rPr>
        <w:t xml:space="preserve">, פסקה 9 לחוות דעתי </w:t>
      </w:r>
      <w:r w:rsidRPr="00587571">
        <w:rPr>
          <w:sz w:val="27"/>
          <w:szCs w:val="27"/>
          <w:rtl/>
        </w:rPr>
        <w:t>(</w:t>
      </w:r>
      <w:r>
        <w:rPr>
          <w:rFonts w:hint="cs"/>
          <w:sz w:val="27"/>
          <w:szCs w:val="27"/>
          <w:rtl/>
        </w:rPr>
        <w:t>23.5.2021</w:t>
      </w:r>
      <w:r w:rsidRPr="00587571">
        <w:rPr>
          <w:sz w:val="27"/>
          <w:szCs w:val="27"/>
          <w:rtl/>
        </w:rPr>
        <w:t>)‏</w:t>
      </w:r>
      <w:r>
        <w:rPr>
          <w:rtl/>
        </w:rPr>
        <w:t>‏</w:t>
      </w:r>
      <w:r>
        <w:rPr>
          <w:rFonts w:hint="cs"/>
          <w:rtl/>
        </w:rPr>
        <w:t>).</w:t>
      </w:r>
    </w:p>
    <w:p w14:paraId="05E74810" w14:textId="77777777" w:rsidR="00FD1F6D" w:rsidRDefault="00FD1F6D" w:rsidP="00FD1F6D">
      <w:pPr>
        <w:pStyle w:val="Ruller5"/>
        <w:rPr>
          <w:rtl/>
        </w:rPr>
      </w:pPr>
    </w:p>
    <w:p w14:paraId="14C43C6C" w14:textId="77777777" w:rsidR="00FD1F6D" w:rsidRDefault="00FD1F6D" w:rsidP="00FD1F6D">
      <w:pPr>
        <w:pStyle w:val="Ruller5"/>
        <w:rPr>
          <w:rFonts w:ascii="Garamond" w:hAnsi="Garamond"/>
          <w:sz w:val="27"/>
          <w:szCs w:val="27"/>
          <w:rtl/>
        </w:rPr>
      </w:pPr>
    </w:p>
    <w:p w14:paraId="474EADF6" w14:textId="77777777" w:rsidR="00FD1F6D" w:rsidRDefault="00FD1F6D" w:rsidP="00FD1F6D">
      <w:pPr>
        <w:pStyle w:val="Ruller4"/>
        <w:numPr>
          <w:ilvl w:val="0"/>
          <w:numId w:val="0"/>
        </w:numPr>
        <w:rPr>
          <w:rtl/>
        </w:rPr>
      </w:pPr>
      <w:r>
        <w:rPr>
          <w:rtl/>
        </w:rPr>
        <w:tab/>
      </w:r>
      <w:r>
        <w:rPr>
          <w:rFonts w:hint="cs"/>
          <w:rtl/>
        </w:rPr>
        <w:t>ובמקרה אחר ציינתי:</w:t>
      </w:r>
    </w:p>
    <w:p w14:paraId="30748F15" w14:textId="77777777" w:rsidR="00FD1F6D" w:rsidRDefault="00FD1F6D" w:rsidP="00FD1F6D">
      <w:pPr>
        <w:pStyle w:val="Ruller41"/>
        <w:rPr>
          <w:rtl/>
        </w:rPr>
      </w:pPr>
    </w:p>
    <w:p w14:paraId="02A1F4DF" w14:textId="77777777" w:rsidR="00FD1F6D" w:rsidRDefault="00FD1F6D" w:rsidP="00FD1F6D">
      <w:pPr>
        <w:pStyle w:val="Ruller5"/>
        <w:rPr>
          <w:rtl/>
        </w:rPr>
      </w:pPr>
      <w:r>
        <w:rPr>
          <w:rtl/>
        </w:rPr>
        <w:t>"אכן, אין חולק כי לבית משפט זה סמכויות רחבות. לא בכדי שאלות הנוגעות לתחומי גבולות הביקורת השיפוטית מצויות בלב השיח הציבורי; ולמרבה הצער, הלגיטימציה של פסיקות בית משפט זה מאותגרת פעם אחר פעם לנוכח טענות לדריסת רגלו בתחומים שראוי להותיר לשיקול דעת הרשויות האחרות.</w:t>
      </w:r>
      <w:r>
        <w:rPr>
          <w:rFonts w:hint="cs"/>
          <w:rtl/>
        </w:rPr>
        <w:t xml:space="preserve"> </w:t>
      </w:r>
      <w:r>
        <w:rPr>
          <w:rtl/>
        </w:rPr>
        <w:t>אולם, במקרים רבים אין צורך להידרש לדיון מורכב באשר לשאלת היקף הביקורת השיפוטית שיש להפעיל על החלטות הרשות המבצעת והרשות המחוקקת – ודי להקפיד כי בית משפט זה לא יידרש לסוגיות אשר לא בשלה העת להכריע בהן</w:t>
      </w:r>
      <w:r>
        <w:rPr>
          <w:rFonts w:hint="cs"/>
          <w:rtl/>
        </w:rPr>
        <w:t xml:space="preserve">" </w:t>
      </w:r>
      <w:r>
        <w:rPr>
          <w:rFonts w:hint="cs"/>
          <w:sz w:val="27"/>
          <w:szCs w:val="27"/>
          <w:rtl/>
        </w:rPr>
        <w:t>(</w:t>
      </w:r>
      <w:r w:rsidRPr="001A6E5F">
        <w:rPr>
          <w:sz w:val="27"/>
          <w:szCs w:val="27"/>
          <w:rtl/>
        </w:rPr>
        <w:t>בג"ץ 4252/17 </w:t>
      </w:r>
      <w:r w:rsidRPr="001A6E5F">
        <w:rPr>
          <w:rFonts w:ascii="Century" w:hAnsi="Century" w:cs="Miriam"/>
          <w:b/>
          <w:spacing w:val="0"/>
          <w:szCs w:val="24"/>
          <w:rtl/>
        </w:rPr>
        <w:t>ג'בארין נ' הכנסת</w:t>
      </w:r>
      <w:r>
        <w:rPr>
          <w:rFonts w:hint="cs"/>
          <w:rtl/>
        </w:rPr>
        <w:t>, פסקה 4 לחוות דעתי</w:t>
      </w:r>
      <w:r w:rsidRPr="001A6E5F">
        <w:rPr>
          <w:sz w:val="27"/>
          <w:szCs w:val="27"/>
          <w:rtl/>
        </w:rPr>
        <w:t> (</w:t>
      </w:r>
      <w:r>
        <w:rPr>
          <w:rFonts w:hint="cs"/>
          <w:sz w:val="27"/>
          <w:szCs w:val="27"/>
          <w:rtl/>
        </w:rPr>
        <w:t>14.7.2020</w:t>
      </w:r>
      <w:r w:rsidRPr="001A6E5F">
        <w:rPr>
          <w:sz w:val="27"/>
          <w:szCs w:val="27"/>
          <w:rtl/>
        </w:rPr>
        <w:t>)‏</w:t>
      </w:r>
      <w:r>
        <w:rPr>
          <w:rtl/>
        </w:rPr>
        <w:t>‏</w:t>
      </w:r>
      <w:r>
        <w:rPr>
          <w:rFonts w:hint="cs"/>
          <w:rtl/>
        </w:rPr>
        <w:t>).</w:t>
      </w:r>
    </w:p>
    <w:p w14:paraId="1A3BB321" w14:textId="77777777" w:rsidR="00FD1F6D" w:rsidRDefault="00FD1F6D" w:rsidP="00FD1F6D">
      <w:pPr>
        <w:pStyle w:val="Ruller5"/>
        <w:rPr>
          <w:rtl/>
        </w:rPr>
      </w:pPr>
    </w:p>
    <w:p w14:paraId="7F53C198" w14:textId="77777777" w:rsidR="00FD1F6D" w:rsidRDefault="00FD1F6D" w:rsidP="00FD1F6D">
      <w:pPr>
        <w:pStyle w:val="Ruller5"/>
        <w:rPr>
          <w:rtl/>
        </w:rPr>
      </w:pPr>
    </w:p>
    <w:p w14:paraId="4B36D56F" w14:textId="77777777" w:rsidR="00FD1F6D" w:rsidRDefault="00FD1F6D" w:rsidP="00FD1F6D">
      <w:pPr>
        <w:pStyle w:val="Ruller4"/>
        <w:rPr>
          <w:rtl/>
        </w:rPr>
      </w:pPr>
      <w:r w:rsidRPr="00C35188">
        <w:rPr>
          <w:rFonts w:ascii="Century" w:hAnsi="Century" w:cs="Miriam" w:hint="cs"/>
          <w:b/>
          <w:spacing w:val="0"/>
          <w:sz w:val="22"/>
          <w:szCs w:val="24"/>
          <w:rtl/>
        </w:rPr>
        <w:t>בסיכומו של דבר</w:t>
      </w:r>
      <w:r w:rsidRPr="00C35188">
        <w:rPr>
          <w:rFonts w:hint="cs"/>
          <w:rtl/>
        </w:rPr>
        <w:t xml:space="preserve">, בהינתן אופי הפגם עליו עמדתי לעיל, </w:t>
      </w:r>
      <w:r>
        <w:rPr>
          <w:rFonts w:hint="cs"/>
          <w:rtl/>
        </w:rPr>
        <w:t xml:space="preserve">לו דעתי הייתה נשמעת היינו מורים </w:t>
      </w:r>
      <w:r w:rsidRPr="00C35188">
        <w:rPr>
          <w:rFonts w:hint="cs"/>
          <w:rtl/>
        </w:rPr>
        <w:t xml:space="preserve">על </w:t>
      </w:r>
      <w:r w:rsidRPr="00C35188">
        <w:rPr>
          <w:rFonts w:ascii="Century" w:hAnsi="Century" w:cs="Miriam" w:hint="cs"/>
          <w:b/>
          <w:spacing w:val="0"/>
          <w:sz w:val="22"/>
          <w:szCs w:val="24"/>
          <w:rtl/>
        </w:rPr>
        <w:t>דחיית</w:t>
      </w:r>
      <w:r w:rsidRPr="00C35188">
        <w:rPr>
          <w:rFonts w:hint="cs"/>
          <w:rtl/>
        </w:rPr>
        <w:t xml:space="preserve"> העתירות בעיקרן</w:t>
      </w:r>
      <w:r>
        <w:rPr>
          <w:rFonts w:hint="cs"/>
          <w:rtl/>
        </w:rPr>
        <w:t>.</w:t>
      </w:r>
      <w:r w:rsidRPr="00C35188">
        <w:rPr>
          <w:rFonts w:hint="cs"/>
          <w:rtl/>
        </w:rPr>
        <w:t xml:space="preserve"> </w:t>
      </w:r>
      <w:r>
        <w:rPr>
          <w:rFonts w:hint="cs"/>
          <w:rtl/>
        </w:rPr>
        <w:t>לצד זאת, על</w:t>
      </w:r>
      <w:r w:rsidRPr="00C35188">
        <w:rPr>
          <w:rFonts w:hint="cs"/>
          <w:rtl/>
        </w:rPr>
        <w:t xml:space="preserve"> ראש הממשלה לפנות ליו"ר ועדת הבחירות הנוכחי בתוך </w:t>
      </w:r>
      <w:r>
        <w:rPr>
          <w:rFonts w:hint="cs"/>
          <w:rtl/>
        </w:rPr>
        <w:t>30</w:t>
      </w:r>
      <w:r w:rsidRPr="00C35188">
        <w:rPr>
          <w:rFonts w:hint="cs"/>
          <w:rtl/>
        </w:rPr>
        <w:t xml:space="preserve"> יום ממועד פסק הדין, על מנת שיקבע האם </w:t>
      </w:r>
      <w:r w:rsidRPr="00C35188">
        <w:rPr>
          <w:rFonts w:hint="eastAsia"/>
          <w:rtl/>
        </w:rPr>
        <w:t>אין</w:t>
      </w:r>
      <w:r w:rsidRPr="00C35188">
        <w:rPr>
          <w:rtl/>
        </w:rPr>
        <w:t xml:space="preserve"> </w:t>
      </w:r>
      <w:r w:rsidRPr="00C35188">
        <w:rPr>
          <w:rFonts w:hint="cs"/>
          <w:rtl/>
        </w:rPr>
        <w:t>בעבירות האחרונות</w:t>
      </w:r>
      <w:r w:rsidRPr="00C35188">
        <w:rPr>
          <w:rtl/>
        </w:rPr>
        <w:t xml:space="preserve"> </w:t>
      </w:r>
      <w:r w:rsidRPr="00C35188">
        <w:rPr>
          <w:rFonts w:hint="eastAsia"/>
          <w:rtl/>
        </w:rPr>
        <w:t>שבה</w:t>
      </w:r>
      <w:r w:rsidRPr="00C35188">
        <w:rPr>
          <w:rFonts w:hint="cs"/>
          <w:rtl/>
        </w:rPr>
        <w:t>ן</w:t>
      </w:r>
      <w:r w:rsidRPr="00C35188">
        <w:rPr>
          <w:rtl/>
        </w:rPr>
        <w:t xml:space="preserve"> </w:t>
      </w:r>
      <w:r w:rsidRPr="00C35188">
        <w:rPr>
          <w:rFonts w:hint="eastAsia"/>
          <w:rtl/>
        </w:rPr>
        <w:t>הורשע</w:t>
      </w:r>
      <w:r>
        <w:rPr>
          <w:rFonts w:hint="cs"/>
          <w:rtl/>
        </w:rPr>
        <w:t xml:space="preserve"> השר דרעי</w:t>
      </w:r>
      <w:r w:rsidRPr="00C35188">
        <w:rPr>
          <w:rtl/>
        </w:rPr>
        <w:t xml:space="preserve">, </w:t>
      </w:r>
      <w:r w:rsidRPr="00C35188">
        <w:rPr>
          <w:rFonts w:hint="eastAsia"/>
          <w:rtl/>
        </w:rPr>
        <w:t>בנסיבות</w:t>
      </w:r>
      <w:r w:rsidRPr="00C35188">
        <w:rPr>
          <w:rtl/>
        </w:rPr>
        <w:t xml:space="preserve"> </w:t>
      </w:r>
      <w:r w:rsidRPr="00C35188">
        <w:rPr>
          <w:rFonts w:hint="eastAsia"/>
          <w:rtl/>
        </w:rPr>
        <w:t>הענ</w:t>
      </w:r>
      <w:r w:rsidRPr="00C35188">
        <w:rPr>
          <w:rFonts w:hint="cs"/>
          <w:rtl/>
        </w:rPr>
        <w:t>י</w:t>
      </w:r>
      <w:r w:rsidRPr="00C35188">
        <w:rPr>
          <w:rFonts w:hint="eastAsia"/>
          <w:rtl/>
        </w:rPr>
        <w:t>ין</w:t>
      </w:r>
      <w:r w:rsidRPr="00C35188">
        <w:rPr>
          <w:rtl/>
        </w:rPr>
        <w:t>,</w:t>
      </w:r>
      <w:r w:rsidRPr="00C35188">
        <w:rPr>
          <w:rFonts w:hint="cs"/>
          <w:rtl/>
        </w:rPr>
        <w:t xml:space="preserve"> </w:t>
      </w:r>
      <w:r w:rsidRPr="00C35188">
        <w:rPr>
          <w:rFonts w:hint="eastAsia"/>
          <w:rtl/>
        </w:rPr>
        <w:t>משום</w:t>
      </w:r>
      <w:r w:rsidRPr="00C35188">
        <w:rPr>
          <w:rtl/>
        </w:rPr>
        <w:t xml:space="preserve"> </w:t>
      </w:r>
      <w:r w:rsidRPr="00C35188">
        <w:rPr>
          <w:rFonts w:hint="eastAsia"/>
          <w:rtl/>
        </w:rPr>
        <w:t>קלון</w:t>
      </w:r>
      <w:r w:rsidRPr="00C35188">
        <w:rPr>
          <w:rFonts w:hint="cs"/>
          <w:rtl/>
        </w:rPr>
        <w:t xml:space="preserve">. בכפוף לקביעת יו"ר ועדת הבחירות יישמרו טענות הצדדים במישור הכשירות ובמישור הסבירות. </w:t>
      </w:r>
    </w:p>
    <w:p w14:paraId="11A6EED9" w14:textId="77777777" w:rsidR="00EF114E" w:rsidRDefault="00EF114E" w:rsidP="00EF114E">
      <w:pPr>
        <w:pStyle w:val="BODYVERDICT"/>
        <w:rPr>
          <w:rFonts w:cs="Miriam"/>
          <w:b/>
          <w:bCs/>
          <w:sz w:val="24"/>
          <w:szCs w:val="24"/>
          <w:rtl/>
        </w:rPr>
      </w:pPr>
    </w:p>
    <w:p w14:paraId="4C25C769" w14:textId="77777777" w:rsid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sidRPr="00EF114E">
        <w:rPr>
          <w:rFonts w:ascii="FrankRuehl" w:hAnsi="FrankRuehl"/>
          <w:sz w:val="28"/>
          <w:rtl/>
        </w:rPr>
        <w:t>ש ו פ ט</w:t>
      </w:r>
    </w:p>
    <w:p w14:paraId="605FD30C" w14:textId="77777777" w:rsidR="00EF114E" w:rsidRDefault="00EF114E" w:rsidP="00EF114E">
      <w:pPr>
        <w:pStyle w:val="BODYVERDICT"/>
        <w:rPr>
          <w:rFonts w:ascii="FrankRuehl" w:hAnsi="FrankRuehl"/>
          <w:sz w:val="28"/>
          <w:rtl/>
        </w:rPr>
      </w:pPr>
    </w:p>
    <w:p w14:paraId="57304D46" w14:textId="77777777" w:rsidR="00FD1F6D" w:rsidRDefault="00FD1F6D" w:rsidP="00EF114E">
      <w:pPr>
        <w:pStyle w:val="BODYVERDICT"/>
        <w:rPr>
          <w:rFonts w:ascii="FrankRuehl" w:hAnsi="FrankRuehl"/>
          <w:sz w:val="28"/>
          <w:rtl/>
        </w:rPr>
      </w:pPr>
    </w:p>
    <w:p w14:paraId="73114F11" w14:textId="77777777" w:rsidR="00FD1F6D" w:rsidRDefault="00FD1F6D" w:rsidP="00EF114E">
      <w:pPr>
        <w:pStyle w:val="BODYVERDICT"/>
        <w:rPr>
          <w:rFonts w:ascii="FrankRuehl" w:hAnsi="FrankRuehl"/>
          <w:sz w:val="28"/>
          <w:rtl/>
        </w:rPr>
      </w:pPr>
    </w:p>
    <w:p w14:paraId="7A133ACE" w14:textId="77777777" w:rsidR="00EF114E" w:rsidRDefault="00EF114E" w:rsidP="00EE36D6">
      <w:pPr>
        <w:pStyle w:val="BODYVERDICT"/>
        <w:rPr>
          <w:rFonts w:ascii="FrankRuehl" w:hAnsi="FrankRuehl"/>
          <w:sz w:val="28"/>
          <w:rtl/>
        </w:rPr>
      </w:pPr>
      <w:r>
        <w:rPr>
          <w:rFonts w:ascii="FrankRuehl" w:hAnsi="FrankRuehl"/>
          <w:sz w:val="28"/>
          <w:rtl/>
        </w:rPr>
        <w:tab/>
      </w:r>
    </w:p>
    <w:p w14:paraId="4EC3E5F3" w14:textId="77777777" w:rsidR="003E6905" w:rsidRDefault="003E6905" w:rsidP="00166057">
      <w:pPr>
        <w:pStyle w:val="af0"/>
        <w:spacing w:line="360" w:lineRule="auto"/>
        <w:ind w:left="0" w:firstLine="720"/>
        <w:jc w:val="both"/>
        <w:rPr>
          <w:rFonts w:ascii="FrankRuehl" w:hAnsi="FrankRuehl" w:cs="FrankRuehl"/>
          <w:spacing w:val="10"/>
          <w:sz w:val="28"/>
          <w:szCs w:val="28"/>
          <w:rtl/>
        </w:rPr>
      </w:pPr>
      <w:r w:rsidRPr="00B57FBC">
        <w:rPr>
          <w:rFonts w:ascii="FrankRuehl" w:hAnsi="FrankRuehl" w:cs="FrankRuehl"/>
          <w:spacing w:val="10"/>
          <w:sz w:val="28"/>
          <w:szCs w:val="28"/>
          <w:rtl/>
        </w:rPr>
        <w:t xml:space="preserve">הוחלט </w:t>
      </w:r>
      <w:r>
        <w:rPr>
          <w:rFonts w:ascii="FrankRuehl" w:hAnsi="FrankRuehl" w:cs="FrankRuehl" w:hint="cs"/>
          <w:spacing w:val="10"/>
          <w:sz w:val="28"/>
          <w:szCs w:val="28"/>
          <w:rtl/>
        </w:rPr>
        <w:t>לקבל את העתירות</w:t>
      </w:r>
      <w:r w:rsidRPr="00B57FBC">
        <w:rPr>
          <w:rFonts w:ascii="FrankRuehl" w:hAnsi="FrankRuehl" w:cs="FrankRuehl" w:hint="cs"/>
          <w:spacing w:val="10"/>
          <w:sz w:val="28"/>
          <w:szCs w:val="28"/>
          <w:rtl/>
        </w:rPr>
        <w:t xml:space="preserve"> </w:t>
      </w:r>
      <w:r w:rsidRPr="00B57FBC">
        <w:rPr>
          <w:rFonts w:ascii="FrankRuehl" w:hAnsi="FrankRuehl" w:cs="FrankRuehl"/>
          <w:spacing w:val="10"/>
          <w:sz w:val="28"/>
          <w:szCs w:val="28"/>
          <w:rtl/>
        </w:rPr>
        <w:t xml:space="preserve">בדעת רוב </w:t>
      </w:r>
      <w:r>
        <w:rPr>
          <w:rFonts w:ascii="FrankRuehl" w:hAnsi="FrankRuehl" w:cs="FrankRuehl" w:hint="cs"/>
          <w:spacing w:val="10"/>
          <w:sz w:val="28"/>
          <w:szCs w:val="28"/>
          <w:rtl/>
        </w:rPr>
        <w:t xml:space="preserve">של עשרה שופטים </w:t>
      </w:r>
      <w:r w:rsidRPr="00B57FBC">
        <w:rPr>
          <w:rFonts w:ascii="FrankRuehl" w:hAnsi="FrankRuehl" w:cs="FrankRuehl"/>
          <w:spacing w:val="10"/>
          <w:sz w:val="28"/>
          <w:szCs w:val="28"/>
          <w:rtl/>
        </w:rPr>
        <w:t xml:space="preserve">(הנשיאה </w:t>
      </w:r>
      <w:r w:rsidRPr="00B57FBC">
        <w:rPr>
          <w:rFonts w:ascii="Miriam" w:hAnsi="Miriam" w:cs="Miriam"/>
          <w:rtl/>
        </w:rPr>
        <w:t>א' חיות</w:t>
      </w:r>
      <w:r w:rsidRPr="00B57FBC">
        <w:rPr>
          <w:rFonts w:ascii="FrankRuehl" w:hAnsi="FrankRuehl" w:cs="FrankRuehl"/>
          <w:spacing w:val="10"/>
          <w:sz w:val="28"/>
          <w:szCs w:val="28"/>
          <w:rtl/>
        </w:rPr>
        <w:t xml:space="preserve">, המשנה לנשיאה </w:t>
      </w:r>
      <w:r w:rsidRPr="00B57FBC">
        <w:rPr>
          <w:rFonts w:ascii="Miriam" w:hAnsi="Miriam" w:cs="Miriam"/>
          <w:rtl/>
        </w:rPr>
        <w:t>ע' פוגלמן</w:t>
      </w:r>
      <w:r w:rsidRPr="00B57FBC">
        <w:rPr>
          <w:rFonts w:ascii="FrankRuehl" w:hAnsi="FrankRuehl" w:cs="FrankRuehl"/>
          <w:spacing w:val="10"/>
          <w:sz w:val="28"/>
          <w:szCs w:val="28"/>
          <w:rtl/>
        </w:rPr>
        <w:t xml:space="preserve"> והשופטים </w:t>
      </w:r>
      <w:r w:rsidRPr="00B57FBC">
        <w:rPr>
          <w:rFonts w:ascii="Miriam" w:hAnsi="Miriam" w:cs="Miriam"/>
          <w:rtl/>
        </w:rPr>
        <w:t>י' עמית</w:t>
      </w:r>
      <w:r w:rsidRPr="00B57FBC">
        <w:rPr>
          <w:rFonts w:ascii="FrankRuehl" w:hAnsi="FrankRuehl" w:cs="FrankRuehl"/>
          <w:spacing w:val="10"/>
          <w:sz w:val="28"/>
          <w:szCs w:val="28"/>
          <w:rtl/>
        </w:rPr>
        <w:t xml:space="preserve">, </w:t>
      </w:r>
      <w:r>
        <w:rPr>
          <w:rFonts w:ascii="Miriam" w:hAnsi="Miriam" w:cs="Miriam"/>
          <w:rtl/>
        </w:rPr>
        <w:t>ד' ברק-ארז</w:t>
      </w:r>
      <w:r>
        <w:rPr>
          <w:rFonts w:ascii="FrankRuehl" w:hAnsi="FrankRuehl" w:cs="FrankRuehl"/>
          <w:spacing w:val="10"/>
          <w:sz w:val="28"/>
          <w:szCs w:val="28"/>
          <w:rtl/>
        </w:rPr>
        <w:t xml:space="preserve">, </w:t>
      </w:r>
      <w:r w:rsidRPr="00B57FBC">
        <w:rPr>
          <w:rFonts w:ascii="Miriam" w:hAnsi="Miriam" w:cs="Miriam"/>
          <w:rtl/>
        </w:rPr>
        <w:t>ע' ברון</w:t>
      </w:r>
      <w:r w:rsidRPr="00B57FBC">
        <w:rPr>
          <w:rFonts w:ascii="FrankRuehl" w:hAnsi="FrankRuehl" w:cs="FrankRuehl"/>
          <w:spacing w:val="10"/>
          <w:sz w:val="28"/>
          <w:szCs w:val="28"/>
          <w:rtl/>
        </w:rPr>
        <w:t xml:space="preserve">, </w:t>
      </w:r>
      <w:r>
        <w:rPr>
          <w:rFonts w:ascii="Miriam" w:hAnsi="Miriam" w:cs="Miriam"/>
          <w:rtl/>
        </w:rPr>
        <w:t>ד' מינץ</w:t>
      </w:r>
      <w:r>
        <w:rPr>
          <w:rFonts w:ascii="FrankRuehl" w:hAnsi="FrankRuehl" w:cs="FrankRuehl" w:hint="cs"/>
          <w:spacing w:val="10"/>
          <w:sz w:val="28"/>
          <w:szCs w:val="28"/>
          <w:rtl/>
        </w:rPr>
        <w:t xml:space="preserve">, </w:t>
      </w:r>
      <w:r w:rsidRPr="00804764">
        <w:rPr>
          <w:rFonts w:ascii="Century" w:hAnsi="Century" w:cs="Miriam" w:hint="cs"/>
          <w:b/>
          <w:sz w:val="22"/>
          <w:rtl/>
        </w:rPr>
        <w:t>י' וילנר</w:t>
      </w:r>
      <w:r>
        <w:rPr>
          <w:rFonts w:ascii="FrankRuehl" w:hAnsi="FrankRuehl" w:cs="FrankRuehl" w:hint="cs"/>
          <w:spacing w:val="10"/>
          <w:sz w:val="28"/>
          <w:szCs w:val="28"/>
          <w:rtl/>
        </w:rPr>
        <w:t xml:space="preserve">, </w:t>
      </w:r>
      <w:r w:rsidRPr="00B57FBC">
        <w:rPr>
          <w:rFonts w:ascii="Miriam" w:hAnsi="Miriam" w:cs="Miriam"/>
          <w:rtl/>
        </w:rPr>
        <w:t>ע' גרוסקופף</w:t>
      </w:r>
      <w:r>
        <w:rPr>
          <w:rFonts w:ascii="Miriam" w:hAnsi="Miriam" w:cs="Miriam" w:hint="cs"/>
          <w:rtl/>
        </w:rPr>
        <w:t>,</w:t>
      </w:r>
      <w:r w:rsidRPr="00B57FBC">
        <w:rPr>
          <w:rFonts w:ascii="FrankRuehl" w:hAnsi="FrankRuehl" w:cs="FrankRuehl"/>
          <w:spacing w:val="10"/>
          <w:sz w:val="28"/>
          <w:szCs w:val="28"/>
          <w:rtl/>
        </w:rPr>
        <w:t xml:space="preserve"> </w:t>
      </w:r>
      <w:r>
        <w:rPr>
          <w:rFonts w:ascii="Miriam" w:hAnsi="Miriam" w:cs="Miriam"/>
          <w:rtl/>
        </w:rPr>
        <w:t>א' שטיין</w:t>
      </w:r>
      <w:r>
        <w:rPr>
          <w:rFonts w:ascii="Miriam" w:hAnsi="Miriam" w:cs="Miriam" w:hint="cs"/>
          <w:rtl/>
        </w:rPr>
        <w:t>,</w:t>
      </w:r>
      <w:r>
        <w:rPr>
          <w:rFonts w:ascii="Miriam" w:hAnsi="Miriam" w:cs="Miriam"/>
          <w:rtl/>
        </w:rPr>
        <w:t xml:space="preserve"> </w:t>
      </w:r>
      <w:r w:rsidRPr="00B57FBC">
        <w:rPr>
          <w:rFonts w:ascii="FrankRuehl" w:hAnsi="FrankRuehl" w:cs="FrankRuehl"/>
          <w:spacing w:val="10"/>
          <w:sz w:val="28"/>
          <w:szCs w:val="28"/>
          <w:rtl/>
        </w:rPr>
        <w:t>ו</w:t>
      </w:r>
      <w:r w:rsidRPr="00B57FBC">
        <w:rPr>
          <w:rFonts w:ascii="Miriam" w:hAnsi="Miriam" w:cs="Miriam"/>
          <w:rtl/>
        </w:rPr>
        <w:t>ח' כבוב</w:t>
      </w:r>
      <w:r w:rsidRPr="00E34BC0">
        <w:rPr>
          <w:rFonts w:ascii="Century" w:hAnsi="Century" w:cs="FrankRuehl"/>
          <w:spacing w:val="10"/>
          <w:sz w:val="22"/>
          <w:szCs w:val="28"/>
          <w:rtl/>
        </w:rPr>
        <w:t xml:space="preserve">, </w:t>
      </w:r>
      <w:r w:rsidRPr="00E34BC0">
        <w:rPr>
          <w:rFonts w:ascii="Century" w:hAnsi="Century" w:cs="FrankRuehl" w:hint="eastAsia"/>
          <w:spacing w:val="10"/>
          <w:sz w:val="22"/>
          <w:szCs w:val="28"/>
          <w:rtl/>
        </w:rPr>
        <w:t>כנגד</w:t>
      </w:r>
      <w:r w:rsidRPr="00E34BC0">
        <w:rPr>
          <w:rFonts w:ascii="Century" w:hAnsi="Century" w:cs="FrankRuehl"/>
          <w:spacing w:val="10"/>
          <w:sz w:val="22"/>
          <w:szCs w:val="28"/>
          <w:rtl/>
        </w:rPr>
        <w:t xml:space="preserve"> </w:t>
      </w:r>
      <w:r w:rsidRPr="00E34BC0">
        <w:rPr>
          <w:rFonts w:ascii="Century" w:hAnsi="Century" w:cs="FrankRuehl" w:hint="eastAsia"/>
          <w:spacing w:val="10"/>
          <w:sz w:val="22"/>
          <w:szCs w:val="28"/>
          <w:rtl/>
        </w:rPr>
        <w:t>דעתו</w:t>
      </w:r>
      <w:r w:rsidRPr="00E34BC0">
        <w:rPr>
          <w:rFonts w:ascii="Century" w:hAnsi="Century" w:cs="FrankRuehl"/>
          <w:spacing w:val="10"/>
          <w:sz w:val="22"/>
          <w:szCs w:val="28"/>
          <w:rtl/>
        </w:rPr>
        <w:t xml:space="preserve"> </w:t>
      </w:r>
      <w:r w:rsidRPr="00E34BC0">
        <w:rPr>
          <w:rFonts w:ascii="Century" w:hAnsi="Century" w:cs="FrankRuehl" w:hint="eastAsia"/>
          <w:spacing w:val="10"/>
          <w:sz w:val="22"/>
          <w:szCs w:val="28"/>
          <w:rtl/>
        </w:rPr>
        <w:t>החולקת</w:t>
      </w:r>
      <w:r w:rsidRPr="00E34BC0">
        <w:rPr>
          <w:rFonts w:ascii="Century" w:hAnsi="Century" w:cs="FrankRuehl"/>
          <w:spacing w:val="10"/>
          <w:sz w:val="22"/>
          <w:szCs w:val="28"/>
          <w:rtl/>
        </w:rPr>
        <w:t xml:space="preserve"> </w:t>
      </w:r>
      <w:r w:rsidRPr="00E34BC0">
        <w:rPr>
          <w:rFonts w:ascii="Century" w:hAnsi="Century" w:cs="FrankRuehl" w:hint="eastAsia"/>
          <w:spacing w:val="10"/>
          <w:sz w:val="22"/>
          <w:szCs w:val="28"/>
          <w:rtl/>
        </w:rPr>
        <w:t>של</w:t>
      </w:r>
      <w:r w:rsidRPr="00E34BC0">
        <w:rPr>
          <w:rFonts w:ascii="Century" w:hAnsi="Century" w:cs="FrankRuehl"/>
          <w:spacing w:val="10"/>
          <w:sz w:val="22"/>
          <w:szCs w:val="28"/>
          <w:rtl/>
        </w:rPr>
        <w:t xml:space="preserve"> </w:t>
      </w:r>
      <w:r w:rsidRPr="00E34BC0">
        <w:rPr>
          <w:rFonts w:ascii="Century" w:hAnsi="Century" w:cs="FrankRuehl" w:hint="eastAsia"/>
          <w:spacing w:val="10"/>
          <w:sz w:val="22"/>
          <w:szCs w:val="28"/>
          <w:rtl/>
        </w:rPr>
        <w:t>השופט</w:t>
      </w:r>
      <w:r w:rsidRPr="005D0E0E">
        <w:rPr>
          <w:rFonts w:ascii="Miriam" w:hAnsi="Miriam" w:cs="Miriam" w:hint="cs"/>
          <w:rtl/>
        </w:rPr>
        <w:t xml:space="preserve"> </w:t>
      </w:r>
      <w:r>
        <w:rPr>
          <w:rFonts w:ascii="Miriam" w:hAnsi="Miriam" w:cs="Miriam" w:hint="cs"/>
          <w:rtl/>
        </w:rPr>
        <w:t>י' אלרון</w:t>
      </w:r>
      <w:r w:rsidRPr="00A9387A">
        <w:rPr>
          <w:rFonts w:ascii="FrankRuehl" w:hAnsi="FrankRuehl" w:cs="FrankRuehl"/>
          <w:spacing w:val="10"/>
          <w:sz w:val="28"/>
          <w:szCs w:val="28"/>
          <w:rtl/>
        </w:rPr>
        <w:t xml:space="preserve">) ולקבוע כי מינויו של דרעי לתפקיד שר הפנים ושר הבריאות </w:t>
      </w:r>
      <w:r w:rsidRPr="00E34BC0">
        <w:rPr>
          <w:rFonts w:ascii="FrankRuehl" w:hAnsi="FrankRuehl" w:cs="FrankRuehl" w:hint="eastAsia"/>
          <w:spacing w:val="10"/>
          <w:sz w:val="28"/>
          <w:szCs w:val="28"/>
          <w:rtl/>
        </w:rPr>
        <w:t>פסול</w:t>
      </w:r>
      <w:r w:rsidRPr="00E34BC0">
        <w:rPr>
          <w:rFonts w:ascii="FrankRuehl" w:hAnsi="FrankRuehl" w:cs="FrankRuehl"/>
          <w:spacing w:val="10"/>
          <w:sz w:val="28"/>
          <w:szCs w:val="28"/>
          <w:rtl/>
        </w:rPr>
        <w:t xml:space="preserve"> </w:t>
      </w:r>
      <w:r>
        <w:rPr>
          <w:rFonts w:ascii="FrankRuehl" w:hAnsi="FrankRuehl" w:cs="FrankRuehl" w:hint="cs"/>
          <w:spacing w:val="10"/>
          <w:sz w:val="28"/>
          <w:szCs w:val="28"/>
          <w:rtl/>
        </w:rPr>
        <w:t>ו</w:t>
      </w:r>
      <w:r w:rsidRPr="00E34BC0">
        <w:rPr>
          <w:rFonts w:ascii="FrankRuehl" w:hAnsi="FrankRuehl" w:cs="FrankRuehl" w:hint="eastAsia"/>
          <w:spacing w:val="10"/>
          <w:sz w:val="28"/>
          <w:szCs w:val="28"/>
          <w:rtl/>
        </w:rPr>
        <w:t>אינו</w:t>
      </w:r>
      <w:r w:rsidRPr="00E34BC0">
        <w:rPr>
          <w:rFonts w:ascii="FrankRuehl" w:hAnsi="FrankRuehl" w:cs="FrankRuehl"/>
          <w:spacing w:val="10"/>
          <w:sz w:val="28"/>
          <w:szCs w:val="28"/>
          <w:rtl/>
        </w:rPr>
        <w:t xml:space="preserve"> </w:t>
      </w:r>
      <w:r w:rsidRPr="00E34BC0">
        <w:rPr>
          <w:rFonts w:ascii="FrankRuehl" w:hAnsi="FrankRuehl" w:cs="FrankRuehl" w:hint="eastAsia"/>
          <w:spacing w:val="10"/>
          <w:sz w:val="28"/>
          <w:szCs w:val="28"/>
          <w:rtl/>
        </w:rPr>
        <w:t>יכול</w:t>
      </w:r>
      <w:r w:rsidRPr="00E34BC0">
        <w:rPr>
          <w:rFonts w:ascii="FrankRuehl" w:hAnsi="FrankRuehl" w:cs="FrankRuehl"/>
          <w:spacing w:val="10"/>
          <w:sz w:val="28"/>
          <w:szCs w:val="28"/>
          <w:rtl/>
        </w:rPr>
        <w:t xml:space="preserve"> </w:t>
      </w:r>
      <w:r w:rsidRPr="00E34BC0">
        <w:rPr>
          <w:rFonts w:ascii="FrankRuehl" w:hAnsi="FrankRuehl" w:cs="FrankRuehl" w:hint="eastAsia"/>
          <w:spacing w:val="10"/>
          <w:sz w:val="28"/>
          <w:szCs w:val="28"/>
          <w:rtl/>
        </w:rPr>
        <w:t>לעמוד</w:t>
      </w:r>
      <w:r w:rsidRPr="00A9387A">
        <w:rPr>
          <w:rFonts w:ascii="FrankRuehl" w:hAnsi="FrankRuehl" w:cs="FrankRuehl"/>
          <w:spacing w:val="10"/>
          <w:sz w:val="28"/>
          <w:szCs w:val="28"/>
          <w:rtl/>
        </w:rPr>
        <w:t>.</w:t>
      </w:r>
      <w:r>
        <w:rPr>
          <w:rFonts w:ascii="FrankRuehl" w:hAnsi="FrankRuehl" w:cs="FrankRuehl" w:hint="cs"/>
          <w:spacing w:val="10"/>
          <w:sz w:val="28"/>
          <w:szCs w:val="28"/>
          <w:rtl/>
        </w:rPr>
        <w:t xml:space="preserve"> </w:t>
      </w:r>
    </w:p>
    <w:p w14:paraId="4C597185" w14:textId="77777777" w:rsidR="003E6905" w:rsidRDefault="003E6905" w:rsidP="003E6905">
      <w:pPr>
        <w:pStyle w:val="af0"/>
        <w:spacing w:line="360" w:lineRule="auto"/>
        <w:ind w:left="0" w:firstLine="720"/>
        <w:jc w:val="both"/>
        <w:rPr>
          <w:rFonts w:ascii="FrankRuehl" w:hAnsi="FrankRuehl" w:cs="FrankRuehl"/>
          <w:spacing w:val="10"/>
          <w:sz w:val="28"/>
          <w:szCs w:val="28"/>
          <w:rtl/>
        </w:rPr>
      </w:pPr>
    </w:p>
    <w:p w14:paraId="1E64D7C8" w14:textId="77777777" w:rsidR="003E6905" w:rsidRPr="000C497B" w:rsidRDefault="003E6905" w:rsidP="003E6905">
      <w:pPr>
        <w:pStyle w:val="af0"/>
        <w:spacing w:line="360" w:lineRule="auto"/>
        <w:ind w:left="0" w:firstLine="720"/>
        <w:jc w:val="both"/>
        <w:rPr>
          <w:rFonts w:ascii="FrankRuehl" w:hAnsi="FrankRuehl" w:cs="FrankRuehl"/>
          <w:spacing w:val="10"/>
          <w:sz w:val="28"/>
          <w:szCs w:val="28"/>
        </w:rPr>
      </w:pPr>
      <w:r w:rsidRPr="00B57FBC">
        <w:rPr>
          <w:rFonts w:ascii="FrankRuehl" w:hAnsi="FrankRuehl" w:cs="FrankRuehl"/>
          <w:spacing w:val="10"/>
          <w:sz w:val="28"/>
          <w:szCs w:val="28"/>
          <w:rtl/>
        </w:rPr>
        <w:t xml:space="preserve">הנשיאה </w:t>
      </w:r>
      <w:r w:rsidRPr="00B57FBC">
        <w:rPr>
          <w:rFonts w:ascii="Miriam" w:hAnsi="Miriam" w:cs="Miriam"/>
          <w:rtl/>
        </w:rPr>
        <w:t>א' חיות</w:t>
      </w:r>
      <w:r w:rsidRPr="00B57FBC">
        <w:rPr>
          <w:rFonts w:ascii="FrankRuehl" w:hAnsi="FrankRuehl" w:cs="FrankRuehl"/>
          <w:spacing w:val="10"/>
          <w:sz w:val="28"/>
          <w:szCs w:val="28"/>
          <w:rtl/>
        </w:rPr>
        <w:t xml:space="preserve">, המשנה לנשיאה </w:t>
      </w:r>
      <w:r w:rsidRPr="00B57FBC">
        <w:rPr>
          <w:rFonts w:ascii="Miriam" w:hAnsi="Miriam" w:cs="Miriam"/>
          <w:rtl/>
        </w:rPr>
        <w:t>ע' פוגלמן</w:t>
      </w:r>
      <w:r w:rsidRPr="00B57FBC">
        <w:rPr>
          <w:rFonts w:ascii="FrankRuehl" w:hAnsi="FrankRuehl" w:cs="FrankRuehl"/>
          <w:spacing w:val="10"/>
          <w:sz w:val="28"/>
          <w:szCs w:val="28"/>
          <w:rtl/>
        </w:rPr>
        <w:t xml:space="preserve"> והשופטים </w:t>
      </w:r>
      <w:r w:rsidRPr="00B57FBC">
        <w:rPr>
          <w:rFonts w:ascii="Miriam" w:hAnsi="Miriam" w:cs="Miriam"/>
          <w:rtl/>
        </w:rPr>
        <w:t>י' עמית</w:t>
      </w:r>
      <w:r w:rsidRPr="00B57FBC">
        <w:rPr>
          <w:rFonts w:ascii="FrankRuehl" w:hAnsi="FrankRuehl" w:cs="FrankRuehl"/>
          <w:spacing w:val="10"/>
          <w:sz w:val="28"/>
          <w:szCs w:val="28"/>
          <w:rtl/>
        </w:rPr>
        <w:t xml:space="preserve">, </w:t>
      </w:r>
      <w:r w:rsidRPr="00B57FBC">
        <w:rPr>
          <w:rFonts w:ascii="Miriam" w:hAnsi="Miriam" w:cs="Miriam"/>
          <w:rtl/>
        </w:rPr>
        <w:t>ע' ברון</w:t>
      </w:r>
      <w:r w:rsidRPr="00B57FBC">
        <w:rPr>
          <w:rFonts w:ascii="FrankRuehl" w:hAnsi="FrankRuehl" w:cs="FrankRuehl"/>
          <w:spacing w:val="10"/>
          <w:sz w:val="28"/>
          <w:szCs w:val="28"/>
          <w:rtl/>
        </w:rPr>
        <w:t xml:space="preserve">, </w:t>
      </w:r>
      <w:r w:rsidRPr="00804764">
        <w:rPr>
          <w:rFonts w:ascii="Century" w:hAnsi="Century" w:cs="Miriam" w:hint="cs"/>
          <w:b/>
          <w:sz w:val="22"/>
          <w:rtl/>
        </w:rPr>
        <w:t>י' וילנר</w:t>
      </w:r>
      <w:r>
        <w:rPr>
          <w:rFonts w:ascii="FrankRuehl" w:hAnsi="FrankRuehl" w:cs="FrankRuehl" w:hint="cs"/>
          <w:spacing w:val="10"/>
          <w:sz w:val="28"/>
          <w:szCs w:val="28"/>
          <w:rtl/>
        </w:rPr>
        <w:t xml:space="preserve">, </w:t>
      </w:r>
      <w:r w:rsidRPr="00B57FBC">
        <w:rPr>
          <w:rFonts w:ascii="Miriam" w:hAnsi="Miriam" w:cs="Miriam"/>
          <w:rtl/>
        </w:rPr>
        <w:t>ע' גרוסקופף</w:t>
      </w:r>
      <w:r w:rsidRPr="00B57FBC">
        <w:rPr>
          <w:rFonts w:ascii="FrankRuehl" w:hAnsi="FrankRuehl" w:cs="FrankRuehl"/>
          <w:spacing w:val="10"/>
          <w:sz w:val="28"/>
          <w:szCs w:val="28"/>
          <w:rtl/>
        </w:rPr>
        <w:t xml:space="preserve"> ו</w:t>
      </w:r>
      <w:r w:rsidRPr="00B57FBC">
        <w:rPr>
          <w:rFonts w:ascii="Miriam" w:hAnsi="Miriam" w:cs="Miriam"/>
          <w:rtl/>
        </w:rPr>
        <w:t>ח' כבו</w:t>
      </w:r>
      <w:r>
        <w:rPr>
          <w:rFonts w:ascii="Miriam" w:hAnsi="Miriam" w:cs="Miriam" w:hint="cs"/>
          <w:rtl/>
        </w:rPr>
        <w:t>ב</w:t>
      </w:r>
      <w:r>
        <w:rPr>
          <w:rFonts w:ascii="FrankRuehl" w:hAnsi="FrankRuehl" w:cs="FrankRuehl" w:hint="cs"/>
          <w:spacing w:val="10"/>
          <w:sz w:val="28"/>
          <w:szCs w:val="28"/>
          <w:rtl/>
        </w:rPr>
        <w:t xml:space="preserve"> החליטו להפוך את </w:t>
      </w:r>
      <w:r w:rsidRPr="00B57FBC">
        <w:rPr>
          <w:rFonts w:ascii="FrankRuehl" w:hAnsi="FrankRuehl" w:cs="FrankRuehl"/>
          <w:spacing w:val="10"/>
          <w:sz w:val="28"/>
          <w:szCs w:val="28"/>
          <w:rtl/>
        </w:rPr>
        <w:t>הצו על תנאי למוחלט</w:t>
      </w:r>
      <w:r>
        <w:rPr>
          <w:rFonts w:ascii="FrankRuehl" w:hAnsi="FrankRuehl" w:cs="FrankRuehl" w:hint="cs"/>
          <w:spacing w:val="10"/>
          <w:sz w:val="28"/>
          <w:szCs w:val="28"/>
          <w:rtl/>
        </w:rPr>
        <w:t>,</w:t>
      </w:r>
      <w:r w:rsidRPr="00B57FBC">
        <w:rPr>
          <w:rFonts w:ascii="FrankRuehl" w:hAnsi="FrankRuehl" w:cs="FrankRuehl"/>
          <w:spacing w:val="10"/>
          <w:sz w:val="28"/>
          <w:szCs w:val="28"/>
          <w:rtl/>
        </w:rPr>
        <w:t xml:space="preserve"> במובן זה שייקבע שעל ראש הממשלה להפעיל את סמכותו לפי סעיף</w:t>
      </w:r>
      <w:r>
        <w:rPr>
          <w:rFonts w:ascii="FrankRuehl" w:hAnsi="FrankRuehl" w:cs="FrankRuehl"/>
          <w:spacing w:val="10"/>
          <w:sz w:val="28"/>
          <w:szCs w:val="28"/>
          <w:rtl/>
        </w:rPr>
        <w:t xml:space="preserve"> 22(ב) לחוק-יסוד: הממשלה ולהעביר את דרעי מתפקידו כשר הפנים ושר הבריאות. השופטים </w:t>
      </w:r>
      <w:r>
        <w:rPr>
          <w:rFonts w:ascii="Miriam" w:hAnsi="Miriam" w:cs="Miriam"/>
          <w:rtl/>
        </w:rPr>
        <w:t>ד' ברק-ארז</w:t>
      </w:r>
      <w:r>
        <w:rPr>
          <w:rFonts w:ascii="FrankRuehl" w:hAnsi="FrankRuehl" w:cs="FrankRuehl"/>
          <w:spacing w:val="10"/>
          <w:sz w:val="28"/>
          <w:szCs w:val="28"/>
          <w:rtl/>
        </w:rPr>
        <w:t xml:space="preserve">, </w:t>
      </w:r>
      <w:r>
        <w:rPr>
          <w:rFonts w:ascii="Miriam" w:hAnsi="Miriam" w:cs="Miriam"/>
          <w:rtl/>
        </w:rPr>
        <w:t>ד' מינץ</w:t>
      </w:r>
      <w:r>
        <w:rPr>
          <w:rFonts w:ascii="FrankRuehl" w:hAnsi="FrankRuehl" w:cs="FrankRuehl"/>
          <w:spacing w:val="10"/>
          <w:sz w:val="28"/>
          <w:szCs w:val="28"/>
          <w:rtl/>
        </w:rPr>
        <w:t xml:space="preserve"> ו</w:t>
      </w:r>
      <w:r>
        <w:rPr>
          <w:rFonts w:ascii="Miriam" w:hAnsi="Miriam" w:cs="Miriam"/>
          <w:rtl/>
        </w:rPr>
        <w:t xml:space="preserve">א' שטיין </w:t>
      </w:r>
      <w:r>
        <w:rPr>
          <w:rFonts w:ascii="FrankRuehl" w:hAnsi="FrankRuehl" w:cs="FrankRuehl"/>
          <w:spacing w:val="10"/>
          <w:sz w:val="28"/>
          <w:szCs w:val="28"/>
          <w:rtl/>
        </w:rPr>
        <w:t>סברו אף הם כי מינויו של דרעי לשר פסול, אך זאת מן הטעם שהוא מנוע מלכהן כשר לנוכח הנסיבות המפורטות בחוות דעתם</w:t>
      </w:r>
      <w:r>
        <w:rPr>
          <w:rFonts w:ascii="FrankRuehl" w:hAnsi="FrankRuehl" w:cs="FrankRuehl" w:hint="cs"/>
          <w:spacing w:val="10"/>
          <w:sz w:val="28"/>
          <w:szCs w:val="28"/>
          <w:rtl/>
        </w:rPr>
        <w:t>, והנוגעות למצג שהציג דרעי בפני בית משפט השלום שגזר את דינו בעבירות המס.</w:t>
      </w:r>
      <w:r>
        <w:rPr>
          <w:rFonts w:ascii="FrankRuehl" w:hAnsi="FrankRuehl" w:cs="FrankRuehl"/>
          <w:spacing w:val="10"/>
          <w:sz w:val="28"/>
          <w:szCs w:val="28"/>
          <w:rtl/>
        </w:rPr>
        <w:t xml:space="preserve"> השופטים </w:t>
      </w:r>
      <w:r>
        <w:rPr>
          <w:rFonts w:ascii="Miriam" w:hAnsi="Miriam" w:cs="Miriam"/>
          <w:rtl/>
        </w:rPr>
        <w:t>ע' גרוסקופף</w:t>
      </w:r>
      <w:r>
        <w:rPr>
          <w:rFonts w:ascii="FrankRuehl" w:hAnsi="FrankRuehl" w:cs="FrankRuehl"/>
          <w:spacing w:val="10"/>
          <w:sz w:val="28"/>
          <w:szCs w:val="28"/>
          <w:rtl/>
        </w:rPr>
        <w:t xml:space="preserve"> ו</w:t>
      </w:r>
      <w:r>
        <w:rPr>
          <w:rFonts w:ascii="Miriam" w:hAnsi="Miriam" w:cs="Miriam"/>
          <w:rtl/>
        </w:rPr>
        <w:t xml:space="preserve">ח' כבוב </w:t>
      </w:r>
      <w:r>
        <w:rPr>
          <w:rFonts w:ascii="FrankRuehl" w:hAnsi="FrankRuehl" w:cs="FrankRuehl"/>
          <w:spacing w:val="10"/>
          <w:sz w:val="28"/>
          <w:szCs w:val="28"/>
          <w:rtl/>
        </w:rPr>
        <w:t>הצטרפו</w:t>
      </w:r>
      <w:r>
        <w:rPr>
          <w:rFonts w:ascii="FrankRuehl" w:hAnsi="FrankRuehl" w:cs="FrankRuehl" w:hint="cs"/>
          <w:spacing w:val="10"/>
          <w:sz w:val="28"/>
          <w:szCs w:val="28"/>
          <w:rtl/>
        </w:rPr>
        <w:t xml:space="preserve"> גם הם</w:t>
      </w:r>
      <w:r>
        <w:rPr>
          <w:rFonts w:ascii="FrankRuehl" w:hAnsi="FrankRuehl" w:cs="FrankRuehl"/>
          <w:spacing w:val="10"/>
          <w:sz w:val="28"/>
          <w:szCs w:val="28"/>
          <w:rtl/>
        </w:rPr>
        <w:t xml:space="preserve"> לטעם זה </w:t>
      </w:r>
      <w:r>
        <w:rPr>
          <w:rFonts w:ascii="FrankRuehl" w:hAnsi="FrankRuehl" w:cs="FrankRuehl"/>
          <w:spacing w:val="10"/>
          <w:sz w:val="28"/>
          <w:szCs w:val="28"/>
          <w:rtl/>
        </w:rPr>
        <w:lastRenderedPageBreak/>
        <w:t>כנימוק נוסף המצדיק את קבלת העתירות</w:t>
      </w:r>
      <w:r w:rsidRPr="005D0E0E">
        <w:rPr>
          <w:rFonts w:ascii="FrankRuehl" w:hAnsi="FrankRuehl" w:cs="FrankRuehl"/>
          <w:spacing w:val="10"/>
          <w:sz w:val="28"/>
          <w:szCs w:val="28"/>
          <w:rtl/>
        </w:rPr>
        <w:t xml:space="preserve">. השופט י' </w:t>
      </w:r>
      <w:r w:rsidRPr="005D0E0E">
        <w:rPr>
          <w:rFonts w:ascii="Miriam" w:hAnsi="Miriam" w:cs="Miriam"/>
          <w:rtl/>
        </w:rPr>
        <w:t>אלרון</w:t>
      </w:r>
      <w:r w:rsidRPr="005D0E0E">
        <w:rPr>
          <w:rFonts w:ascii="FrankRuehl" w:hAnsi="FrankRuehl" w:cs="FrankRuehl"/>
          <w:spacing w:val="10"/>
          <w:sz w:val="28"/>
          <w:szCs w:val="28"/>
          <w:rtl/>
        </w:rPr>
        <w:t xml:space="preserve">, בדעת </w:t>
      </w:r>
      <w:r w:rsidRPr="005D0E0E">
        <w:rPr>
          <w:rFonts w:ascii="FrankRuehl" w:hAnsi="FrankRuehl" w:cs="FrankRuehl" w:hint="eastAsia"/>
          <w:spacing w:val="10"/>
          <w:sz w:val="28"/>
          <w:szCs w:val="28"/>
          <w:rtl/>
        </w:rPr>
        <w:t>יחיד</w:t>
      </w:r>
      <w:r w:rsidRPr="005D0E0E">
        <w:rPr>
          <w:rFonts w:ascii="FrankRuehl" w:hAnsi="FrankRuehl" w:cs="FrankRuehl"/>
          <w:spacing w:val="10"/>
          <w:sz w:val="28"/>
          <w:szCs w:val="28"/>
          <w:rtl/>
        </w:rPr>
        <w:t>,</w:t>
      </w:r>
      <w:r>
        <w:rPr>
          <w:rFonts w:ascii="FrankRuehl" w:hAnsi="FrankRuehl" w:cs="FrankRuehl"/>
          <w:spacing w:val="10"/>
          <w:sz w:val="28"/>
          <w:szCs w:val="28"/>
          <w:rtl/>
        </w:rPr>
        <w:t xml:space="preserve"> סבר כי</w:t>
      </w:r>
      <w:r>
        <w:rPr>
          <w:rFonts w:ascii="FrankRuehl" w:hAnsi="FrankRuehl" w:cs="FrankRuehl" w:hint="cs"/>
          <w:spacing w:val="10"/>
          <w:sz w:val="28"/>
          <w:szCs w:val="28"/>
          <w:rtl/>
        </w:rPr>
        <w:t xml:space="preserve"> </w:t>
      </w:r>
      <w:r w:rsidRPr="00AB3C5B">
        <w:rPr>
          <w:rFonts w:ascii="FrankRuehl" w:hAnsi="FrankRuehl" w:cs="FrankRuehl" w:hint="eastAsia"/>
          <w:spacing w:val="10"/>
          <w:sz w:val="28"/>
          <w:szCs w:val="28"/>
          <w:rtl/>
        </w:rPr>
        <w:t>יש</w:t>
      </w:r>
      <w:r w:rsidRPr="00AB3C5B">
        <w:rPr>
          <w:rFonts w:ascii="FrankRuehl" w:hAnsi="FrankRuehl" w:cs="FrankRuehl"/>
          <w:spacing w:val="10"/>
          <w:sz w:val="28"/>
          <w:szCs w:val="28"/>
          <w:rtl/>
        </w:rPr>
        <w:t xml:space="preserve"> להותיר את </w:t>
      </w:r>
      <w:r w:rsidRPr="00AB3C5B">
        <w:rPr>
          <w:rFonts w:ascii="FrankRuehl" w:hAnsi="FrankRuehl" w:cs="FrankRuehl" w:hint="eastAsia"/>
          <w:spacing w:val="10"/>
          <w:sz w:val="28"/>
          <w:szCs w:val="28"/>
          <w:rtl/>
        </w:rPr>
        <w:t>מינויו</w:t>
      </w:r>
      <w:r w:rsidRPr="00AB3C5B">
        <w:rPr>
          <w:rFonts w:ascii="FrankRuehl" w:hAnsi="FrankRuehl" w:cs="FrankRuehl"/>
          <w:spacing w:val="10"/>
          <w:sz w:val="28"/>
          <w:szCs w:val="28"/>
          <w:rtl/>
        </w:rPr>
        <w:t xml:space="preserve"> </w:t>
      </w:r>
      <w:r w:rsidRPr="00AB3C5B">
        <w:rPr>
          <w:rFonts w:ascii="FrankRuehl" w:hAnsi="FrankRuehl" w:cs="FrankRuehl" w:hint="eastAsia"/>
          <w:spacing w:val="10"/>
          <w:sz w:val="28"/>
          <w:szCs w:val="28"/>
          <w:rtl/>
        </w:rPr>
        <w:t>של</w:t>
      </w:r>
      <w:r w:rsidRPr="00AB3C5B">
        <w:rPr>
          <w:rFonts w:ascii="FrankRuehl" w:hAnsi="FrankRuehl" w:cs="FrankRuehl"/>
          <w:spacing w:val="10"/>
          <w:sz w:val="28"/>
          <w:szCs w:val="28"/>
          <w:rtl/>
        </w:rPr>
        <w:t xml:space="preserve"> </w:t>
      </w:r>
      <w:r w:rsidRPr="00AB3C5B">
        <w:rPr>
          <w:rFonts w:ascii="FrankRuehl" w:hAnsi="FrankRuehl" w:cs="FrankRuehl" w:hint="eastAsia"/>
          <w:spacing w:val="10"/>
          <w:sz w:val="28"/>
          <w:szCs w:val="28"/>
          <w:rtl/>
        </w:rPr>
        <w:t>השר</w:t>
      </w:r>
      <w:r w:rsidRPr="00AB3C5B">
        <w:rPr>
          <w:rFonts w:ascii="FrankRuehl" w:hAnsi="FrankRuehl" w:cs="FrankRuehl"/>
          <w:spacing w:val="10"/>
          <w:sz w:val="28"/>
          <w:szCs w:val="28"/>
          <w:rtl/>
        </w:rPr>
        <w:t xml:space="preserve"> </w:t>
      </w:r>
      <w:r w:rsidRPr="00AB3C5B">
        <w:rPr>
          <w:rFonts w:ascii="FrankRuehl" w:hAnsi="FrankRuehl" w:cs="FrankRuehl" w:hint="eastAsia"/>
          <w:spacing w:val="10"/>
          <w:sz w:val="28"/>
          <w:szCs w:val="28"/>
          <w:rtl/>
        </w:rPr>
        <w:t>דרעי</w:t>
      </w:r>
      <w:r w:rsidRPr="00AB3C5B">
        <w:rPr>
          <w:rFonts w:ascii="FrankRuehl" w:hAnsi="FrankRuehl" w:cs="FrankRuehl"/>
          <w:spacing w:val="10"/>
          <w:sz w:val="28"/>
          <w:szCs w:val="28"/>
          <w:rtl/>
        </w:rPr>
        <w:t xml:space="preserve"> </w:t>
      </w:r>
      <w:r w:rsidRPr="00AB3C5B">
        <w:rPr>
          <w:rFonts w:ascii="FrankRuehl" w:hAnsi="FrankRuehl" w:cs="FrankRuehl" w:hint="eastAsia"/>
          <w:spacing w:val="10"/>
          <w:sz w:val="28"/>
          <w:szCs w:val="28"/>
          <w:rtl/>
        </w:rPr>
        <w:t>על</w:t>
      </w:r>
      <w:r w:rsidRPr="00AB3C5B">
        <w:rPr>
          <w:rFonts w:ascii="FrankRuehl" w:hAnsi="FrankRuehl" w:cs="FrankRuehl"/>
          <w:spacing w:val="10"/>
          <w:sz w:val="28"/>
          <w:szCs w:val="28"/>
          <w:rtl/>
        </w:rPr>
        <w:t xml:space="preserve"> </w:t>
      </w:r>
      <w:r w:rsidRPr="00AB3C5B">
        <w:rPr>
          <w:rFonts w:ascii="FrankRuehl" w:hAnsi="FrankRuehl" w:cs="FrankRuehl" w:hint="eastAsia"/>
          <w:spacing w:val="10"/>
          <w:sz w:val="28"/>
          <w:szCs w:val="28"/>
          <w:rtl/>
        </w:rPr>
        <w:t>כנו</w:t>
      </w:r>
      <w:r>
        <w:rPr>
          <w:rFonts w:ascii="FrankRuehl" w:hAnsi="FrankRuehl" w:cs="FrankRuehl" w:hint="cs"/>
          <w:spacing w:val="10"/>
          <w:sz w:val="28"/>
          <w:szCs w:val="28"/>
          <w:rtl/>
        </w:rPr>
        <w:t xml:space="preserve">, כאשר לצד זאת על </w:t>
      </w:r>
      <w:r w:rsidRPr="000C497B">
        <w:rPr>
          <w:rFonts w:ascii="FrankRuehl" w:hAnsi="FrankRuehl" w:cs="FrankRuehl" w:hint="cs"/>
          <w:spacing w:val="10"/>
          <w:sz w:val="28"/>
          <w:szCs w:val="28"/>
          <w:rtl/>
        </w:rPr>
        <w:t xml:space="preserve">ראש הממשלה </w:t>
      </w:r>
      <w:r>
        <w:rPr>
          <w:rFonts w:ascii="FrankRuehl" w:hAnsi="FrankRuehl" w:cs="FrankRuehl" w:hint="cs"/>
          <w:spacing w:val="10"/>
          <w:sz w:val="28"/>
          <w:szCs w:val="28"/>
          <w:rtl/>
        </w:rPr>
        <w:t>לפנות</w:t>
      </w:r>
      <w:r w:rsidRPr="000C497B">
        <w:rPr>
          <w:rFonts w:ascii="FrankRuehl" w:hAnsi="FrankRuehl" w:cs="FrankRuehl" w:hint="cs"/>
          <w:spacing w:val="10"/>
          <w:sz w:val="28"/>
          <w:szCs w:val="28"/>
          <w:rtl/>
        </w:rPr>
        <w:t xml:space="preserve"> ליו"ר ועדת הבחירות הנוכחי בתוך 30 יום ממועד פסק הדין, על מנת שיקבע האם </w:t>
      </w:r>
      <w:r w:rsidRPr="000C497B">
        <w:rPr>
          <w:rFonts w:ascii="FrankRuehl" w:hAnsi="FrankRuehl" w:cs="FrankRuehl" w:hint="eastAsia"/>
          <w:spacing w:val="10"/>
          <w:sz w:val="28"/>
          <w:szCs w:val="28"/>
          <w:rtl/>
        </w:rPr>
        <w:t>בנסיבות</w:t>
      </w:r>
      <w:r w:rsidRPr="000C497B">
        <w:rPr>
          <w:rFonts w:ascii="FrankRuehl" w:hAnsi="FrankRuehl" w:cs="FrankRuehl"/>
          <w:spacing w:val="10"/>
          <w:sz w:val="28"/>
          <w:szCs w:val="28"/>
          <w:rtl/>
        </w:rPr>
        <w:t xml:space="preserve"> </w:t>
      </w:r>
      <w:r w:rsidRPr="000C497B">
        <w:rPr>
          <w:rFonts w:ascii="FrankRuehl" w:hAnsi="FrankRuehl" w:cs="FrankRuehl" w:hint="eastAsia"/>
          <w:spacing w:val="10"/>
          <w:sz w:val="28"/>
          <w:szCs w:val="28"/>
          <w:rtl/>
        </w:rPr>
        <w:t>הענ</w:t>
      </w:r>
      <w:r w:rsidRPr="000C497B">
        <w:rPr>
          <w:rFonts w:ascii="FrankRuehl" w:hAnsi="FrankRuehl" w:cs="FrankRuehl" w:hint="cs"/>
          <w:spacing w:val="10"/>
          <w:sz w:val="28"/>
          <w:szCs w:val="28"/>
          <w:rtl/>
        </w:rPr>
        <w:t>י</w:t>
      </w:r>
      <w:r w:rsidRPr="000C497B">
        <w:rPr>
          <w:rFonts w:ascii="FrankRuehl" w:hAnsi="FrankRuehl" w:cs="FrankRuehl" w:hint="eastAsia"/>
          <w:spacing w:val="10"/>
          <w:sz w:val="28"/>
          <w:szCs w:val="28"/>
          <w:rtl/>
        </w:rPr>
        <w:t>ין אין</w:t>
      </w:r>
      <w:r w:rsidRPr="000C497B">
        <w:rPr>
          <w:rFonts w:ascii="FrankRuehl" w:hAnsi="FrankRuehl" w:cs="FrankRuehl"/>
          <w:spacing w:val="10"/>
          <w:sz w:val="28"/>
          <w:szCs w:val="28"/>
          <w:rtl/>
        </w:rPr>
        <w:t xml:space="preserve"> </w:t>
      </w:r>
      <w:r w:rsidRPr="000C497B">
        <w:rPr>
          <w:rFonts w:ascii="FrankRuehl" w:hAnsi="FrankRuehl" w:cs="FrankRuehl" w:hint="cs"/>
          <w:spacing w:val="10"/>
          <w:sz w:val="28"/>
          <w:szCs w:val="28"/>
          <w:rtl/>
        </w:rPr>
        <w:t>בעבירות ה</w:t>
      </w:r>
      <w:r>
        <w:rPr>
          <w:rFonts w:ascii="FrankRuehl" w:hAnsi="FrankRuehl" w:cs="FrankRuehl" w:hint="cs"/>
          <w:spacing w:val="10"/>
          <w:sz w:val="28"/>
          <w:szCs w:val="28"/>
          <w:rtl/>
        </w:rPr>
        <w:t>מס</w:t>
      </w:r>
      <w:r w:rsidRPr="000C497B">
        <w:rPr>
          <w:rFonts w:ascii="FrankRuehl" w:hAnsi="FrankRuehl" w:cs="FrankRuehl"/>
          <w:spacing w:val="10"/>
          <w:sz w:val="28"/>
          <w:szCs w:val="28"/>
          <w:rtl/>
        </w:rPr>
        <w:t xml:space="preserve"> </w:t>
      </w:r>
      <w:r w:rsidRPr="000C497B">
        <w:rPr>
          <w:rFonts w:ascii="FrankRuehl" w:hAnsi="FrankRuehl" w:cs="FrankRuehl" w:hint="eastAsia"/>
          <w:spacing w:val="10"/>
          <w:sz w:val="28"/>
          <w:szCs w:val="28"/>
          <w:rtl/>
        </w:rPr>
        <w:t>שבה</w:t>
      </w:r>
      <w:r w:rsidRPr="000C497B">
        <w:rPr>
          <w:rFonts w:ascii="FrankRuehl" w:hAnsi="FrankRuehl" w:cs="FrankRuehl" w:hint="cs"/>
          <w:spacing w:val="10"/>
          <w:sz w:val="28"/>
          <w:szCs w:val="28"/>
          <w:rtl/>
        </w:rPr>
        <w:t>ן</w:t>
      </w:r>
      <w:r w:rsidRPr="000C497B">
        <w:rPr>
          <w:rFonts w:ascii="FrankRuehl" w:hAnsi="FrankRuehl" w:cs="FrankRuehl"/>
          <w:spacing w:val="10"/>
          <w:sz w:val="28"/>
          <w:szCs w:val="28"/>
          <w:rtl/>
        </w:rPr>
        <w:t xml:space="preserve"> </w:t>
      </w:r>
      <w:r w:rsidRPr="000C497B">
        <w:rPr>
          <w:rFonts w:ascii="FrankRuehl" w:hAnsi="FrankRuehl" w:cs="FrankRuehl" w:hint="eastAsia"/>
          <w:spacing w:val="10"/>
          <w:sz w:val="28"/>
          <w:szCs w:val="28"/>
          <w:rtl/>
        </w:rPr>
        <w:t>הורשע</w:t>
      </w:r>
      <w:r w:rsidRPr="000C497B">
        <w:rPr>
          <w:rFonts w:ascii="FrankRuehl" w:hAnsi="FrankRuehl" w:cs="FrankRuehl" w:hint="cs"/>
          <w:spacing w:val="10"/>
          <w:sz w:val="28"/>
          <w:szCs w:val="28"/>
          <w:rtl/>
        </w:rPr>
        <w:t xml:space="preserve"> דרעי </w:t>
      </w:r>
      <w:r w:rsidRPr="000C497B">
        <w:rPr>
          <w:rFonts w:ascii="FrankRuehl" w:hAnsi="FrankRuehl" w:cs="FrankRuehl" w:hint="eastAsia"/>
          <w:spacing w:val="10"/>
          <w:sz w:val="28"/>
          <w:szCs w:val="28"/>
          <w:rtl/>
        </w:rPr>
        <w:t>משום</w:t>
      </w:r>
      <w:r w:rsidRPr="000C497B">
        <w:rPr>
          <w:rFonts w:ascii="FrankRuehl" w:hAnsi="FrankRuehl" w:cs="FrankRuehl"/>
          <w:spacing w:val="10"/>
          <w:sz w:val="28"/>
          <w:szCs w:val="28"/>
          <w:rtl/>
        </w:rPr>
        <w:t xml:space="preserve"> </w:t>
      </w:r>
      <w:r w:rsidRPr="000C497B">
        <w:rPr>
          <w:rFonts w:ascii="FrankRuehl" w:hAnsi="FrankRuehl" w:cs="FrankRuehl" w:hint="eastAsia"/>
          <w:spacing w:val="10"/>
          <w:sz w:val="28"/>
          <w:szCs w:val="28"/>
          <w:rtl/>
        </w:rPr>
        <w:t>קלון</w:t>
      </w:r>
      <w:r>
        <w:rPr>
          <w:rFonts w:ascii="FrankRuehl" w:hAnsi="FrankRuehl" w:cs="FrankRuehl" w:hint="cs"/>
          <w:spacing w:val="10"/>
          <w:sz w:val="28"/>
          <w:szCs w:val="28"/>
          <w:rtl/>
        </w:rPr>
        <w:t>, וכן כי ב</w:t>
      </w:r>
      <w:r w:rsidRPr="000C497B">
        <w:rPr>
          <w:rFonts w:ascii="FrankRuehl" w:hAnsi="FrankRuehl" w:cs="FrankRuehl" w:hint="cs"/>
          <w:spacing w:val="10"/>
          <w:sz w:val="28"/>
          <w:szCs w:val="28"/>
          <w:rtl/>
        </w:rPr>
        <w:t xml:space="preserve">כפוף </w:t>
      </w:r>
      <w:r>
        <w:rPr>
          <w:rFonts w:ascii="FrankRuehl" w:hAnsi="FrankRuehl" w:cs="FrankRuehl" w:hint="cs"/>
          <w:spacing w:val="10"/>
          <w:sz w:val="28"/>
          <w:szCs w:val="28"/>
          <w:rtl/>
        </w:rPr>
        <w:t xml:space="preserve">לקביעת יו"ר ועדת הבחירות </w:t>
      </w:r>
      <w:r>
        <w:rPr>
          <w:rFonts w:ascii="FrankRuehl" w:hAnsi="FrankRuehl" w:cs="FrankRuehl"/>
          <w:spacing w:val="10"/>
          <w:sz w:val="28"/>
          <w:szCs w:val="28"/>
          <w:rtl/>
        </w:rPr>
        <w:t>–</w:t>
      </w:r>
      <w:r>
        <w:rPr>
          <w:rFonts w:ascii="FrankRuehl" w:hAnsi="FrankRuehl" w:cs="FrankRuehl" w:hint="cs"/>
          <w:spacing w:val="10"/>
          <w:sz w:val="28"/>
          <w:szCs w:val="28"/>
          <w:rtl/>
        </w:rPr>
        <w:t xml:space="preserve"> יישמרו לצדדים טענותיהם</w:t>
      </w:r>
      <w:r w:rsidRPr="000C497B">
        <w:rPr>
          <w:rFonts w:ascii="FrankRuehl" w:hAnsi="FrankRuehl" w:cs="FrankRuehl" w:hint="cs"/>
          <w:spacing w:val="10"/>
          <w:sz w:val="28"/>
          <w:szCs w:val="28"/>
          <w:rtl/>
        </w:rPr>
        <w:t xml:space="preserve"> במישור הכשירות ובמישור הסבירות. </w:t>
      </w:r>
      <w:r>
        <w:rPr>
          <w:rFonts w:ascii="FrankRuehl" w:hAnsi="FrankRuehl" w:cs="FrankRuehl"/>
          <w:spacing w:val="10"/>
          <w:sz w:val="28"/>
          <w:szCs w:val="28"/>
          <w:rtl/>
        </w:rPr>
        <w:t xml:space="preserve"> </w:t>
      </w:r>
    </w:p>
    <w:p w14:paraId="1DB6CCAE" w14:textId="77777777" w:rsidR="00636252" w:rsidRPr="003E6905" w:rsidRDefault="00636252" w:rsidP="00EE36D6">
      <w:pPr>
        <w:pStyle w:val="af0"/>
        <w:spacing w:line="360" w:lineRule="auto"/>
        <w:ind w:left="0" w:firstLine="720"/>
        <w:jc w:val="both"/>
        <w:rPr>
          <w:rFonts w:ascii="FrankRuehl" w:hAnsi="FrankRuehl" w:cs="FrankRuehl"/>
          <w:spacing w:val="10"/>
          <w:sz w:val="28"/>
          <w:szCs w:val="28"/>
        </w:rPr>
      </w:pPr>
    </w:p>
    <w:p w14:paraId="08D6EB75" w14:textId="77777777" w:rsidR="00EE36D6" w:rsidRPr="00804764" w:rsidRDefault="00EE36D6" w:rsidP="00EE36D6">
      <w:pPr>
        <w:pStyle w:val="Ruller41"/>
        <w:rPr>
          <w:rFonts w:ascii="FrankRuehl" w:eastAsiaTheme="minorHAnsi" w:hAnsi="FrankRuehl"/>
          <w:sz w:val="28"/>
        </w:rPr>
      </w:pPr>
    </w:p>
    <w:p w14:paraId="38139C7B" w14:textId="77777777" w:rsidR="00EF114E" w:rsidRDefault="003E6905" w:rsidP="003E6905">
      <w:pPr>
        <w:pStyle w:val="BODYVERDICT"/>
        <w:rPr>
          <w:rFonts w:ascii="FrankRuehl" w:hAnsi="FrankRuehl"/>
          <w:sz w:val="28"/>
          <w:rtl/>
        </w:rPr>
      </w:pPr>
      <w:r>
        <w:rPr>
          <w:rFonts w:ascii="FrankRuehl" w:hAnsi="FrankRuehl"/>
          <w:sz w:val="28"/>
          <w:rtl/>
        </w:rPr>
        <w:tab/>
        <w:t>נית</w:t>
      </w:r>
      <w:r>
        <w:rPr>
          <w:rFonts w:ascii="FrankRuehl" w:hAnsi="FrankRuehl" w:hint="cs"/>
          <w:sz w:val="28"/>
          <w:rtl/>
        </w:rPr>
        <w:t>ן</w:t>
      </w:r>
      <w:r>
        <w:rPr>
          <w:rFonts w:ascii="FrankRuehl" w:hAnsi="FrankRuehl"/>
          <w:sz w:val="28"/>
          <w:rtl/>
        </w:rPr>
        <w:t xml:space="preserve"> היום, </w:t>
      </w:r>
      <w:r>
        <w:rPr>
          <w:rFonts w:ascii="FrankRuehl" w:hAnsi="FrankRuehl" w:hint="eastAsia"/>
          <w:sz w:val="28"/>
          <w:rtl/>
        </w:rPr>
        <w:t>‏כ</w:t>
      </w:r>
      <w:r>
        <w:rPr>
          <w:rFonts w:ascii="FrankRuehl" w:hAnsi="FrankRuehl"/>
          <w:sz w:val="28"/>
          <w:rtl/>
        </w:rPr>
        <w:t>"ה בטבת התשפ"ג (</w:t>
      </w:r>
      <w:r>
        <w:rPr>
          <w:rFonts w:ascii="FrankRuehl" w:hAnsi="FrankRuehl" w:hint="eastAsia"/>
          <w:sz w:val="28"/>
          <w:rtl/>
        </w:rPr>
        <w:t>‏</w:t>
      </w:r>
      <w:r>
        <w:rPr>
          <w:rFonts w:ascii="FrankRuehl" w:hAnsi="FrankRuehl"/>
          <w:sz w:val="28"/>
          <w:rtl/>
        </w:rPr>
        <w:t>18.1.2023).</w:t>
      </w:r>
    </w:p>
    <w:p w14:paraId="6366DE44" w14:textId="77777777" w:rsidR="003E6905" w:rsidRDefault="003E6905" w:rsidP="003E6905">
      <w:pPr>
        <w:pStyle w:val="BODYVERDICT"/>
        <w:rPr>
          <w:rFonts w:ascii="FrankRuehl" w:hAnsi="FrankRuehl"/>
          <w:sz w:val="28"/>
          <w:rtl/>
        </w:rPr>
      </w:pPr>
    </w:p>
    <w:p w14:paraId="7C69D0C2" w14:textId="77777777" w:rsidR="00EF114E" w:rsidRPr="00EF114E" w:rsidRDefault="00EF114E" w:rsidP="00EF114E">
      <w:pPr>
        <w:pStyle w:val="BODYVERDICT"/>
        <w:rPr>
          <w:rFonts w:ascii="FrankRuehl" w:hAnsi="FrankRuehl"/>
          <w:sz w:val="28"/>
          <w:rtl/>
        </w:rPr>
      </w:pPr>
    </w:p>
    <w:p w14:paraId="027A9E90" w14:textId="77777777" w:rsidR="00EF114E" w:rsidRPr="00EF114E" w:rsidRDefault="00EF114E" w:rsidP="00EF114E">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p>
    <w:p w14:paraId="3521A5FF" w14:textId="77777777" w:rsidR="00EF114E" w:rsidRPr="00EF114E" w:rsidRDefault="00EF114E" w:rsidP="00636252">
      <w:pPr>
        <w:pStyle w:val="BODYVERDICT"/>
        <w:rPr>
          <w:rFonts w:ascii="FrankRuehl" w:hAnsi="FrankRuehl"/>
          <w:sz w:val="28"/>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p>
    <w:p w14:paraId="66E9FD81" w14:textId="77777777" w:rsidR="00EF114E" w:rsidRDefault="00EF114E" w:rsidP="00EF114E">
      <w:pPr>
        <w:pStyle w:val="Ruller41"/>
        <w:rPr>
          <w:rtl/>
        </w:rPr>
      </w:pPr>
      <w:r>
        <w:rPr>
          <w:rFonts w:cs="Miriam"/>
          <w:b/>
          <w:bCs/>
          <w:sz w:val="24"/>
          <w:szCs w:val="24"/>
          <w:rtl/>
        </w:rPr>
        <w:tab/>
      </w:r>
    </w:p>
    <w:tbl>
      <w:tblPr>
        <w:bidiVisual/>
        <w:tblW w:w="8363" w:type="dxa"/>
        <w:tblLook w:val="01E0" w:firstRow="1" w:lastRow="1" w:firstColumn="1" w:lastColumn="1" w:noHBand="0" w:noVBand="0"/>
      </w:tblPr>
      <w:tblGrid>
        <w:gridCol w:w="2783"/>
        <w:gridCol w:w="2797"/>
        <w:gridCol w:w="2783"/>
      </w:tblGrid>
      <w:tr w:rsidR="00EF114E" w14:paraId="3D6F30FE" w14:textId="77777777" w:rsidTr="00442AB3">
        <w:tc>
          <w:tcPr>
            <w:tcW w:w="2842" w:type="dxa"/>
            <w:shd w:val="clear" w:color="auto" w:fill="auto"/>
          </w:tcPr>
          <w:p w14:paraId="39AF34DA" w14:textId="77777777" w:rsidR="00EF114E" w:rsidRDefault="00EF114E" w:rsidP="00442AB3">
            <w:pPr>
              <w:pStyle w:val="Ruller41"/>
              <w:rPr>
                <w:rtl/>
              </w:rPr>
            </w:pPr>
            <w:r>
              <w:rPr>
                <w:rFonts w:hint="cs"/>
                <w:rtl/>
              </w:rPr>
              <w:t xml:space="preserve">ה נ ש י א ה </w:t>
            </w:r>
          </w:p>
        </w:tc>
        <w:tc>
          <w:tcPr>
            <w:tcW w:w="2843" w:type="dxa"/>
            <w:shd w:val="clear" w:color="auto" w:fill="auto"/>
          </w:tcPr>
          <w:p w14:paraId="118B53C2" w14:textId="77777777" w:rsidR="00EF114E" w:rsidRDefault="00EF114E" w:rsidP="00442AB3">
            <w:pPr>
              <w:pStyle w:val="Ruller41"/>
              <w:jc w:val="center"/>
              <w:rPr>
                <w:rtl/>
              </w:rPr>
            </w:pPr>
            <w:r>
              <w:rPr>
                <w:rFonts w:hint="cs"/>
                <w:rtl/>
              </w:rPr>
              <w:t>המשנה לנשיאה</w:t>
            </w:r>
          </w:p>
        </w:tc>
        <w:tc>
          <w:tcPr>
            <w:tcW w:w="2843" w:type="dxa"/>
            <w:shd w:val="clear" w:color="auto" w:fill="auto"/>
          </w:tcPr>
          <w:p w14:paraId="2918F4AC" w14:textId="77777777" w:rsidR="00EF114E" w:rsidRDefault="00EF114E" w:rsidP="00EF114E">
            <w:pPr>
              <w:pStyle w:val="Ruller41"/>
              <w:jc w:val="center"/>
              <w:rPr>
                <w:rtl/>
              </w:rPr>
            </w:pPr>
            <w:r>
              <w:rPr>
                <w:rFonts w:hint="cs"/>
                <w:rtl/>
              </w:rPr>
              <w:t xml:space="preserve">ש ו פ ט </w:t>
            </w:r>
          </w:p>
        </w:tc>
      </w:tr>
    </w:tbl>
    <w:p w14:paraId="6DB75730" w14:textId="77777777" w:rsidR="00EF114E" w:rsidRDefault="00EF114E" w:rsidP="00EF114E">
      <w:pPr>
        <w:pStyle w:val="Ruller41"/>
        <w:rPr>
          <w:rtl/>
        </w:rPr>
      </w:pPr>
    </w:p>
    <w:p w14:paraId="2D98C141" w14:textId="77777777" w:rsidR="00636252" w:rsidRDefault="00636252" w:rsidP="00EF114E">
      <w:pPr>
        <w:pStyle w:val="Ruller41"/>
        <w:rPr>
          <w:rtl/>
        </w:rPr>
      </w:pPr>
    </w:p>
    <w:p w14:paraId="583A94FB" w14:textId="77777777" w:rsidR="00EF114E" w:rsidRDefault="00EF114E" w:rsidP="00EF114E">
      <w:pPr>
        <w:pStyle w:val="Ruller41"/>
        <w:rPr>
          <w:rtl/>
        </w:rPr>
      </w:pPr>
    </w:p>
    <w:tbl>
      <w:tblPr>
        <w:bidiVisual/>
        <w:tblW w:w="8363" w:type="dxa"/>
        <w:tblLook w:val="01E0" w:firstRow="1" w:lastRow="1" w:firstColumn="1" w:lastColumn="1" w:noHBand="0" w:noVBand="0"/>
      </w:tblPr>
      <w:tblGrid>
        <w:gridCol w:w="2787"/>
        <w:gridCol w:w="2788"/>
        <w:gridCol w:w="2788"/>
      </w:tblGrid>
      <w:tr w:rsidR="00EF114E" w14:paraId="0F7AF66D" w14:textId="77777777" w:rsidTr="00442AB3">
        <w:tc>
          <w:tcPr>
            <w:tcW w:w="2842" w:type="dxa"/>
            <w:shd w:val="clear" w:color="auto" w:fill="auto"/>
          </w:tcPr>
          <w:p w14:paraId="5A724E21" w14:textId="77777777" w:rsidR="00EF114E" w:rsidRDefault="00EF114E" w:rsidP="00442AB3">
            <w:pPr>
              <w:pStyle w:val="Ruller41"/>
              <w:rPr>
                <w:rtl/>
              </w:rPr>
            </w:pPr>
            <w:r>
              <w:rPr>
                <w:rFonts w:hint="cs"/>
                <w:rtl/>
              </w:rPr>
              <w:t>ש ו פ ט ת</w:t>
            </w:r>
          </w:p>
        </w:tc>
        <w:tc>
          <w:tcPr>
            <w:tcW w:w="2843" w:type="dxa"/>
            <w:shd w:val="clear" w:color="auto" w:fill="auto"/>
          </w:tcPr>
          <w:p w14:paraId="6E2C25DF" w14:textId="77777777" w:rsidR="00EF114E" w:rsidRDefault="00EF114E" w:rsidP="00442AB3">
            <w:pPr>
              <w:pStyle w:val="Ruller41"/>
              <w:jc w:val="center"/>
              <w:rPr>
                <w:rtl/>
              </w:rPr>
            </w:pPr>
            <w:r>
              <w:rPr>
                <w:rFonts w:hint="cs"/>
                <w:rtl/>
              </w:rPr>
              <w:t>ש ו פ ט ת</w:t>
            </w:r>
          </w:p>
        </w:tc>
        <w:tc>
          <w:tcPr>
            <w:tcW w:w="2843" w:type="dxa"/>
            <w:shd w:val="clear" w:color="auto" w:fill="auto"/>
          </w:tcPr>
          <w:p w14:paraId="2EB5CCB5" w14:textId="77777777" w:rsidR="00EF114E" w:rsidRDefault="00EF114E" w:rsidP="00442AB3">
            <w:pPr>
              <w:pStyle w:val="Ruller41"/>
              <w:jc w:val="center"/>
              <w:rPr>
                <w:rtl/>
              </w:rPr>
            </w:pPr>
            <w:r>
              <w:rPr>
                <w:rFonts w:hint="cs"/>
                <w:rtl/>
              </w:rPr>
              <w:t>ש ו פ ט</w:t>
            </w:r>
          </w:p>
        </w:tc>
      </w:tr>
    </w:tbl>
    <w:p w14:paraId="7B4C6FB0" w14:textId="77777777" w:rsidR="00EF114E" w:rsidRDefault="00EF114E" w:rsidP="00EF114E">
      <w:pPr>
        <w:pStyle w:val="Ruller41"/>
        <w:rPr>
          <w:rtl/>
        </w:rPr>
      </w:pPr>
    </w:p>
    <w:p w14:paraId="3E65A6B4" w14:textId="77777777" w:rsidR="00EF114E" w:rsidRDefault="00EF114E" w:rsidP="00EF114E">
      <w:pPr>
        <w:pStyle w:val="Ruller41"/>
        <w:rPr>
          <w:rtl/>
        </w:rPr>
      </w:pPr>
    </w:p>
    <w:p w14:paraId="5CB9134B" w14:textId="77777777" w:rsidR="00636252" w:rsidRDefault="00636252" w:rsidP="00EF114E">
      <w:pPr>
        <w:pStyle w:val="Ruller41"/>
        <w:rPr>
          <w:rtl/>
        </w:rPr>
      </w:pPr>
    </w:p>
    <w:tbl>
      <w:tblPr>
        <w:bidiVisual/>
        <w:tblW w:w="8363" w:type="dxa"/>
        <w:tblLook w:val="01E0" w:firstRow="1" w:lastRow="1" w:firstColumn="1" w:lastColumn="1" w:noHBand="0" w:noVBand="0"/>
      </w:tblPr>
      <w:tblGrid>
        <w:gridCol w:w="2787"/>
        <w:gridCol w:w="2788"/>
        <w:gridCol w:w="2788"/>
      </w:tblGrid>
      <w:tr w:rsidR="00EF114E" w14:paraId="4BDAB23B" w14:textId="77777777" w:rsidTr="00442AB3">
        <w:tc>
          <w:tcPr>
            <w:tcW w:w="2842" w:type="dxa"/>
            <w:shd w:val="clear" w:color="auto" w:fill="auto"/>
          </w:tcPr>
          <w:p w14:paraId="4325FE29" w14:textId="77777777" w:rsidR="00EF114E" w:rsidRDefault="00EF114E" w:rsidP="00442AB3">
            <w:pPr>
              <w:pStyle w:val="Ruller41"/>
              <w:rPr>
                <w:rtl/>
              </w:rPr>
            </w:pPr>
            <w:r>
              <w:rPr>
                <w:rFonts w:hint="cs"/>
                <w:rtl/>
              </w:rPr>
              <w:t>ש ו פ ט</w:t>
            </w:r>
          </w:p>
        </w:tc>
        <w:tc>
          <w:tcPr>
            <w:tcW w:w="2843" w:type="dxa"/>
            <w:shd w:val="clear" w:color="auto" w:fill="auto"/>
          </w:tcPr>
          <w:p w14:paraId="23944389" w14:textId="77777777" w:rsidR="00EF114E" w:rsidRDefault="00EF114E" w:rsidP="00442AB3">
            <w:pPr>
              <w:pStyle w:val="Ruller41"/>
              <w:jc w:val="center"/>
              <w:rPr>
                <w:rtl/>
              </w:rPr>
            </w:pPr>
            <w:r>
              <w:rPr>
                <w:rFonts w:hint="cs"/>
                <w:rtl/>
              </w:rPr>
              <w:t>ש ו פ ט ת</w:t>
            </w:r>
          </w:p>
        </w:tc>
        <w:tc>
          <w:tcPr>
            <w:tcW w:w="2843" w:type="dxa"/>
            <w:shd w:val="clear" w:color="auto" w:fill="auto"/>
          </w:tcPr>
          <w:p w14:paraId="09EFB40B" w14:textId="77777777" w:rsidR="00EF114E" w:rsidRDefault="00EF114E" w:rsidP="00442AB3">
            <w:pPr>
              <w:pStyle w:val="Ruller41"/>
              <w:jc w:val="center"/>
              <w:rPr>
                <w:rtl/>
              </w:rPr>
            </w:pPr>
            <w:r>
              <w:rPr>
                <w:rFonts w:hint="cs"/>
                <w:rtl/>
              </w:rPr>
              <w:t>ש ו פ ט</w:t>
            </w:r>
          </w:p>
        </w:tc>
      </w:tr>
    </w:tbl>
    <w:p w14:paraId="1FF47008" w14:textId="77777777" w:rsidR="00EF114E" w:rsidRDefault="00EF114E" w:rsidP="00EF114E">
      <w:pPr>
        <w:pStyle w:val="Ruller41"/>
        <w:rPr>
          <w:rtl/>
        </w:rPr>
      </w:pPr>
    </w:p>
    <w:p w14:paraId="7F7A9A46" w14:textId="77777777" w:rsidR="00EF114E" w:rsidRDefault="00EF114E" w:rsidP="00EF114E">
      <w:pPr>
        <w:pStyle w:val="Ruller41"/>
        <w:rPr>
          <w:rtl/>
        </w:rPr>
      </w:pPr>
    </w:p>
    <w:p w14:paraId="1D7D788D" w14:textId="77777777" w:rsidR="00636252" w:rsidRDefault="00636252" w:rsidP="00EF114E">
      <w:pPr>
        <w:pStyle w:val="Ruller41"/>
        <w:rPr>
          <w:rtl/>
        </w:rPr>
      </w:pPr>
    </w:p>
    <w:tbl>
      <w:tblPr>
        <w:bidiVisual/>
        <w:tblW w:w="8363" w:type="dxa"/>
        <w:tblLook w:val="01E0" w:firstRow="1" w:lastRow="1" w:firstColumn="1" w:lastColumn="1" w:noHBand="0" w:noVBand="0"/>
      </w:tblPr>
      <w:tblGrid>
        <w:gridCol w:w="2788"/>
        <w:gridCol w:w="2789"/>
        <w:gridCol w:w="2786"/>
      </w:tblGrid>
      <w:tr w:rsidR="00EF114E" w14:paraId="3C491D03" w14:textId="77777777" w:rsidTr="00442AB3">
        <w:tc>
          <w:tcPr>
            <w:tcW w:w="2842" w:type="dxa"/>
            <w:shd w:val="clear" w:color="auto" w:fill="auto"/>
          </w:tcPr>
          <w:p w14:paraId="71867C48" w14:textId="77777777" w:rsidR="00EF114E" w:rsidRDefault="00EF114E" w:rsidP="00442AB3">
            <w:pPr>
              <w:pStyle w:val="Ruller41"/>
              <w:rPr>
                <w:rtl/>
              </w:rPr>
            </w:pPr>
            <w:r>
              <w:rPr>
                <w:rFonts w:hint="cs"/>
                <w:rtl/>
              </w:rPr>
              <w:t xml:space="preserve">ש ו פ ט </w:t>
            </w:r>
          </w:p>
        </w:tc>
        <w:tc>
          <w:tcPr>
            <w:tcW w:w="2843" w:type="dxa"/>
            <w:shd w:val="clear" w:color="auto" w:fill="auto"/>
          </w:tcPr>
          <w:p w14:paraId="4F5AC5CC" w14:textId="77777777" w:rsidR="00EF114E" w:rsidRDefault="00EF114E" w:rsidP="00442AB3">
            <w:pPr>
              <w:pStyle w:val="Ruller41"/>
              <w:jc w:val="center"/>
              <w:rPr>
                <w:rtl/>
              </w:rPr>
            </w:pPr>
            <w:r>
              <w:rPr>
                <w:rFonts w:hint="cs"/>
                <w:rtl/>
              </w:rPr>
              <w:t>ש ו פ ט</w:t>
            </w:r>
          </w:p>
        </w:tc>
        <w:tc>
          <w:tcPr>
            <w:tcW w:w="2843" w:type="dxa"/>
            <w:shd w:val="clear" w:color="auto" w:fill="auto"/>
          </w:tcPr>
          <w:p w14:paraId="686315D3" w14:textId="77777777" w:rsidR="00EF114E" w:rsidRDefault="00EF114E" w:rsidP="00442AB3">
            <w:pPr>
              <w:pStyle w:val="Ruller41"/>
              <w:jc w:val="center"/>
              <w:rPr>
                <w:rtl/>
              </w:rPr>
            </w:pPr>
          </w:p>
        </w:tc>
      </w:tr>
    </w:tbl>
    <w:p w14:paraId="5BEAE25E" w14:textId="77777777" w:rsidR="00EF114E" w:rsidRDefault="00EF114E" w:rsidP="00EF114E">
      <w:pPr>
        <w:pStyle w:val="Ruller41"/>
        <w:rPr>
          <w:rtl/>
        </w:rPr>
      </w:pPr>
    </w:p>
    <w:p w14:paraId="5CFB07AA" w14:textId="77777777" w:rsidR="00EF114E" w:rsidRDefault="00EF114E" w:rsidP="00EF114E">
      <w:pPr>
        <w:pStyle w:val="BODYVERDICT"/>
        <w:rPr>
          <w:rFonts w:cs="Miriam"/>
          <w:b/>
          <w:bCs/>
          <w:sz w:val="24"/>
          <w:szCs w:val="24"/>
          <w:rtl/>
        </w:rPr>
      </w:pPr>
    </w:p>
    <w:p w14:paraId="2561E498" w14:textId="77777777" w:rsidR="00EF114E" w:rsidRDefault="00EF114E" w:rsidP="00EF114E">
      <w:pPr>
        <w:pStyle w:val="BODYVERDICT"/>
        <w:rPr>
          <w:rFonts w:cs="Miriam"/>
          <w:b/>
          <w:bCs/>
          <w:sz w:val="24"/>
          <w:szCs w:val="24"/>
          <w:rtl/>
        </w:rPr>
      </w:pPr>
    </w:p>
    <w:p w14:paraId="378B5AE9" w14:textId="77777777" w:rsidR="00EF114E" w:rsidRPr="00636252" w:rsidRDefault="00EF114E" w:rsidP="00636252">
      <w:pPr>
        <w:pStyle w:val="BODYVERDICT"/>
        <w:rPr>
          <w:rFonts w:cs="Miriam"/>
          <w:sz w:val="24"/>
          <w:szCs w:val="24"/>
          <w:rtl/>
        </w:rPr>
      </w:pP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r>
        <w:rPr>
          <w:rFonts w:cs="Miriam"/>
          <w:b/>
          <w:bCs/>
          <w:sz w:val="24"/>
          <w:szCs w:val="24"/>
          <w:rtl/>
        </w:rPr>
        <w:tab/>
      </w:r>
    </w:p>
    <w:p w14:paraId="782B5F41" w14:textId="77777777" w:rsidR="00044953" w:rsidRDefault="00044953" w:rsidP="00C634DC">
      <w:pPr>
        <w:pStyle w:val="Ruller41"/>
        <w:rPr>
          <w:rtl/>
        </w:rPr>
      </w:pPr>
    </w:p>
    <w:p w14:paraId="32F22CD0" w14:textId="77777777" w:rsidR="00916FF8" w:rsidRDefault="00916FF8" w:rsidP="00C634DC">
      <w:pPr>
        <w:rPr>
          <w:szCs w:val="16"/>
          <w:rtl/>
        </w:rPr>
      </w:pPr>
      <w:r>
        <w:rPr>
          <w:szCs w:val="16"/>
          <w:rtl/>
        </w:rPr>
        <w:t>_________________</w:t>
      </w:r>
      <w:r w:rsidR="00A12E0F">
        <w:rPr>
          <w:rFonts w:hint="cs"/>
          <w:szCs w:val="16"/>
          <w:rtl/>
        </w:rPr>
        <w:t>________</w:t>
      </w:r>
    </w:p>
    <w:p w14:paraId="0FADE622" w14:textId="77777777" w:rsidR="000E0162" w:rsidRDefault="00591983" w:rsidP="000E0162">
      <w:pPr>
        <w:pStyle w:val="Ruller38"/>
      </w:pPr>
      <w:r>
        <w:rPr>
          <w:sz w:val="16"/>
        </w:rPr>
        <w:t xml:space="preserve"> </w:t>
      </w:r>
      <w:r w:rsidR="00A12E0F">
        <w:rPr>
          <w:sz w:val="16"/>
        </w:rPr>
        <w:t xml:space="preserve">  </w:t>
      </w:r>
      <w:r w:rsidR="00B009CC">
        <w:rPr>
          <w:sz w:val="16"/>
        </w:rPr>
        <w:fldChar w:fldCharType="begin">
          <w:ffData>
            <w:name w:val="FileName"/>
            <w:enabled/>
            <w:calcOnExit w:val="0"/>
            <w:textInput/>
          </w:ffData>
        </w:fldChar>
      </w:r>
      <w:bookmarkStart w:id="14" w:name="FileName"/>
      <w:r w:rsidR="00B009CC">
        <w:rPr>
          <w:sz w:val="16"/>
        </w:rPr>
        <w:instrText xml:space="preserve"> FORMTEXT </w:instrText>
      </w:r>
      <w:r w:rsidR="00B009CC">
        <w:rPr>
          <w:sz w:val="16"/>
        </w:rPr>
      </w:r>
      <w:r w:rsidR="00B009CC">
        <w:rPr>
          <w:sz w:val="16"/>
        </w:rPr>
        <w:fldChar w:fldCharType="separate"/>
      </w:r>
      <w:r w:rsidR="00B009CC">
        <w:rPr>
          <w:noProof/>
          <w:sz w:val="16"/>
        </w:rPr>
        <w:t> </w:t>
      </w:r>
      <w:r w:rsidR="00B009CC">
        <w:rPr>
          <w:noProof/>
          <w:sz w:val="16"/>
        </w:rPr>
        <w:t> </w:t>
      </w:r>
      <w:r w:rsidR="00B009CC">
        <w:rPr>
          <w:noProof/>
          <w:sz w:val="16"/>
        </w:rPr>
        <w:t> </w:t>
      </w:r>
      <w:r w:rsidR="00B009CC">
        <w:rPr>
          <w:noProof/>
          <w:sz w:val="16"/>
        </w:rPr>
        <w:t> </w:t>
      </w:r>
      <w:r w:rsidR="00B009CC">
        <w:rPr>
          <w:noProof/>
          <w:sz w:val="16"/>
        </w:rPr>
        <w:t> </w:t>
      </w:r>
      <w:r w:rsidR="00B009CC">
        <w:rPr>
          <w:sz w:val="16"/>
        </w:rPr>
        <w:fldChar w:fldCharType="end"/>
      </w:r>
      <w:bookmarkEnd w:id="14"/>
      <w:r w:rsidR="000E0162">
        <w:rPr>
          <w:sz w:val="16"/>
        </w:rPr>
        <w:t xml:space="preserve">22089480_V17.docx  </w:t>
      </w:r>
      <w:proofErr w:type="spellStart"/>
      <w:r w:rsidR="000E0162">
        <w:rPr>
          <w:rtl/>
        </w:rPr>
        <w:t>דז</w:t>
      </w:r>
      <w:proofErr w:type="spellEnd"/>
    </w:p>
    <w:p w14:paraId="1D624D2B" w14:textId="77777777" w:rsidR="00916FF8" w:rsidRDefault="000E0162" w:rsidP="000E0162">
      <w:pPr>
        <w:pStyle w:val="Ruller38"/>
        <w:rPr>
          <w:rtl/>
        </w:rPr>
      </w:pPr>
      <w:r>
        <w:rPr>
          <w:sz w:val="16"/>
        </w:rPr>
        <w:t xml:space="preserve">   </w:t>
      </w:r>
    </w:p>
    <w:p w14:paraId="5F37218B" w14:textId="77777777" w:rsidR="00591983" w:rsidRPr="00FC0252" w:rsidRDefault="00591983" w:rsidP="00C634DC">
      <w:pPr>
        <w:pStyle w:val="Ruller38"/>
        <w:rPr>
          <w:rtl/>
        </w:rPr>
      </w:pPr>
      <w:r>
        <w:rPr>
          <w:rtl/>
        </w:rPr>
        <w:t>מרכז מידע, טל'</w:t>
      </w:r>
      <w:r>
        <w:rPr>
          <w:rFonts w:hint="cs"/>
          <w:rtl/>
        </w:rPr>
        <w:t xml:space="preserve"> </w:t>
      </w:r>
      <w:r w:rsidR="00B63343">
        <w:rPr>
          <w:rFonts w:hint="cs"/>
          <w:rtl/>
        </w:rPr>
        <w:t>077</w:t>
      </w:r>
      <w:r>
        <w:rPr>
          <w:rFonts w:hint="cs"/>
          <w:rtl/>
        </w:rPr>
        <w:t>-</w:t>
      </w:r>
      <w:r w:rsidR="00B63343">
        <w:rPr>
          <w:rFonts w:hint="cs"/>
          <w:rtl/>
        </w:rPr>
        <w:t>270</w:t>
      </w:r>
      <w:r w:rsidR="00E21CA9">
        <w:rPr>
          <w:rFonts w:hint="cs"/>
          <w:rtl/>
        </w:rPr>
        <w:t>3</w:t>
      </w:r>
      <w:r w:rsidR="009B38DA">
        <w:rPr>
          <w:rFonts w:hint="cs"/>
          <w:rtl/>
        </w:rPr>
        <w:t>333</w:t>
      </w:r>
      <w:r w:rsidR="00866D0F">
        <w:rPr>
          <w:rFonts w:hint="cs"/>
          <w:rtl/>
        </w:rPr>
        <w:t>, 3852*</w:t>
      </w:r>
      <w:r>
        <w:rPr>
          <w:rFonts w:hint="cs"/>
          <w:rtl/>
        </w:rPr>
        <w:t xml:space="preserve"> ; אתר אינטרנט,  </w:t>
      </w:r>
      <w:hyperlink r:id="rId9" w:history="1">
        <w:r w:rsidR="00FC0252" w:rsidRPr="00BB4C68">
          <w:rPr>
            <w:rStyle w:val="Hyperlink"/>
            <w:sz w:val="16"/>
          </w:rPr>
          <w:t>https://supreme.court.gov.il</w:t>
        </w:r>
      </w:hyperlink>
    </w:p>
    <w:p w14:paraId="610EB0CE" w14:textId="77777777" w:rsidR="003F1F97" w:rsidRDefault="003F1F97" w:rsidP="00C634DC">
      <w:pPr>
        <w:pStyle w:val="Ruller38"/>
        <w:rPr>
          <w:rtl/>
        </w:rPr>
      </w:pPr>
    </w:p>
    <w:sectPr w:rsidR="003F1F97" w:rsidSect="00591983">
      <w:headerReference w:type="even" r:id="rId10"/>
      <w:headerReference w:type="default" r:id="rId11"/>
      <w:footerReference w:type="even" r:id="rId12"/>
      <w:headerReference w:type="first" r:id="rId13"/>
      <w:footerReference w:type="first" r:id="rId14"/>
      <w:endnotePr>
        <w:numFmt w:val="lowerLetter"/>
      </w:endnotePr>
      <w:pgSz w:w="11906" w:h="16838" w:code="9"/>
      <w:pgMar w:top="1134" w:right="1797" w:bottom="1440" w:left="1797" w:header="567" w:footer="397" w:gutter="0"/>
      <w:cols w:space="720"/>
      <w:titlePg/>
      <w:bidi/>
      <w:rtlGutter/>
    </w:sectPr>
  </w:body>
</w:document>
</file>

<file path=word/customizations.xml><?xml version="1.0" encoding="utf-8"?>
<wne:tcg xmlns:r="http://schemas.openxmlformats.org/officeDocument/2006/relationships" xmlns:wne="http://schemas.microsoft.com/office/word/2006/wordml">
  <wne:keymaps>
    <wne:keymap wne:kcmPrimary="0433">
      <wne:acd wne:acdName="acd0"/>
    </wne:keymap>
    <wne:keymap wne:kcmPrimary="0434">
      <wne:acd wne:acdName="acd1"/>
    </wne:keymap>
    <wne:keymap wne:kcmPrimary="0435">
      <wne:acd wne:acdName="acd2"/>
    </wne:keymap>
  </wne:keymaps>
  <wne:toolbars>
    <wne:acdManifest>
      <wne:acdEntry wne:acdName="acd0"/>
      <wne:acdEntry wne:acdName="acd1"/>
      <wne:acdEntry wne:acdName="acd2"/>
    </wne:acdManifest>
    <wne:toolbarData r:id="rId1"/>
  </wne:toolbars>
  <wne:acds>
    <wne:acd wne:argValue="AgBSAHUAbABsAGUAcgAgADMA" wne:acdName="acd0" wne:fciIndexBasedOn="0065"/>
    <wne:acd wne:argValue="AgBSAHUAbABsAGUAcgA0AA==" wne:acdName="acd1" wne:fciIndexBasedOn="0065"/>
    <wne:acd wne:argValue="AgBSAHUAbABsAGUAcgA1A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0CFCA" w14:textId="77777777" w:rsidR="00442AB3" w:rsidRDefault="00442AB3">
      <w:r>
        <w:separator/>
      </w:r>
    </w:p>
  </w:endnote>
  <w:endnote w:type="continuationSeparator" w:id="0">
    <w:p w14:paraId="2F7C1500" w14:textId="77777777" w:rsidR="00442AB3" w:rsidRDefault="0044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David">
    <w:panose1 w:val="020E0502060401010101"/>
    <w:charset w:val="00"/>
    <w:family w:val="swiss"/>
    <w:pitch w:val="variable"/>
    <w:sig w:usb0="00000803" w:usb1="00000000" w:usb2="00000000" w:usb3="00000000" w:csb0="00000021" w:csb1="00000000"/>
  </w:font>
  <w:font w:name="Arial TUR">
    <w:altName w:val="Arial"/>
    <w:charset w:val="00"/>
    <w:family w:val="swiss"/>
    <w:pitch w:val="variable"/>
    <w:sig w:usb0="E0002EFF" w:usb1="C000785B" w:usb2="00000009" w:usb3="00000000" w:csb0="000001F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ankRealMed">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694F" w14:textId="77777777" w:rsidR="00442AB3" w:rsidRDefault="00442AB3">
    <w:pPr>
      <w:pStyle w:val="a3"/>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14:paraId="3EF4E892" w14:textId="77777777" w:rsidR="00442AB3" w:rsidRDefault="00442AB3">
    <w:pPr>
      <w:pStyle w:val="a3"/>
      <w:rPr>
        <w:rtl/>
      </w:rPr>
    </w:pPr>
  </w:p>
  <w:p w14:paraId="548AFFF4" w14:textId="77777777" w:rsidR="00442AB3" w:rsidRDefault="00442A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919A" w14:textId="77777777" w:rsidR="00442AB3" w:rsidRPr="00F959DB" w:rsidRDefault="00442AB3" w:rsidP="00914156">
    <w:pPr>
      <w:pStyle w:val="a3"/>
      <w:bidi w:val="0"/>
      <w:jc w:val="right"/>
      <w:rPr>
        <w:sz w:val="16"/>
        <w:szCs w:val="16"/>
      </w:rPr>
    </w:pPr>
    <w:bookmarkStart w:id="15" w:name="footer_line"/>
    <w:bookmarkEnd w:id="15"/>
  </w:p>
  <w:p w14:paraId="4A0BA7E6" w14:textId="77777777" w:rsidR="00442AB3" w:rsidRDefault="00442AB3">
    <w:pPr>
      <w:pStyle w:val="a3"/>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1AA7A" w14:textId="77777777" w:rsidR="00442AB3" w:rsidRDefault="00442AB3">
      <w:r>
        <w:separator/>
      </w:r>
    </w:p>
  </w:footnote>
  <w:footnote w:type="continuationSeparator" w:id="0">
    <w:p w14:paraId="61F6A314" w14:textId="77777777" w:rsidR="00442AB3" w:rsidRDefault="0044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F3027" w14:textId="77777777" w:rsidR="00442AB3" w:rsidRDefault="00442AB3">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14:paraId="019734F8" w14:textId="77777777" w:rsidR="00442AB3" w:rsidRDefault="00442AB3">
    <w:pPr>
      <w:pStyle w:val="a6"/>
      <w:rPr>
        <w:rtl/>
      </w:rPr>
    </w:pPr>
  </w:p>
  <w:p w14:paraId="20D7B7AE" w14:textId="77777777" w:rsidR="00442AB3" w:rsidRDefault="00442A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3C471" w14:textId="77777777" w:rsidR="00442AB3" w:rsidRDefault="00442AB3">
    <w:pPr>
      <w:pStyle w:val="a6"/>
      <w:framePr w:wrap="around" w:vAnchor="text" w:hAnchor="margin" w:xAlign="center" w:y="1"/>
      <w:rPr>
        <w:rStyle w:val="a5"/>
        <w:rtl/>
      </w:rPr>
    </w:pPr>
    <w:r>
      <w:rPr>
        <w:rStyle w:val="a5"/>
        <w:rtl/>
      </w:rPr>
      <w:fldChar w:fldCharType="begin"/>
    </w:r>
    <w:r>
      <w:rPr>
        <w:rStyle w:val="a5"/>
      </w:rPr>
      <w:instrText xml:space="preserve">PAGE  </w:instrText>
    </w:r>
    <w:r>
      <w:rPr>
        <w:rStyle w:val="a5"/>
        <w:rtl/>
      </w:rPr>
      <w:fldChar w:fldCharType="separate"/>
    </w:r>
    <w:r w:rsidR="00AB4E78">
      <w:rPr>
        <w:rStyle w:val="a5"/>
        <w:noProof/>
        <w:rtl/>
      </w:rPr>
      <w:t>21</w:t>
    </w:r>
    <w:r>
      <w:rPr>
        <w:rStyle w:val="a5"/>
        <w:rtl/>
      </w:rPr>
      <w:fldChar w:fldCharType="end"/>
    </w:r>
  </w:p>
  <w:p w14:paraId="3B53F4D6" w14:textId="77777777" w:rsidR="00442AB3" w:rsidRDefault="00442AB3">
    <w:pPr>
      <w:pStyle w:val="a6"/>
      <w:rPr>
        <w:rtl/>
      </w:rPr>
    </w:pPr>
  </w:p>
  <w:p w14:paraId="1EE4865E" w14:textId="77777777" w:rsidR="00442AB3" w:rsidRDefault="00442A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bidiVisual/>
      <w:tblW w:w="8363" w:type="dxa"/>
      <w:tblLook w:val="0000" w:firstRow="0" w:lastRow="0" w:firstColumn="0" w:lastColumn="0" w:noHBand="0" w:noVBand="0"/>
    </w:tblPr>
    <w:tblGrid>
      <w:gridCol w:w="8363"/>
    </w:tblGrid>
    <w:tr w:rsidR="00442AB3" w14:paraId="01F6DA3E" w14:textId="77777777" w:rsidTr="00EC23AC">
      <w:trPr>
        <w:trHeight w:val="342"/>
      </w:trPr>
      <w:tc>
        <w:tcPr>
          <w:tcW w:w="9828" w:type="dxa"/>
        </w:tcPr>
        <w:p w14:paraId="163ECACD" w14:textId="77777777" w:rsidR="00442AB3" w:rsidRPr="002F7BB6" w:rsidRDefault="00442AB3" w:rsidP="00045B4D">
          <w:pPr>
            <w:pStyle w:val="Casenameintextbody"/>
            <w:jc w:val="center"/>
            <w:rPr>
              <w:u w:val="none"/>
              <w:rtl/>
            </w:rPr>
          </w:pPr>
          <w:r w:rsidRPr="002F7BB6">
            <w:rPr>
              <w:noProof/>
              <w:sz w:val="16"/>
              <w:szCs w:val="18"/>
              <w:u w:val="none"/>
              <w:rtl/>
            </w:rPr>
            <w:drawing>
              <wp:inline distT="0" distB="0" distL="0" distR="0" wp14:anchorId="76B6F0CA" wp14:editId="634065C6">
                <wp:extent cx="464820" cy="449580"/>
                <wp:effectExtent l="0" t="0" r="0" b="762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tc>
    </w:tr>
  </w:tbl>
  <w:p w14:paraId="761F1FBD" w14:textId="77777777" w:rsidR="00442AB3" w:rsidRDefault="00442AB3" w:rsidP="00045B4D">
    <w:pPr>
      <w:pStyle w:val="a6"/>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77A4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B8E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485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00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0465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CCE6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264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A09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046C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800B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31744"/>
    <w:multiLevelType w:val="hybridMultilevel"/>
    <w:tmpl w:val="F2F686B8"/>
    <w:lvl w:ilvl="0" w:tplc="494ECBB8">
      <w:start w:val="16"/>
      <w:numFmt w:val="bullet"/>
      <w:lvlText w:val="-"/>
      <w:lvlJc w:val="left"/>
      <w:pPr>
        <w:ind w:left="720" w:hanging="360"/>
      </w:pPr>
      <w:rPr>
        <w:rFonts w:ascii="FrankRuehl" w:eastAsiaTheme="minorHAnsi" w:hAnsi="FrankRuehl" w:cs="FrankRueh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6001B"/>
    <w:multiLevelType w:val="hybridMultilevel"/>
    <w:tmpl w:val="BB72812A"/>
    <w:lvl w:ilvl="0" w:tplc="6F5ECF0C">
      <w:start w:val="1"/>
      <w:numFmt w:val="decimal"/>
      <w:pStyle w:val="Ruller4"/>
      <w:lvlText w:val="%1."/>
      <w:lvlJc w:val="left"/>
      <w:pPr>
        <w:tabs>
          <w:tab w:val="num" w:pos="907"/>
        </w:tabs>
        <w:ind w:left="0" w:firstLine="0"/>
      </w:pPr>
      <w:rPr>
        <w:rFonts w:hint="default"/>
        <w:lang w:val="en-US"/>
      </w:rPr>
    </w:lvl>
    <w:lvl w:ilvl="1" w:tplc="9B72F86A">
      <w:start w:val="1"/>
      <w:numFmt w:val="lowerLetter"/>
      <w:lvlText w:val="%2."/>
      <w:lvlJc w:val="left"/>
      <w:pPr>
        <w:tabs>
          <w:tab w:val="num" w:pos="1440"/>
        </w:tabs>
        <w:ind w:left="1440" w:hanging="360"/>
      </w:pPr>
    </w:lvl>
    <w:lvl w:ilvl="2" w:tplc="98C2D95A" w:tentative="1">
      <w:start w:val="1"/>
      <w:numFmt w:val="lowerRoman"/>
      <w:lvlText w:val="%3."/>
      <w:lvlJc w:val="right"/>
      <w:pPr>
        <w:tabs>
          <w:tab w:val="num" w:pos="2160"/>
        </w:tabs>
        <w:ind w:left="2160" w:hanging="180"/>
      </w:pPr>
    </w:lvl>
    <w:lvl w:ilvl="3" w:tplc="DDE8B1EC" w:tentative="1">
      <w:start w:val="1"/>
      <w:numFmt w:val="decimal"/>
      <w:lvlText w:val="%4."/>
      <w:lvlJc w:val="left"/>
      <w:pPr>
        <w:tabs>
          <w:tab w:val="num" w:pos="2880"/>
        </w:tabs>
        <w:ind w:left="2880" w:hanging="360"/>
      </w:pPr>
    </w:lvl>
    <w:lvl w:ilvl="4" w:tplc="33C0B3F6" w:tentative="1">
      <w:start w:val="1"/>
      <w:numFmt w:val="lowerLetter"/>
      <w:lvlText w:val="%5."/>
      <w:lvlJc w:val="left"/>
      <w:pPr>
        <w:tabs>
          <w:tab w:val="num" w:pos="3600"/>
        </w:tabs>
        <w:ind w:left="3600" w:hanging="360"/>
      </w:pPr>
    </w:lvl>
    <w:lvl w:ilvl="5" w:tplc="68B213FC" w:tentative="1">
      <w:start w:val="1"/>
      <w:numFmt w:val="lowerRoman"/>
      <w:lvlText w:val="%6."/>
      <w:lvlJc w:val="right"/>
      <w:pPr>
        <w:tabs>
          <w:tab w:val="num" w:pos="4320"/>
        </w:tabs>
        <w:ind w:left="4320" w:hanging="180"/>
      </w:pPr>
    </w:lvl>
    <w:lvl w:ilvl="6" w:tplc="E8AE0C3A" w:tentative="1">
      <w:start w:val="1"/>
      <w:numFmt w:val="decimal"/>
      <w:lvlText w:val="%7."/>
      <w:lvlJc w:val="left"/>
      <w:pPr>
        <w:tabs>
          <w:tab w:val="num" w:pos="5040"/>
        </w:tabs>
        <w:ind w:left="5040" w:hanging="360"/>
      </w:pPr>
    </w:lvl>
    <w:lvl w:ilvl="7" w:tplc="6B6A576A" w:tentative="1">
      <w:start w:val="1"/>
      <w:numFmt w:val="lowerLetter"/>
      <w:lvlText w:val="%8."/>
      <w:lvlJc w:val="left"/>
      <w:pPr>
        <w:tabs>
          <w:tab w:val="num" w:pos="5760"/>
        </w:tabs>
        <w:ind w:left="5760" w:hanging="360"/>
      </w:pPr>
    </w:lvl>
    <w:lvl w:ilvl="8" w:tplc="CEE6E308" w:tentative="1">
      <w:start w:val="1"/>
      <w:numFmt w:val="lowerRoman"/>
      <w:lvlText w:val="%9."/>
      <w:lvlJc w:val="right"/>
      <w:pPr>
        <w:tabs>
          <w:tab w:val="num" w:pos="6480"/>
        </w:tabs>
        <w:ind w:left="6480" w:hanging="180"/>
      </w:pPr>
    </w:lvl>
  </w:abstractNum>
  <w:abstractNum w:abstractNumId="12" w15:restartNumberingAfterBreak="0">
    <w:nsid w:val="0AAC2A7A"/>
    <w:multiLevelType w:val="hybridMultilevel"/>
    <w:tmpl w:val="B3184A74"/>
    <w:lvl w:ilvl="0" w:tplc="2F82123C">
      <w:start w:val="1"/>
      <w:numFmt w:val="decimal"/>
      <w:lvlText w:val="(%1)"/>
      <w:lvlJc w:val="left"/>
      <w:pPr>
        <w:ind w:left="720" w:hanging="360"/>
      </w:pPr>
      <w:rPr>
        <w:rFonts w:ascii="Miriam" w:hAnsi="Miriam" w:cs="Miriam" w:hint="default"/>
        <w:sz w:val="24"/>
        <w:szCs w:val="24"/>
      </w:rPr>
    </w:lvl>
    <w:lvl w:ilvl="1" w:tplc="EE88653A" w:tentative="1">
      <w:start w:val="1"/>
      <w:numFmt w:val="lowerLetter"/>
      <w:lvlText w:val="%2."/>
      <w:lvlJc w:val="left"/>
      <w:pPr>
        <w:ind w:left="1440" w:hanging="360"/>
      </w:pPr>
    </w:lvl>
    <w:lvl w:ilvl="2" w:tplc="F3BE48CE" w:tentative="1">
      <w:start w:val="1"/>
      <w:numFmt w:val="lowerRoman"/>
      <w:lvlText w:val="%3."/>
      <w:lvlJc w:val="right"/>
      <w:pPr>
        <w:ind w:left="2160" w:hanging="180"/>
      </w:pPr>
    </w:lvl>
    <w:lvl w:ilvl="3" w:tplc="7F0C7574" w:tentative="1">
      <w:start w:val="1"/>
      <w:numFmt w:val="decimal"/>
      <w:lvlText w:val="%4."/>
      <w:lvlJc w:val="left"/>
      <w:pPr>
        <w:ind w:left="2880" w:hanging="360"/>
      </w:pPr>
    </w:lvl>
    <w:lvl w:ilvl="4" w:tplc="87C89C58" w:tentative="1">
      <w:start w:val="1"/>
      <w:numFmt w:val="lowerLetter"/>
      <w:lvlText w:val="%5."/>
      <w:lvlJc w:val="left"/>
      <w:pPr>
        <w:ind w:left="3600" w:hanging="360"/>
      </w:pPr>
    </w:lvl>
    <w:lvl w:ilvl="5" w:tplc="61A69598" w:tentative="1">
      <w:start w:val="1"/>
      <w:numFmt w:val="lowerRoman"/>
      <w:lvlText w:val="%6."/>
      <w:lvlJc w:val="right"/>
      <w:pPr>
        <w:ind w:left="4320" w:hanging="180"/>
      </w:pPr>
    </w:lvl>
    <w:lvl w:ilvl="6" w:tplc="4F1435BE" w:tentative="1">
      <w:start w:val="1"/>
      <w:numFmt w:val="decimal"/>
      <w:lvlText w:val="%7."/>
      <w:lvlJc w:val="left"/>
      <w:pPr>
        <w:ind w:left="5040" w:hanging="360"/>
      </w:pPr>
    </w:lvl>
    <w:lvl w:ilvl="7" w:tplc="4B1035C8" w:tentative="1">
      <w:start w:val="1"/>
      <w:numFmt w:val="lowerLetter"/>
      <w:lvlText w:val="%8."/>
      <w:lvlJc w:val="left"/>
      <w:pPr>
        <w:ind w:left="5760" w:hanging="360"/>
      </w:pPr>
    </w:lvl>
    <w:lvl w:ilvl="8" w:tplc="BB2E7C16" w:tentative="1">
      <w:start w:val="1"/>
      <w:numFmt w:val="lowerRoman"/>
      <w:lvlText w:val="%9."/>
      <w:lvlJc w:val="right"/>
      <w:pPr>
        <w:ind w:left="6480" w:hanging="180"/>
      </w:pPr>
    </w:lvl>
  </w:abstractNum>
  <w:abstractNum w:abstractNumId="13" w15:restartNumberingAfterBreak="0">
    <w:nsid w:val="19DC47A1"/>
    <w:multiLevelType w:val="hybridMultilevel"/>
    <w:tmpl w:val="77580B08"/>
    <w:lvl w:ilvl="0" w:tplc="30E05844">
      <w:start w:val="1"/>
      <w:numFmt w:val="bullet"/>
      <w:lvlText w:val=""/>
      <w:lvlJc w:val="left"/>
      <w:pPr>
        <w:ind w:left="720" w:hanging="360"/>
      </w:pPr>
      <w:rPr>
        <w:rFonts w:ascii="Symbol" w:hAnsi="Symbol" w:hint="default"/>
      </w:rPr>
    </w:lvl>
    <w:lvl w:ilvl="1" w:tplc="81FC3BD8" w:tentative="1">
      <w:start w:val="1"/>
      <w:numFmt w:val="bullet"/>
      <w:lvlText w:val="o"/>
      <w:lvlJc w:val="left"/>
      <w:pPr>
        <w:ind w:left="1440" w:hanging="360"/>
      </w:pPr>
      <w:rPr>
        <w:rFonts w:ascii="Courier New" w:hAnsi="Courier New" w:cs="Courier New" w:hint="default"/>
      </w:rPr>
    </w:lvl>
    <w:lvl w:ilvl="2" w:tplc="1AEE7A74" w:tentative="1">
      <w:start w:val="1"/>
      <w:numFmt w:val="bullet"/>
      <w:lvlText w:val=""/>
      <w:lvlJc w:val="left"/>
      <w:pPr>
        <w:ind w:left="2160" w:hanging="360"/>
      </w:pPr>
      <w:rPr>
        <w:rFonts w:ascii="Wingdings" w:hAnsi="Wingdings" w:hint="default"/>
      </w:rPr>
    </w:lvl>
    <w:lvl w:ilvl="3" w:tplc="2C90D4E6" w:tentative="1">
      <w:start w:val="1"/>
      <w:numFmt w:val="bullet"/>
      <w:lvlText w:val=""/>
      <w:lvlJc w:val="left"/>
      <w:pPr>
        <w:ind w:left="2880" w:hanging="360"/>
      </w:pPr>
      <w:rPr>
        <w:rFonts w:ascii="Symbol" w:hAnsi="Symbol" w:hint="default"/>
      </w:rPr>
    </w:lvl>
    <w:lvl w:ilvl="4" w:tplc="F996ABCC" w:tentative="1">
      <w:start w:val="1"/>
      <w:numFmt w:val="bullet"/>
      <w:lvlText w:val="o"/>
      <w:lvlJc w:val="left"/>
      <w:pPr>
        <w:ind w:left="3600" w:hanging="360"/>
      </w:pPr>
      <w:rPr>
        <w:rFonts w:ascii="Courier New" w:hAnsi="Courier New" w:cs="Courier New" w:hint="default"/>
      </w:rPr>
    </w:lvl>
    <w:lvl w:ilvl="5" w:tplc="1F36C6DC" w:tentative="1">
      <w:start w:val="1"/>
      <w:numFmt w:val="bullet"/>
      <w:lvlText w:val=""/>
      <w:lvlJc w:val="left"/>
      <w:pPr>
        <w:ind w:left="4320" w:hanging="360"/>
      </w:pPr>
      <w:rPr>
        <w:rFonts w:ascii="Wingdings" w:hAnsi="Wingdings" w:hint="default"/>
      </w:rPr>
    </w:lvl>
    <w:lvl w:ilvl="6" w:tplc="8C10A3A2" w:tentative="1">
      <w:start w:val="1"/>
      <w:numFmt w:val="bullet"/>
      <w:lvlText w:val=""/>
      <w:lvlJc w:val="left"/>
      <w:pPr>
        <w:ind w:left="5040" w:hanging="360"/>
      </w:pPr>
      <w:rPr>
        <w:rFonts w:ascii="Symbol" w:hAnsi="Symbol" w:hint="default"/>
      </w:rPr>
    </w:lvl>
    <w:lvl w:ilvl="7" w:tplc="F77E5CDC" w:tentative="1">
      <w:start w:val="1"/>
      <w:numFmt w:val="bullet"/>
      <w:lvlText w:val="o"/>
      <w:lvlJc w:val="left"/>
      <w:pPr>
        <w:ind w:left="5760" w:hanging="360"/>
      </w:pPr>
      <w:rPr>
        <w:rFonts w:ascii="Courier New" w:hAnsi="Courier New" w:cs="Courier New" w:hint="default"/>
      </w:rPr>
    </w:lvl>
    <w:lvl w:ilvl="8" w:tplc="D5CEB83E" w:tentative="1">
      <w:start w:val="1"/>
      <w:numFmt w:val="bullet"/>
      <w:lvlText w:val=""/>
      <w:lvlJc w:val="left"/>
      <w:pPr>
        <w:ind w:left="6480" w:hanging="360"/>
      </w:pPr>
      <w:rPr>
        <w:rFonts w:ascii="Wingdings" w:hAnsi="Wingdings" w:hint="default"/>
      </w:rPr>
    </w:lvl>
  </w:abstractNum>
  <w:abstractNum w:abstractNumId="14" w15:restartNumberingAfterBreak="0">
    <w:nsid w:val="1DDC3D74"/>
    <w:multiLevelType w:val="hybridMultilevel"/>
    <w:tmpl w:val="DF8ECEA2"/>
    <w:lvl w:ilvl="0" w:tplc="5C8C01A6">
      <w:start w:val="1"/>
      <w:numFmt w:val="decimal"/>
      <w:lvlText w:val="%1."/>
      <w:lvlJc w:val="left"/>
      <w:pPr>
        <w:ind w:left="790" w:hanging="360"/>
      </w:pPr>
      <w:rPr>
        <w:rFonts w:ascii="Garamond" w:eastAsia="Times New Roman" w:hAnsi="Garamond" w:cs="FrankRuehl"/>
      </w:rPr>
    </w:lvl>
    <w:lvl w:ilvl="1" w:tplc="ABDCC704" w:tentative="1">
      <w:start w:val="1"/>
      <w:numFmt w:val="lowerLetter"/>
      <w:lvlText w:val="%2."/>
      <w:lvlJc w:val="left"/>
      <w:pPr>
        <w:ind w:left="1510" w:hanging="360"/>
      </w:pPr>
    </w:lvl>
    <w:lvl w:ilvl="2" w:tplc="59F43D76" w:tentative="1">
      <w:start w:val="1"/>
      <w:numFmt w:val="lowerRoman"/>
      <w:lvlText w:val="%3."/>
      <w:lvlJc w:val="right"/>
      <w:pPr>
        <w:ind w:left="2230" w:hanging="180"/>
      </w:pPr>
    </w:lvl>
    <w:lvl w:ilvl="3" w:tplc="5CC6A9A6" w:tentative="1">
      <w:start w:val="1"/>
      <w:numFmt w:val="decimal"/>
      <w:lvlText w:val="%4."/>
      <w:lvlJc w:val="left"/>
      <w:pPr>
        <w:ind w:left="2950" w:hanging="360"/>
      </w:pPr>
    </w:lvl>
    <w:lvl w:ilvl="4" w:tplc="B9B4AE78" w:tentative="1">
      <w:start w:val="1"/>
      <w:numFmt w:val="lowerLetter"/>
      <w:lvlText w:val="%5."/>
      <w:lvlJc w:val="left"/>
      <w:pPr>
        <w:ind w:left="3670" w:hanging="360"/>
      </w:pPr>
    </w:lvl>
    <w:lvl w:ilvl="5" w:tplc="B36A5610" w:tentative="1">
      <w:start w:val="1"/>
      <w:numFmt w:val="lowerRoman"/>
      <w:lvlText w:val="%6."/>
      <w:lvlJc w:val="right"/>
      <w:pPr>
        <w:ind w:left="4390" w:hanging="180"/>
      </w:pPr>
    </w:lvl>
    <w:lvl w:ilvl="6" w:tplc="2034E1C2" w:tentative="1">
      <w:start w:val="1"/>
      <w:numFmt w:val="decimal"/>
      <w:lvlText w:val="%7."/>
      <w:lvlJc w:val="left"/>
      <w:pPr>
        <w:ind w:left="5110" w:hanging="360"/>
      </w:pPr>
    </w:lvl>
    <w:lvl w:ilvl="7" w:tplc="525E6D42" w:tentative="1">
      <w:start w:val="1"/>
      <w:numFmt w:val="lowerLetter"/>
      <w:lvlText w:val="%8."/>
      <w:lvlJc w:val="left"/>
      <w:pPr>
        <w:ind w:left="5830" w:hanging="360"/>
      </w:pPr>
    </w:lvl>
    <w:lvl w:ilvl="8" w:tplc="10DE7840" w:tentative="1">
      <w:start w:val="1"/>
      <w:numFmt w:val="lowerRoman"/>
      <w:lvlText w:val="%9."/>
      <w:lvlJc w:val="right"/>
      <w:pPr>
        <w:ind w:left="6550" w:hanging="180"/>
      </w:pPr>
    </w:lvl>
  </w:abstractNum>
  <w:abstractNum w:abstractNumId="15" w15:restartNumberingAfterBreak="0">
    <w:nsid w:val="2A8564D2"/>
    <w:multiLevelType w:val="hybridMultilevel"/>
    <w:tmpl w:val="3C74AC24"/>
    <w:lvl w:ilvl="0" w:tplc="A8647DE8">
      <w:start w:val="1"/>
      <w:numFmt w:val="decimal"/>
      <w:lvlText w:val="%1."/>
      <w:lvlJc w:val="left"/>
      <w:pPr>
        <w:ind w:left="720" w:hanging="360"/>
      </w:pPr>
      <w:rPr>
        <w:rFonts w:ascii="Century" w:hAnsi="Century" w:cs="FrankRuehl" w:hint="default"/>
        <w:b w:val="0"/>
        <w:bCs w:val="0"/>
        <w:i w:val="0"/>
        <w:iCs w:val="0"/>
        <w:caps w:val="0"/>
        <w:smallCaps w:val="0"/>
        <w:strike w:val="0"/>
        <w:dstrike w:val="0"/>
        <w:outline w:val="0"/>
        <w:shadow w:val="0"/>
        <w:emboss w:val="0"/>
        <w:imprint w:val="0"/>
        <w:vanish w:val="0"/>
        <w:color w:val="auto"/>
        <w:spacing w:val="10"/>
        <w:w w:val="100"/>
        <w:kern w:val="0"/>
        <w:position w:val="0"/>
        <w:sz w:val="22"/>
        <w:szCs w:val="28"/>
        <w:u w:val="none"/>
        <w:effect w:val="none"/>
        <w:vertAlign w:val="baseline"/>
      </w:rPr>
    </w:lvl>
    <w:lvl w:ilvl="1" w:tplc="9310458E">
      <w:start w:val="1"/>
      <w:numFmt w:val="hebrew1"/>
      <w:lvlText w:val="%2."/>
      <w:lvlJc w:val="center"/>
      <w:pPr>
        <w:ind w:left="1440" w:hanging="360"/>
      </w:pPr>
      <w:rPr>
        <w:rFonts w:hint="default"/>
      </w:rPr>
    </w:lvl>
    <w:lvl w:ilvl="2" w:tplc="C7661E50">
      <w:start w:val="1"/>
      <w:numFmt w:val="bullet"/>
      <w:lvlText w:val=""/>
      <w:lvlJc w:val="left"/>
      <w:pPr>
        <w:ind w:left="2160" w:hanging="360"/>
      </w:pPr>
      <w:rPr>
        <w:rFonts w:ascii="Wingdings" w:hAnsi="Wingdings" w:hint="default"/>
      </w:rPr>
    </w:lvl>
    <w:lvl w:ilvl="3" w:tplc="59F6B3EC" w:tentative="1">
      <w:start w:val="1"/>
      <w:numFmt w:val="bullet"/>
      <w:lvlText w:val=""/>
      <w:lvlJc w:val="left"/>
      <w:pPr>
        <w:ind w:left="2880" w:hanging="360"/>
      </w:pPr>
      <w:rPr>
        <w:rFonts w:ascii="Symbol" w:hAnsi="Symbol" w:hint="default"/>
      </w:rPr>
    </w:lvl>
    <w:lvl w:ilvl="4" w:tplc="051C6430" w:tentative="1">
      <w:start w:val="1"/>
      <w:numFmt w:val="bullet"/>
      <w:lvlText w:val="o"/>
      <w:lvlJc w:val="left"/>
      <w:pPr>
        <w:ind w:left="3600" w:hanging="360"/>
      </w:pPr>
      <w:rPr>
        <w:rFonts w:ascii="Courier New" w:hAnsi="Courier New" w:cs="Courier New" w:hint="default"/>
      </w:rPr>
    </w:lvl>
    <w:lvl w:ilvl="5" w:tplc="E65AB470" w:tentative="1">
      <w:start w:val="1"/>
      <w:numFmt w:val="bullet"/>
      <w:lvlText w:val=""/>
      <w:lvlJc w:val="left"/>
      <w:pPr>
        <w:ind w:left="4320" w:hanging="360"/>
      </w:pPr>
      <w:rPr>
        <w:rFonts w:ascii="Wingdings" w:hAnsi="Wingdings" w:hint="default"/>
      </w:rPr>
    </w:lvl>
    <w:lvl w:ilvl="6" w:tplc="B130F14C" w:tentative="1">
      <w:start w:val="1"/>
      <w:numFmt w:val="bullet"/>
      <w:lvlText w:val=""/>
      <w:lvlJc w:val="left"/>
      <w:pPr>
        <w:ind w:left="5040" w:hanging="360"/>
      </w:pPr>
      <w:rPr>
        <w:rFonts w:ascii="Symbol" w:hAnsi="Symbol" w:hint="default"/>
      </w:rPr>
    </w:lvl>
    <w:lvl w:ilvl="7" w:tplc="B72A4324" w:tentative="1">
      <w:start w:val="1"/>
      <w:numFmt w:val="bullet"/>
      <w:lvlText w:val="o"/>
      <w:lvlJc w:val="left"/>
      <w:pPr>
        <w:ind w:left="5760" w:hanging="360"/>
      </w:pPr>
      <w:rPr>
        <w:rFonts w:ascii="Courier New" w:hAnsi="Courier New" w:cs="Courier New" w:hint="default"/>
      </w:rPr>
    </w:lvl>
    <w:lvl w:ilvl="8" w:tplc="47E8E55A" w:tentative="1">
      <w:start w:val="1"/>
      <w:numFmt w:val="bullet"/>
      <w:lvlText w:val=""/>
      <w:lvlJc w:val="left"/>
      <w:pPr>
        <w:ind w:left="6480" w:hanging="360"/>
      </w:pPr>
      <w:rPr>
        <w:rFonts w:ascii="Wingdings" w:hAnsi="Wingdings" w:hint="default"/>
      </w:rPr>
    </w:lvl>
  </w:abstractNum>
  <w:abstractNum w:abstractNumId="16" w15:restartNumberingAfterBreak="0">
    <w:nsid w:val="31E558BA"/>
    <w:multiLevelType w:val="hybridMultilevel"/>
    <w:tmpl w:val="3BF0EA2C"/>
    <w:lvl w:ilvl="0" w:tplc="68E0DABC">
      <w:start w:val="1"/>
      <w:numFmt w:val="bullet"/>
      <w:lvlText w:val=""/>
      <w:lvlJc w:val="left"/>
      <w:pPr>
        <w:ind w:left="720" w:hanging="360"/>
      </w:pPr>
      <w:rPr>
        <w:rFonts w:ascii="Symbol" w:hAnsi="Symbol" w:hint="default"/>
      </w:rPr>
    </w:lvl>
    <w:lvl w:ilvl="1" w:tplc="F0F20B4C" w:tentative="1">
      <w:start w:val="1"/>
      <w:numFmt w:val="bullet"/>
      <w:lvlText w:val="o"/>
      <w:lvlJc w:val="left"/>
      <w:pPr>
        <w:ind w:left="1440" w:hanging="360"/>
      </w:pPr>
      <w:rPr>
        <w:rFonts w:ascii="Courier New" w:hAnsi="Courier New" w:cs="Courier New" w:hint="default"/>
      </w:rPr>
    </w:lvl>
    <w:lvl w:ilvl="2" w:tplc="A4E6A12E" w:tentative="1">
      <w:start w:val="1"/>
      <w:numFmt w:val="bullet"/>
      <w:lvlText w:val=""/>
      <w:lvlJc w:val="left"/>
      <w:pPr>
        <w:ind w:left="2160" w:hanging="360"/>
      </w:pPr>
      <w:rPr>
        <w:rFonts w:ascii="Wingdings" w:hAnsi="Wingdings" w:hint="default"/>
      </w:rPr>
    </w:lvl>
    <w:lvl w:ilvl="3" w:tplc="0414D424" w:tentative="1">
      <w:start w:val="1"/>
      <w:numFmt w:val="bullet"/>
      <w:lvlText w:val=""/>
      <w:lvlJc w:val="left"/>
      <w:pPr>
        <w:ind w:left="2880" w:hanging="360"/>
      </w:pPr>
      <w:rPr>
        <w:rFonts w:ascii="Symbol" w:hAnsi="Symbol" w:hint="default"/>
      </w:rPr>
    </w:lvl>
    <w:lvl w:ilvl="4" w:tplc="F04C56C4" w:tentative="1">
      <w:start w:val="1"/>
      <w:numFmt w:val="bullet"/>
      <w:lvlText w:val="o"/>
      <w:lvlJc w:val="left"/>
      <w:pPr>
        <w:ind w:left="3600" w:hanging="360"/>
      </w:pPr>
      <w:rPr>
        <w:rFonts w:ascii="Courier New" w:hAnsi="Courier New" w:cs="Courier New" w:hint="default"/>
      </w:rPr>
    </w:lvl>
    <w:lvl w:ilvl="5" w:tplc="FB36D2A2" w:tentative="1">
      <w:start w:val="1"/>
      <w:numFmt w:val="bullet"/>
      <w:lvlText w:val=""/>
      <w:lvlJc w:val="left"/>
      <w:pPr>
        <w:ind w:left="4320" w:hanging="360"/>
      </w:pPr>
      <w:rPr>
        <w:rFonts w:ascii="Wingdings" w:hAnsi="Wingdings" w:hint="default"/>
      </w:rPr>
    </w:lvl>
    <w:lvl w:ilvl="6" w:tplc="17347B9A" w:tentative="1">
      <w:start w:val="1"/>
      <w:numFmt w:val="bullet"/>
      <w:lvlText w:val=""/>
      <w:lvlJc w:val="left"/>
      <w:pPr>
        <w:ind w:left="5040" w:hanging="360"/>
      </w:pPr>
      <w:rPr>
        <w:rFonts w:ascii="Symbol" w:hAnsi="Symbol" w:hint="default"/>
      </w:rPr>
    </w:lvl>
    <w:lvl w:ilvl="7" w:tplc="44108390" w:tentative="1">
      <w:start w:val="1"/>
      <w:numFmt w:val="bullet"/>
      <w:lvlText w:val="o"/>
      <w:lvlJc w:val="left"/>
      <w:pPr>
        <w:ind w:left="5760" w:hanging="360"/>
      </w:pPr>
      <w:rPr>
        <w:rFonts w:ascii="Courier New" w:hAnsi="Courier New" w:cs="Courier New" w:hint="default"/>
      </w:rPr>
    </w:lvl>
    <w:lvl w:ilvl="8" w:tplc="96A6CCCE" w:tentative="1">
      <w:start w:val="1"/>
      <w:numFmt w:val="bullet"/>
      <w:lvlText w:val=""/>
      <w:lvlJc w:val="left"/>
      <w:pPr>
        <w:ind w:left="6480" w:hanging="360"/>
      </w:pPr>
      <w:rPr>
        <w:rFonts w:ascii="Wingdings" w:hAnsi="Wingdings" w:hint="default"/>
      </w:rPr>
    </w:lvl>
  </w:abstractNum>
  <w:abstractNum w:abstractNumId="17" w15:restartNumberingAfterBreak="0">
    <w:nsid w:val="3B001C0D"/>
    <w:multiLevelType w:val="hybridMultilevel"/>
    <w:tmpl w:val="40F6A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CC0F8D"/>
    <w:multiLevelType w:val="hybridMultilevel"/>
    <w:tmpl w:val="9634DD06"/>
    <w:lvl w:ilvl="0" w:tplc="F346802A">
      <w:start w:val="1"/>
      <w:numFmt w:val="bullet"/>
      <w:lvlText w:val=""/>
      <w:lvlJc w:val="left"/>
      <w:pPr>
        <w:ind w:left="1440" w:hanging="360"/>
      </w:pPr>
      <w:rPr>
        <w:rFonts w:ascii="Symbol" w:hAnsi="Symbol" w:hint="default"/>
      </w:rPr>
    </w:lvl>
    <w:lvl w:ilvl="1" w:tplc="6BFE80A4">
      <w:start w:val="1"/>
      <w:numFmt w:val="bullet"/>
      <w:lvlText w:val="o"/>
      <w:lvlJc w:val="left"/>
      <w:pPr>
        <w:ind w:left="2160" w:hanging="360"/>
      </w:pPr>
      <w:rPr>
        <w:rFonts w:ascii="Courier New" w:hAnsi="Courier New" w:cs="Courier New" w:hint="default"/>
      </w:rPr>
    </w:lvl>
    <w:lvl w:ilvl="2" w:tplc="B8E26B78">
      <w:start w:val="1"/>
      <w:numFmt w:val="bullet"/>
      <w:lvlText w:val=""/>
      <w:lvlJc w:val="left"/>
      <w:pPr>
        <w:ind w:left="2880" w:hanging="360"/>
      </w:pPr>
      <w:rPr>
        <w:rFonts w:ascii="Wingdings" w:hAnsi="Wingdings" w:hint="default"/>
      </w:rPr>
    </w:lvl>
    <w:lvl w:ilvl="3" w:tplc="4510C776">
      <w:start w:val="1"/>
      <w:numFmt w:val="bullet"/>
      <w:lvlText w:val=""/>
      <w:lvlJc w:val="left"/>
      <w:pPr>
        <w:ind w:left="3600" w:hanging="360"/>
      </w:pPr>
      <w:rPr>
        <w:rFonts w:ascii="Symbol" w:hAnsi="Symbol" w:hint="default"/>
      </w:rPr>
    </w:lvl>
    <w:lvl w:ilvl="4" w:tplc="89A617E2">
      <w:start w:val="1"/>
      <w:numFmt w:val="bullet"/>
      <w:lvlText w:val="o"/>
      <w:lvlJc w:val="left"/>
      <w:pPr>
        <w:ind w:left="4320" w:hanging="360"/>
      </w:pPr>
      <w:rPr>
        <w:rFonts w:ascii="Courier New" w:hAnsi="Courier New" w:cs="Courier New" w:hint="default"/>
      </w:rPr>
    </w:lvl>
    <w:lvl w:ilvl="5" w:tplc="ACBC3874" w:tentative="1">
      <w:start w:val="1"/>
      <w:numFmt w:val="bullet"/>
      <w:lvlText w:val=""/>
      <w:lvlJc w:val="left"/>
      <w:pPr>
        <w:ind w:left="5040" w:hanging="360"/>
      </w:pPr>
      <w:rPr>
        <w:rFonts w:ascii="Wingdings" w:hAnsi="Wingdings" w:hint="default"/>
      </w:rPr>
    </w:lvl>
    <w:lvl w:ilvl="6" w:tplc="21F2A2DE" w:tentative="1">
      <w:start w:val="1"/>
      <w:numFmt w:val="bullet"/>
      <w:lvlText w:val=""/>
      <w:lvlJc w:val="left"/>
      <w:pPr>
        <w:ind w:left="5760" w:hanging="360"/>
      </w:pPr>
      <w:rPr>
        <w:rFonts w:ascii="Symbol" w:hAnsi="Symbol" w:hint="default"/>
      </w:rPr>
    </w:lvl>
    <w:lvl w:ilvl="7" w:tplc="CF0A46B8" w:tentative="1">
      <w:start w:val="1"/>
      <w:numFmt w:val="bullet"/>
      <w:lvlText w:val="o"/>
      <w:lvlJc w:val="left"/>
      <w:pPr>
        <w:ind w:left="6480" w:hanging="360"/>
      </w:pPr>
      <w:rPr>
        <w:rFonts w:ascii="Courier New" w:hAnsi="Courier New" w:cs="Courier New" w:hint="default"/>
      </w:rPr>
    </w:lvl>
    <w:lvl w:ilvl="8" w:tplc="83306232" w:tentative="1">
      <w:start w:val="1"/>
      <w:numFmt w:val="bullet"/>
      <w:lvlText w:val=""/>
      <w:lvlJc w:val="left"/>
      <w:pPr>
        <w:ind w:left="7200" w:hanging="360"/>
      </w:pPr>
      <w:rPr>
        <w:rFonts w:ascii="Wingdings" w:hAnsi="Wingdings" w:hint="default"/>
      </w:rPr>
    </w:lvl>
  </w:abstractNum>
  <w:abstractNum w:abstractNumId="19" w15:restartNumberingAfterBreak="0">
    <w:nsid w:val="4B7F7FA9"/>
    <w:multiLevelType w:val="hybridMultilevel"/>
    <w:tmpl w:val="D6DC4598"/>
    <w:lvl w:ilvl="0" w:tplc="5FA24560">
      <w:start w:val="1"/>
      <w:numFmt w:val="hebrew1"/>
      <w:lvlText w:val="%1."/>
      <w:lvlJc w:val="left"/>
      <w:pPr>
        <w:ind w:left="720" w:hanging="360"/>
      </w:pPr>
      <w:rPr>
        <w:rFonts w:hint="default"/>
        <w:b/>
        <w:bCs/>
        <w:sz w:val="28"/>
      </w:rPr>
    </w:lvl>
    <w:lvl w:ilvl="1" w:tplc="08504EAA" w:tentative="1">
      <w:start w:val="1"/>
      <w:numFmt w:val="lowerLetter"/>
      <w:lvlText w:val="%2."/>
      <w:lvlJc w:val="left"/>
      <w:pPr>
        <w:ind w:left="1440" w:hanging="360"/>
      </w:pPr>
    </w:lvl>
    <w:lvl w:ilvl="2" w:tplc="30E2D198" w:tentative="1">
      <w:start w:val="1"/>
      <w:numFmt w:val="lowerRoman"/>
      <w:lvlText w:val="%3."/>
      <w:lvlJc w:val="right"/>
      <w:pPr>
        <w:ind w:left="2160" w:hanging="180"/>
      </w:pPr>
    </w:lvl>
    <w:lvl w:ilvl="3" w:tplc="3C12FCB0" w:tentative="1">
      <w:start w:val="1"/>
      <w:numFmt w:val="decimal"/>
      <w:lvlText w:val="%4."/>
      <w:lvlJc w:val="left"/>
      <w:pPr>
        <w:ind w:left="2880" w:hanging="360"/>
      </w:pPr>
    </w:lvl>
    <w:lvl w:ilvl="4" w:tplc="7C567804" w:tentative="1">
      <w:start w:val="1"/>
      <w:numFmt w:val="lowerLetter"/>
      <w:lvlText w:val="%5."/>
      <w:lvlJc w:val="left"/>
      <w:pPr>
        <w:ind w:left="3600" w:hanging="360"/>
      </w:pPr>
    </w:lvl>
    <w:lvl w:ilvl="5" w:tplc="D6C0FD46" w:tentative="1">
      <w:start w:val="1"/>
      <w:numFmt w:val="lowerRoman"/>
      <w:lvlText w:val="%6."/>
      <w:lvlJc w:val="right"/>
      <w:pPr>
        <w:ind w:left="4320" w:hanging="180"/>
      </w:pPr>
    </w:lvl>
    <w:lvl w:ilvl="6" w:tplc="2CBCAD62" w:tentative="1">
      <w:start w:val="1"/>
      <w:numFmt w:val="decimal"/>
      <w:lvlText w:val="%7."/>
      <w:lvlJc w:val="left"/>
      <w:pPr>
        <w:ind w:left="5040" w:hanging="360"/>
      </w:pPr>
    </w:lvl>
    <w:lvl w:ilvl="7" w:tplc="04E29930" w:tentative="1">
      <w:start w:val="1"/>
      <w:numFmt w:val="lowerLetter"/>
      <w:lvlText w:val="%8."/>
      <w:lvlJc w:val="left"/>
      <w:pPr>
        <w:ind w:left="5760" w:hanging="360"/>
      </w:pPr>
    </w:lvl>
    <w:lvl w:ilvl="8" w:tplc="5BA66B2C" w:tentative="1">
      <w:start w:val="1"/>
      <w:numFmt w:val="lowerRoman"/>
      <w:lvlText w:val="%9."/>
      <w:lvlJc w:val="right"/>
      <w:pPr>
        <w:ind w:left="6480" w:hanging="180"/>
      </w:pPr>
    </w:lvl>
  </w:abstractNum>
  <w:abstractNum w:abstractNumId="20" w15:restartNumberingAfterBreak="0">
    <w:nsid w:val="4FE70B62"/>
    <w:multiLevelType w:val="hybridMultilevel"/>
    <w:tmpl w:val="ADA8711E"/>
    <w:lvl w:ilvl="0" w:tplc="0A62C01C">
      <w:start w:val="1"/>
      <w:numFmt w:val="hebrew1"/>
      <w:pStyle w:val="Ruller40"/>
      <w:lvlText w:val="%1."/>
      <w:lvlJc w:val="left"/>
      <w:pPr>
        <w:tabs>
          <w:tab w:val="num" w:pos="907"/>
        </w:tabs>
        <w:ind w:left="0" w:firstLine="0"/>
      </w:pPr>
      <w:rPr>
        <w:rFonts w:hint="default"/>
      </w:rPr>
    </w:lvl>
    <w:lvl w:ilvl="1" w:tplc="7D964A1E" w:tentative="1">
      <w:start w:val="1"/>
      <w:numFmt w:val="lowerLetter"/>
      <w:lvlText w:val="%2."/>
      <w:lvlJc w:val="left"/>
      <w:pPr>
        <w:tabs>
          <w:tab w:val="num" w:pos="1440"/>
        </w:tabs>
        <w:ind w:left="1440" w:hanging="360"/>
      </w:pPr>
    </w:lvl>
    <w:lvl w:ilvl="2" w:tplc="B5DE92F0" w:tentative="1">
      <w:start w:val="1"/>
      <w:numFmt w:val="lowerRoman"/>
      <w:lvlText w:val="%3."/>
      <w:lvlJc w:val="right"/>
      <w:pPr>
        <w:tabs>
          <w:tab w:val="num" w:pos="2160"/>
        </w:tabs>
        <w:ind w:left="2160" w:hanging="180"/>
      </w:pPr>
    </w:lvl>
    <w:lvl w:ilvl="3" w:tplc="705C16CE" w:tentative="1">
      <w:start w:val="1"/>
      <w:numFmt w:val="decimal"/>
      <w:lvlText w:val="%4."/>
      <w:lvlJc w:val="left"/>
      <w:pPr>
        <w:tabs>
          <w:tab w:val="num" w:pos="2880"/>
        </w:tabs>
        <w:ind w:left="2880" w:hanging="360"/>
      </w:pPr>
    </w:lvl>
    <w:lvl w:ilvl="4" w:tplc="1DF6C918" w:tentative="1">
      <w:start w:val="1"/>
      <w:numFmt w:val="lowerLetter"/>
      <w:lvlText w:val="%5."/>
      <w:lvlJc w:val="left"/>
      <w:pPr>
        <w:tabs>
          <w:tab w:val="num" w:pos="3600"/>
        </w:tabs>
        <w:ind w:left="3600" w:hanging="360"/>
      </w:pPr>
    </w:lvl>
    <w:lvl w:ilvl="5" w:tplc="3226239A" w:tentative="1">
      <w:start w:val="1"/>
      <w:numFmt w:val="lowerRoman"/>
      <w:lvlText w:val="%6."/>
      <w:lvlJc w:val="right"/>
      <w:pPr>
        <w:tabs>
          <w:tab w:val="num" w:pos="4320"/>
        </w:tabs>
        <w:ind w:left="4320" w:hanging="180"/>
      </w:pPr>
    </w:lvl>
    <w:lvl w:ilvl="6" w:tplc="17DC9054" w:tentative="1">
      <w:start w:val="1"/>
      <w:numFmt w:val="decimal"/>
      <w:lvlText w:val="%7."/>
      <w:lvlJc w:val="left"/>
      <w:pPr>
        <w:tabs>
          <w:tab w:val="num" w:pos="5040"/>
        </w:tabs>
        <w:ind w:left="5040" w:hanging="360"/>
      </w:pPr>
    </w:lvl>
    <w:lvl w:ilvl="7" w:tplc="6C905D64" w:tentative="1">
      <w:start w:val="1"/>
      <w:numFmt w:val="lowerLetter"/>
      <w:lvlText w:val="%8."/>
      <w:lvlJc w:val="left"/>
      <w:pPr>
        <w:tabs>
          <w:tab w:val="num" w:pos="5760"/>
        </w:tabs>
        <w:ind w:left="5760" w:hanging="360"/>
      </w:pPr>
    </w:lvl>
    <w:lvl w:ilvl="8" w:tplc="388237F8" w:tentative="1">
      <w:start w:val="1"/>
      <w:numFmt w:val="lowerRoman"/>
      <w:lvlText w:val="%9."/>
      <w:lvlJc w:val="right"/>
      <w:pPr>
        <w:tabs>
          <w:tab w:val="num" w:pos="6480"/>
        </w:tabs>
        <w:ind w:left="6480" w:hanging="180"/>
      </w:pPr>
    </w:lvl>
  </w:abstractNum>
  <w:abstractNum w:abstractNumId="21" w15:restartNumberingAfterBreak="0">
    <w:nsid w:val="548B1FA7"/>
    <w:multiLevelType w:val="hybridMultilevel"/>
    <w:tmpl w:val="B2702004"/>
    <w:lvl w:ilvl="0" w:tplc="F5403C5C">
      <w:start w:val="1"/>
      <w:numFmt w:val="hebrew1"/>
      <w:lvlText w:val="%1."/>
      <w:lvlJc w:val="left"/>
      <w:pPr>
        <w:ind w:left="720" w:hanging="360"/>
      </w:pPr>
      <w:rPr>
        <w:rFonts w:hint="default"/>
      </w:rPr>
    </w:lvl>
    <w:lvl w:ilvl="1" w:tplc="DE7E2CD4" w:tentative="1">
      <w:start w:val="1"/>
      <w:numFmt w:val="lowerLetter"/>
      <w:lvlText w:val="%2."/>
      <w:lvlJc w:val="left"/>
      <w:pPr>
        <w:ind w:left="1440" w:hanging="360"/>
      </w:pPr>
    </w:lvl>
    <w:lvl w:ilvl="2" w:tplc="3C2E14CA" w:tentative="1">
      <w:start w:val="1"/>
      <w:numFmt w:val="lowerRoman"/>
      <w:lvlText w:val="%3."/>
      <w:lvlJc w:val="right"/>
      <w:pPr>
        <w:ind w:left="2160" w:hanging="180"/>
      </w:pPr>
    </w:lvl>
    <w:lvl w:ilvl="3" w:tplc="FB50CE4A" w:tentative="1">
      <w:start w:val="1"/>
      <w:numFmt w:val="decimal"/>
      <w:lvlText w:val="%4."/>
      <w:lvlJc w:val="left"/>
      <w:pPr>
        <w:ind w:left="2880" w:hanging="360"/>
      </w:pPr>
    </w:lvl>
    <w:lvl w:ilvl="4" w:tplc="8384E4EC" w:tentative="1">
      <w:start w:val="1"/>
      <w:numFmt w:val="lowerLetter"/>
      <w:lvlText w:val="%5."/>
      <w:lvlJc w:val="left"/>
      <w:pPr>
        <w:ind w:left="3600" w:hanging="360"/>
      </w:pPr>
    </w:lvl>
    <w:lvl w:ilvl="5" w:tplc="AE42B412" w:tentative="1">
      <w:start w:val="1"/>
      <w:numFmt w:val="lowerRoman"/>
      <w:lvlText w:val="%6."/>
      <w:lvlJc w:val="right"/>
      <w:pPr>
        <w:ind w:left="4320" w:hanging="180"/>
      </w:pPr>
    </w:lvl>
    <w:lvl w:ilvl="6" w:tplc="BF186D34" w:tentative="1">
      <w:start w:val="1"/>
      <w:numFmt w:val="decimal"/>
      <w:lvlText w:val="%7."/>
      <w:lvlJc w:val="left"/>
      <w:pPr>
        <w:ind w:left="5040" w:hanging="360"/>
      </w:pPr>
    </w:lvl>
    <w:lvl w:ilvl="7" w:tplc="D8F0112E" w:tentative="1">
      <w:start w:val="1"/>
      <w:numFmt w:val="lowerLetter"/>
      <w:lvlText w:val="%8."/>
      <w:lvlJc w:val="left"/>
      <w:pPr>
        <w:ind w:left="5760" w:hanging="360"/>
      </w:pPr>
    </w:lvl>
    <w:lvl w:ilvl="8" w:tplc="91F4CFCA" w:tentative="1">
      <w:start w:val="1"/>
      <w:numFmt w:val="lowerRoman"/>
      <w:lvlText w:val="%9."/>
      <w:lvlJc w:val="right"/>
      <w:pPr>
        <w:ind w:left="6480" w:hanging="180"/>
      </w:pPr>
    </w:lvl>
  </w:abstractNum>
  <w:abstractNum w:abstractNumId="22" w15:restartNumberingAfterBreak="0">
    <w:nsid w:val="5EAC4944"/>
    <w:multiLevelType w:val="hybridMultilevel"/>
    <w:tmpl w:val="0F2EC9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9B65DE"/>
    <w:multiLevelType w:val="hybridMultilevel"/>
    <w:tmpl w:val="9672FE3E"/>
    <w:lvl w:ilvl="0" w:tplc="850EEB94">
      <w:start w:val="1"/>
      <w:numFmt w:val="bullet"/>
      <w:lvlText w:val=""/>
      <w:lvlJc w:val="left"/>
      <w:pPr>
        <w:ind w:left="720" w:hanging="360"/>
      </w:pPr>
      <w:rPr>
        <w:rFonts w:ascii="Symbol" w:hAnsi="Symbol" w:hint="default"/>
      </w:rPr>
    </w:lvl>
    <w:lvl w:ilvl="1" w:tplc="0DA61858">
      <w:start w:val="1"/>
      <w:numFmt w:val="bullet"/>
      <w:lvlText w:val="o"/>
      <w:lvlJc w:val="left"/>
      <w:pPr>
        <w:ind w:left="1440" w:hanging="360"/>
      </w:pPr>
      <w:rPr>
        <w:rFonts w:ascii="Courier New" w:hAnsi="Courier New" w:cs="Courier New" w:hint="default"/>
      </w:rPr>
    </w:lvl>
    <w:lvl w:ilvl="2" w:tplc="573C1698" w:tentative="1">
      <w:start w:val="1"/>
      <w:numFmt w:val="bullet"/>
      <w:lvlText w:val=""/>
      <w:lvlJc w:val="left"/>
      <w:pPr>
        <w:ind w:left="2160" w:hanging="360"/>
      </w:pPr>
      <w:rPr>
        <w:rFonts w:ascii="Wingdings" w:hAnsi="Wingdings" w:hint="default"/>
      </w:rPr>
    </w:lvl>
    <w:lvl w:ilvl="3" w:tplc="495CB640" w:tentative="1">
      <w:start w:val="1"/>
      <w:numFmt w:val="bullet"/>
      <w:lvlText w:val=""/>
      <w:lvlJc w:val="left"/>
      <w:pPr>
        <w:ind w:left="2880" w:hanging="360"/>
      </w:pPr>
      <w:rPr>
        <w:rFonts w:ascii="Symbol" w:hAnsi="Symbol" w:hint="default"/>
      </w:rPr>
    </w:lvl>
    <w:lvl w:ilvl="4" w:tplc="56E64A44" w:tentative="1">
      <w:start w:val="1"/>
      <w:numFmt w:val="bullet"/>
      <w:lvlText w:val="o"/>
      <w:lvlJc w:val="left"/>
      <w:pPr>
        <w:ind w:left="3600" w:hanging="360"/>
      </w:pPr>
      <w:rPr>
        <w:rFonts w:ascii="Courier New" w:hAnsi="Courier New" w:cs="Courier New" w:hint="default"/>
      </w:rPr>
    </w:lvl>
    <w:lvl w:ilvl="5" w:tplc="99F82D7C" w:tentative="1">
      <w:start w:val="1"/>
      <w:numFmt w:val="bullet"/>
      <w:lvlText w:val=""/>
      <w:lvlJc w:val="left"/>
      <w:pPr>
        <w:ind w:left="4320" w:hanging="360"/>
      </w:pPr>
      <w:rPr>
        <w:rFonts w:ascii="Wingdings" w:hAnsi="Wingdings" w:hint="default"/>
      </w:rPr>
    </w:lvl>
    <w:lvl w:ilvl="6" w:tplc="3F7A9742" w:tentative="1">
      <w:start w:val="1"/>
      <w:numFmt w:val="bullet"/>
      <w:lvlText w:val=""/>
      <w:lvlJc w:val="left"/>
      <w:pPr>
        <w:ind w:left="5040" w:hanging="360"/>
      </w:pPr>
      <w:rPr>
        <w:rFonts w:ascii="Symbol" w:hAnsi="Symbol" w:hint="default"/>
      </w:rPr>
    </w:lvl>
    <w:lvl w:ilvl="7" w:tplc="416C1A40" w:tentative="1">
      <w:start w:val="1"/>
      <w:numFmt w:val="bullet"/>
      <w:lvlText w:val="o"/>
      <w:lvlJc w:val="left"/>
      <w:pPr>
        <w:ind w:left="5760" w:hanging="360"/>
      </w:pPr>
      <w:rPr>
        <w:rFonts w:ascii="Courier New" w:hAnsi="Courier New" w:cs="Courier New" w:hint="default"/>
      </w:rPr>
    </w:lvl>
    <w:lvl w:ilvl="8" w:tplc="6786D756" w:tentative="1">
      <w:start w:val="1"/>
      <w:numFmt w:val="bullet"/>
      <w:lvlText w:val=""/>
      <w:lvlJc w:val="left"/>
      <w:pPr>
        <w:ind w:left="6480" w:hanging="360"/>
      </w:pPr>
      <w:rPr>
        <w:rFonts w:ascii="Wingdings" w:hAnsi="Wingdings" w:hint="default"/>
      </w:rPr>
    </w:lvl>
  </w:abstractNum>
  <w:abstractNum w:abstractNumId="24" w15:restartNumberingAfterBreak="0">
    <w:nsid w:val="655962D6"/>
    <w:multiLevelType w:val="hybridMultilevel"/>
    <w:tmpl w:val="DCA06BC8"/>
    <w:lvl w:ilvl="0" w:tplc="F946A9C4">
      <w:start w:val="1"/>
      <w:numFmt w:val="decimal"/>
      <w:lvlText w:val="%1."/>
      <w:lvlJc w:val="left"/>
      <w:pPr>
        <w:ind w:left="360" w:hanging="360"/>
      </w:pPr>
      <w:rPr>
        <w:rFonts w:ascii="Century" w:hAnsi="Century" w:cs="FrankRuehl" w:hint="default"/>
        <w:b w:val="0"/>
        <w:bCs w:val="0"/>
        <w:i w:val="0"/>
        <w:iCs w:val="0"/>
        <w:caps w:val="0"/>
        <w:smallCaps w:val="0"/>
        <w:strike w:val="0"/>
        <w:dstrike w:val="0"/>
        <w:outline w:val="0"/>
        <w:shadow w:val="0"/>
        <w:emboss w:val="0"/>
        <w:imprint w:val="0"/>
        <w:vanish w:val="0"/>
        <w:color w:val="auto"/>
        <w:spacing w:val="10"/>
        <w:w w:val="100"/>
        <w:kern w:val="0"/>
        <w:position w:val="0"/>
        <w:sz w:val="22"/>
        <w:szCs w:val="28"/>
        <w:u w:val="none"/>
        <w:effect w:val="none"/>
        <w:vertAlign w:val="baseline"/>
      </w:rPr>
    </w:lvl>
    <w:lvl w:ilvl="1" w:tplc="5FC0D856">
      <w:start w:val="1"/>
      <w:numFmt w:val="lowerLetter"/>
      <w:lvlText w:val="%2."/>
      <w:lvlJc w:val="left"/>
      <w:pPr>
        <w:ind w:left="1080" w:hanging="360"/>
      </w:pPr>
    </w:lvl>
    <w:lvl w:ilvl="2" w:tplc="F51E1186" w:tentative="1">
      <w:start w:val="1"/>
      <w:numFmt w:val="lowerRoman"/>
      <w:lvlText w:val="%3."/>
      <w:lvlJc w:val="right"/>
      <w:pPr>
        <w:ind w:left="1800" w:hanging="180"/>
      </w:pPr>
    </w:lvl>
    <w:lvl w:ilvl="3" w:tplc="9404DBE0" w:tentative="1">
      <w:start w:val="1"/>
      <w:numFmt w:val="decimal"/>
      <w:lvlText w:val="%4."/>
      <w:lvlJc w:val="left"/>
      <w:pPr>
        <w:ind w:left="2520" w:hanging="360"/>
      </w:pPr>
    </w:lvl>
    <w:lvl w:ilvl="4" w:tplc="DBDE65B0" w:tentative="1">
      <w:start w:val="1"/>
      <w:numFmt w:val="lowerLetter"/>
      <w:lvlText w:val="%5."/>
      <w:lvlJc w:val="left"/>
      <w:pPr>
        <w:ind w:left="3240" w:hanging="360"/>
      </w:pPr>
    </w:lvl>
    <w:lvl w:ilvl="5" w:tplc="9F54D1E8" w:tentative="1">
      <w:start w:val="1"/>
      <w:numFmt w:val="lowerRoman"/>
      <w:lvlText w:val="%6."/>
      <w:lvlJc w:val="right"/>
      <w:pPr>
        <w:ind w:left="3960" w:hanging="180"/>
      </w:pPr>
    </w:lvl>
    <w:lvl w:ilvl="6" w:tplc="2C5071AC" w:tentative="1">
      <w:start w:val="1"/>
      <w:numFmt w:val="decimal"/>
      <w:lvlText w:val="%7."/>
      <w:lvlJc w:val="left"/>
      <w:pPr>
        <w:ind w:left="4680" w:hanging="360"/>
      </w:pPr>
    </w:lvl>
    <w:lvl w:ilvl="7" w:tplc="3C389C32" w:tentative="1">
      <w:start w:val="1"/>
      <w:numFmt w:val="lowerLetter"/>
      <w:lvlText w:val="%8."/>
      <w:lvlJc w:val="left"/>
      <w:pPr>
        <w:ind w:left="5400" w:hanging="360"/>
      </w:pPr>
    </w:lvl>
    <w:lvl w:ilvl="8" w:tplc="AB4ADB66" w:tentative="1">
      <w:start w:val="1"/>
      <w:numFmt w:val="lowerRoman"/>
      <w:lvlText w:val="%9."/>
      <w:lvlJc w:val="right"/>
      <w:pPr>
        <w:ind w:left="6120" w:hanging="180"/>
      </w:pPr>
    </w:lvl>
  </w:abstractNum>
  <w:abstractNum w:abstractNumId="25" w15:restartNumberingAfterBreak="0">
    <w:nsid w:val="70F65863"/>
    <w:multiLevelType w:val="hybridMultilevel"/>
    <w:tmpl w:val="2EF606DA"/>
    <w:lvl w:ilvl="0" w:tplc="2772C6CC">
      <w:start w:val="1"/>
      <w:numFmt w:val="lowerLetter"/>
      <w:lvlText w:val="%1."/>
      <w:lvlJc w:val="left"/>
      <w:pPr>
        <w:ind w:left="720" w:hanging="360"/>
      </w:pPr>
    </w:lvl>
    <w:lvl w:ilvl="1" w:tplc="FBAC895C">
      <w:start w:val="1"/>
      <w:numFmt w:val="lowerLetter"/>
      <w:lvlText w:val="%2."/>
      <w:lvlJc w:val="left"/>
      <w:pPr>
        <w:ind w:left="1440" w:hanging="360"/>
      </w:pPr>
    </w:lvl>
    <w:lvl w:ilvl="2" w:tplc="0234D622" w:tentative="1">
      <w:start w:val="1"/>
      <w:numFmt w:val="lowerRoman"/>
      <w:lvlText w:val="%3."/>
      <w:lvlJc w:val="right"/>
      <w:pPr>
        <w:ind w:left="2160" w:hanging="180"/>
      </w:pPr>
    </w:lvl>
    <w:lvl w:ilvl="3" w:tplc="5AA4D1B0" w:tentative="1">
      <w:start w:val="1"/>
      <w:numFmt w:val="decimal"/>
      <w:lvlText w:val="%4."/>
      <w:lvlJc w:val="left"/>
      <w:pPr>
        <w:ind w:left="2880" w:hanging="360"/>
      </w:pPr>
    </w:lvl>
    <w:lvl w:ilvl="4" w:tplc="F336FCD0" w:tentative="1">
      <w:start w:val="1"/>
      <w:numFmt w:val="lowerLetter"/>
      <w:lvlText w:val="%5."/>
      <w:lvlJc w:val="left"/>
      <w:pPr>
        <w:ind w:left="3600" w:hanging="360"/>
      </w:pPr>
    </w:lvl>
    <w:lvl w:ilvl="5" w:tplc="782A597C" w:tentative="1">
      <w:start w:val="1"/>
      <w:numFmt w:val="lowerRoman"/>
      <w:lvlText w:val="%6."/>
      <w:lvlJc w:val="right"/>
      <w:pPr>
        <w:ind w:left="4320" w:hanging="180"/>
      </w:pPr>
    </w:lvl>
    <w:lvl w:ilvl="6" w:tplc="57D04106" w:tentative="1">
      <w:start w:val="1"/>
      <w:numFmt w:val="decimal"/>
      <w:lvlText w:val="%7."/>
      <w:lvlJc w:val="left"/>
      <w:pPr>
        <w:ind w:left="5040" w:hanging="360"/>
      </w:pPr>
    </w:lvl>
    <w:lvl w:ilvl="7" w:tplc="DE5C1DF2" w:tentative="1">
      <w:start w:val="1"/>
      <w:numFmt w:val="lowerLetter"/>
      <w:lvlText w:val="%8."/>
      <w:lvlJc w:val="left"/>
      <w:pPr>
        <w:ind w:left="5760" w:hanging="360"/>
      </w:pPr>
    </w:lvl>
    <w:lvl w:ilvl="8" w:tplc="12C0C0B6" w:tentative="1">
      <w:start w:val="1"/>
      <w:numFmt w:val="lowerRoman"/>
      <w:lvlText w:val="%9."/>
      <w:lvlJc w:val="right"/>
      <w:pPr>
        <w:ind w:left="6480" w:hanging="180"/>
      </w:pPr>
    </w:lvl>
  </w:abstractNum>
  <w:abstractNum w:abstractNumId="26" w15:restartNumberingAfterBreak="0">
    <w:nsid w:val="7FA119B0"/>
    <w:multiLevelType w:val="hybridMultilevel"/>
    <w:tmpl w:val="3550C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91079145">
    <w:abstractNumId w:val="8"/>
  </w:num>
  <w:num w:numId="2" w16cid:durableId="460151257">
    <w:abstractNumId w:val="3"/>
  </w:num>
  <w:num w:numId="3" w16cid:durableId="1247306875">
    <w:abstractNumId w:val="2"/>
  </w:num>
  <w:num w:numId="4" w16cid:durableId="1845970075">
    <w:abstractNumId w:val="1"/>
  </w:num>
  <w:num w:numId="5" w16cid:durableId="1828933187">
    <w:abstractNumId w:val="0"/>
  </w:num>
  <w:num w:numId="6" w16cid:durableId="1569538289">
    <w:abstractNumId w:val="9"/>
  </w:num>
  <w:num w:numId="7" w16cid:durableId="2040087958">
    <w:abstractNumId w:val="7"/>
  </w:num>
  <w:num w:numId="8" w16cid:durableId="1616476402">
    <w:abstractNumId w:val="6"/>
  </w:num>
  <w:num w:numId="9" w16cid:durableId="251860284">
    <w:abstractNumId w:val="5"/>
  </w:num>
  <w:num w:numId="10" w16cid:durableId="1521430871">
    <w:abstractNumId w:val="4"/>
  </w:num>
  <w:num w:numId="11" w16cid:durableId="1488937300">
    <w:abstractNumId w:val="11"/>
  </w:num>
  <w:num w:numId="12" w16cid:durableId="309021967">
    <w:abstractNumId w:val="21"/>
  </w:num>
  <w:num w:numId="13" w16cid:durableId="397017910">
    <w:abstractNumId w:val="20"/>
  </w:num>
  <w:num w:numId="14" w16cid:durableId="472645798">
    <w:abstractNumId w:val="19"/>
  </w:num>
  <w:num w:numId="15" w16cid:durableId="348996351">
    <w:abstractNumId w:val="14"/>
  </w:num>
  <w:num w:numId="16" w16cid:durableId="1272740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8584136">
    <w:abstractNumId w:val="18"/>
  </w:num>
  <w:num w:numId="18" w16cid:durableId="105126724">
    <w:abstractNumId w:val="13"/>
  </w:num>
  <w:num w:numId="19" w16cid:durableId="1775898541">
    <w:abstractNumId w:val="12"/>
  </w:num>
  <w:num w:numId="20" w16cid:durableId="1699427094">
    <w:abstractNumId w:val="16"/>
  </w:num>
  <w:num w:numId="21" w16cid:durableId="1951664219">
    <w:abstractNumId w:val="15"/>
  </w:num>
  <w:num w:numId="22" w16cid:durableId="2102556361">
    <w:abstractNumId w:val="23"/>
  </w:num>
  <w:num w:numId="23" w16cid:durableId="1604724942">
    <w:abstractNumId w:val="25"/>
  </w:num>
  <w:num w:numId="24" w16cid:durableId="283851279">
    <w:abstractNumId w:val="24"/>
  </w:num>
  <w:num w:numId="25" w16cid:durableId="171376682">
    <w:abstractNumId w:val="17"/>
  </w:num>
  <w:num w:numId="26" w16cid:durableId="1530026236">
    <w:abstractNumId w:val="22"/>
  </w:num>
  <w:num w:numId="27" w16cid:durableId="1480150404">
    <w:abstractNumId w:val="26"/>
  </w:num>
  <w:num w:numId="28" w16cid:durableId="132525738">
    <w:abstractNumId w:val="10"/>
  </w:num>
  <w:num w:numId="29" w16cid:durableId="262883570">
    <w:abstractNumId w:val="11"/>
    <w:lvlOverride w:ilvl="0">
      <w:startOverride w:val="1"/>
    </w:lvlOverride>
  </w:num>
  <w:num w:numId="30" w16cid:durableId="315107430">
    <w:abstractNumId w:val="11"/>
    <w:lvlOverride w:ilvl="0">
      <w:startOverride w:val="1"/>
    </w:lvlOverride>
  </w:num>
  <w:num w:numId="31" w16cid:durableId="1653289536">
    <w:abstractNumId w:val="8"/>
    <w:lvlOverride w:ilvl="0">
      <w:startOverride w:val="1"/>
    </w:lvlOverride>
  </w:num>
  <w:num w:numId="32" w16cid:durableId="1628776987">
    <w:abstractNumId w:val="11"/>
    <w:lvlOverride w:ilvl="0">
      <w:startOverride w:val="1"/>
    </w:lvlOverride>
  </w:num>
  <w:num w:numId="33" w16cid:durableId="2085758691">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27"/>
    <w:rsid w:val="00004F20"/>
    <w:rsid w:val="00007713"/>
    <w:rsid w:val="00010B88"/>
    <w:rsid w:val="00016EF1"/>
    <w:rsid w:val="0002087E"/>
    <w:rsid w:val="00032036"/>
    <w:rsid w:val="00036227"/>
    <w:rsid w:val="00040020"/>
    <w:rsid w:val="00041657"/>
    <w:rsid w:val="00044953"/>
    <w:rsid w:val="00045B4D"/>
    <w:rsid w:val="000725F5"/>
    <w:rsid w:val="00072AD2"/>
    <w:rsid w:val="00072E71"/>
    <w:rsid w:val="00084297"/>
    <w:rsid w:val="000A2409"/>
    <w:rsid w:val="000B1478"/>
    <w:rsid w:val="000C24BA"/>
    <w:rsid w:val="000C4690"/>
    <w:rsid w:val="000C5958"/>
    <w:rsid w:val="000D25C4"/>
    <w:rsid w:val="000D5D66"/>
    <w:rsid w:val="000E0162"/>
    <w:rsid w:val="000F5672"/>
    <w:rsid w:val="000F7EB8"/>
    <w:rsid w:val="00103E30"/>
    <w:rsid w:val="001065E3"/>
    <w:rsid w:val="00114A19"/>
    <w:rsid w:val="00134A67"/>
    <w:rsid w:val="00157069"/>
    <w:rsid w:val="00166057"/>
    <w:rsid w:val="001A0164"/>
    <w:rsid w:val="001B1382"/>
    <w:rsid w:val="001C14E0"/>
    <w:rsid w:val="001C483A"/>
    <w:rsid w:val="001E1337"/>
    <w:rsid w:val="00200D6B"/>
    <w:rsid w:val="00204173"/>
    <w:rsid w:val="00254E89"/>
    <w:rsid w:val="00263A05"/>
    <w:rsid w:val="00265F6E"/>
    <w:rsid w:val="002876BF"/>
    <w:rsid w:val="00293C09"/>
    <w:rsid w:val="002A4A7A"/>
    <w:rsid w:val="002A4BF3"/>
    <w:rsid w:val="002B5CAF"/>
    <w:rsid w:val="002D7DDD"/>
    <w:rsid w:val="002F5998"/>
    <w:rsid w:val="002F7BB6"/>
    <w:rsid w:val="0033142F"/>
    <w:rsid w:val="003448B2"/>
    <w:rsid w:val="00361DB2"/>
    <w:rsid w:val="00362728"/>
    <w:rsid w:val="0037622E"/>
    <w:rsid w:val="00377102"/>
    <w:rsid w:val="003779FF"/>
    <w:rsid w:val="0039709B"/>
    <w:rsid w:val="003A1CEF"/>
    <w:rsid w:val="003B3F0D"/>
    <w:rsid w:val="003D72DA"/>
    <w:rsid w:val="003E3428"/>
    <w:rsid w:val="003E6905"/>
    <w:rsid w:val="003F1F97"/>
    <w:rsid w:val="003F55B1"/>
    <w:rsid w:val="0040136B"/>
    <w:rsid w:val="0040186B"/>
    <w:rsid w:val="00407D44"/>
    <w:rsid w:val="0041048F"/>
    <w:rsid w:val="00437A63"/>
    <w:rsid w:val="00437D59"/>
    <w:rsid w:val="00442AB3"/>
    <w:rsid w:val="00443844"/>
    <w:rsid w:val="0045550F"/>
    <w:rsid w:val="004610A4"/>
    <w:rsid w:val="0049073E"/>
    <w:rsid w:val="00491822"/>
    <w:rsid w:val="00497765"/>
    <w:rsid w:val="004A139E"/>
    <w:rsid w:val="004A430B"/>
    <w:rsid w:val="004B29FF"/>
    <w:rsid w:val="004C7868"/>
    <w:rsid w:val="004D3E24"/>
    <w:rsid w:val="004D7D14"/>
    <w:rsid w:val="00500334"/>
    <w:rsid w:val="00502BFD"/>
    <w:rsid w:val="00503A3E"/>
    <w:rsid w:val="00527E1C"/>
    <w:rsid w:val="00527F02"/>
    <w:rsid w:val="0053605C"/>
    <w:rsid w:val="0054324E"/>
    <w:rsid w:val="00551F40"/>
    <w:rsid w:val="005700E8"/>
    <w:rsid w:val="00571018"/>
    <w:rsid w:val="00573211"/>
    <w:rsid w:val="005803E2"/>
    <w:rsid w:val="0058440A"/>
    <w:rsid w:val="005867BE"/>
    <w:rsid w:val="00591983"/>
    <w:rsid w:val="005B2B53"/>
    <w:rsid w:val="005B3739"/>
    <w:rsid w:val="005C297A"/>
    <w:rsid w:val="005C451F"/>
    <w:rsid w:val="005D07D4"/>
    <w:rsid w:val="005D1A3C"/>
    <w:rsid w:val="005F307C"/>
    <w:rsid w:val="005F31D1"/>
    <w:rsid w:val="0060759E"/>
    <w:rsid w:val="006206A6"/>
    <w:rsid w:val="00624A42"/>
    <w:rsid w:val="006252F9"/>
    <w:rsid w:val="00636252"/>
    <w:rsid w:val="006425D6"/>
    <w:rsid w:val="00643E5E"/>
    <w:rsid w:val="0065522F"/>
    <w:rsid w:val="006804B3"/>
    <w:rsid w:val="006954D5"/>
    <w:rsid w:val="006A30F7"/>
    <w:rsid w:val="006C2534"/>
    <w:rsid w:val="006C42AD"/>
    <w:rsid w:val="006E5254"/>
    <w:rsid w:val="006F5F1D"/>
    <w:rsid w:val="00705D3F"/>
    <w:rsid w:val="00717845"/>
    <w:rsid w:val="00725345"/>
    <w:rsid w:val="00741CC0"/>
    <w:rsid w:val="00777EAD"/>
    <w:rsid w:val="00785EE2"/>
    <w:rsid w:val="00793404"/>
    <w:rsid w:val="00794229"/>
    <w:rsid w:val="00794DCE"/>
    <w:rsid w:val="007B4F99"/>
    <w:rsid w:val="007B512F"/>
    <w:rsid w:val="007C2FEB"/>
    <w:rsid w:val="007E603E"/>
    <w:rsid w:val="007F7512"/>
    <w:rsid w:val="00810894"/>
    <w:rsid w:val="00812BD3"/>
    <w:rsid w:val="008143AB"/>
    <w:rsid w:val="0082655D"/>
    <w:rsid w:val="00827B85"/>
    <w:rsid w:val="0083345F"/>
    <w:rsid w:val="0083631B"/>
    <w:rsid w:val="00836667"/>
    <w:rsid w:val="0084012D"/>
    <w:rsid w:val="008506F1"/>
    <w:rsid w:val="00864FBD"/>
    <w:rsid w:val="00866D0F"/>
    <w:rsid w:val="00872AD0"/>
    <w:rsid w:val="00890E72"/>
    <w:rsid w:val="008A3EFE"/>
    <w:rsid w:val="008C192D"/>
    <w:rsid w:val="008C2F11"/>
    <w:rsid w:val="008C614E"/>
    <w:rsid w:val="008D78B9"/>
    <w:rsid w:val="008E3F85"/>
    <w:rsid w:val="009051E8"/>
    <w:rsid w:val="00914156"/>
    <w:rsid w:val="00916FF8"/>
    <w:rsid w:val="00922093"/>
    <w:rsid w:val="00922DB5"/>
    <w:rsid w:val="00930C85"/>
    <w:rsid w:val="00946181"/>
    <w:rsid w:val="00960BED"/>
    <w:rsid w:val="00975281"/>
    <w:rsid w:val="00977D9C"/>
    <w:rsid w:val="00991A5C"/>
    <w:rsid w:val="009A125A"/>
    <w:rsid w:val="009B38DA"/>
    <w:rsid w:val="009B5181"/>
    <w:rsid w:val="009E31F7"/>
    <w:rsid w:val="009F2F53"/>
    <w:rsid w:val="009F4187"/>
    <w:rsid w:val="00A12E0F"/>
    <w:rsid w:val="00A20D97"/>
    <w:rsid w:val="00A25102"/>
    <w:rsid w:val="00A27AF2"/>
    <w:rsid w:val="00A3021A"/>
    <w:rsid w:val="00A3405E"/>
    <w:rsid w:val="00A51FAE"/>
    <w:rsid w:val="00A60980"/>
    <w:rsid w:val="00A62D28"/>
    <w:rsid w:val="00A80845"/>
    <w:rsid w:val="00AA2D3B"/>
    <w:rsid w:val="00AB4E78"/>
    <w:rsid w:val="00AB68D8"/>
    <w:rsid w:val="00AB69F7"/>
    <w:rsid w:val="00AC2079"/>
    <w:rsid w:val="00AD097B"/>
    <w:rsid w:val="00AD64B9"/>
    <w:rsid w:val="00AE022B"/>
    <w:rsid w:val="00B009CC"/>
    <w:rsid w:val="00B03B74"/>
    <w:rsid w:val="00B0782A"/>
    <w:rsid w:val="00B17916"/>
    <w:rsid w:val="00B36EDF"/>
    <w:rsid w:val="00B60A0E"/>
    <w:rsid w:val="00B62B8C"/>
    <w:rsid w:val="00B63343"/>
    <w:rsid w:val="00B65D90"/>
    <w:rsid w:val="00B87FF7"/>
    <w:rsid w:val="00BA0B08"/>
    <w:rsid w:val="00BA5DAA"/>
    <w:rsid w:val="00BA7BF1"/>
    <w:rsid w:val="00BC0E82"/>
    <w:rsid w:val="00BD40F9"/>
    <w:rsid w:val="00BE79E2"/>
    <w:rsid w:val="00C058CE"/>
    <w:rsid w:val="00C21353"/>
    <w:rsid w:val="00C330A2"/>
    <w:rsid w:val="00C36C78"/>
    <w:rsid w:val="00C41C86"/>
    <w:rsid w:val="00C42433"/>
    <w:rsid w:val="00C55912"/>
    <w:rsid w:val="00C634DC"/>
    <w:rsid w:val="00C63A6C"/>
    <w:rsid w:val="00C81A45"/>
    <w:rsid w:val="00C85B53"/>
    <w:rsid w:val="00CA13AF"/>
    <w:rsid w:val="00CA1444"/>
    <w:rsid w:val="00CB1590"/>
    <w:rsid w:val="00CB7600"/>
    <w:rsid w:val="00CC0E9D"/>
    <w:rsid w:val="00CC24D0"/>
    <w:rsid w:val="00CC3639"/>
    <w:rsid w:val="00CC4B0E"/>
    <w:rsid w:val="00CD3E5C"/>
    <w:rsid w:val="00CE262B"/>
    <w:rsid w:val="00CE5621"/>
    <w:rsid w:val="00CF203C"/>
    <w:rsid w:val="00D00B1D"/>
    <w:rsid w:val="00D00CB7"/>
    <w:rsid w:val="00D25F16"/>
    <w:rsid w:val="00D316ED"/>
    <w:rsid w:val="00D523E4"/>
    <w:rsid w:val="00D66C30"/>
    <w:rsid w:val="00D72B22"/>
    <w:rsid w:val="00D8714C"/>
    <w:rsid w:val="00D918D0"/>
    <w:rsid w:val="00D91EBE"/>
    <w:rsid w:val="00D92B45"/>
    <w:rsid w:val="00DA4185"/>
    <w:rsid w:val="00DD5676"/>
    <w:rsid w:val="00DD5882"/>
    <w:rsid w:val="00DE18BC"/>
    <w:rsid w:val="00DF78E3"/>
    <w:rsid w:val="00E11DF9"/>
    <w:rsid w:val="00E21CA9"/>
    <w:rsid w:val="00E31063"/>
    <w:rsid w:val="00E36FE9"/>
    <w:rsid w:val="00E44B39"/>
    <w:rsid w:val="00E65820"/>
    <w:rsid w:val="00E73E98"/>
    <w:rsid w:val="00E75223"/>
    <w:rsid w:val="00E877B8"/>
    <w:rsid w:val="00E90D72"/>
    <w:rsid w:val="00E92E55"/>
    <w:rsid w:val="00EA0BE1"/>
    <w:rsid w:val="00EA1432"/>
    <w:rsid w:val="00EC23AC"/>
    <w:rsid w:val="00EC2992"/>
    <w:rsid w:val="00EC5C9D"/>
    <w:rsid w:val="00EC73DD"/>
    <w:rsid w:val="00ED46A4"/>
    <w:rsid w:val="00ED6FD9"/>
    <w:rsid w:val="00EE36D6"/>
    <w:rsid w:val="00EE3810"/>
    <w:rsid w:val="00EF114E"/>
    <w:rsid w:val="00F06176"/>
    <w:rsid w:val="00F30E9F"/>
    <w:rsid w:val="00F51EBE"/>
    <w:rsid w:val="00F54A29"/>
    <w:rsid w:val="00F56D4F"/>
    <w:rsid w:val="00F63C3B"/>
    <w:rsid w:val="00F959DB"/>
    <w:rsid w:val="00FA1E83"/>
    <w:rsid w:val="00FB2A23"/>
    <w:rsid w:val="00FB2D24"/>
    <w:rsid w:val="00FC0252"/>
    <w:rsid w:val="00FC60C0"/>
    <w:rsid w:val="00FD1F6D"/>
    <w:rsid w:val="00FD6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156B8"/>
  <w15:chartTrackingRefBased/>
  <w15:docId w15:val="{D3BC0F5E-E56E-4C25-B296-D44234D0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bidi/>
      <w:adjustRightInd w:val="0"/>
      <w:textAlignment w:val="baseline"/>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uller3">
    <w:name w:val="Ruller 3"/>
    <w:basedOn w:val="a"/>
    <w:rsid w:val="00A51FAE"/>
    <w:pPr>
      <w:tabs>
        <w:tab w:val="left" w:pos="3210"/>
        <w:tab w:val="left" w:pos="6753"/>
      </w:tabs>
      <w:spacing w:line="360" w:lineRule="auto"/>
    </w:pPr>
    <w:rPr>
      <w:rFonts w:cs="FrankRuehl"/>
      <w:spacing w:val="10"/>
      <w:sz w:val="22"/>
      <w:szCs w:val="28"/>
    </w:rPr>
  </w:style>
  <w:style w:type="paragraph" w:customStyle="1" w:styleId="Pskdinhead">
    <w:name w:val="Pskdin head"/>
    <w:basedOn w:val="a"/>
    <w:pPr>
      <w:spacing w:line="360" w:lineRule="auto"/>
    </w:pPr>
    <w:rPr>
      <w:b/>
      <w:bCs/>
      <w:u w:val="single"/>
    </w:rPr>
  </w:style>
  <w:style w:type="paragraph" w:customStyle="1" w:styleId="FileNumber">
    <w:name w:val="File Number"/>
    <w:basedOn w:val="a"/>
    <w:pPr>
      <w:spacing w:line="360" w:lineRule="auto"/>
      <w:jc w:val="right"/>
    </w:pPr>
    <w:rPr>
      <w:bCs/>
    </w:rPr>
  </w:style>
  <w:style w:type="paragraph" w:customStyle="1" w:styleId="FirstpagestylePsakdin">
    <w:name w:val="First page style Psak din"/>
    <w:basedOn w:val="Ruller3"/>
    <w:pPr>
      <w:tabs>
        <w:tab w:val="clear" w:pos="3210"/>
        <w:tab w:val="left" w:pos="3209"/>
      </w:tabs>
    </w:pPr>
    <w:rPr>
      <w:bCs/>
    </w:rPr>
  </w:style>
  <w:style w:type="paragraph" w:customStyle="1" w:styleId="TyutaDate">
    <w:name w:val="Tyuta Date"/>
    <w:basedOn w:val="a"/>
    <w:pPr>
      <w:jc w:val="center"/>
    </w:pPr>
    <w:rPr>
      <w:b/>
      <w:bCs/>
      <w:i/>
      <w:iCs/>
      <w:sz w:val="28"/>
      <w:szCs w:val="28"/>
    </w:rPr>
  </w:style>
  <w:style w:type="paragraph" w:customStyle="1" w:styleId="DocumentHead">
    <w:name w:val="Document Head"/>
    <w:basedOn w:val="a"/>
    <w:pPr>
      <w:spacing w:line="360" w:lineRule="auto"/>
      <w:jc w:val="center"/>
    </w:pPr>
    <w:rPr>
      <w:bCs/>
      <w:spacing w:val="30"/>
      <w:szCs w:val="28"/>
      <w:u w:val="single"/>
    </w:rPr>
  </w:style>
  <w:style w:type="paragraph" w:customStyle="1" w:styleId="TfutzaList">
    <w:name w:val="Tfutza List"/>
    <w:basedOn w:val="a"/>
    <w:rPr>
      <w:i/>
      <w:iCs/>
    </w:rPr>
  </w:style>
  <w:style w:type="paragraph" w:customStyle="1" w:styleId="Ruller41">
    <w:name w:val="Ruller4"/>
    <w:basedOn w:val="a"/>
    <w:link w:val="Ruller42"/>
    <w:rsid w:val="00A51FAE"/>
    <w:pPr>
      <w:tabs>
        <w:tab w:val="left" w:pos="800"/>
      </w:tabs>
      <w:spacing w:line="360" w:lineRule="auto"/>
      <w:jc w:val="both"/>
    </w:pPr>
    <w:rPr>
      <w:rFonts w:ascii="Arial TUR" w:hAnsi="Arial TUR" w:cs="FrankRuehl"/>
      <w:spacing w:val="10"/>
      <w:sz w:val="22"/>
      <w:szCs w:val="28"/>
    </w:rPr>
  </w:style>
  <w:style w:type="paragraph" w:customStyle="1" w:styleId="Ruller5">
    <w:name w:val="Ruller5"/>
    <w:basedOn w:val="a"/>
    <w:link w:val="Ruller50"/>
    <w:rsid w:val="00A51FAE"/>
    <w:pPr>
      <w:ind w:left="1642" w:right="1282"/>
      <w:jc w:val="both"/>
    </w:pPr>
    <w:rPr>
      <w:rFonts w:ascii="Arial TUR" w:hAnsi="Arial TUR" w:cs="FrankRuehl"/>
      <w:spacing w:val="10"/>
      <w:sz w:val="22"/>
      <w:szCs w:val="28"/>
    </w:rPr>
  </w:style>
  <w:style w:type="paragraph" w:customStyle="1" w:styleId="Ruller6">
    <w:name w:val="Ruller6"/>
    <w:basedOn w:val="a"/>
    <w:rsid w:val="00A51FAE"/>
    <w:pPr>
      <w:tabs>
        <w:tab w:val="left" w:pos="794"/>
        <w:tab w:val="left" w:pos="2268"/>
        <w:tab w:val="left" w:pos="5783"/>
        <w:tab w:val="left" w:pos="7371"/>
      </w:tabs>
    </w:pPr>
    <w:rPr>
      <w:rFonts w:ascii="Arial TUR" w:hAnsi="Arial TUR" w:cs="DavidFix"/>
      <w:spacing w:val="10"/>
      <w:sz w:val="22"/>
      <w:szCs w:val="20"/>
    </w:rPr>
  </w:style>
  <w:style w:type="character" w:customStyle="1" w:styleId="Delete">
    <w:name w:val="Delete"/>
    <w:rPr>
      <w:strike/>
    </w:rPr>
  </w:style>
  <w:style w:type="paragraph" w:customStyle="1" w:styleId="WriterName">
    <w:name w:val="Writer Name"/>
    <w:basedOn w:val="Ruller41"/>
    <w:next w:val="Ruller41"/>
    <w:rPr>
      <w:rFonts w:cs="David"/>
      <w:b/>
      <w:bCs/>
      <w:u w:val="single"/>
    </w:rPr>
  </w:style>
  <w:style w:type="character" w:customStyle="1" w:styleId="Hand">
    <w:name w:val="Hand"/>
    <w:rPr>
      <w:rFonts w:cs="Guttman Yad"/>
    </w:rPr>
  </w:style>
  <w:style w:type="paragraph" w:styleId="a3">
    <w:name w:val="footer"/>
    <w:basedOn w:val="a"/>
    <w:link w:val="a4"/>
    <w:pPr>
      <w:tabs>
        <w:tab w:val="center" w:pos="4153"/>
        <w:tab w:val="right" w:pos="8306"/>
      </w:tabs>
    </w:pPr>
  </w:style>
  <w:style w:type="character" w:styleId="a5">
    <w:name w:val="page number"/>
    <w:basedOn w:val="a0"/>
  </w:style>
  <w:style w:type="paragraph" w:styleId="a6">
    <w:name w:val="header"/>
    <w:basedOn w:val="a"/>
    <w:link w:val="a7"/>
    <w:pPr>
      <w:tabs>
        <w:tab w:val="center" w:pos="4153"/>
        <w:tab w:val="right" w:pos="8306"/>
      </w:tabs>
    </w:pPr>
  </w:style>
  <w:style w:type="paragraph" w:customStyle="1" w:styleId="2">
    <w:name w:val="ñâðåï2"/>
    <w:basedOn w:val="a"/>
    <w:pPr>
      <w:overflowPunct/>
      <w:textAlignment w:val="auto"/>
    </w:pPr>
    <w:rPr>
      <w:rFonts w:cs="Times New Roman"/>
    </w:rPr>
  </w:style>
  <w:style w:type="paragraph" w:customStyle="1" w:styleId="Casenameintextbody">
    <w:name w:val="Case name in text body"/>
    <w:basedOn w:val="a"/>
    <w:pPr>
      <w:overflowPunct/>
      <w:jc w:val="right"/>
      <w:textAlignment w:val="auto"/>
    </w:pPr>
    <w:rPr>
      <w:rFonts w:cs="Times New Roman"/>
      <w:b/>
      <w:bCs/>
      <w:u w:val="single"/>
    </w:rPr>
  </w:style>
  <w:style w:type="paragraph" w:customStyle="1" w:styleId="precasestyle">
    <w:name w:val="pre_case style"/>
    <w:basedOn w:val="a"/>
    <w:pPr>
      <w:tabs>
        <w:tab w:val="left" w:pos="2552"/>
      </w:tabs>
      <w:overflowPunct/>
      <w:ind w:right="2549"/>
      <w:textAlignment w:val="auto"/>
    </w:pPr>
    <w:rPr>
      <w:rFonts w:cs="Times New Roman"/>
    </w:rPr>
  </w:style>
  <w:style w:type="paragraph" w:customStyle="1" w:styleId="BodyRuller">
    <w:name w:val="Body Ruller"/>
    <w:basedOn w:val="a"/>
    <w:rPr>
      <w:sz w:val="22"/>
      <w:szCs w:val="28"/>
    </w:rPr>
  </w:style>
  <w:style w:type="paragraph" w:customStyle="1" w:styleId="Ruller38">
    <w:name w:val="סגנון Ruller 3 + (מורכב) ‏8 נק"/>
    <w:basedOn w:val="BodyRuller"/>
    <w:rPr>
      <w:szCs w:val="16"/>
    </w:rPr>
  </w:style>
  <w:style w:type="character" w:customStyle="1" w:styleId="Ruller30">
    <w:name w:val="Ruller 3 תו"/>
    <w:rPr>
      <w:rFonts w:cs="FrankRuehl"/>
      <w:sz w:val="22"/>
      <w:szCs w:val="28"/>
      <w:lang w:val="en-US" w:eastAsia="en-US" w:bidi="he-IL"/>
    </w:rPr>
  </w:style>
  <w:style w:type="character" w:customStyle="1" w:styleId="BodyRuller0">
    <w:name w:val="Body Ruller תו"/>
    <w:rPr>
      <w:rFonts w:cs="David"/>
      <w:sz w:val="22"/>
      <w:szCs w:val="28"/>
      <w:lang w:val="en-US" w:eastAsia="en-US" w:bidi="he-IL"/>
    </w:rPr>
  </w:style>
  <w:style w:type="character" w:customStyle="1" w:styleId="Ruller380">
    <w:name w:val="סגנון Ruller 3 + (מורכב) ‏8 נק תו"/>
    <w:rPr>
      <w:rFonts w:cs="David"/>
      <w:sz w:val="22"/>
      <w:szCs w:val="16"/>
      <w:lang w:val="en-US" w:eastAsia="en-US" w:bidi="he-IL"/>
    </w:rPr>
  </w:style>
  <w:style w:type="paragraph" w:customStyle="1" w:styleId="FileNumber0">
    <w:name w:val="סגנון File Number + ימין"/>
    <w:basedOn w:val="FileNumber"/>
    <w:rsid w:val="004C7868"/>
    <w:pPr>
      <w:jc w:val="left"/>
    </w:pPr>
    <w:rPr>
      <w:szCs w:val="28"/>
    </w:rPr>
  </w:style>
  <w:style w:type="paragraph" w:customStyle="1" w:styleId="BODYVERDICT">
    <w:name w:val="BODY VERDICT"/>
    <w:basedOn w:val="a"/>
    <w:rsid w:val="00036227"/>
    <w:rPr>
      <w:rFonts w:cs="FrankRuehl"/>
      <w:spacing w:val="10"/>
      <w:sz w:val="22"/>
      <w:szCs w:val="28"/>
    </w:rPr>
  </w:style>
  <w:style w:type="character" w:styleId="Hyperlink">
    <w:name w:val="Hyperlink"/>
    <w:uiPriority w:val="99"/>
    <w:rsid w:val="003F1F97"/>
    <w:rPr>
      <w:color w:val="0000FF"/>
      <w:u w:val="single"/>
    </w:rPr>
  </w:style>
  <w:style w:type="table" w:styleId="a8">
    <w:name w:val="Table Grid"/>
    <w:basedOn w:val="a1"/>
    <w:rsid w:val="003F1F97"/>
    <w:pPr>
      <w:overflowPunct w:val="0"/>
      <w:autoSpaceDE w:val="0"/>
      <w:autoSpaceDN w:val="0"/>
      <w:bidi/>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a0"/>
    <w:rsid w:val="0058440A"/>
    <w:rPr>
      <w:color w:val="954F72" w:themeColor="followedHyperlink"/>
      <w:u w:val="single"/>
    </w:rPr>
  </w:style>
  <w:style w:type="character" w:styleId="a9">
    <w:name w:val="annotation reference"/>
    <w:basedOn w:val="a0"/>
    <w:rsid w:val="00D00B1D"/>
    <w:rPr>
      <w:sz w:val="16"/>
      <w:szCs w:val="16"/>
    </w:rPr>
  </w:style>
  <w:style w:type="paragraph" w:styleId="aa">
    <w:name w:val="annotation text"/>
    <w:basedOn w:val="a"/>
    <w:link w:val="ab"/>
    <w:rsid w:val="00D00B1D"/>
    <w:rPr>
      <w:szCs w:val="20"/>
    </w:rPr>
  </w:style>
  <w:style w:type="character" w:customStyle="1" w:styleId="ab">
    <w:name w:val="טקסט הערה תו"/>
    <w:basedOn w:val="a0"/>
    <w:link w:val="aa"/>
    <w:rsid w:val="00D00B1D"/>
    <w:rPr>
      <w:rFonts w:cs="David"/>
    </w:rPr>
  </w:style>
  <w:style w:type="paragraph" w:styleId="ac">
    <w:name w:val="annotation subject"/>
    <w:basedOn w:val="aa"/>
    <w:next w:val="aa"/>
    <w:link w:val="ad"/>
    <w:rsid w:val="00D00B1D"/>
    <w:rPr>
      <w:b/>
      <w:bCs/>
    </w:rPr>
  </w:style>
  <w:style w:type="character" w:customStyle="1" w:styleId="ad">
    <w:name w:val="נושא הערה תו"/>
    <w:basedOn w:val="ab"/>
    <w:link w:val="ac"/>
    <w:rsid w:val="00D00B1D"/>
    <w:rPr>
      <w:rFonts w:cs="David"/>
      <w:b/>
      <w:bCs/>
    </w:rPr>
  </w:style>
  <w:style w:type="paragraph" w:styleId="ae">
    <w:name w:val="Balloon Text"/>
    <w:basedOn w:val="a"/>
    <w:link w:val="af"/>
    <w:rsid w:val="00D00B1D"/>
    <w:rPr>
      <w:rFonts w:ascii="Tahoma" w:hAnsi="Tahoma" w:cs="Tahoma"/>
      <w:sz w:val="18"/>
      <w:szCs w:val="18"/>
    </w:rPr>
  </w:style>
  <w:style w:type="character" w:customStyle="1" w:styleId="af">
    <w:name w:val="טקסט בלונים תו"/>
    <w:basedOn w:val="a0"/>
    <w:link w:val="ae"/>
    <w:rsid w:val="00D00B1D"/>
    <w:rPr>
      <w:rFonts w:ascii="Tahoma" w:hAnsi="Tahoma" w:cs="Tahoma"/>
      <w:sz w:val="18"/>
      <w:szCs w:val="18"/>
    </w:rPr>
  </w:style>
  <w:style w:type="character" w:customStyle="1" w:styleId="Ruller42">
    <w:name w:val="Ruller4 תו"/>
    <w:basedOn w:val="a0"/>
    <w:link w:val="Ruller41"/>
    <w:locked/>
    <w:rsid w:val="0040186B"/>
    <w:rPr>
      <w:rFonts w:ascii="Arial TUR" w:hAnsi="Arial TUR" w:cs="FrankRuehl"/>
      <w:spacing w:val="10"/>
      <w:sz w:val="22"/>
      <w:szCs w:val="28"/>
    </w:rPr>
  </w:style>
  <w:style w:type="paragraph" w:customStyle="1" w:styleId="Ruller4">
    <w:name w:val="Ruller 4 ממוספר"/>
    <w:basedOn w:val="a"/>
    <w:next w:val="a"/>
    <w:link w:val="Ruller43"/>
    <w:rsid w:val="0040186B"/>
    <w:pPr>
      <w:numPr>
        <w:numId w:val="11"/>
      </w:numPr>
      <w:tabs>
        <w:tab w:val="left" w:pos="800"/>
      </w:tabs>
      <w:spacing w:line="360" w:lineRule="auto"/>
      <w:jc w:val="both"/>
    </w:pPr>
    <w:rPr>
      <w:rFonts w:ascii="Garamond" w:hAnsi="Garamond" w:cs="FrankRuehl"/>
      <w:spacing w:val="10"/>
      <w:sz w:val="24"/>
      <w:szCs w:val="28"/>
    </w:rPr>
  </w:style>
  <w:style w:type="character" w:customStyle="1" w:styleId="a7">
    <w:name w:val="כותרת עליונה תו"/>
    <w:basedOn w:val="a0"/>
    <w:link w:val="a6"/>
    <w:rsid w:val="0040186B"/>
    <w:rPr>
      <w:rFonts w:cs="David"/>
      <w:szCs w:val="24"/>
    </w:rPr>
  </w:style>
  <w:style w:type="character" w:customStyle="1" w:styleId="a4">
    <w:name w:val="כותרת תחתונה תו"/>
    <w:basedOn w:val="a0"/>
    <w:link w:val="a3"/>
    <w:rsid w:val="0040186B"/>
    <w:rPr>
      <w:rFonts w:cs="David"/>
      <w:szCs w:val="24"/>
    </w:rPr>
  </w:style>
  <w:style w:type="paragraph" w:customStyle="1" w:styleId="p00">
    <w:name w:val="p00"/>
    <w:basedOn w:val="a"/>
    <w:rsid w:val="0040186B"/>
    <w:pPr>
      <w:overflowPunct/>
      <w:autoSpaceDE/>
      <w:autoSpaceDN/>
      <w:bidi w:val="0"/>
      <w:adjustRightInd/>
      <w:spacing w:before="100" w:beforeAutospacing="1" w:after="100" w:afterAutospacing="1"/>
      <w:textAlignment w:val="auto"/>
    </w:pPr>
    <w:rPr>
      <w:rFonts w:cs="Times New Roman"/>
      <w:sz w:val="24"/>
    </w:rPr>
  </w:style>
  <w:style w:type="character" w:customStyle="1" w:styleId="default">
    <w:name w:val="default"/>
    <w:basedOn w:val="a0"/>
    <w:rsid w:val="0040186B"/>
  </w:style>
  <w:style w:type="paragraph" w:styleId="af0">
    <w:name w:val="List Paragraph"/>
    <w:basedOn w:val="a"/>
    <w:uiPriority w:val="34"/>
    <w:qFormat/>
    <w:rsid w:val="0040186B"/>
    <w:pPr>
      <w:overflowPunct/>
      <w:autoSpaceDE/>
      <w:autoSpaceDN/>
      <w:adjustRightInd/>
      <w:ind w:left="720"/>
      <w:contextualSpacing/>
      <w:textAlignment w:val="auto"/>
    </w:pPr>
    <w:rPr>
      <w:rFonts w:asciiTheme="minorHAnsi" w:eastAsiaTheme="minorHAnsi" w:hAnsiTheme="minorHAnsi" w:cstheme="minorBidi"/>
      <w:sz w:val="24"/>
    </w:rPr>
  </w:style>
  <w:style w:type="paragraph" w:customStyle="1" w:styleId="Ruller40">
    <w:name w:val="Ruller4 אלפביתי"/>
    <w:basedOn w:val="Ruller41"/>
    <w:next w:val="Ruller41"/>
    <w:rsid w:val="0040186B"/>
    <w:pPr>
      <w:numPr>
        <w:numId w:val="13"/>
      </w:numPr>
    </w:pPr>
  </w:style>
  <w:style w:type="character" w:styleId="af1">
    <w:name w:val="Emphasis"/>
    <w:basedOn w:val="a0"/>
    <w:uiPriority w:val="20"/>
    <w:qFormat/>
    <w:rsid w:val="0040186B"/>
    <w:rPr>
      <w:i/>
      <w:iCs/>
    </w:rPr>
  </w:style>
  <w:style w:type="character" w:customStyle="1" w:styleId="Ruller43">
    <w:name w:val="Ruller 4 ממוספר תו"/>
    <w:link w:val="Ruller4"/>
    <w:locked/>
    <w:rsid w:val="0040186B"/>
    <w:rPr>
      <w:rFonts w:ascii="Garamond" w:hAnsi="Garamond" w:cs="FrankRuehl"/>
      <w:spacing w:val="10"/>
      <w:sz w:val="24"/>
      <w:szCs w:val="28"/>
    </w:rPr>
  </w:style>
  <w:style w:type="paragraph" w:customStyle="1" w:styleId="ruller400">
    <w:name w:val="ruller40"/>
    <w:basedOn w:val="a"/>
    <w:rsid w:val="0040186B"/>
    <w:pPr>
      <w:overflowPunct/>
      <w:autoSpaceDE/>
      <w:autoSpaceDN/>
      <w:bidi w:val="0"/>
      <w:adjustRightInd/>
      <w:spacing w:before="100" w:beforeAutospacing="1" w:after="100" w:afterAutospacing="1"/>
      <w:textAlignment w:val="auto"/>
    </w:pPr>
    <w:rPr>
      <w:rFonts w:cs="Times New Roman"/>
      <w:sz w:val="24"/>
    </w:rPr>
  </w:style>
  <w:style w:type="paragraph" w:customStyle="1" w:styleId="ruller410">
    <w:name w:val="ruller41"/>
    <w:basedOn w:val="a"/>
    <w:rsid w:val="0040186B"/>
    <w:pPr>
      <w:overflowPunct/>
      <w:autoSpaceDE/>
      <w:autoSpaceDN/>
      <w:bidi w:val="0"/>
      <w:adjustRightInd/>
      <w:spacing w:before="100" w:beforeAutospacing="1" w:after="100" w:afterAutospacing="1"/>
      <w:textAlignment w:val="auto"/>
    </w:pPr>
    <w:rPr>
      <w:rFonts w:cs="Times New Roman"/>
      <w:sz w:val="24"/>
    </w:rPr>
  </w:style>
  <w:style w:type="paragraph" w:customStyle="1" w:styleId="ruller44">
    <w:name w:val="ruller4"/>
    <w:basedOn w:val="a"/>
    <w:rsid w:val="0040186B"/>
    <w:pPr>
      <w:overflowPunct/>
      <w:autoSpaceDE/>
      <w:autoSpaceDN/>
      <w:bidi w:val="0"/>
      <w:adjustRightInd/>
      <w:spacing w:before="100" w:beforeAutospacing="1" w:after="100" w:afterAutospacing="1"/>
      <w:textAlignment w:val="auto"/>
    </w:pPr>
    <w:rPr>
      <w:rFonts w:cs="Times New Roman"/>
      <w:sz w:val="24"/>
    </w:rPr>
  </w:style>
  <w:style w:type="paragraph" w:styleId="af2">
    <w:name w:val="Revision"/>
    <w:hidden/>
    <w:uiPriority w:val="99"/>
    <w:semiHidden/>
    <w:rsid w:val="0040186B"/>
    <w:rPr>
      <w:rFonts w:asciiTheme="minorHAnsi" w:eastAsiaTheme="minorHAnsi" w:hAnsiTheme="minorHAnsi" w:cstheme="minorBidi"/>
      <w:sz w:val="24"/>
      <w:szCs w:val="24"/>
    </w:rPr>
  </w:style>
  <w:style w:type="paragraph" w:styleId="af3">
    <w:name w:val="footnote text"/>
    <w:aliases w:val="fn,fn תו,fn תו תו תו תו תו,טקסט הערות שוליים תו,טקסט הערות שוליים תו תו תו תו תו תו"/>
    <w:basedOn w:val="a"/>
    <w:link w:val="af4"/>
    <w:rsid w:val="00437A63"/>
    <w:pPr>
      <w:widowControl w:val="0"/>
      <w:overflowPunct/>
      <w:autoSpaceDE/>
      <w:autoSpaceDN/>
      <w:adjustRightInd/>
      <w:snapToGrid w:val="0"/>
      <w:spacing w:after="80" w:line="260" w:lineRule="exact"/>
      <w:ind w:left="340" w:hanging="340"/>
      <w:jc w:val="both"/>
      <w:textAlignment w:val="auto"/>
    </w:pPr>
    <w:rPr>
      <w:rFonts w:eastAsia="SimSun" w:cs="FrankRealMed"/>
      <w:spacing w:val="4"/>
      <w:sz w:val="18"/>
      <w:szCs w:val="22"/>
      <w:lang w:eastAsia="zh-CN"/>
    </w:rPr>
  </w:style>
  <w:style w:type="character" w:customStyle="1" w:styleId="af4">
    <w:name w:val="טקסט הערת שוליים תו"/>
    <w:aliases w:val="fn תו1,fn תו תו,fn תו תו תו תו תו תו,טקסט הערות שוליים תו תו,טקסט הערות שוליים תו תו תו תו תו תו תו"/>
    <w:basedOn w:val="a0"/>
    <w:link w:val="af3"/>
    <w:rsid w:val="00437A63"/>
    <w:rPr>
      <w:rFonts w:eastAsia="SimSun" w:cs="FrankRealMed"/>
      <w:spacing w:val="4"/>
      <w:sz w:val="18"/>
      <w:szCs w:val="22"/>
      <w:lang w:eastAsia="zh-CN"/>
    </w:rPr>
  </w:style>
  <w:style w:type="character" w:styleId="af5">
    <w:name w:val="footnote reference"/>
    <w:aliases w:val="Footnote text"/>
    <w:rsid w:val="00437A63"/>
    <w:rPr>
      <w:vertAlign w:val="superscript"/>
    </w:rPr>
  </w:style>
  <w:style w:type="paragraph" w:customStyle="1" w:styleId="p22">
    <w:name w:val="p22"/>
    <w:basedOn w:val="a"/>
    <w:rsid w:val="00437A63"/>
    <w:pPr>
      <w:overflowPunct/>
      <w:autoSpaceDE/>
      <w:autoSpaceDN/>
      <w:bidi w:val="0"/>
      <w:adjustRightInd/>
      <w:spacing w:before="100" w:beforeAutospacing="1" w:after="100" w:afterAutospacing="1"/>
      <w:textAlignment w:val="auto"/>
    </w:pPr>
    <w:rPr>
      <w:rFonts w:eastAsiaTheme="minorHAnsi" w:cs="Times New Roman"/>
      <w:sz w:val="24"/>
    </w:rPr>
  </w:style>
  <w:style w:type="character" w:customStyle="1" w:styleId="big-number">
    <w:name w:val="big-number"/>
    <w:basedOn w:val="a0"/>
    <w:rsid w:val="00437A63"/>
  </w:style>
  <w:style w:type="character" w:customStyle="1" w:styleId="Ruller50">
    <w:name w:val="Ruller5 תו"/>
    <w:link w:val="Ruller5"/>
    <w:locked/>
    <w:rsid w:val="00D316ED"/>
    <w:rPr>
      <w:rFonts w:ascii="Arial TUR"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043">
      <w:bodyDiv w:val="1"/>
      <w:marLeft w:val="0"/>
      <w:marRight w:val="0"/>
      <w:marTop w:val="0"/>
      <w:marBottom w:val="0"/>
      <w:divBdr>
        <w:top w:val="none" w:sz="0" w:space="0" w:color="auto"/>
        <w:left w:val="none" w:sz="0" w:space="0" w:color="auto"/>
        <w:bottom w:val="none" w:sz="0" w:space="0" w:color="auto"/>
        <w:right w:val="none" w:sz="0" w:space="0" w:color="auto"/>
      </w:divBdr>
    </w:div>
    <w:div w:id="1378774154">
      <w:bodyDiv w:val="1"/>
      <w:marLeft w:val="0"/>
      <w:marRight w:val="0"/>
      <w:marTop w:val="0"/>
      <w:marBottom w:val="0"/>
      <w:divBdr>
        <w:top w:val="none" w:sz="0" w:space="0" w:color="auto"/>
        <w:left w:val="none" w:sz="0" w:space="0" w:color="auto"/>
        <w:bottom w:val="none" w:sz="0" w:space="0" w:color="auto"/>
        <w:right w:val="none" w:sz="0" w:space="0" w:color="auto"/>
      </w:divBdr>
    </w:div>
    <w:div w:id="167452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upreme.court.gov.il/"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B3C5-A486-40C3-8A43-1D041FDE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143</Pages>
  <Words>49199</Words>
  <Characters>232627</Characters>
  <Application>Microsoft Office Word</Application>
  <DocSecurity>0</DocSecurity>
  <Lines>1938</Lines>
  <Paragraphs>562</Paragraphs>
  <ScaleCrop>false</ScaleCrop>
  <HeadingPairs>
    <vt:vector size="2" baseType="variant">
      <vt:variant>
        <vt:lpstr>שם</vt:lpstr>
      </vt:variant>
      <vt:variant>
        <vt:i4>1</vt:i4>
      </vt:variant>
    </vt:vector>
  </HeadingPairs>
  <TitlesOfParts>
    <vt:vector size="1" baseType="lpstr">
      <vt:lpstr>החלטה בתיק בג"ץ  8948/22</vt:lpstr>
    </vt:vector>
  </TitlesOfParts>
  <Company>supreme court of israel</Company>
  <LinksUpToDate>false</LinksUpToDate>
  <CharactersWithSpaces>281264</CharactersWithSpaces>
  <SharedDoc>false</SharedDoc>
  <HLinks>
    <vt:vector size="6" baseType="variant">
      <vt:variant>
        <vt:i4>1966158</vt:i4>
      </vt:variant>
      <vt:variant>
        <vt:i4>12</vt:i4>
      </vt:variant>
      <vt:variant>
        <vt:i4>0</vt:i4>
      </vt:variant>
      <vt:variant>
        <vt:i4>5</vt:i4>
      </vt:variant>
      <vt:variant>
        <vt:lpwstr>http://www.court.gov.il/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החלטה בתיק בג"ץ  8948/22</dc:title>
  <dc:subject/>
  <dc:creator>Administrator</dc:creator>
  <cp:keywords/>
  <dc:description/>
  <cp:lastModifiedBy>עוזי ברוך</cp:lastModifiedBy>
  <cp:revision>2</cp:revision>
  <cp:lastPrinted>2023-01-18T06:13:00Z</cp:lastPrinted>
  <dcterms:created xsi:type="dcterms:W3CDTF">2023-01-18T14:07:00Z</dcterms:created>
  <dcterms:modified xsi:type="dcterms:W3CDTF">2023-01-18T14:07:00Z</dcterms:modified>
</cp:coreProperties>
</file>